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
          <w:iCs/>
        </w:rPr>
        <w:t xml:space="preserve">KURGUSAL ÖRNEK — Divit denemesi için yazıldı. Yazar, dergi, kurum ve veriler uydurmadır; gerçek bir yayın değildir.</w:t>
      </w:r>
    </w:p>
    <w:p>
      <w:pPr>
        <w:pStyle w:val="BodyText"/>
      </w:pPr>
      <w:r>
        <w:rPr>
          <w:b/>
          <w:bCs/>
        </w:rPr>
        <w:t xml:space="preserve">Akçaova Ziraat Fakültesi Dergisi, 36(1): 1–12, 2024</w:t>
      </w:r>
      <w:r>
        <w:t xml:space="preserve"> </w:t>
      </w:r>
      <w:r>
        <w:t xml:space="preserve">· Araştırma Makalesi</w:t>
      </w:r>
    </w:p>
    <w:bookmarkStart w:id="15" w:name="X736024247eb0cee3a25ec789b30694212bac50d"/>
    <w:p>
      <w:pPr>
        <w:pStyle w:val="Heading1"/>
      </w:pPr>
      <w:r>
        <w:t xml:space="preserve">Akçaova Kuru Koşullarında Nohut-Buğday Ekim Nöbetinin Buğdayda Tane Verimi ve Azot Gereksinimine Etkisi</w:t>
      </w:r>
    </w:p>
    <w:p>
      <w:pPr>
        <w:pStyle w:val="FirstParagraph"/>
      </w:pPr>
      <w:r>
        <w:t xml:space="preserve">Hikmet BOZDOĞANLI</w:t>
      </w:r>
    </w:p>
    <w:p>
      <w:pPr>
        <w:pStyle w:val="BodyText"/>
      </w:pPr>
      <w:r>
        <w:t xml:space="preserve">Akçaova Üniversitesi Ziraat Fakültesi Tarla Bitkileri Bölümü, Akçaova</w:t>
      </w:r>
    </w:p>
    <w:bookmarkStart w:id="9" w:name="özet"/>
    <w:p>
      <w:pPr>
        <w:pStyle w:val="Heading2"/>
      </w:pPr>
      <w:r>
        <w:t xml:space="preserve">Özet</w:t>
      </w:r>
    </w:p>
    <w:p>
      <w:pPr>
        <w:pStyle w:val="FirstParagraph"/>
      </w:pPr>
      <w:r>
        <w:t xml:space="preserve">Bu çalışma, Akçaova kuru koşullarında nadas-buğday ve nohut-buğday ekim nöbetlerinin ekmeklik buğdayın (</w:t>
      </w:r>
      <w:r>
        <w:rPr>
          <w:i/>
          <w:iCs/>
        </w:rPr>
        <w:t xml:space="preserve">Triticum aestivum</w:t>
      </w:r>
      <w:r>
        <w:t xml:space="preserve"> </w:t>
      </w:r>
      <w:r>
        <w:t xml:space="preserve">L.) tane verimi ve azot gereksinimi üzerine etkilerini belirlemek amacıyla 2020-2021, 2021-2022 ve 2022-2023 yetiştirme dönemlerinde yürütülmüştür. Deneme tesadüf bloklarında bölünmüş parseller deneme desenine göre dört tekerrürlü olarak kurulmuş, ana parsellere ekim nöbeti, alt parsellere dört azot dozu (0, 4, 8 ve 12 kg N/da) yerleştirilmiştir. Üç yıllık ortalamalara göre nadastan sonra ekilen buğdayda en yüksek tane verimi 12 kg N/da dozunda 441,8 kg/da, nohuttan sonra ekilen buğdayda ise 8 kg N/da dozunda 427,5 kg/da olarak belirlenmiştir. Nohuttan sonra 8 kg N/da’nın üzerindeki dozlarda verim artışı önemli bulunmamıştır. Sonuç olarak nohut-buğday ekim nöbetinin yöre üreticisine hem azot tasarrufu hem de nadas alanlarının değerlendirilmesi bakımından önemli bir seçenek sunduğu sonucuna varılmıştır.</w:t>
      </w:r>
    </w:p>
    <w:p>
      <w:pPr>
        <w:pStyle w:val="BodyText"/>
      </w:pPr>
      <w:r>
        <w:rPr>
          <w:b/>
          <w:bCs/>
        </w:rPr>
        <w:t xml:space="preserve">Anahtar kelimeler:</w:t>
      </w:r>
      <w:r>
        <w:t xml:space="preserve"> </w:t>
      </w:r>
      <w:r>
        <w:t xml:space="preserve">Ekmeklik buğday, nohut, ekim nöbeti, nadas, azot, kuru tarım</w:t>
      </w:r>
    </w:p>
    <w:bookmarkEnd w:id="9"/>
    <w:bookmarkStart w:id="10" w:name="giriş"/>
    <w:p>
      <w:pPr>
        <w:pStyle w:val="Heading2"/>
      </w:pPr>
      <w:r>
        <w:t xml:space="preserve">Giriş</w:t>
      </w:r>
    </w:p>
    <w:p>
      <w:pPr>
        <w:pStyle w:val="FirstParagraph"/>
      </w:pPr>
      <w:r>
        <w:t xml:space="preserve">Ülkemizde buğday tarımının yapıldığı alanların önemli bir kısmında yıllık yağış 400 mm’nin altında kalmakta, bu alanlarda nadas uygulaması hâlâ yaygın olarak sürdürülmektedir. Bilindiği gibi nadas, toprakta su biriktirmek amacıyla yapılmakla birlikte, arazinin iki yılda bir ürün vermesine yol açmakta ve organik maddenin azalmasına neden olmaktadır. Nadas alanlarının baklagillerle değerlendirilmesi uzun süredir önerilmekle birlikte, bu konuda yöreye özgü sonuçlar oldukça sınırlı kalmaktadır.</w:t>
      </w:r>
    </w:p>
    <w:p>
      <w:pPr>
        <w:pStyle w:val="BodyText"/>
      </w:pPr>
      <w:r>
        <w:t xml:space="preserve">Akçaova yöresinde yürütülen önceki bir çalışmada 12 kg N/da’nın üzerindeki dozlarda verim artışının istatistiki olarak önemsiz kaldığı bildirilmiştir (Bozdoğanlı ve Ekinci, 2019). Ancak nohuttan sonra ekilen buğdayın azot gereksinimine ilişkin yöreye ait bir veri bulunmamaktadır. Bu çalışma söz konusu eksikliği gidermek amacıyla planlanmıştır.</w:t>
      </w:r>
    </w:p>
    <w:bookmarkEnd w:id="10"/>
    <w:bookmarkStart w:id="11" w:name="materyal-ve-yöntem"/>
    <w:p>
      <w:pPr>
        <w:pStyle w:val="Heading2"/>
      </w:pPr>
      <w:r>
        <w:t xml:space="preserve">Materyal ve Yöntem</w:t>
      </w:r>
    </w:p>
    <w:p>
      <w:pPr>
        <w:pStyle w:val="FirstParagraph"/>
      </w:pPr>
      <w:r>
        <w:t xml:space="preserve">Araştırma Akçaova Üniversitesi Ziraat Fakültesi deneme alanında yürütülmüştür. Deneme alanı toprakları killi-tınlı bünyeli, hafif alkali (pH 7,8), kireçli ve organik maddece fakirdir (%1,3). Deneme yıllarında yetiştirme dönemi yağışı sırasıyla 342,6 mm, 298,1 mm ve 361,0 mm olarak gerçekleşmiş olup, Akçaova Meteoroloji İstasyonu’nun uzun yıllar ortalaması 334,2 mm’dir.</w:t>
      </w:r>
    </w:p>
    <w:p>
      <w:pPr>
        <w:pStyle w:val="BodyText"/>
      </w:pPr>
      <w:r>
        <w:t xml:space="preserve">Materyal olarak</w:t>
      </w:r>
      <w:r>
        <w:t xml:space="preserve"> </w:t>
      </w:r>
      <w:r>
        <w:t xml:space="preserve">‘Yaylabeyi’</w:t>
      </w:r>
      <w:r>
        <w:t xml:space="preserve"> </w:t>
      </w:r>
      <w:r>
        <w:t xml:space="preserve">ekmeklik buğday çeşidi ile</w:t>
      </w:r>
      <w:r>
        <w:t xml:space="preserve"> </w:t>
      </w:r>
      <w:r>
        <w:t xml:space="preserve">‘Akçaova Sarısı’</w:t>
      </w:r>
      <w:r>
        <w:t xml:space="preserve"> </w:t>
      </w:r>
      <w:r>
        <w:t xml:space="preserve">nohut çeşidi kullanılmıştır. Buğday ekimi ekim ayının ikinci yarısında 500 tohum/m² normu ile, nohut ekimi ise mart ayının son haftasında 45 tohum/m² normu ile yapılmıştır. Azotun yarısı ekimle, kalan yarısı kardeşlenme sonunda amonyum nitrat formunda verilmiştir. Elde edilen veriler varyans analizine tabi tutulmuş, ortalamalar arasındaki farklar Duncan çoklu karşılaştırma testi ile belirlenmiştir.</w:t>
      </w:r>
    </w:p>
    <w:bookmarkEnd w:id="11"/>
    <w:bookmarkStart w:id="12" w:name="bulgular-ve-tartışma"/>
    <w:p>
      <w:pPr>
        <w:pStyle w:val="Heading2"/>
      </w:pPr>
      <w:r>
        <w:t xml:space="preserve">Bulgular ve Tartışma</w:t>
      </w:r>
    </w:p>
    <w:p>
      <w:pPr>
        <w:pStyle w:val="FirstParagraph"/>
      </w:pPr>
      <w:r>
        <w:t xml:space="preserve">Varyans analizi sonuçlarına göre tane verimi bakımından ekim nöbeti, azot dozu ve ekim nöbeti × azot dozu interaksiyonu önemli bulunmuştur (P&lt;0,01). Yıl × ekim nöbeti interaksiyonu ise önemsiz bulunduğundan sonuçlar üç yıllık ortalamalar üzerinden değerlendirilmiştir.</w:t>
      </w:r>
    </w:p>
    <w:p>
      <w:pPr>
        <w:pStyle w:val="BodyText"/>
      </w:pPr>
      <w:r>
        <w:rPr>
          <w:b/>
          <w:bCs/>
        </w:rPr>
        <w:t xml:space="preserve">Çizelge 1.</w:t>
      </w:r>
      <w:r>
        <w:t xml:space="preserve"> </w:t>
      </w:r>
      <w:r>
        <w:t xml:space="preserve">Ekim nöbeti ve azot dozlarına göre tane verimi (kg/da, üç yıl ortalaması)</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Azot dozu (kg N/da)</w:t>
            </w:r>
          </w:p>
        </w:tc>
        <w:tc>
          <w:tcPr/>
          <w:p>
            <w:pPr>
              <w:pStyle w:val="Compact"/>
            </w:pPr>
            <w:r>
              <w:t xml:space="preserve">Nadas-buğday</w:t>
            </w:r>
          </w:p>
        </w:tc>
        <w:tc>
          <w:tcPr/>
          <w:p>
            <w:pPr>
              <w:pStyle w:val="Compact"/>
            </w:pPr>
            <w:r>
              <w:t xml:space="preserve">Nohut-buğday</w:t>
            </w:r>
          </w:p>
        </w:tc>
      </w:tr>
      <w:tr>
        <w:tc>
          <w:tcPr/>
          <w:p>
            <w:pPr>
              <w:pStyle w:val="Compact"/>
            </w:pPr>
            <w:r>
              <w:t xml:space="preserve">0</w:t>
            </w:r>
          </w:p>
        </w:tc>
        <w:tc>
          <w:tcPr/>
          <w:p>
            <w:pPr>
              <w:pStyle w:val="Compact"/>
            </w:pPr>
            <w:r>
              <w:t xml:space="preserve">247,3 e</w:t>
            </w:r>
          </w:p>
        </w:tc>
        <w:tc>
          <w:tcPr/>
          <w:p>
            <w:pPr>
              <w:pStyle w:val="Compact"/>
            </w:pPr>
            <w:r>
              <w:t xml:space="preserve">318,9 d</w:t>
            </w:r>
          </w:p>
        </w:tc>
      </w:tr>
      <w:tr>
        <w:tc>
          <w:tcPr/>
          <w:p>
            <w:pPr>
              <w:pStyle w:val="Compact"/>
            </w:pPr>
            <w:r>
              <w:t xml:space="preserve">4</w:t>
            </w:r>
          </w:p>
        </w:tc>
        <w:tc>
          <w:tcPr/>
          <w:p>
            <w:pPr>
              <w:pStyle w:val="Compact"/>
            </w:pPr>
            <w:r>
              <w:t xml:space="preserve">322,6 d</w:t>
            </w:r>
          </w:p>
        </w:tc>
        <w:tc>
          <w:tcPr/>
          <w:p>
            <w:pPr>
              <w:pStyle w:val="Compact"/>
            </w:pPr>
            <w:r>
              <w:t xml:space="preserve">381,4 c</w:t>
            </w:r>
          </w:p>
        </w:tc>
      </w:tr>
      <w:tr>
        <w:tc>
          <w:tcPr/>
          <w:p>
            <w:pPr>
              <w:pStyle w:val="Compact"/>
            </w:pPr>
            <w:r>
              <w:t xml:space="preserve">8</w:t>
            </w:r>
          </w:p>
        </w:tc>
        <w:tc>
          <w:tcPr/>
          <w:p>
            <w:pPr>
              <w:pStyle w:val="Compact"/>
            </w:pPr>
            <w:r>
              <w:t xml:space="preserve">389,7 c</w:t>
            </w:r>
          </w:p>
        </w:tc>
        <w:tc>
          <w:tcPr/>
          <w:p>
            <w:pPr>
              <w:pStyle w:val="Compact"/>
            </w:pPr>
            <w:r>
              <w:t xml:space="preserve">427,5 ab</w:t>
            </w:r>
          </w:p>
        </w:tc>
      </w:tr>
      <w:tr>
        <w:tc>
          <w:tcPr/>
          <w:p>
            <w:pPr>
              <w:pStyle w:val="Compact"/>
            </w:pPr>
            <w:r>
              <w:t xml:space="preserve">12</w:t>
            </w:r>
          </w:p>
        </w:tc>
        <w:tc>
          <w:tcPr/>
          <w:p>
            <w:pPr>
              <w:pStyle w:val="Compact"/>
            </w:pPr>
            <w:r>
              <w:t xml:space="preserve">441,8 a</w:t>
            </w:r>
          </w:p>
        </w:tc>
        <w:tc>
          <w:tcPr/>
          <w:p>
            <w:pPr>
              <w:pStyle w:val="Compact"/>
            </w:pPr>
            <w:r>
              <w:t xml:space="preserve">433,2 a</w:t>
            </w:r>
          </w:p>
        </w:tc>
      </w:tr>
    </w:tbl>
    <w:p>
      <w:pPr>
        <w:pStyle w:val="BodyText"/>
      </w:pPr>
      <w:r>
        <w:rPr>
          <w:i/>
          <w:iCs/>
        </w:rPr>
        <w:t xml:space="preserve">Aynı harfi taşıyan ortalamalar arasındaki fark Duncan testine göre P&lt;0,05 düzeyinde önemli değildir.</w:t>
      </w:r>
    </w:p>
    <w:p>
      <w:pPr>
        <w:pStyle w:val="BodyText"/>
      </w:pPr>
      <w:r>
        <w:t xml:space="preserve">Çizelge 1’de görüldüğü gibi azot uygulanmayan parsellerde nohuttan sonra ekilen buğdayın tane verimi (318,9 kg/da), nadastan sonra ekilen buğdaya (247,3 kg/da) göre %29,0 daha yüksek olmuştur. Bu fark, nohudun topraka bıraktığı azotun bir sonraki buğdaya önemli bir katkı sağladığını göstermektedir. Nohuttan sonra ekilen buğdayda 8 ve 12 kg N/da dozları aynı grupta yer almış, dolayısıyla 8 kg N/da’nın üzerindeki dozlarda verim artışı önemli bulunmamıştır.</w:t>
      </w:r>
    </w:p>
    <w:p>
      <w:pPr>
        <w:pStyle w:val="BodyText"/>
      </w:pPr>
      <w:r>
        <w:t xml:space="preserve">Nadastan sonra ekilen buğdayda ise tane verimi 12 kg N/da dozuna kadar düzenli olarak artmıştır. Nisan-mayıs aylarında düşen yağış ile buğdayda bin tane ağırlığı arasında olumlu bir ilişki bulunduğu yöremizde daha önce bildirilmiştir (Ekinci, 2020). Nitekim yağışın en düşük olduğu ikinci yılda her iki ekim nöbetinde de verim düşmüş, ancak ekim nöbetleri arasındaki sıralama değişmemiştir.</w:t>
      </w:r>
    </w:p>
    <w:p>
      <w:pPr>
        <w:pStyle w:val="BodyText"/>
      </w:pPr>
      <w:r>
        <w:t xml:space="preserve">Nohut-buğday ekim nöbetinde arazi her yıl ürün vermekte, buna karşılık nadas-buğday sisteminde iki yılda bir ürün alınmaktadır. Bu durum dikkate alındığında nohut-buğday sisteminin birim alandan elde edilen toplam ürün bakımından da üstün olduğu açıktır.</w:t>
      </w:r>
    </w:p>
    <w:bookmarkEnd w:id="12"/>
    <w:bookmarkStart w:id="13" w:name="sonuç"/>
    <w:p>
      <w:pPr>
        <w:pStyle w:val="Heading2"/>
      </w:pPr>
      <w:r>
        <w:t xml:space="preserve">Sonuç</w:t>
      </w:r>
    </w:p>
    <w:p>
      <w:pPr>
        <w:pStyle w:val="FirstParagraph"/>
      </w:pPr>
      <w:r>
        <w:t xml:space="preserve">Akçaova kuru koşullarında nohuttan sonra ekilen buğday için 8 kg N/da azot dozunun yeterli olduğu, bu ekim nöbetinde nadasa göre dekara 4 kg azot tasarrufu sağlanabileceği sonucuna varılmıştır. Nadas alanlarının nohut ile değerlendirilmesi yöre üreticisine önerilebilir.</w:t>
      </w:r>
    </w:p>
    <w:bookmarkEnd w:id="13"/>
    <w:bookmarkStart w:id="14" w:name="kaynaklar"/>
    <w:p>
      <w:pPr>
        <w:pStyle w:val="Heading2"/>
      </w:pPr>
      <w:r>
        <w:t xml:space="preserve">Kaynaklar</w:t>
      </w:r>
    </w:p>
    <w:p>
      <w:pPr>
        <w:pStyle w:val="FirstParagraph"/>
      </w:pPr>
      <w:r>
        <w:t xml:space="preserve">Bozdoğanlı, H., Ekinci, S., 2019. Akçaova kuru koşullarında azot dozu ve uygulama zamanının ekmeklik buğdayda tane verimine etkisi. Akçaova Ziraat Fakültesi Dergisi, 31(2): 45-58.</w:t>
      </w:r>
    </w:p>
    <w:p>
      <w:pPr>
        <w:pStyle w:val="BodyText"/>
      </w:pPr>
      <w:r>
        <w:t xml:space="preserve">Ekinci, S., 2020. Bozkır koşullarında ilkbahar yağışının buğday verim unsurlarına etkisi. In: Harmanlı, T. (Ed.), Kuru Tarımda Güncel Yaklaşımlar. Akçaova Üniversitesi Yayınları, Akçaova, s. 101-124.</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2026-10-08T14:07:41Z</dcterms:created>
  <dcterms:modified xsi:type="dcterms:W3CDTF">2026-10-08T14:07:41Z</dcterms:modified>
</cp:coreProperties>
</file>

<file path=docProps/custom.xml><?xml version="1.0" encoding="utf-8"?>
<Properties xmlns="http://schemas.openxmlformats.org/officeDocument/2006/custom-properties" xmlns:vt="http://schemas.openxmlformats.org/officeDocument/2006/docPropsVTypes"/>
</file>