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i/>
          <w:iCs/>
        </w:rPr>
        <w:t xml:space="preserve">KURGUSAL ÖRNEK — Divit denemesi için yazıldı. Öğrenci, danışman, üniversite, çeşitler ve veriler uydurmadır; gerçek bir tez değildir.</w:t>
      </w:r>
    </w:p>
    <w:p>
      <w:pPr>
        <w:pStyle w:val="BodyText"/>
      </w:pPr>
      <w:r>
        <w:t xml:space="preserve">AKÇAOVA ÜNİVERSİTESİ FEN BİLİMLERİ ENSTİTÜSÜ — TARLA BİTKİLERİ ANABİLİM DALI — YÜKSEK LİSANS TEZİ TASLAĞI (Bölüm 3 ve 4, 2. sürüm)</w:t>
      </w:r>
    </w:p>
    <w:bookmarkStart w:id="18" w:name="X98260953678a90a015799a5ce0704c595cc73b8"/>
    <w:p>
      <w:pPr>
        <w:pStyle w:val="Heading1"/>
      </w:pPr>
      <w:r>
        <w:t xml:space="preserve">Kuru Koşullarda Farklı Azot Dozlarının İki Ekmeklik Buğday (</w:t>
      </w:r>
      <w:r>
        <w:rPr>
          <w:i/>
          <w:iCs/>
        </w:rPr>
        <w:t xml:space="preserve">Triticum aestivum</w:t>
      </w:r>
      <w:r>
        <w:t xml:space="preserve"> </w:t>
      </w:r>
      <w:r>
        <w:t xml:space="preserve">L.) Çeşidinde Verim ve Bazı Kalite Özelliklerine Etkisi</w:t>
      </w:r>
    </w:p>
    <w:p>
      <w:pPr>
        <w:pStyle w:val="FirstParagraph"/>
      </w:pPr>
      <w:r>
        <w:t xml:space="preserve">Hazırlayan: Merve GÖKDERE · Danışman: Prof. Dr. Hikmet BOZDOĞANLI · Eylül 2026</w:t>
      </w:r>
    </w:p>
    <w:bookmarkStart w:id="12" w:name="materyal-ve-yöntem"/>
    <w:p>
      <w:pPr>
        <w:pStyle w:val="Heading2"/>
      </w:pPr>
      <w:r>
        <w:t xml:space="preserve">3. MATERYAL VE YÖNTEM</w:t>
      </w:r>
    </w:p>
    <w:bookmarkStart w:id="9" w:name="materyal"/>
    <w:p>
      <w:pPr>
        <w:pStyle w:val="Heading3"/>
      </w:pPr>
      <w:r>
        <w:t xml:space="preserve">3.1. Materyal</w:t>
      </w:r>
    </w:p>
    <w:p>
      <w:pPr>
        <w:pStyle w:val="FirstParagraph"/>
      </w:pPr>
      <w:r>
        <w:t xml:space="preserve">Araştırmada bitkisel materyal olarak</w:t>
      </w:r>
      <w:r>
        <w:t xml:space="preserve"> </w:t>
      </w:r>
      <w:r>
        <w:rPr>
          <w:i/>
          <w:iCs/>
        </w:rPr>
        <w:t xml:space="preserve">Triticum aestivum L.</w:t>
      </w:r>
      <w:r>
        <w:t xml:space="preserve"> </w:t>
      </w:r>
      <w:r>
        <w:t xml:space="preserve">türüne ait iki ekmeklik buğday çeşidi kullanılmıştır.</w:t>
      </w:r>
      <w:r>
        <w:t xml:space="preserve"> </w:t>
      </w:r>
      <w:r>
        <w:t xml:space="preserve">‘Yaylabeyi’</w:t>
      </w:r>
      <w:r>
        <w:t xml:space="preserve"> </w:t>
      </w:r>
      <w:r>
        <w:t xml:space="preserve">çeşidi bölgede uzun yıllardır yetiştirilen, kuraklığa dayanıklılığı ile bilinen kırmızı taneli bir çeşittir.</w:t>
      </w:r>
      <w:r>
        <w:t xml:space="preserve"> </w:t>
      </w:r>
      <w:r>
        <w:t xml:space="preserve">‘Akçaova 2015’</w:t>
      </w:r>
      <w:r>
        <w:t xml:space="preserve"> </w:t>
      </w:r>
      <w:r>
        <w:t xml:space="preserve">çeşidi ise Akçaova Tarımsal Araştırma İstasyonu tarafından geliştirilmiş, beyaz taneli ve yüksek verim potansiyeline sahip bir çeşittir. Her iki çeşidin tohumluğu Akçaova Tarımsal Araştırma İstasyonu’ndan temin edilmiştir.</w:t>
      </w:r>
    </w:p>
    <w:p>
      <w:pPr>
        <w:pStyle w:val="BodyText"/>
      </w:pPr>
      <w:r>
        <w:t xml:space="preserve">Azotlu gübre kaynağı olarak amonyum nitrat (%33 N) kullanılmıştır. Uygulanan dozlar saf azot (N) olarak hesaplanmıştır. Fosforlu gübre olarak triple süper fosfat (%43 P₂O₅) kullanılmış ve tüm parsellere ekimle birlikte 6 kg P₂O₅/da verilmiştir.</w:t>
      </w:r>
    </w:p>
    <w:bookmarkEnd w:id="9"/>
    <w:bookmarkStart w:id="10" w:name="deneme-yeri-ve-iklim-özellikleri"/>
    <w:p>
      <w:pPr>
        <w:pStyle w:val="Heading3"/>
      </w:pPr>
      <w:r>
        <w:t xml:space="preserve">3.2. Deneme Yeri ve İklim Özellikleri</w:t>
      </w:r>
    </w:p>
    <w:p>
      <w:pPr>
        <w:pStyle w:val="FirstParagraph"/>
      </w:pPr>
      <w:r>
        <w:t xml:space="preserve">Deneme, 2023-2024 ve 2024-2025 yetiştirme dönemlerinde Akçaova Üniversitesi Ziraat Fakültesi deneme alanında yürütülmüştür. Deneme alanının toprakları killi-tınlı bünyelidir. Deneme alanında her iki yılda da önceki yıl nadas uygulanmış, toprak işlemesi sonbaharda pulluk ve kültivatör ile yapılmıştır.</w:t>
      </w:r>
    </w:p>
    <w:p>
      <w:pPr>
        <w:pStyle w:val="BodyText"/>
      </w:pPr>
      <w:r>
        <w:t xml:space="preserve">Deneme alanında birinci yetiştirme döneminde toplam 318,4 mm, ikinci yetiştirme döneminde ise 286,9 mm yağış düşmüştür. İkinci yılda özellikle nisan ve mayıs aylarında yağış birinci yıla göre belirgin şekilde düşük gerçekleşmiştir. Yetiştirme dönemi boyunca ortalama sıcaklık birinci yılda 9,8 °C, ikinci yılda 10,6 °C olarak ölçülmüştür.</w:t>
      </w:r>
    </w:p>
    <w:bookmarkEnd w:id="10"/>
    <w:bookmarkStart w:id="11" w:name="yöntem"/>
    <w:p>
      <w:pPr>
        <w:pStyle w:val="Heading3"/>
      </w:pPr>
      <w:r>
        <w:t xml:space="preserve">3.3. Yöntem</w:t>
      </w:r>
    </w:p>
    <w:p>
      <w:pPr>
        <w:pStyle w:val="FirstParagraph"/>
      </w:pPr>
      <w:r>
        <w:t xml:space="preserve">Deneme, tesadüf bloklarında bölünmüş parseller deneme desenine göre üç tekerrürlü olarak kurulmuştur. Ana parsellere çeşitler, alt parsellere azot dozları (0, 4, 8, 12 ve 16 kg N/da) yerleştirilmiştir. Bu dozlar çizelgelerde sırasıyla N0, N4, N8, N12 ve N16 olarak kısaltılmıştır. Parsel boyutu 1,2 m × 5 m = 6 m² olup her parsele 6 sıra ekim yapılmıştır.</w:t>
      </w:r>
    </w:p>
    <w:p>
      <w:pPr>
        <w:pStyle w:val="BodyText"/>
      </w:pPr>
      <w:r>
        <w:t xml:space="preserve">Ekim ekim ayında parsel mibzeri ile yapılmıştır. Azotun yarısı ekimle birlikte, kalan yarısı kardeşlenme sonunda üstten gübre olarak verilmiştir. Yabancı ot kontrolü kardeşlenme döneminde herbisit uygulamasıyla yapılmıştır. Hasat, kenar tesirleri atıldıktan sonra kalan 4,0 m² alanda parsel biçerdöveri ile yapılmıştır.</w:t>
      </w:r>
    </w:p>
    <w:p>
      <w:pPr>
        <w:pStyle w:val="BodyText"/>
      </w:pPr>
      <w:r>
        <w:t xml:space="preserve">Tane verimi parsel veriminden dekara çevrilerek kg/da olarak hesaplanmıştır. Bin tane ağırlığı, her parselden alınan dört adet 100 tanelik örneğin tartılıp ortalamasının 10 ile çarpılmasıyla belirlenmiştir. Hektolitre ağırlığı (kg/hl) ve tane protein oranı (%) her parselden alınan tane örneklerinde belirlenmiştir.</w:t>
      </w:r>
    </w:p>
    <w:p>
      <w:pPr>
        <w:pStyle w:val="BodyText"/>
      </w:pPr>
      <w:r>
        <w:t xml:space="preserve">Elde edilen veriler bölünmüş parseller deneme desenine göre JMP paket programında varyans analizine tabi tutulmuş, yıllar birleştirilerek değerlendirilmiştir. Ortalamalar arasındaki farklar Duncan çoklu karşılaştırma testi ile belirlenmiştir.</w:t>
      </w:r>
    </w:p>
    <w:bookmarkEnd w:id="11"/>
    <w:bookmarkEnd w:id="12"/>
    <w:bookmarkStart w:id="16" w:name="bulgular-ve-tartişma"/>
    <w:p>
      <w:pPr>
        <w:pStyle w:val="Heading2"/>
      </w:pPr>
      <w:r>
        <w:t xml:space="preserve">4. BULGULAR VE TARTIŞMA</w:t>
      </w:r>
    </w:p>
    <w:bookmarkStart w:id="13" w:name="tane-verimi"/>
    <w:p>
      <w:pPr>
        <w:pStyle w:val="Heading3"/>
      </w:pPr>
      <w:r>
        <w:t xml:space="preserve">4.1. Tane Verimi</w:t>
      </w:r>
    </w:p>
    <w:p>
      <w:pPr>
        <w:pStyle w:val="FirstParagraph"/>
      </w:pPr>
      <w:r>
        <w:t xml:space="preserve">Varyans analizi sonuçlarına göre tane verimi bakımından çeşitler, azot dozları ve yıl × azot dozu interaksiyonu istatistiki olarak önemli bulunmuştur (P&lt;0,01). İki yıllık ortalamalara göre azot dozlarına ait tane verimi değerleri Çizelge 4.1’de verilmiştir.</w:t>
      </w:r>
    </w:p>
    <w:p>
      <w:pPr>
        <w:pStyle w:val="BodyText"/>
      </w:pPr>
      <w:r>
        <w:rPr>
          <w:b/>
          <w:bCs/>
        </w:rPr>
        <w:t xml:space="preserve">Çizelge 4.1.</w:t>
      </w:r>
      <w:r>
        <w:t xml:space="preserve"> </w:t>
      </w:r>
      <w:r>
        <w:t xml:space="preserve">Farklı azot dozlarında tane verimi (kg/da, iki yıl ve iki çeşit ortalaması)</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Azot dozu</w:t>
            </w:r>
          </w:p>
        </w:tc>
        <w:tc>
          <w:tcPr/>
          <w:p>
            <w:pPr>
              <w:pStyle w:val="Compact"/>
            </w:pPr>
            <w:r>
              <w:t xml:space="preserve">Tane verimi (kg/da)</w:t>
            </w:r>
          </w:p>
        </w:tc>
      </w:tr>
      <w:tr>
        <w:tc>
          <w:tcPr/>
          <w:p>
            <w:pPr>
              <w:pStyle w:val="Compact"/>
            </w:pPr>
            <w:r>
              <w:t xml:space="preserve">N0 (0 kg N/da)</w:t>
            </w:r>
          </w:p>
        </w:tc>
        <w:tc>
          <w:tcPr/>
          <w:p>
            <w:pPr>
              <w:pStyle w:val="Compact"/>
            </w:pPr>
            <w:r>
              <w:t xml:space="preserve">268,4 d</w:t>
            </w:r>
          </w:p>
        </w:tc>
      </w:tr>
      <w:tr>
        <w:tc>
          <w:tcPr/>
          <w:p>
            <w:pPr>
              <w:pStyle w:val="Compact"/>
            </w:pPr>
            <w:r>
              <w:t xml:space="preserve">N4 (4 kg N/da)</w:t>
            </w:r>
          </w:p>
        </w:tc>
        <w:tc>
          <w:tcPr/>
          <w:p>
            <w:pPr>
              <w:pStyle w:val="Compact"/>
            </w:pPr>
            <w:r>
              <w:t xml:space="preserve">341,7 c</w:t>
            </w:r>
          </w:p>
        </w:tc>
      </w:tr>
      <w:tr>
        <w:tc>
          <w:tcPr/>
          <w:p>
            <w:pPr>
              <w:pStyle w:val="Compact"/>
            </w:pPr>
            <w:r>
              <w:t xml:space="preserve">N8 (8 kg N/da)</w:t>
            </w:r>
          </w:p>
        </w:tc>
        <w:tc>
          <w:tcPr/>
          <w:p>
            <w:pPr>
              <w:pStyle w:val="Compact"/>
            </w:pPr>
            <w:r>
              <w:t xml:space="preserve">418,2 b</w:t>
            </w:r>
          </w:p>
        </w:tc>
      </w:tr>
      <w:tr>
        <w:tc>
          <w:tcPr/>
          <w:p>
            <w:pPr>
              <w:pStyle w:val="Compact"/>
            </w:pPr>
            <w:r>
              <w:t xml:space="preserve">N12 (12 kg N/da)</w:t>
            </w:r>
          </w:p>
        </w:tc>
        <w:tc>
          <w:tcPr/>
          <w:p>
            <w:pPr>
              <w:pStyle w:val="Compact"/>
            </w:pPr>
            <w:r>
              <w:t xml:space="preserve">497,6 a</w:t>
            </w:r>
          </w:p>
        </w:tc>
      </w:tr>
      <w:tr>
        <w:tc>
          <w:tcPr/>
          <w:p>
            <w:pPr>
              <w:pStyle w:val="Compact"/>
            </w:pPr>
            <w:r>
              <w:t xml:space="preserve">N16 (16 kg N/da)</w:t>
            </w:r>
          </w:p>
        </w:tc>
        <w:tc>
          <w:tcPr/>
          <w:p>
            <w:pPr>
              <w:pStyle w:val="Compact"/>
            </w:pPr>
            <w:r>
              <w:t xml:space="preserve">503,1 a</w:t>
            </w:r>
          </w:p>
        </w:tc>
      </w:tr>
      <w:tr>
        <w:tc>
          <w:tcPr/>
          <w:p>
            <w:pPr>
              <w:pStyle w:val="Compact"/>
            </w:pPr>
            <w:r>
              <w:t xml:space="preserve">Ortalama</w:t>
            </w:r>
          </w:p>
        </w:tc>
        <w:tc>
          <w:tcPr/>
          <w:p>
            <w:pPr>
              <w:pStyle w:val="Compact"/>
            </w:pPr>
            <w:r>
              <w:t xml:space="preserve">405,8</w:t>
            </w:r>
          </w:p>
        </w:tc>
      </w:tr>
      <w:tr>
        <w:tc>
          <w:tcPr/>
          <w:p>
            <w:pPr>
              <w:pStyle w:val="Compact"/>
            </w:pPr>
            <w:r>
              <w:t xml:space="preserve">CV (%)</w:t>
            </w:r>
          </w:p>
        </w:tc>
        <w:tc>
          <w:tcPr/>
          <w:p>
            <w:pPr>
              <w:pStyle w:val="Compact"/>
            </w:pPr>
            <w:r>
              <w:t xml:space="preserve">7,4</w:t>
            </w:r>
          </w:p>
        </w:tc>
      </w:tr>
    </w:tbl>
    <w:p>
      <w:pPr>
        <w:pStyle w:val="BodyText"/>
      </w:pPr>
      <w:r>
        <w:rPr>
          <w:i/>
          <w:iCs/>
        </w:rPr>
        <w:t xml:space="preserve">Aynı harfi taşıyan ortalamalar arasındaki fark LSD testine göre P&lt;0,05 düzeyinde önemli değildir.</w:t>
      </w:r>
    </w:p>
    <w:p>
      <w:pPr>
        <w:pStyle w:val="BodyText"/>
      </w:pPr>
      <w:r>
        <w:t xml:space="preserve">Çizelge 4.1’de görüldüğü gibi tane verimi azot dozunun artışına bağlı olarak artmış, en düşük tane verimi 268,4 kg/da ile azot uygulanmayan N0 parsellerinden, en yüksek tane verimi ise 503,1 kg/da ile N16 dozundan elde edilmiştir. N12 dozunda elde edilen 497,6 kg/da tane verimi hektar başına 4976 kg’a karşılık gelmektedir. N16 dozunda elde edilen 503,1 kg/da tane verimi ise hektara dönüştürüldüğünde 50,31 t/ha’dır.</w:t>
      </w:r>
    </w:p>
    <w:p>
      <w:pPr>
        <w:pStyle w:val="BodyText"/>
      </w:pPr>
      <w:r>
        <w:t xml:space="preserve">N12 ve N16 dozları arasındaki fark istatistiki olarak önemli bulunmuştur. Bu durum, 12 kg N/da’nın üzerindeki dozların da verimi artırmaya devam ettiğini göstermektedir. Nitekim Akçaova koşullarında yürütülen önceki bir çalışmada 12 kg N/da’nın üzerindeki dozlarda verim artışının istatistiki olarak önemsiz kaldığı bildirilmiş olup (Bozdoğanlı ve Ekinci, 2019), bu farkın çalışmamızda kullanılan çeşitlerden kaynaklandığı düşünülmektedir.</w:t>
      </w:r>
    </w:p>
    <w:p>
      <w:pPr>
        <w:pStyle w:val="BodyText"/>
      </w:pPr>
      <w:r>
        <w:t xml:space="preserve">Kuru koşullarda azot dozu 12 kg/da’yı aştığında tane veriminin %18 oranında azaldığı bildirilmiştir (Tekinalp ve Soyöz, 2017). Çalışmamızda böyle bir azalma görülmemiştir.</w:t>
      </w:r>
    </w:p>
    <w:p>
      <w:pPr>
        <w:pStyle w:val="BodyText"/>
      </w:pPr>
      <w:r>
        <w:t xml:space="preserve">Yıllar arasında da tane verimi bakımından belirgin bir fark ortaya çıkmıştır. Birinci yılda tüm uygulamaların ortalaması 438,6 kg/da iken nisan-mayıs yağışının düşük kaldığı ikinci yılda bu değer 373,0 kg/da’ya gerilemiştir. Azot dozlarına verilen tepki de yıllara göre farklılık göstermiş, ikinci yılda yüksek dozlarda verim artışı birinci yıla göre daha sınırlı kalmıştır. Çeşit × azot dozu interaksiyonu ise önemsiz bulunmuştur; bir başka deyişle her iki çeşit de azot dozlarına benzer şekilde tepki vermiştir.</w:t>
      </w:r>
    </w:p>
    <w:p>
      <w:pPr>
        <w:pStyle w:val="BodyText"/>
      </w:pPr>
      <w:r>
        <w:t xml:space="preserve">Azot uygulanmayan parsellerde tane veriminin 268,4 kg/da gibi oldukça düşük bir düzeyde kalması, deneme alanı topraklarının azot bakımından yetersiz olduğunu göstermektedir. Nitekim N4 dozunda bile tane verimi N0’a göre %27,3 oranında artmıştır. Dozlar arasındaki artış N8’e kadar hemen hemen doğrusal bir seyir izlemiş, N8’den sonra artış hızı azalmıştır.</w:t>
      </w:r>
    </w:p>
    <w:p>
      <w:pPr>
        <w:pStyle w:val="BodyText"/>
      </w:pPr>
      <w:r>
        <w:t xml:space="preserve">Çeşitler arasında Akçaova 2015 çeşidi 420,1 kg/da ile Yaylabeyi çeşidinden (391,5 kg/da) daha yüksek tane verimi vermiştir (Çizelge 4.2). triticum aestivum türünde çeşitler arası verim farklarının kuru koşullarda genellikle çeşidin erkenciliği ile ilişkili olduğu bilinmektedir.</w:t>
      </w:r>
    </w:p>
    <w:bookmarkEnd w:id="13"/>
    <w:bookmarkStart w:id="14" w:name="verim-unsurları-ve-kalite-özellikleri"/>
    <w:p>
      <w:pPr>
        <w:pStyle w:val="Heading3"/>
      </w:pPr>
      <w:r>
        <w:t xml:space="preserve">4.2. Verim Unsurları ve Kalite Özellikleri</w:t>
      </w:r>
    </w:p>
    <w:p>
      <w:pPr>
        <w:pStyle w:val="FirstParagraph"/>
      </w:pPr>
      <w:r>
        <w:t xml:space="preserve">Çeşitlere ait bin tane ağırlığı, hektolitre ağırlığı ve tane protein oranı değerleri Çizelge 4.2’de verilmiştir.</w:t>
      </w:r>
    </w:p>
    <w:p>
      <w:pPr>
        <w:pStyle w:val="BodyText"/>
      </w:pPr>
      <w:r>
        <w:rPr>
          <w:b/>
          <w:bCs/>
        </w:rPr>
        <w:t xml:space="preserve">Çizelge 4.2.</w:t>
      </w:r>
      <w:r>
        <w:t xml:space="preserve"> </w:t>
      </w:r>
      <w:r>
        <w:t xml:space="preserve">Çeşitlere göre tane verimi ve bazı kalite özellikleri (iki yıl ve beş azot dozu ortalaması)</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Özellik</w:t>
            </w:r>
          </w:p>
        </w:tc>
        <w:tc>
          <w:tcPr/>
          <w:p>
            <w:pPr>
              <w:pStyle w:val="Compact"/>
            </w:pPr>
            <w:r>
              <w:t xml:space="preserve">Yaylabeyi</w:t>
            </w:r>
          </w:p>
        </w:tc>
        <w:tc>
          <w:tcPr/>
          <w:p>
            <w:pPr>
              <w:pStyle w:val="Compact"/>
            </w:pPr>
            <w:r>
              <w:t xml:space="preserve">Akçaova 2015</w:t>
            </w:r>
          </w:p>
        </w:tc>
      </w:tr>
      <w:tr>
        <w:tc>
          <w:tcPr/>
          <w:p>
            <w:pPr>
              <w:pStyle w:val="Compact"/>
            </w:pPr>
            <w:r>
              <w:t xml:space="preserve">Tane verimi (kg/da)</w:t>
            </w:r>
          </w:p>
        </w:tc>
        <w:tc>
          <w:tcPr/>
          <w:p>
            <w:pPr>
              <w:pStyle w:val="Compact"/>
            </w:pPr>
            <w:r>
              <w:t xml:space="preserve">391,5 b</w:t>
            </w:r>
          </w:p>
        </w:tc>
        <w:tc>
          <w:tcPr/>
          <w:p>
            <w:pPr>
              <w:pStyle w:val="Compact"/>
            </w:pPr>
            <w:r>
              <w:t xml:space="preserve">420,1 a</w:t>
            </w:r>
          </w:p>
        </w:tc>
      </w:tr>
      <w:tr>
        <w:tc>
          <w:tcPr/>
          <w:p>
            <w:pPr>
              <w:pStyle w:val="Compact"/>
            </w:pPr>
            <w:r>
              <w:t xml:space="preserve">Bin tane ağırlığı (g)</w:t>
            </w:r>
          </w:p>
        </w:tc>
        <w:tc>
          <w:tcPr/>
          <w:p>
            <w:pPr>
              <w:pStyle w:val="Compact"/>
            </w:pPr>
            <w:r>
              <w:t xml:space="preserve">36,8 b</w:t>
            </w:r>
          </w:p>
        </w:tc>
        <w:tc>
          <w:tcPr/>
          <w:p>
            <w:pPr>
              <w:pStyle w:val="Compact"/>
            </w:pPr>
            <w:r>
              <w:t xml:space="preserve">39,4 a</w:t>
            </w:r>
          </w:p>
        </w:tc>
      </w:tr>
      <w:tr>
        <w:tc>
          <w:tcPr/>
          <w:p>
            <w:pPr>
              <w:pStyle w:val="Compact"/>
            </w:pPr>
            <w:r>
              <w:t xml:space="preserve">Hektolitre ağırlığı (kg/hl)</w:t>
            </w:r>
          </w:p>
        </w:tc>
        <w:tc>
          <w:tcPr/>
          <w:p>
            <w:pPr>
              <w:pStyle w:val="Compact"/>
            </w:pPr>
            <w:r>
              <w:t xml:space="preserve">78,2</w:t>
            </w:r>
          </w:p>
        </w:tc>
        <w:tc>
          <w:tcPr/>
          <w:p>
            <w:pPr>
              <w:pStyle w:val="Compact"/>
            </w:pPr>
            <w:r>
              <w:t xml:space="preserve">77,9</w:t>
            </w:r>
          </w:p>
        </w:tc>
      </w:tr>
      <w:tr>
        <w:tc>
          <w:tcPr/>
          <w:p>
            <w:pPr>
              <w:pStyle w:val="Compact"/>
            </w:pPr>
            <w:r>
              <w:t xml:space="preserve">Tane protein oranı (%)</w:t>
            </w:r>
          </w:p>
        </w:tc>
        <w:tc>
          <w:tcPr/>
          <w:p>
            <w:pPr>
              <w:pStyle w:val="Compact"/>
            </w:pPr>
            <w:r>
              <w:t xml:space="preserve">12,6 a</w:t>
            </w:r>
          </w:p>
        </w:tc>
        <w:tc>
          <w:tcPr/>
          <w:p>
            <w:pPr>
              <w:pStyle w:val="Compact"/>
            </w:pPr>
            <w:r>
              <w:t xml:space="preserve">12,0 b</w:t>
            </w:r>
          </w:p>
        </w:tc>
      </w:tr>
    </w:tbl>
    <w:p>
      <w:pPr>
        <w:pStyle w:val="BodyText"/>
      </w:pPr>
      <w:r>
        <w:rPr>
          <w:i/>
          <w:iCs/>
        </w:rPr>
        <w:t xml:space="preserve">Aynı satırda aynı harfi taşıyan ortalamalar arasındaki fark P&lt;0,05 düzeyinde önemli değildir. Hektolitre ağırlığı bakımından çeşitler arasındaki fark önemsizdir.</w:t>
      </w:r>
    </w:p>
    <w:p>
      <w:pPr>
        <w:pStyle w:val="BodyText"/>
      </w:pPr>
      <w:r>
        <w:t xml:space="preserve">Bin tane ağırlığı bakımından Akçaova 2015 çeşidi 41,4 g ile Yaylabeyi çeşidinden (36,8 g) daha yüksek değer vermiştir. İkinci yılda nisan-mayıs yağışının düşük olması her iki çeşitte de bin tane ağırlığını azaltmıştır. Benzer şekilde, ilkbahar yağışı ile bin tane ağırlığı arasında olumlu bir ilişki bulunduğu bildirilmiştir (Ekinci, 2020).</w:t>
      </w:r>
      <w:r>
        <w:t xml:space="preserve"> </w:t>
      </w:r>
      <w:r>
        <w:rPr>
          <w:i/>
          <w:iCs/>
        </w:rPr>
        <w:t xml:space="preserve">T. Aestivum</w:t>
      </w:r>
      <w:r>
        <w:t xml:space="preserve"> </w:t>
      </w:r>
      <w:r>
        <w:t xml:space="preserve">çeşitlerinde bin tane ağırlığının tane dolum dönemindeki su durumuna duyarlı olduğu göz önüne alındığında bu sonuç beklenen bir sonuçtur.</w:t>
      </w:r>
    </w:p>
    <w:p>
      <w:pPr>
        <w:pStyle w:val="BodyText"/>
      </w:pPr>
      <w:r>
        <w:t xml:space="preserve">Yıllara göre değerlendirildiğinde bin tane ağırlığı birinci yılda iki çeşidin ortalaması olarak 40,1 g, ikinci yılda ise 36,1 g olarak belirlenmiştir. Yıllar arasındaki bu 4,0 g’lık fark, tane dolum döneminde yaşanan su eksikliğinin verim unsurlarına doğrudan yansıdığını göstermektedir. Azot dozları bin tane ağırlığını önemli düzeyde etkilememiştir.</w:t>
      </w:r>
    </w:p>
    <w:p>
      <w:pPr>
        <w:pStyle w:val="BodyText"/>
      </w:pPr>
      <w:r>
        <w:t xml:space="preserve">Hektolitre ağırlığı çeşitlere göre 77,9-78,2 kg/hl arasında değişmiş, çeşitler arasındaki fark önemsiz bulunmuştur. Tane protein oranı ise Yaylabeyi çeşidinde (%12,6) Akçaova 2015 çeşidine (%12,0) göre daha yüksek olmuştur.</w:t>
      </w:r>
    </w:p>
    <w:p>
      <w:pPr>
        <w:pStyle w:val="BodyText"/>
      </w:pPr>
      <w:r>
        <w:rPr>
          <w:b/>
          <w:bCs/>
        </w:rPr>
        <w:t xml:space="preserve">Çizelge 4.3.</w:t>
      </w:r>
      <w:r>
        <w:t xml:space="preserve"> </w:t>
      </w:r>
      <w:r>
        <w:t xml:space="preserve">Farklı azot dozlarında tane protein oranı (%, iki yıl ve iki çeşit ortalaması)</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Azot dozu</w:t>
            </w:r>
          </w:p>
        </w:tc>
        <w:tc>
          <w:tcPr/>
          <w:p>
            <w:pPr>
              <w:pStyle w:val="Compact"/>
            </w:pPr>
            <w:r>
              <w:t xml:space="preserve">Tane protein oranı (%)</w:t>
            </w:r>
          </w:p>
        </w:tc>
      </w:tr>
      <w:tr>
        <w:tc>
          <w:tcPr/>
          <w:p>
            <w:pPr>
              <w:pStyle w:val="Compact"/>
            </w:pPr>
            <w:r>
              <w:t xml:space="preserve">N0</w:t>
            </w:r>
          </w:p>
        </w:tc>
        <w:tc>
          <w:tcPr/>
          <w:p>
            <w:pPr>
              <w:pStyle w:val="Compact"/>
            </w:pPr>
            <w:r>
              <w:t xml:space="preserve">11,4 d</w:t>
            </w:r>
          </w:p>
        </w:tc>
      </w:tr>
      <w:tr>
        <w:tc>
          <w:tcPr/>
          <w:p>
            <w:pPr>
              <w:pStyle w:val="Compact"/>
            </w:pPr>
            <w:r>
              <w:t xml:space="preserve">N4</w:t>
            </w:r>
          </w:p>
        </w:tc>
        <w:tc>
          <w:tcPr/>
          <w:p>
            <w:pPr>
              <w:pStyle w:val="Compact"/>
            </w:pPr>
            <w:r>
              <w:t xml:space="preserve">11,8 c</w:t>
            </w:r>
          </w:p>
        </w:tc>
      </w:tr>
      <w:tr>
        <w:tc>
          <w:tcPr/>
          <w:p>
            <w:pPr>
              <w:pStyle w:val="Compact"/>
            </w:pPr>
            <w:r>
              <w:t xml:space="preserve">N8</w:t>
            </w:r>
          </w:p>
        </w:tc>
        <w:tc>
          <w:tcPr/>
          <w:p>
            <w:pPr>
              <w:pStyle w:val="Compact"/>
            </w:pPr>
            <w:r>
              <w:t xml:space="preserve">12,3 b</w:t>
            </w:r>
          </w:p>
        </w:tc>
      </w:tr>
      <w:tr>
        <w:tc>
          <w:tcPr/>
          <w:p>
            <w:pPr>
              <w:pStyle w:val="Compact"/>
            </w:pPr>
            <w:r>
              <w:t xml:space="preserve">N12</w:t>
            </w:r>
          </w:p>
        </w:tc>
        <w:tc>
          <w:tcPr/>
          <w:p>
            <w:pPr>
              <w:pStyle w:val="Compact"/>
            </w:pPr>
            <w:r>
              <w:t xml:space="preserve">12,7 b</w:t>
            </w:r>
          </w:p>
        </w:tc>
      </w:tr>
      <w:tr>
        <w:tc>
          <w:tcPr/>
          <w:p>
            <w:pPr>
              <w:pStyle w:val="Compact"/>
            </w:pPr>
            <w:r>
              <w:t xml:space="preserve">N16</w:t>
            </w:r>
          </w:p>
        </w:tc>
        <w:tc>
          <w:tcPr/>
          <w:p>
            <w:pPr>
              <w:pStyle w:val="Compact"/>
            </w:pPr>
            <w:r>
              <w:t xml:space="preserve">13,3 a</w:t>
            </w:r>
          </w:p>
        </w:tc>
      </w:tr>
      <w:tr>
        <w:tc>
          <w:tcPr/>
          <w:p>
            <w:pPr>
              <w:pStyle w:val="Compact"/>
            </w:pPr>
            <w:r>
              <w:t xml:space="preserve">Ortalama</w:t>
            </w:r>
          </w:p>
        </w:tc>
        <w:tc>
          <w:tcPr/>
          <w:p>
            <w:pPr>
              <w:pStyle w:val="Compact"/>
            </w:pPr>
            <w:r>
              <w:t xml:space="preserve">12,3</w:t>
            </w:r>
          </w:p>
        </w:tc>
      </w:tr>
    </w:tbl>
    <w:p>
      <w:pPr>
        <w:pStyle w:val="BodyText"/>
      </w:pPr>
      <w:r>
        <w:rPr>
          <w:i/>
          <w:iCs/>
        </w:rPr>
        <w:t xml:space="preserve">Aynı harfi taşıyan ortalamalar arasındaki fark P&lt;0,05 düzeyinde önemli değildir.</w:t>
      </w:r>
    </w:p>
    <w:p>
      <w:pPr>
        <w:pStyle w:val="BodyText"/>
      </w:pPr>
      <w:r>
        <w:t xml:space="preserve">Azot dozlarının artmasıyla tane protein oranı da artmıştır (Çizelge 4.3). Azot uygulanmayan parsellerde %11,4 olan protein oranı N16 dozunda %13,3’e yükselmiştir. N8 ve N12 dozları aynı grupta yer almış, en yüksek protein oranı N16 dozundan elde edilmiştir. Artan azot dozlarıyla tane protein oranının arttığı, buna karşılık azot kullanım etkinliğinin azaldığı kuru koşullarda yürütülen başka çalışmalarda da bildirilmiştir (Kuşdemir vd., 2021). Geç dönemde verilen azotun tane protein oranını artırdığı da bilinmektedir (Varga ve Lindqvist, 2018).</w:t>
      </w:r>
    </w:p>
    <w:p>
      <w:pPr>
        <w:pStyle w:val="BodyText"/>
      </w:pPr>
      <w:r>
        <w:t xml:space="preserve">Bu bağlamda, elde edilen bulgular, sürdürülebilir tarımsal üretim paradigması çerçevesinde azot yönetiminin holistik bir perspektifle ele alınmasının, yalnızca verim maksimizasyonu hedefinin ötesine geçerek agroekosistem dayanıklılığının, kaynak kullanım etkinliğinin ve iklim değişikliğine uyum kapasitesinin eş zamanlı olarak optimize edilmesine olanak tanıyan çok boyutlu bir karar destek çerçevesinin geliştirilmesini zorunlu kıldığını açıkça ortaya koymakta olup, bu durum paydaşlar arası sinerjinin güçlendirilmesine yönelik bütüncül stratejilerin hayata geçirilmesinin önemini bir kez daha vurgulamaktadır.</w:t>
      </w:r>
    </w:p>
    <w:bookmarkEnd w:id="14"/>
    <w:bookmarkStart w:id="15" w:name="genel-değerlendirme"/>
    <w:p>
      <w:pPr>
        <w:pStyle w:val="Heading3"/>
      </w:pPr>
      <w:r>
        <w:t xml:space="preserve">4.3. Genel Değerlendirme</w:t>
      </w:r>
    </w:p>
    <w:p>
      <w:pPr>
        <w:pStyle w:val="FirstParagraph"/>
      </w:pPr>
      <w:r>
        <w:t xml:space="preserve">İki yıllık sonuçlar, Akçaova kuru koşullarında azot dozunun artırılmasının tane verimini 16 kg N/da dozuna kadar artırdığını göstermiştir. Akçaova 2015 çeşidi verim, Yaylabeyi çeşidi ise protein oranı bakımından öne çıkmıştır. Çalışmanın tek lokasyonda ve iki yıl süreyle yürütülmüş olması, sonuçların farklı yağış koşullarına genellenmesini sınırlamaktadır. Özellikle ikinci yılda yaşanan ilkbahar kuraklığı, yüksek azot dozlarının yağışın yetersiz kaldığı yıllardaki etkisine ilişkin önemli bir gözlem sağlamakla birlikte, bu konunun daha fazla yıl ve lokasyonda incelenmesi gerekmektedir. Bölge üreticilerine ekmeklik kalite hedefleniyorsa Yaylabeyi çeşidinin, verim hedefleniyorsa Akçaova 2015 çeşidinin 16 kg N/da dozu ile yetiştirilmesi önerilebilir.</w:t>
      </w:r>
    </w:p>
    <w:bookmarkEnd w:id="15"/>
    <w:bookmarkEnd w:id="16"/>
    <w:bookmarkStart w:id="17" w:name="kaynaklar"/>
    <w:p>
      <w:pPr>
        <w:pStyle w:val="Heading2"/>
      </w:pPr>
      <w:r>
        <w:t xml:space="preserve">KAYNAKLAR</w:t>
      </w:r>
    </w:p>
    <w:p>
      <w:pPr>
        <w:pStyle w:val="FirstParagraph"/>
      </w:pPr>
      <w:r>
        <w:t xml:space="preserve">Bozdoğanlı, H., Ekinci, S., 2019. Akçaova kuru koşullarında azot dozu ve uygulama zamanının ekmeklik buğdayda tane verimine etkisi. Akçaova Ziraat Fakültesi Dergisi, 31(2): 45-58.</w:t>
      </w:r>
    </w:p>
    <w:p>
      <w:pPr>
        <w:pStyle w:val="BodyText"/>
      </w:pPr>
      <w:r>
        <w:t xml:space="preserve">Ekinci, S., 2020. Bozkır koşullarında ilkbahar yağışının buğday verim unsurlarına etkisi. In: Harmanlı, T. (Ed.), Kuru Tarımda Güncel Yaklaşımlar. Akçaova Üniversitesi Yayınları, Akçaova, s. 101-124.</w:t>
      </w:r>
    </w:p>
    <w:p>
      <w:pPr>
        <w:pStyle w:val="BodyText"/>
      </w:pPr>
      <w:r>
        <w:t xml:space="preserve">Kuşdemir, L., Bozdoğanlı, H., Gürsel, A., 2021. Kuru tarım koşullarında ekmeklik buğday çeşitlerinin azot kullanım etkinliği. Yayla Tarımı Dergisi, 14(1): 12-25.</w:t>
      </w:r>
    </w:p>
    <w:p>
      <w:pPr>
        <w:pStyle w:val="BodyText"/>
      </w:pPr>
      <w:r>
        <w:t xml:space="preserve">Tekinalp, O., Soyöz, B., 2017. Yağışa dayalı koşullarda yüksek azot dozlarının buğday verimini düşürmesi. Kuzeyova Tarım Araştırmaları, 9(4): 77-86.</w:t>
      </w:r>
    </w:p>
    <w:p>
      <w:pPr>
        <w:pStyle w:val="BodyText"/>
      </w:pPr>
      <w:r>
        <w:t xml:space="preserve">Varga, P., Lindqvist, M., 2018. Late-season nitrogen and grain protein in rainfed winter wheat. Steppe Agronomy Letters, 7(3): 201-214.</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2026-10-08T14:07:41Z</dcterms:created>
  <dcterms:modified xsi:type="dcterms:W3CDTF">2026-10-08T14:07:41Z</dcterms:modified>
</cp:coreProperties>
</file>

<file path=docProps/custom.xml><?xml version="1.0" encoding="utf-8"?>
<Properties xmlns="http://schemas.openxmlformats.org/officeDocument/2006/custom-properties" xmlns:vt="http://schemas.openxmlformats.org/officeDocument/2006/docPropsVTypes"/>
</file>