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60"/>
        <w:jc w:val="center"/>
      </w:pPr>
      <w:r>
        <w:rPr>
          <w:rFonts w:ascii="Times New Roman" w:hAnsi="Times New Roman"/>
          <w:b/>
          <w:sz w:val="24"/>
        </w:rPr>
        <w:t>KLASİK TEFSİR MİRASINDAN GELECEK TASAVVURUNA: DİN VE AHLAK ÖĞRETİMİNDE YİRMİ ALTI ADIMLI MODEL</w:t>
      </w:r>
    </w:p>
    <w:p>
      <w:pPr>
        <w:spacing w:line="360" w:lineRule="auto" w:before="0" w:after="240"/>
        <w:jc w:val="center"/>
      </w:pPr>
      <w:r>
        <w:rPr>
          <w:rFonts w:ascii="Times New Roman" w:hAnsi="Times New Roman"/>
          <w:b/>
          <w:sz w:val="24"/>
        </w:rPr>
        <w:t>Başvuru Kodu: MOIJUB | Proje Yürütücüsü &amp; Baş Araştırmacı: Mehmet Yarıcı (Uludağ Üniv. İlahiyat Fak., 1989 • T.C. MEB İstanbul Bahçelievler Dede Korkut Anadolu Lisesi • ORCID: 0009-0003-0356-8582) | Akademik Danışman: Mehmet Emin Koç (Azerbaycan Milli İlimler Akademisi [AMEA], Felsefe ve Sosyoloji Enstitüsü • ORCID: 0000-0002-1025-5643)</w:t>
      </w:r>
    </w:p>
    <w:p>
      <w:pPr>
        <w:spacing w:line="360" w:lineRule="auto" w:before="0" w:after="60"/>
        <w:jc w:val="both"/>
      </w:pPr>
      <w:r>
        <w:rPr>
          <w:rFonts w:ascii="Times New Roman" w:hAnsi="Times New Roman"/>
          <w:b/>
          <w:sz w:val="24"/>
        </w:rPr>
        <w:t>ANAHTAR KELİMELER</w:t>
      </w:r>
    </w:p>
    <w:p>
      <w:pPr>
        <w:spacing w:line="360" w:lineRule="auto" w:before="0" w:after="180"/>
        <w:jc w:val="both"/>
      </w:pPr>
      <w:r>
        <w:rPr>
          <w:rFonts w:ascii="Times New Roman" w:hAnsi="Times New Roman"/>
          <w:b w:val="0"/>
          <w:sz w:val="24"/>
        </w:rPr>
        <w:t>Türkiye Yüzyılı Maarif Modeli, Din Kültürü ve Ahlak Bilgisi Öğretimi, Dinî Metinleri Yorumlama ve Tahlil Etme, Çoklu Sunucu Dijital Kaynak Doğrulama</w:t>
      </w:r>
    </w:p>
    <w:p>
      <w:pPr>
        <w:spacing w:line="360" w:lineRule="auto" w:before="0" w:after="60"/>
        <w:jc w:val="both"/>
      </w:pPr>
      <w:r>
        <w:rPr>
          <w:rFonts w:ascii="Times New Roman" w:hAnsi="Times New Roman"/>
          <w:b/>
          <w:sz w:val="24"/>
        </w:rPr>
        <w:t>GİRİŞ</w:t>
      </w:r>
    </w:p>
    <w:p>
      <w:pPr>
        <w:spacing w:line="360" w:lineRule="auto" w:before="0" w:after="180"/>
        <w:jc w:val="both"/>
      </w:pPr>
      <w:r>
        <w:rPr>
          <w:rFonts w:ascii="Times New Roman" w:hAnsi="Times New Roman"/>
          <w:b w:val="0"/>
          <w:sz w:val="24"/>
        </w:rPr>
        <w:t>Eğitim, bir toplumun bilgi ve beceri birikimini yeni kuşaklara aktarmanın ötesinde; kültürel hafızasını, değer dünyasını ve gelecek tasavvurunu şekillendiren temel bir medeniyet unsurudur. Millî Eğitim Bakanlığı Talim ve Terbiye Kurulu Başkanlığının 2026 yılı kararlarıyla uygulamaya konulan Türkiye Yüzyılı Maarif Modeli Ortaöğretim (9–12. Sınıflar) ile İlkokul-Ortaokul (4–8. Sınıflar) Din Kültürü ve Ahlak Bilgisi Öğretim Programları; öğrenciyi bilgi, duygu ve davranış bütünlüğüne ulaştıran 'Erdem-Değer-Eylem' yaklaşımı üzerine yapılandırılmıştır. Programlarda olgusal gerçekliğin bilgisini teolojik bilgi ile bütünleştiren analitik bir öğrenme süreci öngörülmekte; bu süreç 'Temel Kaynakları Kullanma (DAB1)', 'Tetkik (DAB2)', 'Tahkik (DAB3)', 'Tefekkür (DAB4)', 'Dinî Delillere Başvurma (DAB5)' ve 'Tatbik (DAB6)' alan becerileriyle desteklenmektedir. Özellikle 12. sınıfta yer alan 'Kur’an-ı Kerim’in anlaşılmasında temel ilkeleri özetleyebilme (DKAB.12.1.3)' ve 'Güncel dinî meselelerin çözümünde temel ilke ve yöntemleri özetleyebilme (DKAB.12.3.1)' öğrenme çıktıları; ayetlerin Hz. Peygamber’in açıklamaları, bütüncül bakış, tarihsel bağlam, nüzul sebepleri ve zaruratıhamse (can, nesil, akıl, mal ve din emniyeti) ilkeleri ışığında anlaşılmasını esas almaktadır. Dijital çağda öğrencilerin ayetlere bağlamından koparılmış kesitler üzerinden maruz kalması, bu ilkeleri somutlaştıracak yapılandırılmış öğretim tasarımlarını zorunlu kılmaktadır.</w:t>
      </w:r>
    </w:p>
    <w:p>
      <w:pPr>
        <w:spacing w:line="360" w:lineRule="auto" w:before="0" w:after="60"/>
        <w:jc w:val="both"/>
      </w:pPr>
      <w:r>
        <w:rPr>
          <w:rFonts w:ascii="Times New Roman" w:hAnsi="Times New Roman"/>
          <w:b/>
          <w:sz w:val="24"/>
        </w:rPr>
        <w:t>ÇALIŞMANIN AMACI VE ÖNEMİ</w:t>
      </w:r>
    </w:p>
    <w:p>
      <w:pPr>
        <w:spacing w:line="360" w:lineRule="auto" w:before="0" w:after="180"/>
        <w:jc w:val="both"/>
      </w:pPr>
      <w:r>
        <w:rPr>
          <w:rFonts w:ascii="Times New Roman" w:hAnsi="Times New Roman"/>
          <w:b w:val="0"/>
          <w:sz w:val="24"/>
        </w:rPr>
        <w:t>Bu çalışmanın amacı; 2026 Din Kültürü ve Ahlak Bilgisi Dersi Öğretim Programlarında yer alan 'Dinî Kavramları Bağlamına Uygun Kullanma (DAB3.2)', 'Dinî Metinleri Yorumlama (DAB3.3)', 'Dinî Metinleri Tahlil Etme (DAB3.4)' ve 'Dinî Konularda Analitik Düşünme (DAB4.4)' süreç bileşenlerini sınıf ortamında hayata geçirmek üzere geliştirilen 'Yirmi Altı Adımlı Stratejik Tefsir ve Öğretim Tasarımı Modeli'ni (Quran Vision v6.2.3) tanıtmak ve modelin öğrenme-öğretme yaşantılarına katkısını ortaya koymaktır. Literatürdeki mevcut çalışmalar çoğunlukla kuramsal öneri düzeyinde kalırken; bu araştırma tamamlanmış on beş kurucu ayet monografisi (34 A4 PDF külliyatı), kural tabanlı pedagojik ve çoklu sunucu kaynak doğrulama yazılımı (V1–V17), çift dilli dijital öğrenme platformu ve her ünite için doğrudan uygulanabilir kırkar dakikalık ders planları sunması bakımından özgün bir uygulama örneği teşkil etmektedir.</w:t>
      </w:r>
    </w:p>
    <w:p>
      <w:pPr>
        <w:spacing w:line="360" w:lineRule="auto" w:before="0" w:after="60"/>
        <w:jc w:val="both"/>
      </w:pPr>
      <w:r>
        <w:rPr>
          <w:rFonts w:ascii="Times New Roman" w:hAnsi="Times New Roman"/>
          <w:b/>
          <w:sz w:val="24"/>
        </w:rPr>
        <w:t>YÖNTEM</w:t>
      </w:r>
    </w:p>
    <w:p>
      <w:pPr>
        <w:spacing w:line="360" w:lineRule="auto" w:before="0" w:after="180"/>
        <w:jc w:val="both"/>
      </w:pPr>
      <w:r>
        <w:rPr>
          <w:rFonts w:ascii="Times New Roman" w:hAnsi="Times New Roman"/>
          <w:b w:val="0"/>
          <w:sz w:val="24"/>
        </w:rPr>
        <w:t>Araştırmada, eğitim bilimleri ilkeleri ile öğretim materyali geliştirmeyi birleştiren tasarım tabanlı araştırma deseni ve nitel doküman analizi yöntemi kullanılmıştır. Çalışmanın veri setini, 2026 öğretim programlarındaki öğrenme çıktılarıyla doğrudan örtüşen on beş kurucu Kur’an-ı Kerim ayetinin tamamı (15/15) oluşturmaktadır: ahit ihlali, meşru müdafaa ve bağlam bütünlüğü (Tevbe 9:5; DKAB.11.4.3), aile içi merhamet ve sorumluluk (Nisâ 4:34; DKAB.12.2.1), mülkiyet emniyeti ve sosyal adalet (Mâide 5:38; DKAB.12.3.1), inanç ve vicdan özgürlüğü (Bakara 2:256; DKAB.10.1.2), emanet ve liyakat (Nisâ 4:58; DKAB.10.3.4), istişare ve katılımcı yönetişim (Âl-i İmrân 3:159; DKAB.10.3.3), toplumsal barış ve kardeşlik (Hucurât 49:9–10; DKAB.12.4.5), bilgi ve doğrulama sorumluluğu (İsrâ 17:36; DKAB.10.1.3), servetin adil dolaşımı (Haşr 59:7; DKAB.10.3.5), dil ve renk çeşitliliği (Rûm 30:22; DKAB.10.5.3), temel insan hakları ve ölçü-tartı dürüstlüğü (En'âm 6:151–152; DKAB.12.3.5), hukuk ve adalet dengesi (Hadîd 57:25; DKAB.11.4.4), adalet ve ihsan (Nahl 16:90; DKAB.10.3.4), insanlığın eşitliği ve tanışma ahlakı (Hucurât 49:13; DKAB.10.5.3) ile yaşam hakkının dokunulmazlığı (Mâide 5:32; DKAB.8.3.1). Beş aşamalı öğretim tasarımı; (1) Lafzî çözümleme ve yedi boyutlu bağlam matrisi, (2) Zaruratıhamse ve seddizerai ilkeleriyle güncel gerçeklik arasında köprü kurma, (3) Din istismarını önleyici eleştirel sorgulama (DKAB.11.4.3), (4) Öz düzenleme (SDB1.2) ve sorumlu karar verme (SDB3.3) muhasebesi, (5) Kırk dakikalık öğrenme-öğretme uygulaması adımlarından oluşmaktadır.</w:t>
      </w:r>
    </w:p>
    <w:p>
      <w:pPr>
        <w:spacing w:line="360" w:lineRule="auto" w:before="0" w:after="60"/>
        <w:jc w:val="both"/>
      </w:pPr>
      <w:r>
        <w:rPr>
          <w:rFonts w:ascii="Times New Roman" w:hAnsi="Times New Roman"/>
          <w:b/>
          <w:sz w:val="24"/>
        </w:rPr>
        <w:t>BULGULAR</w:t>
      </w:r>
    </w:p>
    <w:p>
      <w:pPr>
        <w:spacing w:line="360" w:lineRule="auto" w:before="0" w:after="180"/>
        <w:jc w:val="both"/>
      </w:pPr>
      <w:r>
        <w:rPr>
          <w:rFonts w:ascii="Times New Roman" w:hAnsi="Times New Roman"/>
          <w:b w:val="0"/>
          <w:sz w:val="24"/>
        </w:rPr>
        <w:t>Modelin on beş ayet üzerindeki uygulanması sonucunda üç temel bulguya ulaşılmıştır: Birincisi, Taberî, Mâtürîdî, Râzî, Kurtubî, Şâtıbî, İbn Âşûr, Kuşeyrî, Gazzâlî, Muhâsibî, Tüsterî ve İbn Acîbe gibi temel kaynaklardan tahkik edilen 92 lafzî Arapça iktibas (77 klasik tefsir/fıkıh + 15 işârî tefsir nakli) ve 176 doğrulanmış kaynak sicilinin (127 Şâmile + 15 Altafsir + 34 Kurumsal veri seti) eşleştirilmesi, öğrencilerde 'Bilgi Okuryazarlığı (OB1)' ve 'Gerçeği Arama (E3.4)' eğilimini güçlendirerek doğrudan kaynak nakli ile beşerî yorum arasındaki sınırı somutlaştırmıştır. İkincisi, anlam çözümleme tablosu, yapılandırılmış grid, zıt panel, konuşma halkası ve çıkış kartı araçlarıyla yapılandırılan kırk dakikalık ders modüllerinin (V15 L-2401..L-2403); ön değerlendirme, köprü kurma, öğrenme kanıtları ile zenginleştirme ve destekleme basamaklarını eksiksiz karşıladığı görülmüştür. Üçüncüsü, çoklu sunucu doğrulama ve kimlik sicili (V16–V17 L-2501..L-2507) sayesinde kümülatif cilt ofseti, parametre ve künye hatalarının sıfır kesici hatayla önlendiği tespit edilmiştir.</w:t>
      </w:r>
    </w:p>
    <w:p>
      <w:pPr>
        <w:spacing w:line="360" w:lineRule="auto" w:before="0" w:after="60"/>
        <w:jc w:val="both"/>
      </w:pPr>
      <w:r>
        <w:rPr>
          <w:rFonts w:ascii="Times New Roman" w:hAnsi="Times New Roman"/>
          <w:b/>
          <w:sz w:val="24"/>
        </w:rPr>
        <w:t>SONUÇ VE ÖNERİLER</w:t>
      </w:r>
    </w:p>
    <w:p>
      <w:pPr>
        <w:spacing w:line="360" w:lineRule="auto" w:before="0" w:after="180"/>
        <w:jc w:val="both"/>
      </w:pPr>
      <w:r>
        <w:rPr>
          <w:rFonts w:ascii="Times New Roman" w:hAnsi="Times New Roman"/>
          <w:b w:val="0"/>
          <w:sz w:val="24"/>
        </w:rPr>
        <w:t>Sonuç olarak geliştirilen yirmi altı adımlı öğretim tasarımı; öğretmeni bilgiyi salt aktaran konumdan çıkararak, temel dinî kaynaklar ile çağdaş toplumsal gerçeklik arasında sahih köprüler kuran bir uzman ve rehber konumuna taşımaktadır. Araştırma bulguları doğrultusunda şu öneriler sunulmuştur: (1) Ortaöğretim ve ortaokul ders kitaplarındaki 'Kur’an’dan Mesajlar' bölümlerinde ayetin öncesi, sonrası, nüzul sebebi ve zaruratıhamse boyutunu bütünleştiren anlam çözümleme tablolarına yer verilmelidir; (2) İsrâ suresi 36. ayet (DKAB.10.1.3) kapsamında dijital bilgi doğrulama etkinlikleri okul temelli planlama saatlerinde uygulanmalıdır; (3) Geliştirilen kırk dakikalık münazara, zıt panel ve çıkış kartı e-içerikleri Eğitim Bilişim Ağı üzerinden zümre öğretmenlerinin erişimine açılmalıdır.</w:t>
      </w:r>
    </w:p>
    <w:p>
      <w:pPr>
        <w:spacing w:line="360" w:lineRule="auto" w:before="0" w:after="60"/>
        <w:jc w:val="both"/>
      </w:pPr>
      <w:r>
        <w:rPr>
          <w:rFonts w:ascii="Times New Roman" w:hAnsi="Times New Roman"/>
          <w:b/>
          <w:sz w:val="24"/>
        </w:rPr>
        <w:t>KAYNAKÇA</w:t>
      </w:r>
    </w:p>
    <w:p>
      <w:pPr>
        <w:spacing w:line="360" w:lineRule="auto" w:before="0" w:after="80"/>
        <w:jc w:val="both"/>
      </w:pPr>
      <w:r>
        <w:rPr>
          <w:rFonts w:ascii="Times New Roman" w:hAnsi="Times New Roman"/>
          <w:b w:val="0"/>
          <w:sz w:val="24"/>
        </w:rPr>
        <w:t>Gazzâlî, E. H. (2004). İhyâ’u ‘ulûmi’d-dîn (Cilt 1–4). Beyrut: Dârü’l-Ma‘rife.</w:t>
      </w:r>
    </w:p>
    <w:p>
      <w:pPr>
        <w:spacing w:line="360" w:lineRule="auto" w:before="0" w:after="80"/>
        <w:jc w:val="both"/>
      </w:pPr>
      <w:r>
        <w:rPr>
          <w:rFonts w:ascii="Times New Roman" w:hAnsi="Times New Roman"/>
          <w:b w:val="0"/>
          <w:sz w:val="24"/>
        </w:rPr>
        <w:t>İbn Acîbe, A. (1999). el-Bahrü’l-medîd fî tefsîri’l-Kur’âni’l-mecîd (A. A. el-Kureşî, Ed.; Cilt 1–8). Kahire: Doktor Hasan Abbas Zekî Yayını.</w:t>
      </w:r>
    </w:p>
    <w:p>
      <w:pPr>
        <w:spacing w:line="360" w:lineRule="auto" w:before="0" w:after="80"/>
        <w:jc w:val="both"/>
      </w:pPr>
      <w:r>
        <w:rPr>
          <w:rFonts w:ascii="Times New Roman" w:hAnsi="Times New Roman"/>
          <w:b w:val="0"/>
          <w:sz w:val="24"/>
        </w:rPr>
        <w:t>İbn Âşûr, M. T. (1984). et-Tahrîr ve’t-tenvîr (Cilt 1–30). Tunus: ed-Dârü’t-Tûnisiyye li’n-Neşr.</w:t>
      </w:r>
    </w:p>
    <w:p>
      <w:pPr>
        <w:spacing w:line="360" w:lineRule="auto" w:before="0" w:after="80"/>
        <w:jc w:val="both"/>
      </w:pPr>
      <w:r>
        <w:rPr>
          <w:rFonts w:ascii="Times New Roman" w:hAnsi="Times New Roman"/>
          <w:b w:val="0"/>
          <w:sz w:val="24"/>
        </w:rPr>
        <w:t>Kurtubî, M. A. (1964). el-Câmi‘ li-ahkâmi’l-Kur’ân (A. el-Berdûnî &amp; İ. Atfîş, Ed.; Cilt 1–20). Kahire: Dârü’l-Kütübi’l-Mısriyye.</w:t>
      </w:r>
    </w:p>
    <w:p>
      <w:pPr>
        <w:spacing w:line="360" w:lineRule="auto" w:before="0" w:after="80"/>
        <w:jc w:val="both"/>
      </w:pPr>
      <w:r>
        <w:rPr>
          <w:rFonts w:ascii="Times New Roman" w:hAnsi="Times New Roman"/>
          <w:b w:val="0"/>
          <w:sz w:val="24"/>
        </w:rPr>
        <w:t>Kuşeyrî, A. (1981). Letâ’ifü’l-işârât (İ. Besyûnî, Ed.; Cilt 1–3). Kahire: el-Hey’etü’l-Mısriyyetü’l-Âmme li’l-Kitâb.</w:t>
      </w:r>
    </w:p>
    <w:p>
      <w:pPr>
        <w:spacing w:line="360" w:lineRule="auto" w:before="0" w:after="80"/>
        <w:jc w:val="both"/>
      </w:pPr>
      <w:r>
        <w:rPr>
          <w:rFonts w:ascii="Times New Roman" w:hAnsi="Times New Roman"/>
          <w:b w:val="0"/>
          <w:sz w:val="24"/>
        </w:rPr>
        <w:t>Mâtürîdî, E. M. (2005). Te’vîlâtü Ehli’s-Sünne (B. Topaloğlu, Ed.; Cilt 1–17). İstanbul: Dârü’l-Mîzân.</w:t>
      </w:r>
    </w:p>
    <w:p>
      <w:pPr>
        <w:spacing w:line="360" w:lineRule="auto" w:before="0" w:after="80"/>
        <w:jc w:val="both"/>
      </w:pPr>
      <w:r>
        <w:rPr>
          <w:rFonts w:ascii="Times New Roman" w:hAnsi="Times New Roman"/>
          <w:b w:val="0"/>
          <w:sz w:val="24"/>
        </w:rPr>
        <w:t>Millî Eğitim Bakanlığı [MEB]. (2024). Türkiye Yüzyılı Maarif Modeli öğretim programları ortak metni. Ankara: MEB Talim ve Terbiye Kurulu Başkanlığı.</w:t>
      </w:r>
    </w:p>
    <w:p>
      <w:pPr>
        <w:spacing w:line="360" w:lineRule="auto" w:before="0" w:after="80"/>
        <w:jc w:val="both"/>
      </w:pPr>
      <w:r>
        <w:rPr>
          <w:rFonts w:ascii="Times New Roman" w:hAnsi="Times New Roman"/>
          <w:b w:val="0"/>
          <w:sz w:val="24"/>
        </w:rPr>
        <w:t>Millî Eğitim Bakanlığı [MEB]. (2026a). İlkokul-ortaokul ve imam hatip ortaokulu Din Kültürü ve Ahlak Bilgisi dersi (4–8. sınıflar) öğretim programı (TTKB 03.03.2026 tarih ve 4 sayılı kararı). Ankara: MEB Yayınları.</w:t>
      </w:r>
    </w:p>
    <w:p>
      <w:pPr>
        <w:spacing w:line="360" w:lineRule="auto" w:before="0" w:after="80"/>
        <w:jc w:val="both"/>
      </w:pPr>
      <w:r>
        <w:rPr>
          <w:rFonts w:ascii="Times New Roman" w:hAnsi="Times New Roman"/>
          <w:b w:val="0"/>
          <w:sz w:val="24"/>
        </w:rPr>
        <w:t>Millî Eğitim Bakanlığı [MEB]. (2026b). Ortaöğretim Din Kültürü ve Ahlak Bilgisi dersi (9–12. sınıflar) öğretim programı (TTKB 03.03.2026 tarih ve 5 sayılı kararı). Ankara: MEB Yayınları.</w:t>
      </w:r>
    </w:p>
    <w:p>
      <w:pPr>
        <w:spacing w:line="360" w:lineRule="auto" w:before="0" w:after="80"/>
        <w:jc w:val="both"/>
      </w:pPr>
      <w:r>
        <w:rPr>
          <w:rFonts w:ascii="Times New Roman" w:hAnsi="Times New Roman"/>
          <w:b w:val="0"/>
          <w:sz w:val="24"/>
        </w:rPr>
        <w:t>Muhâsibî, H. (1990). er-Ri‘âye li-hukûkillâh (A. H. Mahmûd, Ed.). Beyrut: Dârü’l-Kütübi’l-İlmiyye.</w:t>
      </w:r>
    </w:p>
    <w:p>
      <w:pPr>
        <w:spacing w:line="360" w:lineRule="auto" w:before="0" w:after="80"/>
        <w:jc w:val="both"/>
      </w:pPr>
      <w:r>
        <w:rPr>
          <w:rFonts w:ascii="Times New Roman" w:hAnsi="Times New Roman"/>
          <w:b w:val="0"/>
          <w:sz w:val="24"/>
        </w:rPr>
        <w:t>Râzî, F. (1999). Mefâtîhu’l-gayb (et-Tefsîrü’l-kebîr) (Cilt 1–32). Beyrut: Dâru İhyâi’t-Türâsi’l-Arabî.</w:t>
      </w:r>
    </w:p>
    <w:p>
      <w:pPr>
        <w:spacing w:line="360" w:lineRule="auto" w:before="0" w:after="80"/>
        <w:jc w:val="both"/>
      </w:pPr>
      <w:r>
        <w:rPr>
          <w:rFonts w:ascii="Times New Roman" w:hAnsi="Times New Roman"/>
          <w:b w:val="0"/>
          <w:sz w:val="24"/>
        </w:rPr>
        <w:t>Şâtıbî, İ. (1997). el-Muvâfakât fî usûli’ş-şerîa (M. H. Âl-i Selmân, Ed.; Cilt 1–6). Riyad: Dâru İbni Affân.</w:t>
      </w:r>
    </w:p>
    <w:p>
      <w:pPr>
        <w:spacing w:line="360" w:lineRule="auto" w:before="0" w:after="80"/>
        <w:jc w:val="both"/>
      </w:pPr>
      <w:r>
        <w:rPr>
          <w:rFonts w:ascii="Times New Roman" w:hAnsi="Times New Roman"/>
          <w:b w:val="0"/>
          <w:sz w:val="24"/>
        </w:rPr>
        <w:t>Taberî, M. C. (2000). Câmi‘u’l-beyân fî te’vîli’l-Kur’ân (A. M. Şâkir, Ed.; Cilt 1–24). Beyrut: Müessesetü’r-Risâle.</w:t>
      </w:r>
    </w:p>
    <w:p>
      <w:pPr>
        <w:spacing w:line="360" w:lineRule="auto" w:before="0" w:after="80"/>
        <w:jc w:val="both"/>
      </w:pPr>
      <w:r>
        <w:rPr>
          <w:rFonts w:ascii="Times New Roman" w:hAnsi="Times New Roman"/>
          <w:b w:val="0"/>
          <w:sz w:val="24"/>
        </w:rPr>
        <w:t>Tüsterî, S. A. (2002). Tefsîru’t-Tüsterî (M. B. Uyûnüssûd, Ed.). Beyrut: Dârü’l-Kütübi’l-İlmiyye.</w:t>
      </w:r>
    </w:p>
    <w:p>
      <w:pPr>
        <w:spacing w:line="360" w:lineRule="auto" w:before="0" w:after="80"/>
        <w:jc w:val="both"/>
      </w:pPr>
      <w:r>
        <w:rPr>
          <w:rFonts w:ascii="Times New Roman" w:hAnsi="Times New Roman"/>
          <w:b w:val="0"/>
          <w:sz w:val="24"/>
        </w:rPr>
        <w:t>Yarıcı, M. (2026). Kur’ân Vizyonu (Quran Vision): 26 Adımlı Kanıta Dayalı Stratejik Tefsir, Makâsıd ve Medeniyet Öngörü Külliyatı (Sürüm v6.2.3; 15 Monografi, 34 Külliyat PDF'i + 2 III. Maarif Kongresi Bildiri PDF'i — Toplam 36 PDF). Zenodo. https://doi.org/10.5281/zenodo.23410818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