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A30B" w14:textId="214EB58A" w:rsidR="00E24650" w:rsidRDefault="00D55CE9">
      <w:pPr>
        <w:rPr>
          <w:rFonts w:ascii="Arial" w:hAnsi="Arial" w:cs="Arial"/>
        </w:rPr>
      </w:pPr>
      <w:r>
        <w:rPr>
          <w:rFonts w:ascii="Arial" w:hAnsi="Arial" w:cs="Arial"/>
        </w:rPr>
        <w:t xml:space="preserve">MINERvA </w:t>
      </w:r>
      <w:proofErr w:type="spellStart"/>
      <w:r>
        <w:rPr>
          <w:rFonts w:ascii="Arial" w:hAnsi="Arial" w:cs="Arial"/>
        </w:rPr>
        <w:t>NuFlux</w:t>
      </w:r>
      <w:proofErr w:type="spellEnd"/>
      <w:r>
        <w:rPr>
          <w:rFonts w:ascii="Arial" w:hAnsi="Arial" w:cs="Arial"/>
        </w:rPr>
        <w:t xml:space="preserve"> </w:t>
      </w:r>
      <w:r w:rsidR="00BD706E">
        <w:rPr>
          <w:rFonts w:ascii="Arial" w:hAnsi="Arial" w:cs="Arial"/>
        </w:rPr>
        <w:t>Abstract</w:t>
      </w:r>
    </w:p>
    <w:p w14:paraId="2BDDB4C9" w14:textId="4E1957DE" w:rsidR="00D55CE9" w:rsidRPr="00D55CE9" w:rsidRDefault="00D55CE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MINERvA experiment </w:t>
      </w:r>
      <w:r w:rsidR="006F3763">
        <w:rPr>
          <w:rFonts w:ascii="Arial" w:hAnsi="Arial" w:cs="Arial"/>
        </w:rPr>
        <w:t xml:space="preserve">operated </w:t>
      </w:r>
      <w:r>
        <w:rPr>
          <w:rFonts w:ascii="Arial" w:hAnsi="Arial" w:cs="Arial"/>
        </w:rPr>
        <w:t xml:space="preserve">on-axis in the </w:t>
      </w:r>
      <w:proofErr w:type="spellStart"/>
      <w:r>
        <w:rPr>
          <w:rFonts w:ascii="Arial" w:hAnsi="Arial" w:cs="Arial"/>
        </w:rPr>
        <w:t>NuMI</w:t>
      </w:r>
      <w:proofErr w:type="spellEnd"/>
      <w:r>
        <w:rPr>
          <w:rFonts w:ascii="Arial" w:hAnsi="Arial" w:cs="Arial"/>
        </w:rPr>
        <w:t xml:space="preserve"> beamline. It collected data for both the Low Energy and Medium Energy eras. </w:t>
      </w:r>
      <w:r w:rsidR="006F3763">
        <w:rPr>
          <w:rFonts w:ascii="Arial" w:hAnsi="Arial" w:cs="Arial"/>
        </w:rPr>
        <w:t xml:space="preserve">In </w:t>
      </w:r>
      <w:r w:rsidR="00BD706E">
        <w:rPr>
          <w:rFonts w:ascii="Arial" w:hAnsi="Arial" w:cs="Arial"/>
        </w:rPr>
        <w:t xml:space="preserve">the Low Energy era, </w:t>
      </w:r>
      <w:r w:rsidR="006F3763">
        <w:rPr>
          <w:rFonts w:ascii="Arial" w:hAnsi="Arial" w:cs="Arial"/>
        </w:rPr>
        <w:t xml:space="preserve">where </w:t>
      </w:r>
      <w:r w:rsidR="00BD706E">
        <w:rPr>
          <w:rFonts w:ascii="Arial" w:hAnsi="Arial" w:cs="Arial"/>
        </w:rPr>
        <w:t>the beam peaked at 3.5 GeV</w:t>
      </w:r>
      <w:r w:rsidR="006F3763">
        <w:rPr>
          <w:rFonts w:ascii="Arial" w:hAnsi="Arial" w:cs="Arial"/>
        </w:rPr>
        <w:t>,</w:t>
      </w:r>
      <w:r w:rsidR="00BD706E">
        <w:rPr>
          <w:rFonts w:ascii="Arial" w:hAnsi="Arial" w:cs="Arial"/>
        </w:rPr>
        <w:t xml:space="preserve"> external hadron production </w:t>
      </w:r>
      <w:r w:rsidR="006F3763">
        <w:rPr>
          <w:rFonts w:ascii="Arial" w:hAnsi="Arial" w:cs="Arial"/>
        </w:rPr>
        <w:t xml:space="preserve">measurements </w:t>
      </w:r>
      <w:r w:rsidR="00BD706E">
        <w:rPr>
          <w:rFonts w:ascii="Arial" w:hAnsi="Arial" w:cs="Arial"/>
        </w:rPr>
        <w:t xml:space="preserve">as well as </w:t>
      </w:r>
      <w:r w:rsidR="006F3763">
        <w:rPr>
          <w:rFonts w:ascii="Arial" w:hAnsi="Arial" w:cs="Arial"/>
        </w:rPr>
        <w:t xml:space="preserve">in-situ </w:t>
      </w:r>
      <w:r w:rsidR="00BD706E">
        <w:rPr>
          <w:rFonts w:ascii="Arial" w:hAnsi="Arial" w:cs="Arial"/>
        </w:rPr>
        <w:t xml:space="preserve">neutrino electron scattering </w:t>
      </w:r>
      <w:r w:rsidR="003815EA">
        <w:rPr>
          <w:rFonts w:ascii="Arial" w:hAnsi="Arial" w:cs="Arial"/>
        </w:rPr>
        <w:t xml:space="preserve">were used </w:t>
      </w:r>
      <w:r w:rsidR="00BD706E">
        <w:rPr>
          <w:rFonts w:ascii="Arial" w:hAnsi="Arial" w:cs="Arial"/>
        </w:rPr>
        <w:t>to constrain the flux</w:t>
      </w:r>
      <w:r w:rsidR="009B67B4">
        <w:rPr>
          <w:rFonts w:ascii="Arial" w:hAnsi="Arial" w:cs="Arial"/>
        </w:rPr>
        <w:t>. This reduced the flux uncertainty by</w:t>
      </w:r>
      <w:r w:rsidR="00BD706E">
        <w:rPr>
          <w:rFonts w:ascii="Arial" w:hAnsi="Arial" w:cs="Arial"/>
        </w:rPr>
        <w:t xml:space="preserve"> 30-40% in </w:t>
      </w:r>
      <w:r w:rsidR="006F3763">
        <w:rPr>
          <w:rFonts w:ascii="Arial" w:hAnsi="Arial" w:cs="Arial"/>
        </w:rPr>
        <w:t>the peak region</w:t>
      </w:r>
      <w:r w:rsidR="00BD706E">
        <w:rPr>
          <w:rFonts w:ascii="Arial" w:hAnsi="Arial" w:cs="Arial"/>
        </w:rPr>
        <w:t>. MINERvA built up its suite of flux constraints for the Medium Energy era and this time used a combined constraint of</w:t>
      </w:r>
      <w:r w:rsidR="006F3763">
        <w:rPr>
          <w:rFonts w:ascii="Arial" w:hAnsi="Arial" w:cs="Arial"/>
        </w:rPr>
        <w:t xml:space="preserve"> in-situ</w:t>
      </w:r>
      <w:r w:rsidR="00BD706E">
        <w:rPr>
          <w:rFonts w:ascii="Arial" w:hAnsi="Arial" w:cs="Arial"/>
        </w:rPr>
        <w:t xml:space="preserve"> neutrino</w:t>
      </w:r>
      <w:r w:rsidR="006F3763">
        <w:rPr>
          <w:rFonts w:ascii="Arial" w:hAnsi="Arial" w:cs="Arial"/>
        </w:rPr>
        <w:t>-electron scattering,</w:t>
      </w:r>
      <w:r w:rsidR="00BD706E">
        <w:rPr>
          <w:rFonts w:ascii="Arial" w:hAnsi="Arial" w:cs="Arial"/>
        </w:rPr>
        <w:t xml:space="preserve"> antineutrino</w:t>
      </w:r>
      <w:r w:rsidR="006F3763">
        <w:rPr>
          <w:rFonts w:ascii="Arial" w:hAnsi="Arial" w:cs="Arial"/>
        </w:rPr>
        <w:t>-</w:t>
      </w:r>
      <w:r w:rsidR="00BD706E">
        <w:rPr>
          <w:rFonts w:ascii="Arial" w:hAnsi="Arial" w:cs="Arial"/>
        </w:rPr>
        <w:t>electron scattering and</w:t>
      </w:r>
      <w:r w:rsidR="006F3763">
        <w:rPr>
          <w:rFonts w:ascii="Arial" w:hAnsi="Arial" w:cs="Arial"/>
        </w:rPr>
        <w:t xml:space="preserve"> </w:t>
      </w:r>
      <w:r w:rsidR="00BD706E">
        <w:rPr>
          <w:rFonts w:ascii="Arial" w:hAnsi="Arial" w:cs="Arial"/>
        </w:rPr>
        <w:t xml:space="preserve">inverse muon decay to </w:t>
      </w:r>
      <w:r w:rsidR="009B67B4">
        <w:rPr>
          <w:rFonts w:ascii="Arial" w:hAnsi="Arial" w:cs="Arial"/>
        </w:rPr>
        <w:t xml:space="preserve">derive an overall normalization constraint. This </w:t>
      </w:r>
      <w:r w:rsidR="00BD706E">
        <w:rPr>
          <w:rFonts w:ascii="Arial" w:hAnsi="Arial" w:cs="Arial"/>
        </w:rPr>
        <w:t>reduce</w:t>
      </w:r>
      <w:r w:rsidR="009B67B4">
        <w:rPr>
          <w:rFonts w:ascii="Arial" w:hAnsi="Arial" w:cs="Arial"/>
        </w:rPr>
        <w:t>d</w:t>
      </w:r>
      <w:r w:rsidR="00BD706E">
        <w:rPr>
          <w:rFonts w:ascii="Arial" w:hAnsi="Arial" w:cs="Arial"/>
        </w:rPr>
        <w:t xml:space="preserve"> the </w:t>
      </w:r>
      <w:r w:rsidR="006F3763">
        <w:rPr>
          <w:rFonts w:ascii="Arial" w:hAnsi="Arial" w:cs="Arial"/>
        </w:rPr>
        <w:t xml:space="preserve">muon </w:t>
      </w:r>
      <w:r w:rsidR="00BD706E">
        <w:rPr>
          <w:rFonts w:ascii="Arial" w:hAnsi="Arial" w:cs="Arial"/>
        </w:rPr>
        <w:t xml:space="preserve">neutrino flux uncertainty from </w:t>
      </w:r>
      <w:r w:rsidR="006F3763">
        <w:rPr>
          <w:rFonts w:ascii="Arial" w:hAnsi="Arial" w:cs="Arial"/>
        </w:rPr>
        <w:t xml:space="preserve">7.6% to 3.3% and the muon antineutrino flux uncertainty from 7.8% to 4.7%, thereby producing one of the most precise </w:t>
      </w:r>
      <w:r w:rsidR="00132715">
        <w:rPr>
          <w:rFonts w:ascii="Arial" w:hAnsi="Arial" w:cs="Arial"/>
        </w:rPr>
        <w:t xml:space="preserve">on-axis </w:t>
      </w:r>
      <w:r w:rsidR="006F3763">
        <w:rPr>
          <w:rFonts w:ascii="Arial" w:hAnsi="Arial" w:cs="Arial"/>
        </w:rPr>
        <w:t>flux determination</w:t>
      </w:r>
      <w:r w:rsidR="009B67B4">
        <w:rPr>
          <w:rFonts w:ascii="Arial" w:hAnsi="Arial" w:cs="Arial"/>
        </w:rPr>
        <w:t>s</w:t>
      </w:r>
      <w:r w:rsidR="003815EA">
        <w:rPr>
          <w:rFonts w:ascii="Arial" w:hAnsi="Arial" w:cs="Arial"/>
        </w:rPr>
        <w:t xml:space="preserve"> of </w:t>
      </w:r>
      <w:proofErr w:type="spellStart"/>
      <w:r w:rsidR="003815EA">
        <w:rPr>
          <w:rFonts w:ascii="Arial" w:hAnsi="Arial" w:cs="Arial"/>
        </w:rPr>
        <w:t>NuMI</w:t>
      </w:r>
      <w:proofErr w:type="spellEnd"/>
      <w:r w:rsidR="006F3763">
        <w:rPr>
          <w:rFonts w:ascii="Arial" w:hAnsi="Arial" w:cs="Arial"/>
        </w:rPr>
        <w:t>. In addition to constraining the normalization, MINERvA also uses the low</w:t>
      </w:r>
      <w:r w:rsidR="009B67B4">
        <w:rPr>
          <w:rFonts w:ascii="Arial" w:hAnsi="Arial" w:cs="Arial"/>
        </w:rPr>
        <w:t>-</w:t>
      </w:r>
      <m:oMath>
        <m:r>
          <w:rPr>
            <w:rFonts w:ascii="Cambria Math" w:hAnsi="Cambria Math" w:cs="Arial"/>
          </w:rPr>
          <m:t>ν</m:t>
        </m:r>
      </m:oMath>
      <w:r w:rsidR="006F3763">
        <w:rPr>
          <w:rFonts w:ascii="Arial" w:hAnsi="Arial" w:cs="Arial"/>
        </w:rPr>
        <w:t xml:space="preserve"> </w:t>
      </w:r>
      <w:r w:rsidR="009B67B4">
        <w:rPr>
          <w:rFonts w:ascii="Arial" w:hAnsi="Arial" w:cs="Arial"/>
        </w:rPr>
        <w:t>method</w:t>
      </w:r>
      <w:r w:rsidR="006F3763">
        <w:rPr>
          <w:rFonts w:ascii="Arial" w:hAnsi="Arial" w:cs="Arial"/>
        </w:rPr>
        <w:t xml:space="preserve"> to constrain the energy</w:t>
      </w:r>
      <w:r w:rsidR="009B67B4">
        <w:rPr>
          <w:rFonts w:ascii="Arial" w:hAnsi="Arial" w:cs="Arial"/>
        </w:rPr>
        <w:t>-</w:t>
      </w:r>
      <w:r w:rsidR="006F3763">
        <w:rPr>
          <w:rFonts w:ascii="Arial" w:hAnsi="Arial" w:cs="Arial"/>
        </w:rPr>
        <w:t xml:space="preserve">dependent shape of the flux distribution. </w:t>
      </w:r>
    </w:p>
    <w:sectPr w:rsidR="00D55CE9" w:rsidRPr="00D55C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E9"/>
    <w:rsid w:val="00132715"/>
    <w:rsid w:val="00174B07"/>
    <w:rsid w:val="00295002"/>
    <w:rsid w:val="003815EA"/>
    <w:rsid w:val="005D3CAE"/>
    <w:rsid w:val="006F3763"/>
    <w:rsid w:val="00703317"/>
    <w:rsid w:val="00993AAC"/>
    <w:rsid w:val="009B67B4"/>
    <w:rsid w:val="00AC597A"/>
    <w:rsid w:val="00BD706E"/>
    <w:rsid w:val="00D55CE9"/>
    <w:rsid w:val="00E2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070C5"/>
  <w15:chartTrackingRefBased/>
  <w15:docId w15:val="{8460B7E3-0620-9243-A047-A6DEE069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E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B67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Mehmood</dc:creator>
  <cp:keywords/>
  <dc:description/>
  <cp:lastModifiedBy>Maria Mehmood</cp:lastModifiedBy>
  <cp:revision>2</cp:revision>
  <dcterms:created xsi:type="dcterms:W3CDTF">2026-02-26T21:35:00Z</dcterms:created>
  <dcterms:modified xsi:type="dcterms:W3CDTF">2026-02-26T21:35:00Z</dcterms:modified>
</cp:coreProperties>
</file>