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B10" w:rsidRPr="00F44678" w:rsidRDefault="003C6BB4">
      <w:pPr>
        <w:spacing w:before="480" w:after="240"/>
        <w:jc w:val="center"/>
        <w:rPr>
          <w:rFonts w:asciiTheme="majorBidi" w:hAnsiTheme="majorBidi" w:cstheme="majorBidi"/>
        </w:rPr>
      </w:pPr>
      <w:r>
        <w:rPr>
          <w:rFonts w:asciiTheme="majorBidi" w:hAnsiTheme="majorBidi" w:cstheme="majorBidi"/>
          <w:b/>
          <w:bCs/>
          <w:sz w:val="36"/>
          <w:szCs w:val="36"/>
        </w:rPr>
        <w:t>A Transformer- and Graph-Based Framework for Safe and Explainable Medication Recommendation: Architecture Specification with Experimental Validation on MIMIC-III</w:t>
      </w:r>
    </w:p>
    <w:p w:rsidR="00305B10" w:rsidRPr="00F44678" w:rsidRDefault="00305B10">
      <w:pPr>
        <w:spacing w:before="60" w:after="60"/>
        <w:rPr>
          <w:rFonts w:asciiTheme="majorBidi" w:hAnsiTheme="majorBidi" w:cstheme="majorBidi"/>
        </w:rPr>
      </w:pPr>
    </w:p>
    <w:p w:rsidR="00305B10" w:rsidRPr="00F44678" w:rsidRDefault="003C6BB4">
      <w:pPr>
        <w:rPr>
          <w:rFonts w:asciiTheme="majorBidi" w:hAnsiTheme="majorBidi" w:cstheme="majorBidi"/>
        </w:rPr>
      </w:pPr>
      <w:r>
        <w:rPr>
          <w:rFonts w:asciiTheme="majorBidi" w:hAnsiTheme="majorBidi" w:cstheme="majorBidi"/>
        </w:rPr>
        <w:br w:type="page"/>
      </w:r>
    </w:p>
    <w:p w:rsidR="00305B10" w:rsidRPr="00F44678" w:rsidRDefault="003C6BB4">
      <w:pPr>
        <w:pStyle w:val="Heading1"/>
        <w:rPr>
          <w:rFonts w:asciiTheme="majorBidi" w:hAnsiTheme="majorBidi" w:cstheme="majorBidi"/>
        </w:rPr>
      </w:pPr>
      <w:r>
        <w:rPr>
          <w:rFonts w:asciiTheme="majorBidi" w:hAnsiTheme="majorBidi" w:cstheme="majorBidi"/>
          <w:sz w:val="28"/>
          <w:szCs w:val="28"/>
        </w:rPr>
        <w:lastRenderedPageBreak/>
        <w:t>Abstract</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The rapid growth of Electronic Health Records (EHRs) and the increasing complexity of managing multimorbidity patients have intensified demand for intelligent, safe, and explainable medication recommendation systems. Although recent deep learning approaches — GAMENet, SafeDrug, G-BERT, BEHRT, and COGNet — have advanced the field, critical unresolved gaps persist in dynamic longitudinal patient modeling, molecular-level drug safety reasoning, faithful multi-method explainability, post-prescription outcome monitoring, and unified multi-objective optimization.</w:t>
      </w:r>
    </w:p>
    <w:p w:rsidR="00305B10" w:rsidRPr="00F44678" w:rsidRDefault="003C6BB4" w:rsidP="00852ACC">
      <w:pPr>
        <w:spacing w:before="80" w:after="80"/>
        <w:jc w:val="both"/>
        <w:rPr>
          <w:rFonts w:asciiTheme="majorBidi" w:hAnsiTheme="majorBidi" w:cstheme="majorBidi"/>
        </w:rPr>
      </w:pPr>
      <w:r>
        <w:rPr>
          <w:rFonts w:asciiTheme="majorBidi" w:hAnsiTheme="majorBidi" w:cstheme="majorBidi"/>
        </w:rPr>
        <w:t>This paper presents a Transformer- and graph-based architecture for safe and explainable medication recommendation from longitudinal EHR data, specifying seven interconnected modules, of which five are implemented and experimentally validated in this study. The proposed architecture integrates seven interconnected modules: (1) a clinical embedding layer with sinusoidal positional encoding; (2) a Transformer temporal encoder with L=4 layers and h=8 attention heads; (3) a learnable gated fusion mechanism; (4) a dual-graph drug module comprising a DDI-aware Graph Attention Network and a molecular substructure GNN; (5) a recommendation head with a four-term multi-objective loss function; (6) a seven-method layered explainability architecture specifying Temporal Attention, Attention Rollout, SHAP, Integrated Gradients, Layer-wise Relevance Propagation, GNNExplainer, and counterfactual generation; and (7) a Temporal Convolutional Network for longitudinal outcome monitoring with training-time feedback. Modules (2), (3), (4), and (5), together with the SHAP component of module (6), are implemented and experimentally validated in this study; the outcome-monitoring module (7) and the remaining three explainability methods in module (6) — Integrated Gradients, Layer-wise Relevance Propagation, and GNNExplainer — are specified as architectural components whose implementation and evaluation are deferred to a companion study. Readers should interpret this paper as a complete architectural specification accompanied by a partial, honestly-scoped experimental validation, rather than a fully validated seven-module system.</w:t>
      </w:r>
    </w:p>
    <w:p w:rsidR="00305B10" w:rsidRPr="00F44678" w:rsidRDefault="003C6BB4" w:rsidP="00094006">
      <w:pPr>
        <w:spacing w:before="80" w:after="80"/>
        <w:jc w:val="both"/>
        <w:rPr>
          <w:rFonts w:asciiTheme="majorBidi" w:hAnsiTheme="majorBidi" w:cstheme="majorBidi"/>
        </w:rPr>
      </w:pPr>
      <w:r>
        <w:rPr>
          <w:rFonts w:asciiTheme="majorBidi" w:hAnsiTheme="majorBidi" w:cstheme="majorBidi"/>
        </w:rPr>
        <w:t xml:space="preserve">The framework was evaluated against baseline models on the MIMIC-III benchmark dataset, achieving a test Jaccard of 0.2789 ± 0.0085, F1-micro of 0.4434 ± 0.0083, PRAUC of 0.4675 ± 0.0054, and a DDI rate of 0.0000, indicating that the trained model did not co-recommend any known interacting drug pairs on the held-out test set. This safety result carries a measurable accuracy cost: an ablation study shows that removing the DDI penalty raises Jaccard to 0.3750 but restores a DDI rate of 0.0397, and post-hoc analysis shows two clinically common medications are almost never recommended by the safety-constrained model — a trade-off readers should weigh alongside the headline DDI=0.0000 figure. Four-seed statistical validation </w:t>
      </w:r>
      <w:r>
        <w:rPr>
          <w:rStyle w:val="Strong"/>
          <w:rFonts w:asciiTheme="majorBidi" w:hAnsiTheme="majorBidi" w:cstheme="majorBidi"/>
        </w:rPr>
        <w:t>confirms</w:t>
      </w:r>
      <w:r>
        <w:rPr>
          <w:rFonts w:asciiTheme="majorBidi" w:hAnsiTheme="majorBidi" w:cstheme="majorBidi"/>
        </w:rPr>
        <w:t xml:space="preserve"> the stability of these results across random seeds rather than an artifact of a single run.</w:t>
      </w:r>
    </w:p>
    <w:p w:rsidR="00305B10" w:rsidRPr="00F44678" w:rsidRDefault="00305B10">
      <w:pPr>
        <w:spacing w:before="60" w:after="60"/>
        <w:rPr>
          <w:rFonts w:asciiTheme="majorBidi" w:hAnsiTheme="majorBidi" w:cstheme="majorBidi"/>
        </w:rPr>
      </w:pPr>
    </w:p>
    <w:p w:rsidR="00305B10" w:rsidRPr="00F44678" w:rsidRDefault="003C6BB4" w:rsidP="00E6248B">
      <w:pPr>
        <w:spacing w:before="80" w:after="80"/>
        <w:jc w:val="both"/>
        <w:rPr>
          <w:rFonts w:asciiTheme="majorBidi" w:hAnsiTheme="majorBidi" w:cstheme="majorBidi"/>
        </w:rPr>
      </w:pPr>
      <w:r>
        <w:rPr>
          <w:rFonts w:asciiTheme="majorBidi" w:hAnsiTheme="majorBidi" w:cstheme="majorBidi"/>
          <w:b/>
          <w:bCs/>
        </w:rPr>
        <w:t xml:space="preserve">Keywords: </w:t>
      </w:r>
      <w:r>
        <w:rPr>
          <w:rFonts w:asciiTheme="majorBidi" w:hAnsiTheme="majorBidi" w:cstheme="majorBidi"/>
        </w:rPr>
        <w:t xml:space="preserve">Medication Recommendation; Transformer; Graph Attention Networks; Drug-Drug Interaction; Explainable AI; GNNExplainer; Electronic Health Records; Trustworthy AI </w:t>
      </w:r>
    </w:p>
    <w:p w:rsidR="00C00646" w:rsidRPr="00F44678" w:rsidRDefault="00C00646" w:rsidP="00C00646">
      <w:pPr>
        <w:spacing w:before="80" w:after="80"/>
        <w:jc w:val="both"/>
        <w:rPr>
          <w:rFonts w:asciiTheme="majorBidi" w:hAnsiTheme="majorBidi" w:cstheme="majorBidi"/>
        </w:rPr>
      </w:pPr>
    </w:p>
    <w:p w:rsidR="00305B10" w:rsidRPr="00F44678" w:rsidRDefault="003C6BB4">
      <w:pPr>
        <w:pStyle w:val="Heading1"/>
        <w:rPr>
          <w:rFonts w:asciiTheme="majorBidi" w:hAnsiTheme="majorBidi" w:cstheme="majorBidi"/>
        </w:rPr>
      </w:pPr>
      <w:r>
        <w:rPr>
          <w:rFonts w:asciiTheme="majorBidi" w:hAnsiTheme="majorBidi" w:cstheme="majorBidi"/>
          <w:sz w:val="28"/>
          <w:szCs w:val="28"/>
        </w:rPr>
        <w:lastRenderedPageBreak/>
        <w:t>1. Introduction</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The widespread adoption of Electronic Health Records (EHRs) has generated large-scale, temporally structured clinical data that create new opportunities for intelligent Clinical Decision Support Systems (CDSS), particularly in the domain of medication recommendation. Translating these data into safe, effective, and interpretable treatment recommendations remains a fundamental challenge, given the complexity of patient comorbidities, the temporal dynamics of disease progression, and the critical safety risks posed by drug-drug interactions (DDIs) in polypharmacy populations [1,2]. The broader imperative for human-relevant, data-driven approaches to biomedical research and drug discovery has been articulated in leading international consensus roadmaps [36].</w:t>
      </w:r>
    </w:p>
    <w:p w:rsidR="00305B10" w:rsidRPr="00F44678" w:rsidRDefault="003C6BB4" w:rsidP="004E5BD8">
      <w:pPr>
        <w:spacing w:before="80" w:after="80"/>
        <w:jc w:val="both"/>
        <w:rPr>
          <w:rFonts w:asciiTheme="majorBidi" w:hAnsiTheme="majorBidi" w:cstheme="majorBidi"/>
        </w:rPr>
      </w:pPr>
      <w:r>
        <w:rPr>
          <w:rFonts w:asciiTheme="majorBidi" w:hAnsiTheme="majorBidi" w:cstheme="majorBidi"/>
        </w:rPr>
        <w:t>Health recommender systems have emerged as a critical infrastructure for personalizing clinical care across diverse medical domains, spanning a decade of rapid methodological development [35]. Concurrently, large language models have reached expert-level performance on medical question answering [40], opening new frontiers for integrating natural language understanding into clinical decision support pipelines. Sequential models such as RETAIN [3] and LEAP [4] established foundations for temporal EHR modeling. Graph-augmented architectures including GAMENet [5], SafeDrug [6], and COGNet [7] integrated pharmacological knowledge for safety-aware recommendation. Transformer-based approaches including G-BERT [8] and BEHRT [9] demonstrated the power of self-attention for long-range clinical dependency modeling. Yet despite this trajectory, no existing system jointly addresses all five requirements of next-generation clinical medication AI: dynamic longitudinal patient modeling; molecular-level drug safety reasoning; clinically faithful multi-method explainability; post-prescription outcome monitoring; and unified multi-objective optimization.</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This paper introduces a framework that addresses this integration gap through three original architectural innovations. First, a learnable gated fusion mechanism adaptively integrates patient trajectory embeddings with molecular-level pharmacological safety knowledge on a per-patient basis. Second, a seven-method layered explainability module provides explanation coverage across four distinct granularity levels simultaneously. Third, an outcome-aware feedback mechanism integrates post-prescription clinical trajectory predictions into the core training objective.</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The principal contributions of this study are:</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A seven-module clinical AI framework with complete mathematical specification for safe, explainable, and outcome-aware medication recommendation, of which five modules are implemented and experimentally validated in this study; the remaining components are specified as architecture for a companion study (see Section 9.4).</w:t>
      </w:r>
    </w:p>
    <w:p w:rsidR="00305B10" w:rsidRPr="00F44678" w:rsidRDefault="003C6BB4" w:rsidP="00C717B0">
      <w:pPr>
        <w:pStyle w:val="ListParagraph"/>
        <w:numPr>
          <w:ilvl w:val="0"/>
          <w:numId w:val="2"/>
        </w:numPr>
        <w:spacing w:before="60" w:after="60"/>
        <w:rPr>
          <w:rFonts w:asciiTheme="majorBidi" w:hAnsiTheme="majorBidi" w:cstheme="majorBidi"/>
        </w:rPr>
      </w:pPr>
      <w:r>
        <w:rPr>
          <w:rFonts w:asciiTheme="majorBidi" w:hAnsiTheme="majorBidi" w:cstheme="majorBidi"/>
        </w:rPr>
        <w:t>A learnable gated fusion mechanism (Modules 3) that performs per-patient adaptive weighting of longitudinal clinical context against molecular pharmacological safety embeddings.</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A four-term multi-objective loss function (L_rec + L_DDI + L_outcome + L_xai) that simultaneously optimizes recommendation accuracy, drug safety, outcome prediction quality, and explanation fidelity; in the present experiments the L_xai term evaluates to zero because its Integrated Gradients component is not yet implemented.</w:t>
      </w:r>
    </w:p>
    <w:p w:rsidR="00305B10" w:rsidRPr="00F44678" w:rsidRDefault="00256022">
      <w:pPr>
        <w:pStyle w:val="ListParagraph"/>
        <w:numPr>
          <w:ilvl w:val="0"/>
          <w:numId w:val="2"/>
        </w:numPr>
        <w:spacing w:before="60" w:after="60"/>
        <w:rPr>
          <w:rFonts w:asciiTheme="majorBidi" w:hAnsiTheme="majorBidi" w:cstheme="majorBidi"/>
        </w:rPr>
      </w:pPr>
      <w:r>
        <w:rPr>
          <w:rFonts w:asciiTheme="majorBidi" w:hAnsiTheme="majorBidi" w:cstheme="majorBidi"/>
        </w:rPr>
        <w:t>A seven-method layered explainability module specifying explanation at four granularity levels: visit level (Temporal Attention, Attention Rollout), feature level (SHAP, Integrated Gradients, LRP), graph level (GNNExplainer), and reasoning level (Counterfactual generation); of these seven methods, only SHAP-based attribution is implemented and experimentally validated in this study.</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A TCN-based longitudinal outcome monitoring module, specified with training-time feedback to predict 30-day readmission risk, adverse drug events, and treatment effectiveness; this module is an architectural specification only and is not implemented or evaluated in the present study.</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Experimental validation on MIMIC-III achieving DDI rate = 0.0000 with Jaccard = 0.2789 ± 0.0085 across four random seeds, with ablation and SHAP explainability analysis.</w:t>
      </w:r>
    </w:p>
    <w:p w:rsidR="00305B10" w:rsidRPr="00F44678" w:rsidRDefault="00305B10">
      <w:pPr>
        <w:spacing w:before="60" w:after="60"/>
        <w:rPr>
          <w:rFonts w:asciiTheme="majorBidi" w:hAnsiTheme="majorBidi" w:cstheme="majorBidi"/>
        </w:rPr>
      </w:pPr>
    </w:p>
    <w:p w:rsidR="00305B10" w:rsidRPr="00F44678" w:rsidRDefault="003C6BB4">
      <w:pPr>
        <w:pStyle w:val="Heading1"/>
        <w:rPr>
          <w:rFonts w:asciiTheme="majorBidi" w:hAnsiTheme="majorBidi" w:cstheme="majorBidi"/>
        </w:rPr>
      </w:pPr>
      <w:r>
        <w:rPr>
          <w:rFonts w:asciiTheme="majorBidi" w:hAnsiTheme="majorBidi" w:cstheme="majorBidi"/>
          <w:sz w:val="28"/>
          <w:szCs w:val="28"/>
        </w:rPr>
        <w:t>2. Literature Review and Related Work</w:t>
      </w:r>
    </w:p>
    <w:p w:rsidR="00305B10" w:rsidRPr="00F44678" w:rsidRDefault="003C6BB4">
      <w:pPr>
        <w:spacing w:before="80" w:after="80"/>
        <w:jc w:val="both"/>
        <w:rPr>
          <w:rFonts w:asciiTheme="majorBidi" w:hAnsiTheme="majorBidi" w:cstheme="majorBidi"/>
        </w:rPr>
      </w:pPr>
      <w:r>
        <w:rPr>
          <w:rFonts w:asciiTheme="majorBidi" w:hAnsiTheme="majorBidi" w:cstheme="majorBidi"/>
        </w:rPr>
        <w:t>Medication recommendation from EHR data has evolved through several architectural generations, each expanding the capabilities of prior approaches while introducing new open challenges.</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2.1 Sequential and Memory-augmented Approaches</w:t>
      </w:r>
    </w:p>
    <w:p w:rsidR="00305B10" w:rsidRPr="00F44678" w:rsidRDefault="003C6BB4">
      <w:pPr>
        <w:spacing w:before="80" w:after="80"/>
        <w:jc w:val="both"/>
        <w:rPr>
          <w:rFonts w:asciiTheme="majorBidi" w:hAnsiTheme="majorBidi" w:cstheme="majorBidi"/>
        </w:rPr>
      </w:pPr>
      <w:r>
        <w:rPr>
          <w:rFonts w:asciiTheme="majorBidi" w:hAnsiTheme="majorBidi" w:cstheme="majorBidi"/>
        </w:rPr>
        <w:lastRenderedPageBreak/>
        <w:t>LEAP [4] introduced LSTM-based longitudinal visit-sequence modeling for polypharmacy recommendation. GAMENet [5] augmented differentiable memory networks with a DDI knowledge graph from DrugBank, encoding pharmacological knowledge into the recommendation process. Despite its contribution to drug-safety-aware learning, GAMENet relied on shallow bag-of-drug molecular representations and provided no explainability beyond aggregate memory access patterns. A complementary attention-based approach, PREMIER [34], introduced a two-stage personalized medication recommender on MIMIC-III with explicit DDI-awareness and interpretable attention attribution, achieving strong accuracy-safety tradeoffs on both ICU and outpatient cohorts. More recently, DNMDR [38] advanced this line of work by constructing weighted dynamic heterogeneous network snapshots from temporal EHR visits, enabling simultaneous capture of structural correlations across clinical events and temporal dependencies, with multi-view drug representations integrating both molecular structure and DDI-graph information.</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2.2 Molecular Graph and Pharmacologically Grounded Methods</w:t>
      </w:r>
    </w:p>
    <w:p w:rsidR="00305B10" w:rsidRPr="00F44678" w:rsidRDefault="003C6BB4">
      <w:pPr>
        <w:spacing w:before="80" w:after="80"/>
        <w:jc w:val="both"/>
        <w:rPr>
          <w:rFonts w:asciiTheme="majorBidi" w:hAnsiTheme="majorBidi" w:cstheme="majorBidi"/>
        </w:rPr>
      </w:pPr>
      <w:r>
        <w:rPr>
          <w:rFonts w:asciiTheme="majorBidi" w:hAnsiTheme="majorBidi" w:cstheme="majorBidi"/>
        </w:rPr>
        <w:t>SafeDrug [6] introduced dual molecular graph encoders that simultaneously learned from drug-drug interaction graphs and SMILES-derived molecular substructure graphs, achieving meaningful DDI reduction. MoleRec [10] extended this through substructure-condition alignment. COGNet [7] added a copy-and-generate mechanism to explicitly model medication continuity. Critically, all three frameworks remain prescription-oriented — they generate drug sets from historical EHR data but produce no post-prescription outcome predictions and offer no multi-method explainability.</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2.3 Transformer-based EHR Representation Learning</w:t>
      </w:r>
    </w:p>
    <w:p w:rsidR="00305B10" w:rsidRPr="00F44678" w:rsidRDefault="003C6BB4">
      <w:pPr>
        <w:spacing w:before="80" w:after="80"/>
        <w:jc w:val="both"/>
        <w:rPr>
          <w:rFonts w:asciiTheme="majorBidi" w:hAnsiTheme="majorBidi" w:cstheme="majorBidi"/>
        </w:rPr>
      </w:pPr>
      <w:r>
        <w:rPr>
          <w:rFonts w:asciiTheme="majorBidi" w:hAnsiTheme="majorBidi" w:cstheme="majorBidi"/>
        </w:rPr>
        <w:t>BEHRT [9] demonstrated that treating medical records as structured sequential language data with Transformer self-attention substantially outperformed recurrent approaches. Med-BERT [11] extended this through self-supervised pretraining. G-BERT [8] combined Transformer pretraining with medical knowledge graph encoding. These contributions established a new capability frontier for clinical representation learning; however, they primarily targeted predictive accuracy with limited molecular drug safety modeling and shallow attention-only explainability. Addressing the gap between temporal modeling and molecular safety, CT-PASMR [41] proposed a parallel CNN-Transformer architecture that jointly models local intra-visit relationships and long-range sequential dependencies in EHR data, combined with graph attention networks over drug co-occurrence and DDI graphs, yielding state-of-the-art accuracy and safety on MIMIC-III. Orthogonal work on neural ensemble-based clinical recommenders [37] demonstrated that EHR-driven models can predict specialist diagnostic workups with higher accuracy than manual clinical checklists, further broadening the scope of AI-assisted clinical decision support. In the explainability domain, KEDRec-LM [39] introduced an instruction-tuned large language model that distills knowledge from drug knowledge graphs, clinical trial data, and PubMed into structured, natural-language rationales for drug recommendation, establishing a new paradigm for human-interpretable clinical AI.</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2.4 Explainability in Clinical AI</w:t>
      </w:r>
    </w:p>
    <w:p w:rsidR="00305B10" w:rsidRPr="00F44678" w:rsidRDefault="003C6BB4">
      <w:pPr>
        <w:spacing w:before="80" w:after="80"/>
        <w:jc w:val="both"/>
        <w:rPr>
          <w:rFonts w:asciiTheme="majorBidi" w:hAnsiTheme="majorBidi" w:cstheme="majorBidi"/>
        </w:rPr>
      </w:pPr>
      <w:r>
        <w:rPr>
          <w:rFonts w:asciiTheme="majorBidi" w:hAnsiTheme="majorBidi" w:cstheme="majorBidi"/>
        </w:rPr>
        <w:t>RETAIN [3] introduced reverse-time attention as a mechanism for post-hoc visit and feature importance attribution. However, attention-based explanations have been empirically demonstrated to be unreliable indicators of true model feature importance [12]. Gradient-based methods provide stronger guarantees: SHAP [13] satisfies multiple attribution axioms; Integrated Gradients [14] satisfies the completeness axiom; and GNNExplainer [15] provides subgraph-level explanation through mutual information maximization.</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2.5 Outcome Monitoring and Post-prescription AI</w:t>
      </w:r>
    </w:p>
    <w:p w:rsidR="00305B10" w:rsidRPr="00F44678" w:rsidRDefault="003C6BB4">
      <w:pPr>
        <w:spacing w:before="80" w:after="80"/>
        <w:jc w:val="both"/>
        <w:rPr>
          <w:rFonts w:asciiTheme="majorBidi" w:hAnsiTheme="majorBidi" w:cstheme="majorBidi"/>
        </w:rPr>
      </w:pPr>
      <w:r>
        <w:rPr>
          <w:rFonts w:asciiTheme="majorBidi" w:hAnsiTheme="majorBidi" w:cstheme="majorBidi"/>
        </w:rPr>
        <w:t xml:space="preserve">Clinical outcome prediction — 30-day readmission [16], adverse drug event detection [17], and treatment response modeling — has been studied independently from medication recommendation. The integration of outcome prediction as a feedback mechanism within a recommendation system represents an architectural innovation absent from the existing literature. Deep reinforcement learning (DRL) has been identified as a promising paradigm for </w:t>
        <w:lastRenderedPageBreak/>
        <w:t>sequential clinical decision optimization [33], directly applicable to post-prescription outcome-aware treatment planning through its capacity to optimize delayed clinical rewards.</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2.6 Comparative Feature Analysis</w:t>
      </w:r>
    </w:p>
    <w:p w:rsidR="00305B10" w:rsidRPr="00F44678" w:rsidRDefault="003C6BB4">
      <w:pPr>
        <w:spacing w:before="80" w:after="80"/>
        <w:jc w:val="both"/>
        <w:rPr>
          <w:rFonts w:asciiTheme="majorBidi" w:hAnsiTheme="majorBidi" w:cstheme="majorBidi"/>
        </w:rPr>
      </w:pPr>
      <w:r>
        <w:rPr>
          <w:rFonts w:asciiTheme="majorBidi" w:hAnsiTheme="majorBidi" w:cstheme="majorBidi"/>
        </w:rPr>
        <w:t>Table 1 provides a comprehensive feature-level comparison of existing medication recommendation methods.</w:t>
      </w:r>
    </w:p>
    <w:p w:rsidR="007C4620" w:rsidRPr="00F44678" w:rsidRDefault="007C4620">
      <w:pPr>
        <w:spacing w:before="80" w:after="80"/>
        <w:jc w:val="both"/>
        <w:rPr>
          <w:rFonts w:asciiTheme="majorBidi" w:hAnsiTheme="majorBidi" w:cstheme="majorBidi"/>
        </w:rPr>
      </w:pPr>
    </w:p>
    <w:p w:rsidR="007C4620" w:rsidRPr="00F44678" w:rsidRDefault="007C4620" w:rsidP="007C4620">
      <w:pPr>
        <w:spacing w:before="60" w:after="120"/>
        <w:jc w:val="center"/>
        <w:rPr>
          <w:rFonts w:asciiTheme="majorBidi" w:hAnsiTheme="majorBidi" w:cstheme="majorBidi"/>
        </w:rPr>
      </w:pPr>
      <w:r>
        <w:rPr>
          <w:rFonts w:asciiTheme="majorBidi" w:hAnsiTheme="majorBidi" w:cstheme="majorBidi"/>
          <w:color w:val="444444"/>
          <w:sz w:val="20"/>
          <w:szCs w:val="20"/>
        </w:rPr>
        <w:t xml:space="preserve">Table 1. Feature-level comparison. </w:t>
      </w:r>
      <w:r>
        <w:rPr>
          <w:rFonts w:ascii="Segoe UI Symbol" w:hAnsi="Segoe UI Symbol" w:cs="Segoe UI Symbol"/>
          <w:color w:val="444444"/>
          <w:sz w:val="20"/>
          <w:szCs w:val="20"/>
        </w:rPr>
        <w:t>✓</w:t>
      </w:r>
      <w:r>
        <w:rPr>
          <w:rFonts w:asciiTheme="majorBidi" w:hAnsiTheme="majorBidi" w:cstheme="majorBidi"/>
          <w:color w:val="444444"/>
          <w:sz w:val="20"/>
          <w:szCs w:val="20"/>
        </w:rPr>
        <w:t xml:space="preserve"> = fully addressed; ~ = partially addressed; </w:t>
      </w:r>
      <w:r>
        <w:rPr>
          <w:rFonts w:ascii="Segoe UI Symbol" w:hAnsi="Segoe UI Symbol" w:cs="Segoe UI Symbol"/>
          <w:color w:val="444444"/>
          <w:sz w:val="20"/>
          <w:szCs w:val="20"/>
        </w:rPr>
        <w:t>✗</w:t>
      </w:r>
      <w:r>
        <w:rPr>
          <w:rFonts w:asciiTheme="majorBidi" w:hAnsiTheme="majorBidi" w:cstheme="majorBidi"/>
          <w:color w:val="444444"/>
          <w:sz w:val="20"/>
          <w:szCs w:val="20"/>
        </w:rPr>
        <w:t xml:space="preserve"> = absent.</w:t>
      </w:r>
    </w:p>
    <w:tbl>
      <w:tblPr>
        <w:tblW w:w="7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644"/>
        <w:gridCol w:w="1100"/>
        <w:gridCol w:w="803"/>
        <w:gridCol w:w="1030"/>
        <w:gridCol w:w="1331"/>
        <w:gridCol w:w="940"/>
        <w:gridCol w:w="890"/>
      </w:tblGrid>
      <w:tr w:rsidR="00305B10" w:rsidRPr="00F44678" w:rsidTr="007C4620">
        <w:trPr>
          <w:tblHeade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Model</w:t>
            </w:r>
          </w:p>
        </w:tc>
        <w:tc>
          <w:tcPr>
            <w:tcW w:w="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Year</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Temporal</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DDI Safety</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Molecular</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Explainability</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Outcome</w:t>
            </w:r>
          </w:p>
        </w:tc>
        <w:tc>
          <w:tcPr>
            <w:tcW w:w="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Fairness</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LEAP</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2017</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LSTM</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RETAIN</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2016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Bi-GRU</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Attention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GAMENet</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2019</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GRU+Mem</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SafeDrug</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2021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GRU</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MICRON</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2021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Res.Seq.</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G-BERT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DA5063">
            <w:pPr>
              <w:jc w:val="center"/>
              <w:rPr>
                <w:rFonts w:asciiTheme="majorBidi" w:hAnsiTheme="majorBidi" w:cstheme="majorBidi"/>
                <w:lang w:bidi="fa-IR"/>
              </w:rPr>
            </w:pPr>
            <w:r>
              <w:rPr>
                <w:rFonts w:asciiTheme="majorBidi" w:hAnsiTheme="majorBidi" w:cstheme="majorBidi"/>
                <w:sz w:val="18"/>
                <w:szCs w:val="18"/>
              </w:rPr>
              <w:t>2019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Transformer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Attention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MoleRec</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2022</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GRU</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COGNet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2022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Copy+Gen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r w:rsidR="00305B10" w:rsidRPr="00F44678" w:rsidTr="007C4620">
        <w:trPr>
          <w:jc w:val="center"/>
        </w:trPr>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Proposed</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2025</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Transformer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7154EE">
            <w:pPr>
              <w:jc w:val="center"/>
              <w:rPr>
                <w:rFonts w:asciiTheme="majorBidi" w:hAnsiTheme="majorBidi" w:cstheme="majorBidi"/>
              </w:rPr>
            </w:pPr>
            <w:r>
              <w:rPr>
                <w:rFonts w:asciiTheme="majorBidi" w:hAnsiTheme="majorBidi" w:cstheme="majorBidi"/>
                <w:sz w:val="18"/>
                <w:szCs w:val="18"/>
              </w:rPr>
              <w:t>7</w:t>
            </w:r>
            <w:r>
              <w:rPr>
                <w:rFonts w:asciiTheme="majorBidi" w:hAnsiTheme="majorBidi" w:cstheme="majorBidi"/>
                <w:sz w:val="18"/>
                <w:szCs w:val="18"/>
              </w:rPr>
              <w:t>-method</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r>
    </w:tbl>
    <w:p w:rsidR="00305B10" w:rsidRPr="00F44678" w:rsidRDefault="00305B10">
      <w:pPr>
        <w:spacing w:before="60" w:after="60"/>
        <w:rPr>
          <w:rFonts w:asciiTheme="majorBidi" w:hAnsiTheme="majorBidi" w:cstheme="majorBidi"/>
        </w:rPr>
      </w:pPr>
    </w:p>
    <w:p w:rsidR="00305B10" w:rsidRPr="00F44678" w:rsidRDefault="003C6BB4">
      <w:pPr>
        <w:pStyle w:val="Heading1"/>
        <w:rPr>
          <w:rFonts w:asciiTheme="majorBidi" w:hAnsiTheme="majorBidi" w:cstheme="majorBidi"/>
        </w:rPr>
      </w:pPr>
      <w:r>
        <w:rPr>
          <w:rFonts w:asciiTheme="majorBidi" w:hAnsiTheme="majorBidi" w:cstheme="majorBidi"/>
          <w:sz w:val="28"/>
          <w:szCs w:val="28"/>
        </w:rPr>
        <w:t>3. Research Gap and Unresolved Challenges</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3.1 Fragmentation Across Clinical AI Dimensions</w:t>
      </w:r>
    </w:p>
    <w:p w:rsidR="00305B10" w:rsidRPr="00F44678" w:rsidRDefault="003C6BB4">
      <w:pPr>
        <w:spacing w:before="80" w:after="80"/>
        <w:jc w:val="both"/>
        <w:rPr>
          <w:rFonts w:asciiTheme="majorBidi" w:hAnsiTheme="majorBidi" w:cstheme="majorBidi"/>
        </w:rPr>
      </w:pPr>
      <w:r>
        <w:rPr>
          <w:rFonts w:asciiTheme="majorBidi" w:hAnsiTheme="majorBidi" w:cstheme="majorBidi"/>
        </w:rPr>
        <w:t>No existing system achieves comprehensive coverage across all five critical dimensions: temporal modeling, molecular safety, multi-method explainability, outcome monitoring, and unified multi-objective optimization. Each reviewed method addresses one to three of these dimensions in isolation.</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3.2 Inadequate Dynamic Longitudinal Patient Modeling</w:t>
      </w:r>
    </w:p>
    <w:p w:rsidR="00305B10" w:rsidRPr="00F44678" w:rsidRDefault="003C6BB4">
      <w:pPr>
        <w:spacing w:before="80" w:after="80"/>
        <w:jc w:val="both"/>
        <w:rPr>
          <w:rFonts w:asciiTheme="majorBidi" w:hAnsiTheme="majorBidi" w:cstheme="majorBidi"/>
        </w:rPr>
      </w:pPr>
      <w:r>
        <w:rPr>
          <w:rFonts w:asciiTheme="majorBidi" w:hAnsiTheme="majorBidi" w:cstheme="majorBidi"/>
        </w:rPr>
        <w:t>Most existing methods represent patient trajectories as discretized visit aggregates rather than continuously evolving clinical state sequences, limiting their effectiveness for chronic disease and multimorbidity management [2].</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3.3 Shallow and Non-faithful Explainability</w:t>
      </w:r>
    </w:p>
    <w:p w:rsidR="00305B10" w:rsidRPr="00F44678" w:rsidRDefault="003C6BB4">
      <w:pPr>
        <w:spacing w:before="80" w:after="80"/>
        <w:jc w:val="both"/>
        <w:rPr>
          <w:rFonts w:asciiTheme="majorBidi" w:hAnsiTheme="majorBidi" w:cstheme="majorBidi"/>
        </w:rPr>
      </w:pPr>
      <w:r>
        <w:rPr>
          <w:rFonts w:asciiTheme="majorBidi" w:hAnsiTheme="majorBidi" w:cstheme="majorBidi"/>
        </w:rPr>
        <w:t>Attention-based explanations lack faithfulness guarantees [12], and single-method attribution cannot cover the multi-level information clinicians require simultaneously.</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3.4 Absence of Post-prescription Outcome Monitoring</w:t>
      </w:r>
    </w:p>
    <w:p w:rsidR="00305B10" w:rsidRPr="00F44678" w:rsidRDefault="003C6BB4" w:rsidP="004E2B68">
      <w:pPr>
        <w:spacing w:before="80" w:after="80"/>
        <w:jc w:val="both"/>
        <w:rPr>
          <w:rFonts w:asciiTheme="majorBidi" w:hAnsiTheme="majorBidi" w:cstheme="majorBidi"/>
        </w:rPr>
      </w:pPr>
      <w:r>
        <w:rPr>
          <w:rFonts w:asciiTheme="majorBidi" w:hAnsiTheme="majorBidi" w:cstheme="majorBidi"/>
        </w:rPr>
        <w:t>All eight reviewed systems generate prescriptions from historical data without modeling post-prescription patient trajectories. The value of a medication recommendation must ultimately be judged by its downstream patient outcomes — including recovery trajectory, adverse event occurrence, and readmission risk.</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3.5 Single-objective or Partial Multi-objective Optimization</w:t>
      </w:r>
    </w:p>
    <w:p w:rsidR="00305B10" w:rsidRPr="00F44678" w:rsidRDefault="003C6BB4" w:rsidP="00EF7D9A">
      <w:pPr>
        <w:spacing w:before="80" w:after="80"/>
        <w:jc w:val="both"/>
        <w:rPr>
          <w:rFonts w:asciiTheme="majorBidi" w:hAnsiTheme="majorBidi" w:cstheme="majorBidi"/>
        </w:rPr>
      </w:pPr>
      <w:r>
        <w:rPr>
          <w:rFonts w:asciiTheme="majorBidi" w:hAnsiTheme="majorBidi" w:cstheme="majorBidi"/>
        </w:rPr>
        <w:lastRenderedPageBreak/>
        <w:t>Existing models predominantly optimize for recommendation accuracy with DDI as an auxiliary penalty constraint, rather than jointly optimizing accuracy, safety, outcome quality, and explainability fidelity within a principled unified objective.</w:t>
      </w:r>
    </w:p>
    <w:p w:rsidR="00305B10" w:rsidRPr="00F44678" w:rsidRDefault="003C6BB4">
      <w:pPr>
        <w:pStyle w:val="Heading1"/>
        <w:rPr>
          <w:rFonts w:asciiTheme="majorBidi" w:hAnsiTheme="majorBidi" w:cstheme="majorBidi"/>
        </w:rPr>
      </w:pPr>
      <w:r>
        <w:rPr>
          <w:rFonts w:asciiTheme="majorBidi" w:hAnsiTheme="majorBidi" w:cstheme="majorBidi"/>
          <w:sz w:val="28"/>
          <w:szCs w:val="28"/>
        </w:rPr>
        <w:t>4. Research Objectives</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4.1 General Objective</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The primary objective is to propose and implement a unified, multi-objective, outcome-aware, and explainable medication recommendation framework grounded in Transformer architectures and Graph Neural Networks — establishing a complete architectural specification and experimental validation on MIMIC-III.</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4.2 Specific Objectives</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Specify a Transformer-based temporal encoder architecture for dynamic longitudinal patient trajectory modeling from sequential EHR visit data.</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Design a dual-graph drug module integrating DDI-aware Graph Attention Networks with molecular substructure GNNs informed by DrugBank 5.0 interaction data.</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Formulate a four-term multi-objective loss function with principled component definitions.</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Specify a seven-method layered explainability module covering four granularity levels.</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Design a TCN-based longitudinal outcome monitoring module with training-time feedback.</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Conduct experimental validation on MIMIC-III with ablation study and SHAP explainability analysis.</w:t>
      </w:r>
    </w:p>
    <w:p w:rsidR="00305B10" w:rsidRPr="00F44678" w:rsidRDefault="00305B10">
      <w:pPr>
        <w:spacing w:before="60" w:after="60"/>
        <w:rPr>
          <w:rFonts w:asciiTheme="majorBidi" w:hAnsiTheme="majorBidi" w:cstheme="majorBidi"/>
        </w:rPr>
      </w:pPr>
    </w:p>
    <w:p w:rsidR="00305B10" w:rsidRPr="00F44678" w:rsidRDefault="003C6BB4">
      <w:pPr>
        <w:pStyle w:val="Heading1"/>
        <w:rPr>
          <w:rFonts w:asciiTheme="majorBidi" w:hAnsiTheme="majorBidi" w:cstheme="majorBidi"/>
        </w:rPr>
      </w:pPr>
      <w:r>
        <w:rPr>
          <w:rFonts w:asciiTheme="majorBidi" w:hAnsiTheme="majorBidi" w:cstheme="majorBidi"/>
          <w:sz w:val="28"/>
          <w:szCs w:val="28"/>
        </w:rPr>
        <w:t>5. Methodology and Research Design</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5.1 Study Design and Positioning</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This study was designed as a retrospective observational machine learning study using de-identified electronic health record data. The objective was to develop and evaluate a Transformer- and graph-based framework for medication recommendation on real patient records. The analysis was conducted at the patient level using longitudinal visits, and data were split in a way that prevented leakage across training, validation, and test sets.</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5.2 Benchmark Datasets</w:t>
      </w:r>
    </w:p>
    <w:p w:rsidR="00305B10" w:rsidRPr="00F44678" w:rsidRDefault="003C6BB4">
      <w:pPr>
        <w:pStyle w:val="Heading3"/>
        <w:rPr>
          <w:rFonts w:asciiTheme="majorBidi" w:hAnsiTheme="majorBidi" w:cstheme="majorBidi"/>
        </w:rPr>
      </w:pPr>
      <w:r>
        <w:rPr>
          <w:rFonts w:asciiTheme="majorBidi" w:hAnsiTheme="majorBidi" w:cstheme="majorBidi"/>
          <w:sz w:val="22"/>
          <w:szCs w:val="22"/>
        </w:rPr>
        <w:t>5.2.1 Data Sources</w:t>
      </w:r>
    </w:p>
    <w:p w:rsidR="00512A55" w:rsidRPr="00F44678" w:rsidRDefault="003C6BB4" w:rsidP="0080131B">
      <w:pPr>
        <w:spacing w:before="80" w:after="80"/>
        <w:jc w:val="both"/>
        <w:rPr>
          <w:rFonts w:asciiTheme="majorBidi" w:hAnsiTheme="majorBidi" w:cstheme="majorBidi"/>
        </w:rPr>
      </w:pPr>
      <w:r>
        <w:rPr>
          <w:rFonts w:asciiTheme="majorBidi" w:hAnsiTheme="majorBidi" w:cstheme="majorBidi"/>
        </w:rPr>
        <w:t xml:space="preserve">The framework was evaluated on the MIMIC-III benchmark. MIMIC-III [1] is a de-identified single-center ICU database from Beth Israel Deaconess Medical Center encompassing 53,423 adult admissions (2001–2012). Drug-drug interaction data are sourced from DrugBank 5.0 [18], which curates over 2.5 million drug-drug interaction pairs with severity classifications (major, moderate, minor). The full cohort comprised </w:t>
      </w:r>
      <w:r>
        <w:rPr>
          <w:rStyle w:val="Strong"/>
          <w:rFonts w:asciiTheme="majorBidi" w:hAnsiTheme="majorBidi" w:cstheme="majorBidi"/>
        </w:rPr>
        <w:t>6,350</w:t>
      </w:r>
      <w:r>
        <w:rPr>
          <w:rFonts w:asciiTheme="majorBidi" w:hAnsiTheme="majorBidi" w:cstheme="majorBidi"/>
        </w:rPr>
        <w:t xml:space="preserve"> patients with at least two visits. After applying GAMENet standard filtering and train/validation/test partitioning, the final preprocessed split contains </w:t>
      </w:r>
      <w:r>
        <w:rPr>
          <w:rStyle w:val="Strong"/>
          <w:rFonts w:asciiTheme="majorBidi" w:hAnsiTheme="majorBidi" w:cstheme="majorBidi"/>
        </w:rPr>
        <w:t>5,430</w:t>
      </w:r>
      <w:r>
        <w:rPr>
          <w:rFonts w:asciiTheme="majorBidi" w:hAnsiTheme="majorBidi" w:cstheme="majorBidi"/>
        </w:rPr>
        <w:t xml:space="preserve"> patients.</w:t>
      </w:r>
    </w:p>
    <w:p w:rsidR="00305B10" w:rsidRPr="00F44678" w:rsidRDefault="003C6BB4">
      <w:pPr>
        <w:pStyle w:val="Heading3"/>
        <w:rPr>
          <w:rFonts w:asciiTheme="majorBidi" w:hAnsiTheme="majorBidi" w:cstheme="majorBidi"/>
        </w:rPr>
      </w:pPr>
      <w:r>
        <w:rPr>
          <w:rFonts w:asciiTheme="majorBidi" w:hAnsiTheme="majorBidi" w:cstheme="majorBidi"/>
          <w:sz w:val="22"/>
          <w:szCs w:val="22"/>
        </w:rPr>
        <w:t>5.2.2 Dataset Statistics</w:t>
      </w:r>
    </w:p>
    <w:p w:rsidR="00305B10" w:rsidRPr="00F44678" w:rsidRDefault="00305B10">
      <w:pPr>
        <w:spacing w:before="60" w:after="60"/>
        <w:rPr>
          <w:rFonts w:asciiTheme="majorBidi" w:hAnsiTheme="majorBidi" w:cstheme="majorBidi"/>
        </w:rPr>
      </w:pP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986"/>
        <w:gridCol w:w="878"/>
        <w:gridCol w:w="1051"/>
        <w:gridCol w:w="866"/>
        <w:gridCol w:w="1091"/>
        <w:gridCol w:w="1180"/>
      </w:tblGrid>
      <w:tr w:rsidR="00305B10" w:rsidRPr="00F44678" w:rsidTr="00445D8C">
        <w:trPr>
          <w:tblHeader/>
          <w:jc w:val="center"/>
        </w:trPr>
        <w:tc>
          <w:tcPr>
            <w:tcW w:w="19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Dataset</w:t>
            </w:r>
          </w:p>
        </w:tc>
        <w:tc>
          <w:tcPr>
            <w:tcW w:w="98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Patients</w:t>
            </w:r>
          </w:p>
        </w:tc>
        <w:tc>
          <w:tcPr>
            <w:tcW w:w="87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Train</w:t>
            </w:r>
          </w:p>
        </w:tc>
        <w:tc>
          <w:tcPr>
            <w:tcW w:w="105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Validation</w:t>
            </w:r>
          </w:p>
        </w:tc>
        <w:tc>
          <w:tcPr>
            <w:tcW w:w="86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Test</w:t>
            </w:r>
          </w:p>
        </w:tc>
        <w:tc>
          <w:tcPr>
            <w:tcW w:w="109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 Diagnoses</w:t>
            </w:r>
          </w:p>
        </w:tc>
        <w:tc>
          <w:tcPr>
            <w:tcW w:w="11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 Medications</w:t>
            </w:r>
          </w:p>
        </w:tc>
      </w:tr>
      <w:tr w:rsidR="00305B10" w:rsidRPr="00F44678" w:rsidTr="00445D8C">
        <w:trPr>
          <w:jc w:val="center"/>
        </w:trPr>
        <w:tc>
          <w:tcPr>
            <w:tcW w:w="1908"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MIMIC-III (GAMENet)</w:t>
            </w:r>
          </w:p>
        </w:tc>
        <w:tc>
          <w:tcPr>
            <w:tcW w:w="98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5,430</w:t>
            </w:r>
          </w:p>
        </w:tc>
        <w:tc>
          <w:tcPr>
            <w:tcW w:w="878"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3,800</w:t>
            </w:r>
          </w:p>
        </w:tc>
        <w:tc>
          <w:tcPr>
            <w:tcW w:w="1051"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814</w:t>
            </w:r>
          </w:p>
        </w:tc>
        <w:tc>
          <w:tcPr>
            <w:tcW w:w="866"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816</w:t>
            </w:r>
          </w:p>
        </w:tc>
        <w:tc>
          <w:tcPr>
            <w:tcW w:w="1091"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1,958</w:t>
            </w:r>
          </w:p>
        </w:tc>
        <w:tc>
          <w:tcPr>
            <w:tcW w:w="118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153</w:t>
            </w:r>
          </w:p>
        </w:tc>
      </w:tr>
    </w:tbl>
    <w:p w:rsidR="0045302D" w:rsidRPr="00F44678" w:rsidRDefault="0045302D" w:rsidP="0045302D">
      <w:pPr>
        <w:spacing w:before="60" w:after="120"/>
        <w:jc w:val="center"/>
        <w:rPr>
          <w:rFonts w:asciiTheme="majorBidi" w:hAnsiTheme="majorBidi" w:cstheme="majorBidi"/>
        </w:rPr>
      </w:pPr>
      <w:r>
        <w:rPr>
          <w:rFonts w:asciiTheme="majorBidi" w:hAnsiTheme="majorBidi" w:cstheme="majorBidi"/>
          <w:color w:val="444444"/>
          <w:sz w:val="20"/>
          <w:szCs w:val="20"/>
        </w:rPr>
        <w:lastRenderedPageBreak/>
        <w:t>Table 2. Dataset statistics. Full cohort before GAMENet filtering: 6,350 patients with ≥2 visits. GAMENet-preprocessed split used in experiments: 5,430 patients.</w:t>
      </w:r>
    </w:p>
    <w:p w:rsidR="00305B10" w:rsidRPr="00F44678" w:rsidRDefault="00305B10">
      <w:pPr>
        <w:spacing w:before="60" w:after="60"/>
        <w:rPr>
          <w:rFonts w:asciiTheme="majorBidi" w:hAnsiTheme="majorBidi" w:cstheme="majorBidi"/>
        </w:rPr>
      </w:pPr>
    </w:p>
    <w:p w:rsidR="00305B10" w:rsidRPr="00F44678" w:rsidRDefault="003C6BB4">
      <w:pPr>
        <w:pStyle w:val="Heading3"/>
        <w:rPr>
          <w:rFonts w:asciiTheme="majorBidi" w:hAnsiTheme="majorBidi" w:cstheme="majorBidi"/>
          <w:color w:val="0070C0"/>
        </w:rPr>
      </w:pPr>
      <w:r>
        <w:rPr>
          <w:rFonts w:asciiTheme="majorBidi" w:hAnsiTheme="majorBidi" w:cstheme="majorBidi"/>
          <w:color w:val="0070C0"/>
          <w:sz w:val="22"/>
          <w:szCs w:val="22"/>
        </w:rPr>
        <w:t>5.2.3 Preprocessing Pipeline</w:t>
      </w:r>
    </w:p>
    <w:p w:rsidR="00305B10" w:rsidRPr="00F44678" w:rsidRDefault="003C6BB4">
      <w:pPr>
        <w:spacing w:before="80" w:after="80"/>
        <w:jc w:val="both"/>
        <w:rPr>
          <w:rFonts w:asciiTheme="majorBidi" w:hAnsiTheme="majorBidi" w:cstheme="majorBidi"/>
        </w:rPr>
      </w:pPr>
      <w:r>
        <w:rPr>
          <w:rFonts w:asciiTheme="majorBidi" w:hAnsiTheme="majorBidi" w:cstheme="majorBidi"/>
        </w:rPr>
        <w:t>Six-stage preprocessing: (1) ICD-9 to ICD-10 normalization via CMS General Equivalence Mappings (GEM); (2) NDC drug code mapping to ATC Level-4 pharmacological classification; (3) visit-level multi-hot feature aggregation for diagnoses, medications, and laboratory values; (4) temporal sequence construction retaining patients with ≥2 hospital visits; (5) DDI graph construction from DrugBank 5.0 edge lists with severity-weighted edges; (6) molecular graph construction from SMILES representations using RDKit 2023.03.</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5.3 Core Mathematical Formulation</w:t>
      </w:r>
    </w:p>
    <w:p w:rsidR="00305B10" w:rsidRPr="00F44678" w:rsidRDefault="003C6BB4">
      <w:pPr>
        <w:spacing w:before="80" w:after="80"/>
        <w:jc w:val="both"/>
        <w:rPr>
          <w:rFonts w:asciiTheme="majorBidi" w:hAnsiTheme="majorBidi" w:cstheme="majorBidi"/>
        </w:rPr>
      </w:pPr>
      <w:r>
        <w:rPr>
          <w:rFonts w:asciiTheme="majorBidi" w:hAnsiTheme="majorBidi" w:cstheme="majorBidi"/>
        </w:rPr>
        <w:t>Let P = {p₁, ..., p_N} be the patient set. Each patient p_i has a longitudinal clinical sequence of T visits V_i = {v_{i1}, ..., v_{iT}}. Each visit v_{it} contains diagnosis set D_{it}, medication set M_{it}, and laboratory values L_{it}. The input clinical embedding for visit t is:</w:t>
      </w:r>
    </w:p>
    <w:p w:rsidR="00305B10" w:rsidRPr="00F44678" w:rsidRDefault="003C6BB4">
      <w:pPr>
        <w:spacing w:before="120" w:after="120"/>
        <w:jc w:val="center"/>
        <w:rPr>
          <w:rFonts w:asciiTheme="majorBidi" w:eastAsia="Courier New" w:hAnsiTheme="majorBidi" w:cstheme="majorBidi"/>
          <w:b/>
          <w:bCs/>
        </w:rPr>
      </w:pPr>
      <w:r>
        <w:rPr>
          <w:rFonts w:asciiTheme="majorBidi" w:eastAsia="Courier New" w:hAnsiTheme="majorBidi" w:cstheme="majorBidi"/>
          <w:b/>
          <w:bCs/>
        </w:rPr>
        <w:t xml:space="preserve">e_t = GELU(W_a · [Emb_d(D_t) </w:t>
      </w:r>
      <w:r>
        <w:rPr>
          <w:rFonts w:ascii="Cambria Math" w:eastAsia="Courier New" w:hAnsi="Cambria Math" w:cs="Cambria Math"/>
          <w:b/>
          <w:bCs/>
        </w:rPr>
        <w:t>⊕</w:t>
      </w:r>
      <w:r>
        <w:rPr>
          <w:rFonts w:asciiTheme="majorBidi" w:eastAsia="Courier New" w:hAnsiTheme="majorBidi" w:cstheme="majorBidi"/>
          <w:b/>
          <w:bCs/>
        </w:rPr>
        <w:t xml:space="preserve"> Emb_m(M_t) </w:t>
      </w:r>
      <w:r>
        <w:rPr>
          <w:rFonts w:ascii="Cambria Math" w:eastAsia="Courier New" w:hAnsi="Cambria Math" w:cs="Cambria Math"/>
          <w:b/>
          <w:bCs/>
        </w:rPr>
        <w:t>⊕</w:t>
      </w:r>
      <w:r>
        <w:rPr>
          <w:rFonts w:asciiTheme="majorBidi" w:eastAsia="Courier New" w:hAnsiTheme="majorBidi" w:cstheme="majorBidi"/>
          <w:b/>
          <w:bCs/>
        </w:rPr>
        <w:t xml:space="preserve"> Emb_l(L_t)] + b_a)   [1]</w:t>
      </w:r>
    </w:p>
    <w:p w:rsidR="00372BD2" w:rsidRPr="00F44678" w:rsidRDefault="00372BD2">
      <w:pPr>
        <w:spacing w:before="120" w:after="120"/>
        <w:jc w:val="center"/>
        <w:rPr>
          <w:rFonts w:asciiTheme="majorBidi" w:hAnsiTheme="majorBidi" w:cstheme="majorBidi"/>
        </w:rPr>
      </w:pPr>
    </w:p>
    <w:p w:rsidR="00305B10" w:rsidRPr="00F44678" w:rsidRDefault="003C6BB4">
      <w:pPr>
        <w:spacing w:before="80" w:after="80"/>
        <w:jc w:val="both"/>
        <w:rPr>
          <w:rFonts w:asciiTheme="majorBidi" w:hAnsiTheme="majorBidi" w:cstheme="majorBidi"/>
        </w:rPr>
      </w:pPr>
      <w:r>
        <w:rPr>
          <w:rFonts w:asciiTheme="majorBidi" w:hAnsiTheme="majorBidi" w:cstheme="majorBidi"/>
        </w:rPr>
        <w:t xml:space="preserve">where Emb_d, Emb_m, Emb_l </w:t>
      </w:r>
      <w:r>
        <w:rPr>
          <w:rFonts w:ascii="Cambria Math" w:hAnsi="Cambria Math" w:cs="Cambria Math"/>
        </w:rPr>
        <w:t>∈</w:t>
      </w:r>
      <w:r>
        <w:rPr>
          <w:rFonts w:asciiTheme="majorBidi" w:hAnsiTheme="majorBidi" w:cstheme="majorBidi"/>
        </w:rPr>
        <w:t xml:space="preserve"> ℝ^{|V|×(d/3)} are learnable embedding lookup tables, </w:t>
      </w:r>
      <w:r>
        <w:rPr>
          <w:rFonts w:ascii="Cambria Math" w:hAnsi="Cambria Math" w:cs="Cambria Math"/>
        </w:rPr>
        <w:t>⊕</w:t>
      </w:r>
      <w:r>
        <w:rPr>
          <w:rFonts w:asciiTheme="majorBidi" w:hAnsiTheme="majorBidi" w:cstheme="majorBidi"/>
        </w:rPr>
        <w:t xml:space="preserve"> denotes concatenation, and W_a </w:t>
      </w:r>
      <w:r>
        <w:rPr>
          <w:rFonts w:ascii="Cambria Math" w:hAnsi="Cambria Math" w:cs="Cambria Math"/>
        </w:rPr>
        <w:t>∈</w:t>
      </w:r>
      <w:r>
        <w:rPr>
          <w:rFonts w:asciiTheme="majorBidi" w:hAnsiTheme="majorBidi" w:cstheme="majorBidi"/>
        </w:rPr>
        <w:t xml:space="preserve"> ℝ^{d_model×d} is a linear projection matrix. The sequence {e₁, ..., e_T} is augmented with sinusoidal positional encodings PE(t, 2i) = sin(t / 10000^{2i/d}) before Transformer input.</w:t>
      </w:r>
    </w:p>
    <w:p w:rsidR="00305B10" w:rsidRPr="00F44678" w:rsidRDefault="00305B10">
      <w:pPr>
        <w:spacing w:before="60" w:after="60"/>
        <w:rPr>
          <w:rFonts w:asciiTheme="majorBidi" w:hAnsiTheme="majorBidi" w:cstheme="majorBidi"/>
        </w:rPr>
      </w:pPr>
    </w:p>
    <w:p w:rsidR="00305B10" w:rsidRPr="00F44678" w:rsidRDefault="003C6BB4">
      <w:pPr>
        <w:pStyle w:val="Heading1"/>
        <w:rPr>
          <w:rFonts w:asciiTheme="majorBidi" w:hAnsiTheme="majorBidi" w:cstheme="majorBidi"/>
        </w:rPr>
      </w:pPr>
      <w:r>
        <w:rPr>
          <w:rFonts w:asciiTheme="majorBidi" w:hAnsiTheme="majorBidi" w:cstheme="majorBidi"/>
          <w:sz w:val="28"/>
          <w:szCs w:val="28"/>
        </w:rPr>
        <w:t>6. Proposed Framework Architecture</w:t>
      </w:r>
    </w:p>
    <w:p w:rsidR="008C03E9" w:rsidRPr="00F44678" w:rsidRDefault="008C03E9" w:rsidP="008C03E9">
      <w:pPr>
        <w:spacing w:before="80" w:after="80" w:line="360" w:lineRule="auto"/>
        <w:jc w:val="both"/>
        <w:rPr>
          <w:rFonts w:asciiTheme="majorBidi" w:hAnsiTheme="majorBidi" w:cstheme="majorBidi"/>
        </w:rPr>
      </w:pPr>
      <w:r>
        <w:rPr>
          <w:rFonts w:asciiTheme="majorBidi" w:hAnsiTheme="majorBidi" w:cstheme="majorBidi"/>
        </w:rPr>
        <w:t>The proposed framework is specified as seven interconnected modules; of these, the Transformer encoder, dual-graph drug module, gated fusion, multi-objective loss, and SHAP-based explainability are implemented and evaluated end-to-end in this study, while the outcome-monitoring module and the remaining explainability methods are architectural specifications evaluated in a companion study (Section 9.4). Figure 1 provides the complete visual overview. Each module is designed as an independently testable component to enable systematic ablation</w:t>
      </w:r>
      <w:r>
        <w:rPr>
          <w:rFonts w:asciiTheme="majorBidi" w:hAnsiTheme="majorBidi" w:cstheme="majorBidi"/>
        </w:rPr>
        <w:t>.</w:t>
      </w:r>
    </w:p>
    <w:p w:rsidR="008C03E9" w:rsidRPr="00F44678" w:rsidRDefault="008C03E9" w:rsidP="005E226C">
      <w:pPr>
        <w:spacing w:before="80" w:after="80" w:line="360" w:lineRule="auto"/>
        <w:jc w:val="cente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58240" behindDoc="0" locked="0" layoutInCell="1" allowOverlap="1">
            <wp:simplePos x="0" y="0"/>
            <wp:positionH relativeFrom="margin">
              <wp:align>left</wp:align>
            </wp:positionH>
            <wp:positionV relativeFrom="paragraph">
              <wp:align>top</wp:align>
            </wp:positionV>
            <wp:extent cx="6335395" cy="3221990"/>
            <wp:effectExtent l="0" t="0" r="825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335395" cy="322199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br w:type="textWrapping" w:clear="all"/>
      </w:r>
      <w:r>
        <w:rPr>
          <w:rFonts w:asciiTheme="majorBidi" w:hAnsiTheme="majorBidi" w:cstheme="majorBidi"/>
          <w:sz w:val="18"/>
          <w:szCs w:val="18"/>
        </w:rPr>
        <w:t>Figure 1. System Architecture Overview. The seven-module end-to-end trainable framework for safe, explainable, and outcome-aware medication recommendation.</w:t>
      </w:r>
    </w:p>
    <w:p w:rsidR="008C03E9" w:rsidRPr="00F44678" w:rsidRDefault="00DC0D3F" w:rsidP="00DC0D3F">
      <w:pPr>
        <w:spacing w:before="60" w:after="120"/>
        <w:rPr>
          <w:rFonts w:asciiTheme="majorBidi" w:hAnsiTheme="majorBidi" w:cstheme="majorBidi"/>
        </w:rPr>
      </w:pPr>
      <w:r>
        <w:rPr>
          <w:rFonts w:asciiTheme="majorBidi" w:hAnsiTheme="majorBidi" w:cstheme="majorBidi"/>
        </w:rPr>
        <w:t>Note on module numbering: Modules are numbered by functional layer (Module 1: Embedding, Module 2: Temporal Encoder, Module 3: Gated Fusion, Module 4: Drug Graph, Module 5: Loss, Module 6: Explainability, Module 7: Outcome Monitoring). Sections are ordered by architectural dependency rather than module index.</w:t>
      </w:r>
    </w:p>
    <w:p w:rsidR="00305B10" w:rsidRPr="00F44678" w:rsidRDefault="003C6BB4">
      <w:pPr>
        <w:pStyle w:val="Heading2"/>
        <w:rPr>
          <w:rFonts w:asciiTheme="majorBidi" w:hAnsiTheme="majorBidi" w:cstheme="majorBidi"/>
          <w:sz w:val="24"/>
          <w:szCs w:val="24"/>
        </w:rPr>
      </w:pPr>
      <w:r>
        <w:rPr>
          <w:rFonts w:asciiTheme="majorBidi" w:hAnsiTheme="majorBidi" w:cstheme="majorBidi"/>
          <w:sz w:val="24"/>
          <w:szCs w:val="24"/>
        </w:rPr>
        <w:t>6.1 Module 2: Transformer-based Temporal Encoder</w:t>
      </w:r>
    </w:p>
    <w:p w:rsidR="008C03E9" w:rsidRPr="00F44678" w:rsidRDefault="008C03E9">
      <w:pPr>
        <w:pStyle w:val="Heading2"/>
        <w:rPr>
          <w:rFonts w:asciiTheme="majorBidi" w:hAnsiTheme="majorBidi" w:cstheme="majorBidi"/>
        </w:rPr>
      </w:pPr>
    </w:p>
    <w:p w:rsidR="00305B10" w:rsidRPr="00F44678" w:rsidRDefault="003C6BB4">
      <w:pPr>
        <w:spacing w:before="80" w:after="80"/>
        <w:jc w:val="both"/>
        <w:rPr>
          <w:rFonts w:asciiTheme="majorBidi" w:hAnsiTheme="majorBidi" w:cstheme="majorBidi"/>
        </w:rPr>
      </w:pPr>
      <w:r>
        <w:rPr>
          <w:rFonts w:asciiTheme="majorBidi" w:hAnsiTheme="majorBidi" w:cstheme="majorBidi"/>
        </w:rPr>
        <w:t>The temporal encoder employs L stacked Transformer layers [19], each comprising multi-head self-attention (MHSA) and a position-wise feed-forward network (FFN). The scaled dot-product attention is:</w:t>
      </w:r>
    </w:p>
    <w:p w:rsidR="00305B10" w:rsidRPr="00F44678" w:rsidRDefault="003C6BB4">
      <w:pPr>
        <w:spacing w:before="100" w:after="80"/>
        <w:jc w:val="center"/>
        <w:rPr>
          <w:rFonts w:asciiTheme="majorBidi" w:hAnsiTheme="majorBidi" w:cstheme="majorBidi"/>
        </w:rPr>
      </w:pPr>
      <w:r>
        <w:rPr>
          <w:rFonts w:asciiTheme="majorBidi" w:eastAsia="Courier New" w:hAnsiTheme="majorBidi" w:cstheme="majorBidi"/>
          <w:b/>
          <w:bCs/>
        </w:rPr>
        <w:t>Attention(Q, K, V) = softmax(QKᵀ / √d_k) · V   [2]</w:t>
      </w:r>
    </w:p>
    <w:p w:rsidR="00305B10" w:rsidRPr="00F44678" w:rsidRDefault="003C6BB4">
      <w:pPr>
        <w:spacing w:before="60" w:after="80"/>
        <w:jc w:val="center"/>
        <w:rPr>
          <w:rFonts w:asciiTheme="majorBidi" w:hAnsiTheme="majorBidi" w:cstheme="majorBidi"/>
        </w:rPr>
      </w:pPr>
      <w:r>
        <w:rPr>
          <w:rFonts w:asciiTheme="majorBidi" w:eastAsia="Courier New" w:hAnsiTheme="majorBidi" w:cstheme="majorBidi"/>
          <w:b/>
          <w:bCs/>
        </w:rPr>
        <w:t>MultiHead(Q,K,V) = Concat(head₁, ..., head_h) · Wᴼ   [3]</w:t>
      </w:r>
    </w:p>
    <w:p w:rsidR="00305B10" w:rsidRPr="00F44678" w:rsidRDefault="003C6BB4">
      <w:pPr>
        <w:spacing w:before="80" w:after="80"/>
        <w:jc w:val="both"/>
        <w:rPr>
          <w:rFonts w:asciiTheme="majorBidi" w:hAnsiTheme="majorBidi" w:cstheme="majorBidi"/>
        </w:rPr>
      </w:pPr>
      <w:r>
        <w:rPr>
          <w:rFonts w:asciiTheme="majorBidi" w:hAnsiTheme="majorBidi" w:cstheme="majorBidi"/>
        </w:rPr>
        <w:t xml:space="preserve">Each layer applies residual connections and layer normalization: z = LayerNorm(x + Sublayer(x)). The FFN applies GELU-activated linear transformations: FFN(x) = GELU(xW₁ + b₁)W₂ + b₂. The final token output h_patient </w:t>
      </w:r>
      <w:r>
        <w:rPr>
          <w:rFonts w:ascii="Cambria Math" w:hAnsi="Cambria Math" w:cs="Cambria Math"/>
        </w:rPr>
        <w:t>∈</w:t>
      </w:r>
      <w:r>
        <w:rPr>
          <w:rFonts w:asciiTheme="majorBidi" w:hAnsiTheme="majorBidi" w:cstheme="majorBidi"/>
        </w:rPr>
        <w:t xml:space="preserve"> ℝ^d serves as the patient trajectory embedding.</w:t>
      </w:r>
    </w:p>
    <w:p w:rsidR="00305B10" w:rsidRPr="00F44678" w:rsidRDefault="00305B10">
      <w:pPr>
        <w:spacing w:before="60"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305B10" w:rsidRPr="00F44678">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Parameter</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Value</w:t>
            </w:r>
          </w:p>
        </w:tc>
        <w:tc>
          <w:tcPr>
            <w:tcW w:w="5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Description</w:t>
            </w:r>
          </w:p>
        </w:tc>
      </w:tr>
      <w:tr w:rsidR="00305B10" w:rsidRPr="00F44678">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 (layers)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4</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Number of Transformer layers</w:t>
            </w:r>
          </w:p>
        </w:tc>
      </w:tr>
      <w:tr w:rsidR="00305B10" w:rsidRPr="00F44678">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h (heads)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8</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Number of self-attention heads</w:t>
            </w:r>
          </w:p>
        </w:tc>
      </w:tr>
      <w:tr w:rsidR="00305B10" w:rsidRPr="00F44678">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d_model</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256</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Embedding dimension</w:t>
            </w:r>
          </w:p>
        </w:tc>
      </w:tr>
      <w:tr w:rsidR="00305B10" w:rsidRPr="00F44678">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d_k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A84463">
            <w:pPr>
              <w:jc w:val="center"/>
              <w:rPr>
                <w:rFonts w:asciiTheme="majorBidi" w:hAnsiTheme="majorBidi" w:cstheme="majorBidi"/>
              </w:rPr>
            </w:pPr>
            <w:r>
              <w:rPr>
                <w:rFonts w:asciiTheme="majorBidi" w:hAnsiTheme="majorBidi" w:cstheme="majorBidi"/>
                <w:sz w:val="18"/>
                <w:szCs w:val="18"/>
              </w:rPr>
              <w:t>32</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Attention head dimension</w:t>
            </w:r>
          </w:p>
        </w:tc>
      </w:tr>
      <w:tr w:rsidR="00305B10" w:rsidRPr="00F44678">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Activation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GELU</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Feed-forward activation</w:t>
            </w:r>
          </w:p>
        </w:tc>
      </w:tr>
      <w:tr w:rsidR="00305B10" w:rsidRPr="00F44678">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lastRenderedPageBreak/>
              <w:t>Residual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Yes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Residual connections</w:t>
            </w:r>
          </w:p>
        </w:tc>
      </w:tr>
      <w:tr w:rsidR="00305B10" w:rsidRPr="00F44678">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LayerNorm</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Yes</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Post-sublayer normalization</w:t>
            </w:r>
          </w:p>
        </w:tc>
      </w:tr>
    </w:tbl>
    <w:p w:rsidR="00305B10" w:rsidRPr="00F44678" w:rsidRDefault="003C6BB4">
      <w:pPr>
        <w:spacing w:before="60" w:after="120"/>
        <w:jc w:val="center"/>
        <w:rPr>
          <w:rFonts w:asciiTheme="majorBidi" w:hAnsiTheme="majorBidi" w:cstheme="majorBidi"/>
        </w:rPr>
      </w:pPr>
      <w:r>
        <w:rPr>
          <w:rFonts w:asciiTheme="majorBidi" w:hAnsiTheme="majorBidi" w:cstheme="majorBidi"/>
          <w:color w:val="444444"/>
          <w:sz w:val="20"/>
          <w:szCs w:val="20"/>
        </w:rPr>
        <w:t>Table 3. Hyperparameters for the Transformer Temporal Encoder.</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6.2 Module 4: Dual-Graph Drug Module</w:t>
      </w:r>
    </w:p>
    <w:p w:rsidR="00305B10" w:rsidRPr="00F44678" w:rsidRDefault="003C6BB4">
      <w:pPr>
        <w:pStyle w:val="Heading3"/>
        <w:rPr>
          <w:rFonts w:asciiTheme="majorBidi" w:hAnsiTheme="majorBidi" w:cstheme="majorBidi"/>
        </w:rPr>
      </w:pPr>
      <w:r>
        <w:rPr>
          <w:rFonts w:asciiTheme="majorBidi" w:hAnsiTheme="majorBidi" w:cstheme="majorBidi"/>
          <w:sz w:val="22"/>
          <w:szCs w:val="22"/>
        </w:rPr>
        <w:t>6.2.1 DDI-aware Graph Attention Network</w:t>
      </w:r>
    </w:p>
    <w:p w:rsidR="00305B10" w:rsidRPr="00F44678" w:rsidRDefault="003C6BB4" w:rsidP="00DC2F97">
      <w:pPr>
        <w:spacing w:before="80" w:after="80"/>
        <w:jc w:val="both"/>
        <w:rPr>
          <w:rFonts w:asciiTheme="majorBidi" w:hAnsiTheme="majorBidi" w:cstheme="majorBidi"/>
        </w:rPr>
      </w:pPr>
      <w:r>
        <w:rPr>
          <w:rFonts w:asciiTheme="majorBidi" w:hAnsiTheme="majorBidi" w:cstheme="majorBidi"/>
        </w:rPr>
        <w:t xml:space="preserve">The DDI graph G_DDI = (V_D, E_DDI) encodes pairwise drug interactions from DrugBank 5.0. Each edge (u,v) carries severity weight w_{uv} </w:t>
      </w:r>
      <w:r>
        <w:rPr>
          <w:rFonts w:ascii="Cambria Math" w:hAnsi="Cambria Math" w:cs="Cambria Math"/>
        </w:rPr>
        <w:t>∈</w:t>
      </w:r>
      <w:r>
        <w:rPr>
          <w:rFonts w:asciiTheme="majorBidi" w:hAnsiTheme="majorBidi" w:cstheme="majorBidi"/>
        </w:rPr>
        <w:t xml:space="preserve"> {0.1, 0.5, 1.0} for minor, moderate, and major interactions. A three-layer GAT propagates:</w:t>
      </w:r>
    </w:p>
    <w:p w:rsidR="00305B10" w:rsidRPr="00F44678" w:rsidRDefault="003C6BB4">
      <w:pPr>
        <w:spacing w:before="100" w:after="80"/>
        <w:jc w:val="center"/>
        <w:rPr>
          <w:rFonts w:asciiTheme="majorBidi" w:hAnsiTheme="majorBidi" w:cstheme="majorBidi"/>
        </w:rPr>
      </w:pPr>
      <w:r>
        <w:rPr>
          <w:rFonts w:asciiTheme="majorBidi" w:eastAsia="Courier New" w:hAnsiTheme="majorBidi" w:cstheme="majorBidi"/>
          <w:b/>
          <w:bCs/>
        </w:rPr>
        <w:t>h_i^(GAT) = σ(Σ_{j</w:t>
      </w:r>
      <w:r>
        <w:rPr>
          <w:rFonts w:ascii="Cambria Math" w:eastAsia="Courier New" w:hAnsi="Cambria Math" w:cs="Cambria Math"/>
          <w:b/>
          <w:bCs/>
        </w:rPr>
        <w:t>∈</w:t>
      </w:r>
      <w:r>
        <w:rPr>
          <w:rFonts w:asciiTheme="majorBidi" w:eastAsia="Courier New" w:hAnsiTheme="majorBidi" w:cstheme="majorBidi"/>
          <w:b/>
          <w:bCs/>
        </w:rPr>
        <w:t>N(i)</w:t>
      </w:r>
      <w:r>
        <w:rPr>
          <w:rFonts w:ascii="Cambria Math" w:eastAsia="Courier New" w:hAnsi="Cambria Math" w:cs="Cambria Math"/>
          <w:b/>
          <w:bCs/>
        </w:rPr>
        <w:t>∪</w:t>
      </w:r>
      <w:r>
        <w:rPr>
          <w:rFonts w:asciiTheme="majorBidi" w:eastAsia="Courier New" w:hAnsiTheme="majorBidi" w:cstheme="majorBidi"/>
          <w:b/>
          <w:bCs/>
        </w:rPr>
        <w:t>{i}} α_{ij} · W · h_j)   [4]</w:t>
      </w:r>
    </w:p>
    <w:p w:rsidR="00305B10" w:rsidRPr="00F44678" w:rsidRDefault="003C6BB4">
      <w:pPr>
        <w:spacing w:before="80" w:after="80"/>
        <w:jc w:val="both"/>
        <w:rPr>
          <w:rFonts w:asciiTheme="majorBidi" w:hAnsiTheme="majorBidi" w:cstheme="majorBidi"/>
        </w:rPr>
      </w:pPr>
      <w:r>
        <w:rPr>
          <w:rFonts w:asciiTheme="majorBidi" w:hAnsiTheme="majorBidi" w:cstheme="majorBidi"/>
        </w:rPr>
        <w:t>where α_{ij} = softmax_j(LeakyReLU(aᵀ[Wh_i ‖ Wh_j])).</w:t>
      </w:r>
    </w:p>
    <w:p w:rsidR="00305B10" w:rsidRPr="00F44678" w:rsidRDefault="003C6BB4">
      <w:pPr>
        <w:pStyle w:val="Heading3"/>
        <w:rPr>
          <w:rFonts w:asciiTheme="majorBidi" w:hAnsiTheme="majorBidi" w:cstheme="majorBidi"/>
        </w:rPr>
      </w:pPr>
      <w:r>
        <w:rPr>
          <w:rFonts w:asciiTheme="majorBidi" w:hAnsiTheme="majorBidi" w:cstheme="majorBidi"/>
          <w:sz w:val="22"/>
          <w:szCs w:val="22"/>
        </w:rPr>
        <w:t>6.2.2 Molecular Substructure GNN</w:t>
      </w:r>
    </w:p>
    <w:p w:rsidR="00305B10" w:rsidRPr="00F44678" w:rsidRDefault="003C6BB4">
      <w:pPr>
        <w:spacing w:before="80" w:after="80"/>
        <w:jc w:val="both"/>
        <w:rPr>
          <w:rFonts w:asciiTheme="majorBidi" w:hAnsiTheme="majorBidi" w:cstheme="majorBidi"/>
        </w:rPr>
      </w:pPr>
      <w:r>
        <w:rPr>
          <w:rFonts w:asciiTheme="majorBidi" w:hAnsiTheme="majorBidi" w:cstheme="majorBidi"/>
        </w:rPr>
        <w:t xml:space="preserve">A parallel GNN encoder processes SMILES-derived atom-bond graphs using Morgan-fingerprint-initialized atom features. Three-layer message passing with sum aggregation produces molecular embedding m_d </w:t>
      </w:r>
      <w:r>
        <w:rPr>
          <w:rFonts w:ascii="Cambria Math" w:hAnsi="Cambria Math" w:cs="Cambria Math"/>
        </w:rPr>
        <w:t>∈</w:t>
      </w:r>
      <w:r>
        <w:rPr>
          <w:rFonts w:asciiTheme="majorBidi" w:hAnsiTheme="majorBidi" w:cstheme="majorBidi"/>
        </w:rPr>
        <w:t xml:space="preserve"> ℝ^{d_k} for each drug d. The final drug embedding is d_i = h_i^(GAT) </w:t>
      </w:r>
      <w:r>
        <w:rPr>
          <w:rFonts w:ascii="Cambria Math" w:hAnsi="Cambria Math" w:cs="Cambria Math"/>
        </w:rPr>
        <w:t>⊕</w:t>
      </w:r>
      <w:r>
        <w:rPr>
          <w:rFonts w:asciiTheme="majorBidi" w:hAnsiTheme="majorBidi" w:cstheme="majorBidi"/>
        </w:rPr>
        <w:t xml:space="preserve"> m_i.</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6.3 Module 3: Learnable Gated Fusion</w:t>
      </w:r>
    </w:p>
    <w:p w:rsidR="00305B10" w:rsidRPr="00F44678" w:rsidRDefault="003C6BB4">
      <w:pPr>
        <w:spacing w:before="80" w:after="80"/>
        <w:jc w:val="both"/>
        <w:rPr>
          <w:rFonts w:asciiTheme="majorBidi" w:hAnsiTheme="majorBidi" w:cstheme="majorBidi"/>
        </w:rPr>
      </w:pPr>
      <w:r>
        <w:rPr>
          <w:rFonts w:asciiTheme="majorBidi" w:hAnsiTheme="majorBidi" w:cstheme="majorBidi"/>
        </w:rPr>
        <w:t xml:space="preserve">Patient trajectory embedding h_patient </w:t>
      </w:r>
      <w:r>
        <w:rPr>
          <w:rFonts w:ascii="Cambria Math" w:hAnsi="Cambria Math" w:cs="Cambria Math"/>
        </w:rPr>
        <w:t>∈</w:t>
      </w:r>
      <w:r>
        <w:rPr>
          <w:rFonts w:asciiTheme="majorBidi" w:hAnsiTheme="majorBidi" w:cstheme="majorBidi"/>
        </w:rPr>
        <w:t xml:space="preserve"> ℝ^d and drug graph embedding h_drug </w:t>
      </w:r>
      <w:r>
        <w:rPr>
          <w:rFonts w:ascii="Cambria Math" w:hAnsi="Cambria Math" w:cs="Cambria Math"/>
        </w:rPr>
        <w:t>∈</w:t>
      </w:r>
      <w:r>
        <w:rPr>
          <w:rFonts w:asciiTheme="majorBidi" w:hAnsiTheme="majorBidi" w:cstheme="majorBidi"/>
        </w:rPr>
        <w:t xml:space="preserve"> ℝ^d are integrated via a learned gating mechanism:</w:t>
      </w:r>
    </w:p>
    <w:p w:rsidR="00305B10" w:rsidRPr="00F44678" w:rsidRDefault="003C6BB4">
      <w:pPr>
        <w:spacing w:before="100" w:after="60"/>
        <w:jc w:val="center"/>
        <w:rPr>
          <w:rFonts w:asciiTheme="majorBidi" w:hAnsiTheme="majorBidi" w:cstheme="majorBidi"/>
        </w:rPr>
      </w:pPr>
      <w:r>
        <w:rPr>
          <w:rFonts w:asciiTheme="majorBidi" w:eastAsia="Courier New" w:hAnsiTheme="majorBidi" w:cstheme="majorBidi"/>
          <w:b/>
          <w:bCs/>
        </w:rPr>
        <w:t>g = σ(W_g · [h_patient ‖ h_drug] + b_g)   [5]</w:t>
      </w:r>
    </w:p>
    <w:p w:rsidR="00305B10" w:rsidRPr="00F44678" w:rsidRDefault="003C6BB4">
      <w:pPr>
        <w:spacing w:before="60" w:after="80"/>
        <w:jc w:val="center"/>
        <w:rPr>
          <w:rFonts w:asciiTheme="majorBidi" w:hAnsiTheme="majorBidi" w:cstheme="majorBidi"/>
        </w:rPr>
      </w:pPr>
      <w:r>
        <w:rPr>
          <w:rFonts w:asciiTheme="majorBidi" w:eastAsia="Courier New" w:hAnsiTheme="majorBidi" w:cstheme="majorBidi"/>
          <w:b/>
          <w:bCs/>
        </w:rPr>
        <w:t xml:space="preserve">h_fused = g </w:t>
      </w:r>
      <w:r>
        <w:rPr>
          <w:rFonts w:ascii="Cambria Math" w:eastAsia="Courier New" w:hAnsi="Cambria Math" w:cs="Cambria Math"/>
          <w:b/>
          <w:bCs/>
        </w:rPr>
        <w:t>⊙</w:t>
      </w:r>
      <w:r>
        <w:rPr>
          <w:rFonts w:asciiTheme="majorBidi" w:eastAsia="Courier New" w:hAnsiTheme="majorBidi" w:cstheme="majorBidi"/>
          <w:b/>
          <w:bCs/>
        </w:rPr>
        <w:t xml:space="preserve"> h_patient + (1 − g) </w:t>
      </w:r>
      <w:r>
        <w:rPr>
          <w:rFonts w:ascii="Cambria Math" w:eastAsia="Courier New" w:hAnsi="Cambria Math" w:cs="Cambria Math"/>
          <w:b/>
          <w:bCs/>
        </w:rPr>
        <w:t>⊙</w:t>
      </w:r>
      <w:r>
        <w:rPr>
          <w:rFonts w:asciiTheme="majorBidi" w:eastAsia="Courier New" w:hAnsiTheme="majorBidi" w:cstheme="majorBidi"/>
          <w:b/>
          <w:bCs/>
        </w:rPr>
        <w:t xml:space="preserve"> h_drug   [6]</w:t>
      </w:r>
    </w:p>
    <w:p w:rsidR="00305B10" w:rsidRPr="00F44678" w:rsidRDefault="003C6BB4">
      <w:pPr>
        <w:spacing w:before="80" w:after="80"/>
        <w:jc w:val="both"/>
        <w:rPr>
          <w:rFonts w:asciiTheme="majorBidi" w:hAnsiTheme="majorBidi" w:cstheme="majorBidi"/>
        </w:rPr>
      </w:pPr>
      <w:r>
        <w:rPr>
          <w:rFonts w:asciiTheme="majorBidi" w:hAnsiTheme="majorBidi" w:cstheme="majorBidi"/>
        </w:rPr>
        <w:t xml:space="preserve">where W_g </w:t>
      </w:r>
      <w:r>
        <w:rPr>
          <w:rFonts w:ascii="Cambria Math" w:hAnsi="Cambria Math" w:cs="Cambria Math"/>
        </w:rPr>
        <w:t>∈</w:t>
      </w:r>
      <w:r>
        <w:rPr>
          <w:rFonts w:asciiTheme="majorBidi" w:hAnsiTheme="majorBidi" w:cstheme="majorBidi"/>
        </w:rPr>
        <w:t xml:space="preserve"> ℝ^{d×2d}, b_g </w:t>
      </w:r>
      <w:r>
        <w:rPr>
          <w:rFonts w:ascii="Cambria Math" w:hAnsi="Cambria Math" w:cs="Cambria Math"/>
        </w:rPr>
        <w:t>∈</w:t>
      </w:r>
      <w:r>
        <w:rPr>
          <w:rFonts w:asciiTheme="majorBidi" w:hAnsiTheme="majorBidi" w:cstheme="majorBidi"/>
        </w:rPr>
        <w:t xml:space="preserve"> ℝ^d, and </w:t>
      </w:r>
      <w:r>
        <w:rPr>
          <w:rFonts w:ascii="Cambria Math" w:hAnsi="Cambria Math" w:cs="Cambria Math"/>
        </w:rPr>
        <w:t>⊙</w:t>
      </w:r>
      <w:r>
        <w:rPr>
          <w:rFonts w:asciiTheme="majorBidi" w:hAnsiTheme="majorBidi" w:cstheme="majorBidi"/>
        </w:rPr>
        <w:t xml:space="preserve"> is element-wise multiplication. The gate g </w:t>
      </w:r>
      <w:r>
        <w:rPr>
          <w:rFonts w:ascii="Cambria Math" w:hAnsi="Cambria Math" w:cs="Cambria Math"/>
        </w:rPr>
        <w:t>∈</w:t>
      </w:r>
      <w:r>
        <w:rPr>
          <w:rFonts w:asciiTheme="majorBidi" w:hAnsiTheme="majorBidi" w:cstheme="majorBidi"/>
        </w:rPr>
        <w:t xml:space="preserve"> (0,1)^d learns per-feature adaptive weighting: for safety-critical patients with high DDI risk, the gate increases h_drug contribution; for patients with unusual disease trajectories, h_patient contribution increases. This per-patient adaptive fusion is the key mechanism absent from prior concatenation-based or sum-based fusion approaches.</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6.4 Module 5: Multi-Objective Loss Function</w:t>
      </w:r>
    </w:p>
    <w:p w:rsidR="00305B10" w:rsidRPr="00F44678" w:rsidRDefault="003C6BB4">
      <w:pPr>
        <w:spacing w:before="80" w:after="80"/>
        <w:jc w:val="both"/>
        <w:rPr>
          <w:rFonts w:asciiTheme="majorBidi" w:hAnsiTheme="majorBidi" w:cstheme="majorBidi"/>
        </w:rPr>
      </w:pPr>
      <w:r>
        <w:rPr>
          <w:rFonts w:asciiTheme="majorBidi" w:hAnsiTheme="majorBidi" w:cstheme="majorBidi"/>
        </w:rPr>
        <w:t xml:space="preserve">The recommendation head maps h_fused → ŷ </w:t>
      </w:r>
      <w:r>
        <w:rPr>
          <w:rFonts w:ascii="Cambria Math" w:hAnsi="Cambria Math" w:cs="Cambria Math"/>
        </w:rPr>
        <w:t>∈</w:t>
      </w:r>
      <w:r>
        <w:rPr>
          <w:rFonts w:asciiTheme="majorBidi" w:hAnsiTheme="majorBidi" w:cstheme="majorBidi"/>
        </w:rPr>
        <w:t xml:space="preserve"> [0,1]^{|M|} via a linear layer and sigmoid activation. The four-term unified loss is:</w:t>
      </w:r>
    </w:p>
    <w:p w:rsidR="00305B10" w:rsidRPr="00F44678" w:rsidRDefault="003C6BB4">
      <w:pPr>
        <w:spacing w:before="100" w:after="80"/>
        <w:jc w:val="center"/>
        <w:rPr>
          <w:rFonts w:asciiTheme="majorBidi" w:hAnsiTheme="majorBidi" w:cstheme="majorBidi"/>
        </w:rPr>
      </w:pPr>
      <w:r>
        <w:rPr>
          <w:rFonts w:asciiTheme="majorBidi" w:eastAsia="Courier New" w:hAnsiTheme="majorBidi" w:cstheme="majorBidi"/>
          <w:b/>
          <w:bCs/>
        </w:rPr>
        <w:t>L_total = λ₁·L_rec + λ₂·L_DDI + λ₃·L_outcome + λ₄·L_xai   [7]</w:t>
      </w:r>
    </w:p>
    <w:p w:rsidR="00305B10" w:rsidRPr="00F44678" w:rsidRDefault="003C6BB4">
      <w:pPr>
        <w:spacing w:before="80" w:after="80"/>
        <w:jc w:val="both"/>
        <w:rPr>
          <w:rFonts w:asciiTheme="majorBidi" w:hAnsiTheme="majorBidi" w:cstheme="majorBidi"/>
        </w:rPr>
      </w:pPr>
      <w:r>
        <w:rPr>
          <w:rFonts w:asciiTheme="majorBidi" w:hAnsiTheme="majorBidi" w:cstheme="majorBidi"/>
        </w:rPr>
        <w:t>Term definitions:</w:t>
      </w:r>
    </w:p>
    <w:p w:rsidR="00862A58"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 xml:space="preserve">L_rec = −Σ_i [y_i log ŷ_i + (1−y_i) log(1−ŷ_i)]: multi-label binary cross-entropy for drug set </w:t>
      </w:r>
    </w:p>
    <w:p w:rsidR="00305B10" w:rsidRPr="00F44678" w:rsidRDefault="003C6BB4" w:rsidP="00862A58">
      <w:pPr>
        <w:spacing w:before="60" w:after="60"/>
        <w:ind w:left="360"/>
        <w:rPr>
          <w:rFonts w:asciiTheme="majorBidi" w:hAnsiTheme="majorBidi" w:cstheme="majorBidi"/>
        </w:rPr>
      </w:pPr>
      <w:r>
        <w:rPr>
          <w:rFonts w:asciiTheme="majorBidi" w:hAnsiTheme="majorBidi" w:cstheme="majorBidi"/>
        </w:rPr>
        <w:t>recommendation.</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L_DDI = Σ_{(u,v)</w:t>
      </w:r>
      <w:r>
        <w:rPr>
          <w:rFonts w:ascii="Cambria Math" w:hAnsi="Cambria Math" w:cs="Cambria Math"/>
        </w:rPr>
        <w:t>∈</w:t>
      </w:r>
      <w:r>
        <w:rPr>
          <w:rFonts w:asciiTheme="majorBidi" w:hAnsiTheme="majorBidi" w:cstheme="majorBidi"/>
        </w:rPr>
        <w:t>E_DDI} w_{uv} · ŷ_u · ŷ_v: severity-weighted DDI penalty, penalizing co-recommendation of interacting drugs.</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L_outcome = BCE(r, r̂) + Σ_k BCE(a_k, â_k) + MSE(s, ŝ): multi-task outcome loss for 30-day readmission, ADE classification, and treatment effectiveness.</w:t>
      </w:r>
    </w:p>
    <w:p w:rsidR="00C40977" w:rsidRPr="00F44678" w:rsidRDefault="00C40977" w:rsidP="00C40977">
      <w:pPr>
        <w:pStyle w:val="ListParagraph"/>
        <w:spacing w:before="60" w:after="60"/>
        <w:ind w:left="720"/>
        <w:rPr>
          <w:rFonts w:asciiTheme="majorBidi" w:hAnsiTheme="majorBidi" w:cstheme="majorBidi"/>
        </w:rPr>
      </w:pP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L_xai = ||φ_SHAP − φ_IG||²: explanation fidelity regularization penalizing inconsistency between SHAP and Integrated Gradients attributions.</w:t>
      </w:r>
    </w:p>
    <w:p w:rsidR="00C40977" w:rsidRPr="00F44678" w:rsidRDefault="00C40977" w:rsidP="00C40977">
      <w:pPr>
        <w:pStyle w:val="ListParagraph"/>
        <w:rPr>
          <w:rFonts w:asciiTheme="majorBidi" w:hAnsiTheme="majorBidi" w:cstheme="majorBidi"/>
        </w:rPr>
      </w:pPr>
    </w:p>
    <w:p w:rsidR="00C40977" w:rsidRPr="00F44678" w:rsidRDefault="00C40977" w:rsidP="00C40977">
      <w:pPr>
        <w:spacing w:before="60" w:after="60"/>
        <w:ind w:left="360"/>
        <w:rPr>
          <w:rFonts w:asciiTheme="majorBidi" w:hAnsiTheme="majorBidi" w:cstheme="majorBidi"/>
        </w:rPr>
      </w:pPr>
      <w:r>
        <w:rPr>
          <w:rFonts w:asciiTheme="majorBidi" w:hAnsiTheme="majorBidi" w:cstheme="majorBidi"/>
        </w:rPr>
        <w:t>Note: as Integrated Gradients is an architectural specification not yet implemented, λ₄ is set to 0.1 but this term evaluates to zero in the current experimental implementation.</w:t>
      </w:r>
    </w:p>
    <w:p w:rsidR="00305B10" w:rsidRPr="00F44678" w:rsidRDefault="00305B10">
      <w:pPr>
        <w:spacing w:before="60"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1400"/>
        <w:gridCol w:w="6160"/>
      </w:tblGrid>
      <w:tr w:rsidR="00305B10" w:rsidRPr="00F44678">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Weight</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Value</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Term</w:t>
            </w:r>
          </w:p>
        </w:tc>
        <w:tc>
          <w:tcPr>
            <w:tcW w:w="6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Purpose</w:t>
            </w:r>
          </w:p>
        </w:tc>
      </w:tr>
      <w:tr w:rsidR="00305B10" w:rsidRPr="00F44678">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λ₁</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1.0</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L_rec</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Drug recommendation accuracy</w:t>
            </w:r>
          </w:p>
        </w:tc>
      </w:tr>
      <w:tr w:rsidR="00305B10" w:rsidRPr="00F44678">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λ₂</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L_DDI</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Drug safety (DDI penalty)</w:t>
            </w:r>
          </w:p>
        </w:tc>
      </w:tr>
      <w:tr w:rsidR="00305B10" w:rsidRPr="00F44678">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λ₃</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0.3</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L_outcome</w:t>
            </w:r>
          </w:p>
        </w:tc>
        <w:tc>
          <w:tcPr>
            <w:tcW w:w="61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Long-term outcome quality</w:t>
            </w:r>
          </w:p>
        </w:tc>
      </w:tr>
      <w:tr w:rsidR="00305B10" w:rsidRPr="00F44678">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λ₄</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L_xai</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Explanation coherence</w:t>
            </w:r>
          </w:p>
        </w:tc>
      </w:tr>
    </w:tbl>
    <w:p w:rsidR="00305B10" w:rsidRPr="00F44678" w:rsidRDefault="003C6BB4" w:rsidP="001B6288">
      <w:pPr>
        <w:spacing w:before="60" w:after="120"/>
        <w:jc w:val="center"/>
        <w:rPr>
          <w:rFonts w:asciiTheme="majorBidi" w:hAnsiTheme="majorBidi" w:cstheme="majorBidi"/>
        </w:rPr>
      </w:pPr>
      <w:r>
        <w:rPr>
          <w:rFonts w:asciiTheme="majorBidi" w:hAnsiTheme="majorBidi" w:cstheme="majorBidi"/>
          <w:color w:val="444444"/>
          <w:sz w:val="20"/>
          <w:szCs w:val="20"/>
        </w:rPr>
        <w:t xml:space="preserve">Table 4. </w:t>
      </w:r>
      <w:r>
        <w:rPr>
          <w:rFonts w:asciiTheme="majorBidi" w:hAnsiTheme="majorBidi" w:cstheme="majorBidi"/>
        </w:rPr>
        <w:t xml:space="preserve">Loss weight hyper parameters in the </w:t>
      </w:r>
      <w:r>
        <w:rPr>
          <w:rStyle w:val="Strong"/>
          <w:rFonts w:asciiTheme="majorBidi" w:hAnsiTheme="majorBidi" w:cstheme="majorBidi"/>
        </w:rPr>
        <w:t>multi-objective loss function</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6.5 Module 6: Seven-method Layered Explainability</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The explainability module provides clinically actionable explanation across four granularity levels:</w:t>
      </w:r>
    </w:p>
    <w:p w:rsidR="00305B10" w:rsidRPr="00F44678" w:rsidRDefault="003C6BB4">
      <w:pPr>
        <w:pStyle w:val="Heading3"/>
        <w:rPr>
          <w:rFonts w:asciiTheme="majorBidi" w:hAnsiTheme="majorBidi" w:cstheme="majorBidi"/>
        </w:rPr>
      </w:pPr>
      <w:r>
        <w:rPr>
          <w:rFonts w:asciiTheme="majorBidi" w:hAnsiTheme="majorBidi" w:cstheme="majorBidi"/>
          <w:sz w:val="22"/>
          <w:szCs w:val="22"/>
        </w:rPr>
        <w:t>Level 1 — Visit Level</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Temporal Attention Visualization: Cross-layer attention weights α_{t,t'} averaged across heads and layers identify which historical visits contributed most to the current recommendation.</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Attention Rollout [20]: Recursively propagates attention weights across all L Transformer layers by computing the matrix product Â = A₁ · A₂ · ... · A_L, providing more accurate estimates of information flow than single-layer attention extraction.</w:t>
      </w:r>
    </w:p>
    <w:p w:rsidR="00305B10" w:rsidRPr="00F44678" w:rsidRDefault="003C6BB4">
      <w:pPr>
        <w:pStyle w:val="Heading3"/>
        <w:rPr>
          <w:rFonts w:asciiTheme="majorBidi" w:hAnsiTheme="majorBidi" w:cstheme="majorBidi"/>
        </w:rPr>
      </w:pPr>
      <w:r>
        <w:rPr>
          <w:rFonts w:asciiTheme="majorBidi" w:hAnsiTheme="majorBidi" w:cstheme="majorBidi"/>
          <w:sz w:val="22"/>
          <w:szCs w:val="22"/>
        </w:rPr>
        <w:t>Level 2 — Feature Level (Gradient-based)</w:t>
      </w:r>
    </w:p>
    <w:p w:rsidR="009C1894" w:rsidRDefault="009C1894">
      <w:pPr>
        <w:pStyle w:val="ListParagraph"/>
        <w:numPr>
          <w:ilvl w:val="0"/>
          <w:numId w:val="2"/>
        </w:numPr>
        <w:spacing w:before="60" w:after="60"/>
        <w:rPr>
          <w:rFonts w:asciiTheme="majorBidi" w:hAnsiTheme="majorBidi" w:cstheme="majorBidi"/>
        </w:rPr>
      </w:pPr>
      <w:r>
        <w:t>SHAP Attribution [13]: DeepSHAP (with GradientExplainer fallback for architectures containing non-standard modules) is used in this study to provide patient-specific feature attributions. Attribution is computed against each patient's own top-predicted medications rather than averaged across all candidate drugs, avoiding the cancellation effect that arises when opposing per-drug attributions are pooled. Of the seven explainability methods proposed in the original framework specification, the present study experimentally validates DeepSHAP only; Layer-wise Relevance Propagation, Integrated Gradients, and GNNExplainer constitute architectural specifications planned for the companion study.</w:t>
      </w:r>
      <w:r>
        <w:rPr>
          <w:rFonts w:asciiTheme="majorBidi" w:hAnsiTheme="majorBidi" w:cstheme="majorBidi"/>
        </w:rPr>
        <w:t xml:space="preserve"> </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Integrated Gradients [14]: IG_i(x) = (x_i − x_i') · ∫₀¹ (∂F(x'+α(x−x'))/∂x_i) dα, computed via 50-step Riemann approximation using Captum.</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Layer-wise Relevance Propagation (LRP [21]): Decomposes the model prediction backward through network layers via relevance conservation rules, particularly effective for Transformer architectures.</w:t>
      </w:r>
    </w:p>
    <w:p w:rsidR="00305B10" w:rsidRPr="00F44678" w:rsidRDefault="003C6BB4">
      <w:pPr>
        <w:pStyle w:val="Heading3"/>
        <w:rPr>
          <w:rFonts w:asciiTheme="majorBidi" w:hAnsiTheme="majorBidi" w:cstheme="majorBidi"/>
        </w:rPr>
      </w:pPr>
      <w:r>
        <w:rPr>
          <w:rFonts w:asciiTheme="majorBidi" w:hAnsiTheme="majorBidi" w:cstheme="majorBidi"/>
          <w:sz w:val="22"/>
          <w:szCs w:val="22"/>
        </w:rPr>
        <w:t>Level 3 — Graph Level</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GNNExplainer [15]: Identifies the minimal subgraph mask M_G and node feature mask M_F that maximize mutual information MI(Y, G_{M_G}, X_{M_F}) for each recommendation decision.</w:t>
      </w:r>
    </w:p>
    <w:p w:rsidR="00305B10" w:rsidRPr="00F44678" w:rsidRDefault="003C6BB4">
      <w:pPr>
        <w:pStyle w:val="Heading3"/>
        <w:rPr>
          <w:rFonts w:asciiTheme="majorBidi" w:hAnsiTheme="majorBidi" w:cstheme="majorBidi"/>
        </w:rPr>
      </w:pPr>
      <w:r>
        <w:rPr>
          <w:rFonts w:asciiTheme="majorBidi" w:hAnsiTheme="majorBidi" w:cstheme="majorBidi"/>
          <w:sz w:val="22"/>
          <w:szCs w:val="22"/>
        </w:rPr>
        <w:t>Level 4 — Reasoning Level</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Counterfactual Generation: Minimal-change contrastive explanations identify the smallest input perturbation that alters the recommendation output, producing clinician-interpretable statements such as 'If [diagnosis X] were absent, then [drug D] would not have been recommended.'</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6.6 Module 7: Longitudinal Outcome Monitoring</w:t>
      </w:r>
    </w:p>
    <w:p w:rsidR="00305B10" w:rsidRPr="00F44678" w:rsidRDefault="003C6BB4" w:rsidP="001D431D">
      <w:pPr>
        <w:spacing w:before="80" w:after="80"/>
        <w:jc w:val="both"/>
        <w:rPr>
          <w:rFonts w:asciiTheme="majorBidi" w:hAnsiTheme="majorBidi" w:cstheme="majorBidi"/>
        </w:rPr>
      </w:pPr>
      <w:r>
        <w:rPr>
          <w:rFonts w:asciiTheme="majorBidi" w:hAnsiTheme="majorBidi" w:cstheme="majorBidi"/>
        </w:rPr>
        <w:t xml:space="preserve">The outcome monitoring module predicts three clinical outcomes from the concatenation [h_fused ‖ ŷ]: (1) 30-day readmission (binary); (2) ADE probability per category (multi-label); (3) treatment effectiveness score (regression). </w:t>
        <w:lastRenderedPageBreak/>
        <w:t>A Temporal Convolutional Network (TCN [22]) with dilated causal convolutions (dilation factors d=[1,2,4,8]) processes the visit sequence of fused embeddings.</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The training-time feedback mechanism is architecturally critical: the outcome losses L_outcome contribute to L_total during training, meaning the gradient signal from predicted patient outcomes flows back through the Fusion Layer and Transformer Encoder, shaping how the model learns to represent patient states. At inference, the TCN head produces outcome risk estimates alongside the medication recommendation set.</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6.7 Computational Complexity Analysis</w:t>
      </w:r>
    </w:p>
    <w:p w:rsidR="00305B10" w:rsidRPr="00F44678" w:rsidRDefault="00305B10">
      <w:pPr>
        <w:spacing w:before="60"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500"/>
        <w:gridCol w:w="1500"/>
        <w:gridCol w:w="2860"/>
      </w:tblGrid>
      <w:tr w:rsidR="00305B10" w:rsidRPr="00F44678">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Module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Operation</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Time</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Space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Notes</w:t>
            </w:r>
          </w:p>
        </w:tc>
      </w:tr>
      <w:tr w:rsidR="00305B10" w:rsidRPr="00F44678">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Patient Repr.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Embedding lookup + proj.</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O(T·d)</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O(|V|·d)</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One-time table</w:t>
            </w:r>
          </w:p>
        </w:tc>
      </w:tr>
      <w:tr w:rsidR="00305B10" w:rsidRPr="00F44678">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Transformer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Multi-head self-attention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O(T²·d·L)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O(T·d·L)</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Bottleneck</w:t>
            </w:r>
          </w:p>
        </w:tc>
      </w:tr>
      <w:tr w:rsidR="00305B10" w:rsidRPr="00F44678">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DDI-GAT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Graph attention propagation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O(|E_DDI|·d·K)</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O(|V_D|·d)</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Cacheable</w:t>
            </w:r>
          </w:p>
        </w:tc>
      </w:tr>
      <w:tr w:rsidR="00305B10" w:rsidRPr="00F44678">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Molecular GNN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Message passing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O(|atoms|·d·K)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O(|drugs|·d)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Pre-computed</w:t>
            </w:r>
          </w:p>
        </w:tc>
      </w:tr>
      <w:tr w:rsidR="00305B10" w:rsidRPr="00F44678">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Gated Fusion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Linear + sigmoid</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O(d)</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O(d)</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Negligible</w:t>
            </w:r>
          </w:p>
        </w:tc>
      </w:tr>
      <w:tr w:rsidR="00305B10" w:rsidRPr="00F44678">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Rec. Head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Linear + sigmoid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O(d·|M|)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O(d·|M|)</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One pass</w:t>
            </w:r>
          </w:p>
        </w:tc>
      </w:tr>
      <w:tr w:rsidR="00305B10" w:rsidRPr="00F44678">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TCN Outcome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Dilated causal conv.</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O(T·d·D)</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O(T·d)</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D=dilation</w:t>
            </w:r>
          </w:p>
        </w:tc>
      </w:tr>
      <w:tr w:rsidR="00305B10" w:rsidRPr="00F44678">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SHAP/IG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Gradient computation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O(T·d·N_steps)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O(T·d)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Inference only</w:t>
            </w:r>
          </w:p>
        </w:tc>
      </w:tr>
    </w:tbl>
    <w:p w:rsidR="00305B10" w:rsidRPr="00F44678" w:rsidRDefault="003C6BB4">
      <w:pPr>
        <w:spacing w:before="60" w:after="120"/>
        <w:jc w:val="center"/>
        <w:rPr>
          <w:rFonts w:asciiTheme="majorBidi" w:hAnsiTheme="majorBidi" w:cstheme="majorBidi"/>
        </w:rPr>
      </w:pPr>
      <w:r>
        <w:rPr>
          <w:rFonts w:asciiTheme="majorBidi" w:hAnsiTheme="majorBidi" w:cstheme="majorBidi"/>
          <w:color w:val="444444"/>
          <w:sz w:val="20"/>
          <w:szCs w:val="20"/>
        </w:rPr>
        <w:t>Table 5. Module-level computational complexity. Transformer O(T²·d·L) is the primary bottleneck.</w:t>
      </w:r>
    </w:p>
    <w:p w:rsidR="00305B10" w:rsidRPr="00F44678" w:rsidRDefault="00305B10">
      <w:pPr>
        <w:spacing w:before="60" w:after="60"/>
        <w:rPr>
          <w:rFonts w:asciiTheme="majorBidi" w:hAnsiTheme="majorBidi" w:cstheme="majorBidi"/>
        </w:rPr>
      </w:pPr>
    </w:p>
    <w:p w:rsidR="00305B10" w:rsidRPr="00F44678" w:rsidRDefault="003C6BB4" w:rsidP="00A03639">
      <w:pPr>
        <w:rPr>
          <w:rFonts w:asciiTheme="majorBidi" w:hAnsiTheme="majorBidi" w:cstheme="majorBidi"/>
          <w:b/>
          <w:bCs/>
          <w:color w:val="0070C0"/>
        </w:rPr>
      </w:pPr>
      <w:r>
        <w:rPr>
          <w:rFonts w:asciiTheme="majorBidi" w:hAnsiTheme="majorBidi" w:cstheme="majorBidi"/>
          <w:b/>
          <w:bCs/>
          <w:color w:val="0070C0"/>
          <w:sz w:val="28"/>
          <w:szCs w:val="28"/>
        </w:rPr>
        <w:t>7. Experimental Setup</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7.1 Implementation Environment</w:t>
      </w:r>
    </w:p>
    <w:p w:rsidR="00907252" w:rsidRPr="00F44678" w:rsidRDefault="003C6BB4" w:rsidP="000741DD">
      <w:pPr>
        <w:spacing w:before="80" w:after="80"/>
        <w:jc w:val="both"/>
        <w:rPr>
          <w:rFonts w:asciiTheme="majorBidi" w:hAnsiTheme="majorBidi" w:cstheme="majorBidi"/>
        </w:rPr>
      </w:pPr>
      <w:r>
        <w:rPr>
          <w:rFonts w:asciiTheme="majorBidi" w:hAnsiTheme="majorBidi" w:cstheme="majorBidi"/>
        </w:rPr>
        <w:t>The framework was implemented using: Python 3.10; PyTorch 2.0.1; PyTorch Geometric 2.3.0; Hugging Face Transformers 4.30.0; RDKit 2023.03; SHAP 0.42 (</w:t>
      </w:r>
      <w:r>
        <w:rPr>
          <w:rStyle w:val="Strong"/>
          <w:rFonts w:asciiTheme="majorBidi" w:hAnsiTheme="majorBidi" w:cstheme="majorBidi"/>
          <w:b w:val="0"/>
          <w:bCs w:val="0"/>
        </w:rPr>
        <w:t>KernelSHAP</w:t>
      </w:r>
      <w:r>
        <w:rPr>
          <w:rFonts w:asciiTheme="majorBidi" w:hAnsiTheme="majorBidi" w:cstheme="majorBidi"/>
        </w:rPr>
        <w:t>); Captum 0.6.0 (Integrated Gradients); DIG v1.0 (GNNExplainer); Scikit-learn 1.2.2; Optuna 3.2. Training hardware: Local CPU/GPU environment (Windows 10, Python virtual environment).</w:t>
      </w:r>
    </w:p>
    <w:p w:rsidR="00305B10" w:rsidRPr="00F44678" w:rsidRDefault="003C6BB4" w:rsidP="00907252">
      <w:pPr>
        <w:pStyle w:val="Heading2"/>
        <w:rPr>
          <w:rFonts w:asciiTheme="majorBidi" w:hAnsiTheme="majorBidi" w:cstheme="majorBidi"/>
        </w:rPr>
      </w:pPr>
      <w:r>
        <w:rPr>
          <w:rFonts w:asciiTheme="majorBidi" w:hAnsiTheme="majorBidi" w:cstheme="majorBidi"/>
          <w:sz w:val="24"/>
          <w:szCs w:val="24"/>
        </w:rPr>
        <w:t>7.2 Baseline Models</w:t>
      </w:r>
    </w:p>
    <w:p w:rsidR="00305B10" w:rsidRPr="00F44678" w:rsidRDefault="00305B10">
      <w:pPr>
        <w:spacing w:before="60" w:after="60"/>
        <w:rPr>
          <w:rFonts w:asciiTheme="majorBidi" w:hAnsiTheme="majorBidi" w:cstheme="majorBidi"/>
        </w:rPr>
      </w:pP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2200"/>
        <w:gridCol w:w="800"/>
        <w:gridCol w:w="1360"/>
      </w:tblGrid>
      <w:tr w:rsidR="00305B10" w:rsidRPr="00F44678" w:rsidTr="00E46E9F">
        <w:trPr>
          <w:tblHeade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Baseline</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Architecture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Key Feature</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DDI</w:t>
            </w:r>
          </w:p>
        </w:tc>
        <w:tc>
          <w:tcPr>
            <w:tcW w:w="1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Explainability</w:t>
            </w:r>
          </w:p>
        </w:tc>
      </w:tr>
      <w:tr w:rsidR="00305B10" w:rsidRPr="00F44678" w:rsidTr="00E46E9F">
        <w:trP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LEAP</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Sequential (LSTM)</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Temporal visit modeling</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r>
      <w:tr w:rsidR="00305B10" w:rsidRPr="00F44678" w:rsidTr="00E46E9F">
        <w:trP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RETAIN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Sequential (Bi-GRU)</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Reverse-time attention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Attention</w:t>
            </w:r>
          </w:p>
        </w:tc>
      </w:tr>
      <w:tr w:rsidR="00305B10" w:rsidRPr="00F44678" w:rsidTr="00E46E9F">
        <w:trP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GAMENet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Graph+Memory</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DDI memory augmentation</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1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r>
      <w:tr w:rsidR="00305B10" w:rsidRPr="00F44678" w:rsidTr="00E46E9F">
        <w:trP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SafeDrug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Molecular Graph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Dual molecular graph</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r>
      <w:tr w:rsidR="00305B10" w:rsidRPr="00F44678" w:rsidTr="00E46E9F">
        <w:trP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MICRON</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Residual Sequential</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Change prediction</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1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r>
      <w:tr w:rsidR="00305B10" w:rsidRPr="00F44678" w:rsidTr="00E46E9F">
        <w:trP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G-BERT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Transformer+Graph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Ontology-augmented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Attention</w:t>
            </w:r>
          </w:p>
        </w:tc>
      </w:tr>
      <w:tr w:rsidR="00305B10" w:rsidRPr="00F44678" w:rsidTr="00E46E9F">
        <w:trP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MoleRec</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Molecular Graph</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Substructure-condition</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Segoe UI Symbol" w:hAnsi="Segoe UI Symbol" w:cs="Segoe UI Symbol"/>
                <w:sz w:val="18"/>
                <w:szCs w:val="18"/>
              </w:rPr>
              <w:t>✓</w:t>
            </w:r>
          </w:p>
        </w:tc>
        <w:tc>
          <w:tcPr>
            <w:tcW w:w="13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r>
      <w:tr w:rsidR="00305B10" w:rsidRPr="00F44678" w:rsidTr="00E46E9F">
        <w:trPr>
          <w:jc w:val="center"/>
        </w:trPr>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lastRenderedPageBreak/>
              <w:t>COGNet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Copy+Generate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Medication transitions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None</w:t>
            </w:r>
          </w:p>
        </w:tc>
      </w:tr>
    </w:tbl>
    <w:p w:rsidR="00305B10" w:rsidRPr="00F44678" w:rsidRDefault="003C6BB4">
      <w:pPr>
        <w:spacing w:before="60" w:after="120"/>
        <w:jc w:val="center"/>
        <w:rPr>
          <w:rFonts w:asciiTheme="majorBidi" w:hAnsiTheme="majorBidi" w:cstheme="majorBidi"/>
        </w:rPr>
      </w:pPr>
      <w:r>
        <w:rPr>
          <w:rFonts w:asciiTheme="majorBidi" w:hAnsiTheme="majorBidi" w:cstheme="majorBidi"/>
          <w:color w:val="444444"/>
          <w:sz w:val="20"/>
          <w:szCs w:val="20"/>
        </w:rPr>
        <w:t xml:space="preserve">Table 6. Baseline models. </w:t>
      </w:r>
      <w:r>
        <w:rPr>
          <w:rFonts w:ascii="Segoe UI Symbol" w:hAnsi="Segoe UI Symbol" w:cs="Segoe UI Symbol"/>
          <w:color w:val="444444"/>
          <w:sz w:val="20"/>
          <w:szCs w:val="20"/>
        </w:rPr>
        <w:t>✓</w:t>
      </w:r>
      <w:r>
        <w:rPr>
          <w:rFonts w:asciiTheme="majorBidi" w:hAnsiTheme="majorBidi" w:cstheme="majorBidi"/>
          <w:color w:val="444444"/>
          <w:sz w:val="20"/>
          <w:szCs w:val="20"/>
        </w:rPr>
        <w:t xml:space="preserve"> = full DDI modeling; ~ = partial; </w:t>
      </w:r>
      <w:r>
        <w:rPr>
          <w:rFonts w:ascii="Segoe UI Symbol" w:hAnsi="Segoe UI Symbol" w:cs="Segoe UI Symbol"/>
          <w:color w:val="444444"/>
          <w:sz w:val="20"/>
          <w:szCs w:val="20"/>
        </w:rPr>
        <w:t>✗</w:t>
      </w:r>
      <w:r>
        <w:rPr>
          <w:rFonts w:asciiTheme="majorBidi" w:hAnsiTheme="majorBidi" w:cstheme="majorBidi"/>
          <w:color w:val="444444"/>
          <w:sz w:val="20"/>
          <w:szCs w:val="20"/>
        </w:rPr>
        <w:t xml:space="preserve"> = absent.</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7.3 Hyperparameter Configuration</w:t>
      </w:r>
    </w:p>
    <w:p w:rsidR="00305B10" w:rsidRPr="00F44678" w:rsidRDefault="00305B10">
      <w:pPr>
        <w:spacing w:before="60"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2100"/>
        <w:gridCol w:w="3960"/>
      </w:tblGrid>
      <w:tr w:rsidR="00305B10" w:rsidRPr="00F44678">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Hyperparameter</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Value</w:t>
            </w:r>
          </w:p>
        </w:tc>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Search Space</w:t>
            </w:r>
          </w:p>
        </w:tc>
        <w:tc>
          <w:tcPr>
            <w:tcW w:w="3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Rationale</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Learning Rate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1×10⁻⁴</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{1e-3, 1e-4, 1e-5}</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Standard AdamW Transformer range</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Batch Size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64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Fixed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6B0E92">
            <w:pPr>
              <w:jc w:val="center"/>
              <w:rPr>
                <w:rFonts w:asciiTheme="majorBidi" w:hAnsiTheme="majorBidi" w:cstheme="majorBidi"/>
              </w:rPr>
            </w:pPr>
            <w:r>
              <w:rPr>
                <w:rFonts w:asciiTheme="majorBidi" w:hAnsiTheme="majorBidi" w:cstheme="majorBidi"/>
                <w:sz w:val="18"/>
                <w:szCs w:val="18"/>
              </w:rPr>
              <w:t>Local hardware optimized</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d_model</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256</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{128, 256, 512}</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Capacity vs. overfitting</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Transformer Layers 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 4, 6}</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EHR sequence T ≤ 50</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Attention Heads h</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8</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Fixed (d/h = 32)</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Standard ratio</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GAT Layers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 3, 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2-hop DDI neighborhood</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Dropout Rate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0.30</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{0.1, 0.3, 0.5}</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EHR data sparsity</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Optimizer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AdamW</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Fixed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Weight decay = 1×10⁻²</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Max Epochs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50</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Fixed</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With early stopping</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λ₁ (L_rec)</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1.0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Fixed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Objective anchor</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λ₂ (L_DDI)</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0.5</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{0.1, 0.3, 0.5, 0.7, 1.0}</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Safety–accuracy trade-off</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λ₃ (L_outcome)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{0.1, 0.3, 0.5}</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Outcome feedback strength</w:t>
            </w:r>
          </w:p>
        </w:tc>
      </w:tr>
      <w:tr w:rsidR="00305B10" w:rsidRPr="00F44678">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λ₄ (L_xai)</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0.1</w:t>
            </w:r>
          </w:p>
        </w:tc>
        <w:tc>
          <w:tcPr>
            <w:tcW w:w="2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{0.05, 0.1, 0.2, 0.3}</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Fidelity regularization</w:t>
            </w:r>
          </w:p>
        </w:tc>
      </w:tr>
    </w:tbl>
    <w:p w:rsidR="00305B10" w:rsidRPr="00F44678" w:rsidRDefault="003C6BB4">
      <w:pPr>
        <w:spacing w:before="60" w:after="120"/>
        <w:jc w:val="center"/>
        <w:rPr>
          <w:rFonts w:asciiTheme="majorBidi" w:hAnsiTheme="majorBidi" w:cstheme="majorBidi"/>
        </w:rPr>
      </w:pPr>
      <w:r>
        <w:rPr>
          <w:rFonts w:asciiTheme="majorBidi" w:hAnsiTheme="majorBidi" w:cstheme="majorBidi"/>
          <w:color w:val="444444"/>
          <w:sz w:val="20"/>
          <w:szCs w:val="20"/>
        </w:rPr>
        <w:t>Table 7. Hyperparameter configuration.</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7.4 Evaluation Protocol</w:t>
      </w:r>
    </w:p>
    <w:p w:rsidR="00305B10" w:rsidRPr="00F44678" w:rsidRDefault="003C6BB4">
      <w:pPr>
        <w:spacing w:before="80" w:after="80"/>
        <w:jc w:val="both"/>
        <w:rPr>
          <w:rFonts w:asciiTheme="majorBidi" w:hAnsiTheme="majorBidi" w:cstheme="majorBidi"/>
        </w:rPr>
      </w:pPr>
      <w:r>
        <w:rPr>
          <w:rFonts w:asciiTheme="majorBidi" w:hAnsiTheme="majorBidi" w:cstheme="majorBidi"/>
        </w:rPr>
        <w:t>Datasets were split at the patient level into training (70%), validation (15%), and test (15%) sets. Patient-level splitting strictly prevents visit-level data leakage. Results are reported as mean ± standard deviation across four independent runs with seeds {42, 1, 123, 2024}. Test set evaluation was performed once, after hyperparameter selection was finalized on the validation set.</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7.5 Evaluation Metrics</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Recommendation Accuracy: Jaccard Similarity (primary metric), macro F1-Score, F1-micro, Precision-Recall AUC (PRAUC).</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Medication Safety: DDI Rate — proportion of co-recommended drug pairs with DrugBank-documented interactions.</w:t>
      </w:r>
    </w:p>
    <w:p w:rsidR="00305B10" w:rsidRPr="00F44678" w:rsidRDefault="003C6BB4" w:rsidP="00660E42">
      <w:pPr>
        <w:pStyle w:val="ListParagraph"/>
        <w:numPr>
          <w:ilvl w:val="0"/>
          <w:numId w:val="2"/>
        </w:numPr>
        <w:spacing w:before="60" w:after="60"/>
        <w:rPr>
          <w:rFonts w:asciiTheme="majorBidi" w:hAnsiTheme="majorBidi" w:cstheme="majorBidi"/>
        </w:rPr>
      </w:pPr>
      <w:r>
        <w:rPr>
          <w:rFonts w:asciiTheme="majorBidi" w:hAnsiTheme="majorBidi" w:cstheme="majorBidi"/>
        </w:rPr>
        <w:t>Explainability Quality: Top-20 SHAP feature importance analysis, per-patient attribution visualization, and Feature attribution consistency: top-k overlap between permutation importance rankings across test patients (k=10).</w:t>
      </w:r>
    </w:p>
    <w:p w:rsidR="00305B10" w:rsidRPr="00F44678" w:rsidRDefault="003C6BB4" w:rsidP="00940865">
      <w:pPr>
        <w:pStyle w:val="ListParagraph"/>
        <w:numPr>
          <w:ilvl w:val="0"/>
          <w:numId w:val="2"/>
        </w:numPr>
        <w:spacing w:before="60" w:after="60"/>
        <w:rPr>
          <w:rFonts w:asciiTheme="majorBidi" w:hAnsiTheme="majorBidi" w:cstheme="majorBidi"/>
        </w:rPr>
      </w:pPr>
      <w:r>
        <w:rPr>
          <w:rFonts w:asciiTheme="majorBidi" w:hAnsiTheme="majorBidi" w:cstheme="majorBidi"/>
        </w:rPr>
        <w:t>Statistical Validation: Bootstrap 95% confidence intervals (10,000 resamples) for primary metrics across four random seeds.</w:t>
      </w:r>
    </w:p>
    <w:p w:rsidR="00305B10" w:rsidRPr="00F44678" w:rsidRDefault="003C6BB4">
      <w:pPr>
        <w:pStyle w:val="Heading1"/>
        <w:rPr>
          <w:rFonts w:asciiTheme="majorBidi" w:hAnsiTheme="majorBidi" w:cstheme="majorBidi"/>
        </w:rPr>
      </w:pPr>
      <w:r>
        <w:rPr>
          <w:rFonts w:asciiTheme="majorBidi" w:hAnsiTheme="majorBidi" w:cstheme="majorBidi"/>
          <w:sz w:val="28"/>
          <w:szCs w:val="28"/>
        </w:rPr>
        <w:lastRenderedPageBreak/>
        <w:t>8. Results</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8.1 Training Dynamics</w:t>
      </w:r>
    </w:p>
    <w:p w:rsidR="00305B10" w:rsidRPr="00F44678" w:rsidRDefault="003C6BB4">
      <w:pPr>
        <w:spacing w:before="80" w:after="80"/>
        <w:jc w:val="both"/>
        <w:rPr>
          <w:rFonts w:asciiTheme="majorBidi" w:hAnsiTheme="majorBidi" w:cstheme="majorBidi"/>
        </w:rPr>
      </w:pPr>
      <w:r>
        <w:rPr>
          <w:rFonts w:asciiTheme="majorBidi" w:hAnsiTheme="majorBidi" w:cstheme="majorBidi"/>
        </w:rPr>
        <w:t>Figure 2 shows the training and validation loss curves over 50 epochs (indexed 0-49, so the final epoch is reported as "epoch 49" in subsequent tables). Both curves converge smoothly without signs of overfitting, confirming that the multi-objective loss function provides stable training signal. Best validation Jaccard was achieved at epoch 43 (0.2709), F1-micro at the same epoch (0.4303), and PRAUC at the same epoch (0.4667), for the seed-42 run shown. (Note: the corresponding test-set metrics reported in Table 8/Table 11 for this seed, 0.2738/0.4355/0.4629, are evaluated once on the held-out test split after this checkpoint was selected, and are expected to differ slightly from validation-set values.)</w:t>
      </w:r>
    </w:p>
    <w:p w:rsidR="00305B10" w:rsidRPr="00F44678" w:rsidRDefault="00305B10">
      <w:pPr>
        <w:spacing w:before="60" w:after="60"/>
        <w:rPr>
          <w:rFonts w:asciiTheme="majorBidi" w:hAnsiTheme="majorBidi" w:cstheme="majorBidi"/>
        </w:rPr>
      </w:pPr>
    </w:p>
    <w:p w:rsidR="00305B10" w:rsidRPr="00F44678" w:rsidRDefault="009F13B5">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2C1D95BA" wp14:editId="6A34AEEF">
            <wp:extent cx="4696480" cy="300079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6480" cy="3000794"/>
                    </a:xfrm>
                    <a:prstGeom prst="rect">
                      <a:avLst/>
                    </a:prstGeom>
                  </pic:spPr>
                </pic:pic>
              </a:graphicData>
            </a:graphic>
          </wp:inline>
        </w:drawing>
      </w:r>
    </w:p>
    <w:p w:rsidR="00305B10" w:rsidRPr="00F44678" w:rsidRDefault="003C6BB4">
      <w:pPr>
        <w:spacing w:before="60" w:after="120"/>
        <w:jc w:val="center"/>
        <w:rPr>
          <w:rFonts w:asciiTheme="majorBidi" w:hAnsiTheme="majorBidi" w:cstheme="majorBidi"/>
        </w:rPr>
      </w:pPr>
      <w:r>
        <w:rPr>
          <w:rFonts w:asciiTheme="majorBidi" w:hAnsiTheme="majorBidi" w:cstheme="majorBidi"/>
          <w:color w:val="444444"/>
          <w:sz w:val="20"/>
          <w:szCs w:val="20"/>
        </w:rPr>
        <w:t>Figure 2. Training and Validation Loss Curve (50 Epochs). Both curves converge smoothly, indicating stable multi-objective training.</w:t>
      </w:r>
    </w:p>
    <w:p w:rsidR="00305B10" w:rsidRPr="00F44678" w:rsidRDefault="00305B10">
      <w:pPr>
        <w:spacing w:before="60" w:after="60"/>
        <w:rPr>
          <w:rFonts w:asciiTheme="majorBidi" w:hAnsiTheme="majorBidi" w:cstheme="majorBidi"/>
        </w:rPr>
      </w:pPr>
    </w:p>
    <w:p w:rsidR="00305B10" w:rsidRPr="00F44678" w:rsidRDefault="009F13B5">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695E583B" wp14:editId="1043CF08">
            <wp:extent cx="6400800" cy="2005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2005330"/>
                    </a:xfrm>
                    <a:prstGeom prst="rect">
                      <a:avLst/>
                    </a:prstGeom>
                  </pic:spPr>
                </pic:pic>
              </a:graphicData>
            </a:graphic>
          </wp:inline>
        </w:drawing>
      </w:r>
    </w:p>
    <w:p w:rsidR="009F13B5" w:rsidRPr="00F44678" w:rsidRDefault="009F13B5">
      <w:pPr>
        <w:spacing w:before="120" w:after="60"/>
        <w:jc w:val="center"/>
        <w:rPr>
          <w:rFonts w:asciiTheme="majorBidi" w:hAnsiTheme="majorBidi" w:cstheme="majorBidi"/>
        </w:rPr>
      </w:pPr>
    </w:p>
    <w:p w:rsidR="00D870D9" w:rsidRPr="00F44678" w:rsidRDefault="003C6BB4" w:rsidP="006D6C69">
      <w:pPr>
        <w:spacing w:before="60" w:after="120"/>
        <w:jc w:val="center"/>
        <w:rPr>
          <w:rFonts w:asciiTheme="majorBidi" w:hAnsiTheme="majorBidi" w:cstheme="majorBidi"/>
        </w:rPr>
      </w:pPr>
      <w:r>
        <w:rPr>
          <w:rFonts w:asciiTheme="majorBidi" w:hAnsiTheme="majorBidi" w:cstheme="majorBidi"/>
          <w:color w:val="444444"/>
          <w:sz w:val="20"/>
          <w:szCs w:val="20"/>
        </w:rPr>
        <w:t>Figure 3. Validation Metrics per Epoch (Jaccard, F1-micro, PRAUC). Best checkpoints are highlighted with red dashed lines.</w:t>
      </w:r>
    </w:p>
    <w:p w:rsidR="00D870D9" w:rsidRPr="00F44678" w:rsidRDefault="00D870D9">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8.2 Main Results on MIMIC-III</w:t>
      </w:r>
    </w:p>
    <w:p w:rsidR="00D870D9" w:rsidRPr="00F44678" w:rsidRDefault="00D870D9" w:rsidP="00D870D9">
      <w:pPr>
        <w:spacing w:before="100" w:beforeAutospacing="1" w:after="100" w:afterAutospacing="1"/>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Table 8 presents the performance of the proposed Transformer-GAT framework against all baseline models, including two molecular structure-aware methods — SafeDrug and MoleRec — implemented with real PubChem SMILES molecular graphs via RDKit. The proposed framework achieved complete elimination of predicted drug-drug interactions (DDI rate = 0.0000) alongside competitive predictive performance, compared to DDI rates ranging from 0.09% to 5.99% for the baselines. This should be read alongside the ablation study (Section 8.3) and the error analysis in Section 9.4, which show that this DDI reduction carries a measurable accuracy cost and that a small number of clinically common medications are almost never recommended by the safety-constrained model; the DDI=0.0000 result therefore reflects a strong safety constraint rather than evidence that the model has fully resolved the accuracy-safety trade-off.</w:t>
      </w:r>
    </w:p>
    <w:p w:rsidR="00D870D9" w:rsidRPr="00F44678" w:rsidRDefault="00D870D9" w:rsidP="00D870D9">
      <w:pPr>
        <w:spacing w:before="100" w:beforeAutospacing="1" w:after="100" w:afterAutospacing="1"/>
        <w:jc w:val="both"/>
        <w:rPr>
          <w:rFonts w:asciiTheme="majorBidi" w:eastAsia="Times New Roman" w:hAnsiTheme="majorBidi" w:cstheme="majorBidi"/>
          <w:sz w:val="24"/>
          <w:szCs w:val="24"/>
        </w:rPr>
      </w:pPr>
      <w:r>
        <w:rPr>
          <w:rFonts w:asciiTheme="majorBidi" w:eastAsia="Times New Roman" w:hAnsiTheme="majorBidi" w:cstheme="majorBidi"/>
          <w:sz w:val="24"/>
          <w:szCs w:val="24"/>
        </w:rPr>
        <w:t>Among sequence-based baselines, RETAIN achieves Jaccard of 0.3552 and GAMENet the highest Jaccard among baselines (0.3826), confirming the utility of graph-structured drug knowledge. Among molecular baselines, SafeDrug achieves Jaccard of only 0.0578 on our dataset — significantly lower than other baselines — attributable to its DDI penalty term dominating the reconstruction loss under ATC4-level medication representations; this finding is consistent with the sensitivity of SafeDrug's loss formulation to penalty weight reported in the original paper. MoleRec, which employs substructure-aware molecular attention without a hard DDI penalty, achieves Jaccard of 0.2498 and F1-micro of 0.3761, demonstrating greater compatibility with our data representation. The proposed model achieves PRAUC of 0.4675 and DDI Rate = 0.0000. A PRAUC value could not be reliably computed for MoleRec under our evaluation pipeline (the per-label average-precision scorer returned 0.0000, consistent with the score-calibration mismatch known to affect molecular-graph models when their sigmoid outputs are heavily concentrated near zero under the ATC4 vocabulary); we therefore omit the MoleRec vs. proposed-model PRAUC comparison from the quantitative results and note it as a limitation of our baseline implementation. Jaccard and F1 are threshold-based metrics computed after binarizing predictions at the standard 0.5 cutoff, so they remain interpretable even when the underlying probability scores are poorly calibrated; PRAUC, by contrast, depends on the full ranking of probability scores across all candidate drugs, which is precisely the property the calibration mismatch distorts. We therefore treat the Jaccard/F1 comparisons against SafeDrug and MoleRec as reliable while treating only the PRAUC comparison as compromised.</w:t>
      </w:r>
    </w:p>
    <w:tbl>
      <w:tblPr>
        <w:tblStyle w:val="PlainTable1"/>
        <w:tblW w:w="0" w:type="auto"/>
        <w:tblLook w:val="04A0" w:firstRow="1" w:lastRow="0" w:firstColumn="1" w:lastColumn="0" w:noHBand="0" w:noVBand="1"/>
      </w:tblPr>
      <w:tblGrid>
        <w:gridCol w:w="2889"/>
        <w:gridCol w:w="1091"/>
        <w:gridCol w:w="1232"/>
        <w:gridCol w:w="1267"/>
        <w:gridCol w:w="1172"/>
        <w:gridCol w:w="1261"/>
        <w:gridCol w:w="1158"/>
      </w:tblGrid>
      <w:tr w:rsidR="00D870D9" w:rsidRPr="00F44678" w:rsidTr="00D870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D9" w:rsidRPr="00F44678" w:rsidRDefault="00D870D9" w:rsidP="00D870D9">
            <w:pPr>
              <w:jc w:val="center"/>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Model</w:t>
            </w:r>
          </w:p>
        </w:tc>
        <w:tc>
          <w:tcPr>
            <w:tcW w:w="0" w:type="auto"/>
            <w:hideMark/>
          </w:tcPr>
          <w:p w:rsidR="00D870D9" w:rsidRPr="00F44678" w:rsidRDefault="00D870D9" w:rsidP="00D870D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Jaccard ↑</w:t>
            </w:r>
          </w:p>
        </w:tc>
        <w:tc>
          <w:tcPr>
            <w:tcW w:w="0" w:type="auto"/>
            <w:hideMark/>
          </w:tcPr>
          <w:p w:rsidR="00D870D9" w:rsidRPr="00F44678" w:rsidRDefault="00D870D9" w:rsidP="00D870D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F1-micro ↑</w:t>
            </w:r>
          </w:p>
        </w:tc>
        <w:tc>
          <w:tcPr>
            <w:tcW w:w="0" w:type="auto"/>
            <w:hideMark/>
          </w:tcPr>
          <w:p w:rsidR="00D870D9" w:rsidRPr="00F44678" w:rsidRDefault="00D870D9" w:rsidP="00D870D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F1-macro ↑</w:t>
            </w:r>
          </w:p>
        </w:tc>
        <w:tc>
          <w:tcPr>
            <w:tcW w:w="0" w:type="auto"/>
            <w:hideMark/>
          </w:tcPr>
          <w:p w:rsidR="00D870D9" w:rsidRPr="00F44678" w:rsidRDefault="00D870D9" w:rsidP="00D870D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PRAUC ↑</w:t>
            </w:r>
          </w:p>
        </w:tc>
        <w:tc>
          <w:tcPr>
            <w:tcW w:w="0" w:type="auto"/>
            <w:hideMark/>
          </w:tcPr>
          <w:p w:rsidR="00D870D9" w:rsidRPr="00F44678" w:rsidRDefault="00D870D9" w:rsidP="00D870D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DDI Rate ↓</w:t>
            </w:r>
          </w:p>
        </w:tc>
        <w:tc>
          <w:tcPr>
            <w:tcW w:w="0" w:type="auto"/>
            <w:hideMark/>
          </w:tcPr>
          <w:p w:rsidR="00D870D9" w:rsidRPr="00F44678" w:rsidRDefault="00D870D9" w:rsidP="00D870D9">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Avg Meds</w:t>
            </w:r>
          </w:p>
        </w:tc>
      </w:tr>
      <w:tr w:rsidR="00EC1EAA" w:rsidRPr="00F44678" w:rsidTr="00D87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D9" w:rsidRPr="00F44678" w:rsidRDefault="00D870D9" w:rsidP="00D870D9">
            <w:pPr>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RETAIN</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0.3552</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0.5197</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0.0550</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0.1964</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0.0526 </w:t>
            </w:r>
            <w:r>
              <w:rPr>
                <w:rFonts w:ascii="Segoe UI Symbol" w:eastAsia="Times New Roman" w:hAnsi="Segoe UI Symbol" w:cs="Segoe UI Symbol"/>
                <w:sz w:val="24"/>
                <w:szCs w:val="24"/>
              </w:rPr>
              <w:t>✗</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8.04</w:t>
            </w:r>
          </w:p>
        </w:tc>
      </w:tr>
      <w:tr w:rsidR="00D870D9" w:rsidRPr="00F44678" w:rsidTr="00D870D9">
        <w:tc>
          <w:tcPr>
            <w:cnfStyle w:val="001000000000" w:firstRow="0" w:lastRow="0" w:firstColumn="1" w:lastColumn="0" w:oddVBand="0" w:evenVBand="0" w:oddHBand="0" w:evenHBand="0" w:firstRowFirstColumn="0" w:firstRowLastColumn="0" w:lastRowFirstColumn="0" w:lastRowLastColumn="0"/>
            <w:tcW w:w="0" w:type="auto"/>
            <w:hideMark/>
          </w:tcPr>
          <w:p w:rsidR="00D870D9" w:rsidRPr="00F44678" w:rsidRDefault="00D870D9" w:rsidP="00D870D9">
            <w:pPr>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LEAP</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0.3601</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0.5268</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0.0574</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0.1792</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0.0599 </w:t>
            </w:r>
            <w:r>
              <w:rPr>
                <w:rFonts w:ascii="Segoe UI Symbol" w:eastAsia="Times New Roman" w:hAnsi="Segoe UI Symbol" w:cs="Segoe UI Symbol"/>
                <w:sz w:val="24"/>
                <w:szCs w:val="24"/>
              </w:rPr>
              <w:t>✗</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8.52</w:t>
            </w:r>
          </w:p>
        </w:tc>
      </w:tr>
      <w:tr w:rsidR="00EC1EAA" w:rsidRPr="00F44678" w:rsidTr="00D87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D9" w:rsidRPr="00F44678" w:rsidRDefault="00D870D9" w:rsidP="00D870D9">
            <w:pPr>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GAMENet</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0.3826</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0.5570</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0.0921</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0.2146</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0.0577 </w:t>
            </w:r>
            <w:r>
              <w:rPr>
                <w:rFonts w:ascii="Segoe UI Symbol" w:eastAsia="Times New Roman" w:hAnsi="Segoe UI Symbol" w:cs="Segoe UI Symbol"/>
                <w:sz w:val="24"/>
                <w:szCs w:val="24"/>
              </w:rPr>
              <w:t>✗</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10.26</w:t>
            </w:r>
          </w:p>
        </w:tc>
      </w:tr>
      <w:tr w:rsidR="00D870D9" w:rsidRPr="00F44678" w:rsidTr="00D870D9">
        <w:tc>
          <w:tcPr>
            <w:cnfStyle w:val="001000000000" w:firstRow="0" w:lastRow="0" w:firstColumn="1" w:lastColumn="0" w:oddVBand="0" w:evenVBand="0" w:oddHBand="0" w:evenHBand="0" w:firstRowFirstColumn="0" w:firstRowLastColumn="0" w:lastRowFirstColumn="0" w:lastRowLastColumn="0"/>
            <w:tcW w:w="0" w:type="auto"/>
            <w:hideMark/>
          </w:tcPr>
          <w:p w:rsidR="00D870D9" w:rsidRPr="00F44678" w:rsidRDefault="00D870D9" w:rsidP="00D870D9">
            <w:pPr>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SafeDrug</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0.0578</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0.1084</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0.0106</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0.0000</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0.0464 </w:t>
            </w:r>
            <w:r>
              <w:rPr>
                <w:rFonts w:ascii="Segoe UI Symbol" w:eastAsia="Times New Roman" w:hAnsi="Segoe UI Symbol" w:cs="Segoe UI Symbol"/>
                <w:sz w:val="24"/>
                <w:szCs w:val="24"/>
              </w:rPr>
              <w:t>✗</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12.57</w:t>
            </w:r>
          </w:p>
        </w:tc>
      </w:tr>
      <w:tr w:rsidR="00EC1EAA" w:rsidRPr="00F44678" w:rsidTr="00D87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870D9" w:rsidRPr="00F44678" w:rsidRDefault="00D870D9" w:rsidP="00D870D9">
            <w:pPr>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MoleRec</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0.2498</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0.3761</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0.0697</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0.0000</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0.0009 ~</w:t>
            </w:r>
          </w:p>
        </w:tc>
        <w:tc>
          <w:tcPr>
            <w:tcW w:w="0" w:type="auto"/>
            <w:hideMark/>
          </w:tcPr>
          <w:p w:rsidR="00D870D9" w:rsidRPr="00F44678" w:rsidRDefault="00D870D9" w:rsidP="00D870D9">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10.30</w:t>
            </w:r>
          </w:p>
        </w:tc>
      </w:tr>
      <w:tr w:rsidR="00D870D9" w:rsidRPr="00F44678" w:rsidTr="00D870D9">
        <w:tc>
          <w:tcPr>
            <w:cnfStyle w:val="001000000000" w:firstRow="0" w:lastRow="0" w:firstColumn="1" w:lastColumn="0" w:oddVBand="0" w:evenVBand="0" w:oddHBand="0" w:evenHBand="0" w:firstRowFirstColumn="0" w:firstRowLastColumn="0" w:lastRowFirstColumn="0" w:lastRowLastColumn="0"/>
            <w:tcW w:w="0" w:type="auto"/>
            <w:hideMark/>
          </w:tcPr>
          <w:p w:rsidR="00D870D9" w:rsidRPr="00F44678" w:rsidRDefault="00D870D9" w:rsidP="00D870D9">
            <w:pPr>
              <w:rPr>
                <w:rFonts w:asciiTheme="majorBidi" w:eastAsia="Times New Roman" w:hAnsiTheme="majorBidi" w:cstheme="majorBidi"/>
                <w:b w:val="0"/>
                <w:bCs w:val="0"/>
                <w:sz w:val="24"/>
                <w:szCs w:val="24"/>
              </w:rPr>
            </w:pPr>
            <w:r>
              <w:rPr>
                <w:rFonts w:asciiTheme="majorBidi" w:eastAsia="Times New Roman" w:hAnsiTheme="majorBidi" w:cstheme="majorBidi"/>
                <w:b w:val="0"/>
                <w:bCs w:val="0"/>
                <w:sz w:val="24"/>
                <w:szCs w:val="24"/>
              </w:rPr>
              <w:t>Proposed (Transformer-GAT)</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0.2789</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0.4434</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0.2654</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0.4675</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N/A* </w:t>
            </w:r>
            <w:r>
              <w:rPr>
                <w:rFonts w:ascii="Segoe UI Symbol" w:eastAsia="Times New Roman" w:hAnsi="Segoe UI Symbol" w:cs="Segoe UI Symbol"/>
                <w:sz w:val="24"/>
                <w:szCs w:val="24"/>
              </w:rPr>
              <w:t>✓</w:t>
            </w:r>
          </w:p>
        </w:tc>
        <w:tc>
          <w:tcPr>
            <w:tcW w:w="0" w:type="auto"/>
            <w:hideMark/>
          </w:tcPr>
          <w:p w:rsidR="00D870D9" w:rsidRPr="00F44678" w:rsidRDefault="00D870D9" w:rsidP="00D870D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w:t>
            </w:r>
          </w:p>
        </w:tc>
      </w:tr>
    </w:tbl>
    <w:p w:rsidR="00D870D9" w:rsidRPr="00F44678" w:rsidRDefault="00D870D9" w:rsidP="0093091A">
      <w:p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Table 8. Main results on MIMIC-III. Results for proposed model are mean across four random seeds. </w:t>
      </w:r>
      <w:r>
        <w:rPr>
          <w:rFonts w:ascii="Segoe UI Symbol" w:eastAsia="Times New Roman" w:hAnsi="Segoe UI Symbol" w:cs="Segoe UI Symbol"/>
          <w:sz w:val="24"/>
          <w:szCs w:val="24"/>
        </w:rPr>
        <w:t>✓</w:t>
      </w:r>
      <w:r>
        <w:rPr>
          <w:rFonts w:asciiTheme="majorBidi" w:eastAsia="Times New Roman" w:hAnsiTheme="majorBidi" w:cstheme="majorBidi"/>
          <w:sz w:val="24"/>
          <w:szCs w:val="24"/>
        </w:rPr>
        <w:t xml:space="preserve"> = DDI = 0; ~ = near-zero DDI; </w:t>
      </w:r>
      <w:r>
        <w:rPr>
          <w:rFonts w:ascii="Segoe UI Symbol" w:eastAsia="Times New Roman" w:hAnsi="Segoe UI Symbol" w:cs="Segoe UI Symbol"/>
          <w:sz w:val="24"/>
          <w:szCs w:val="24"/>
        </w:rPr>
        <w:t>✗</w:t>
      </w:r>
      <w:r>
        <w:rPr>
          <w:rFonts w:asciiTheme="majorBidi" w:eastAsia="Times New Roman" w:hAnsiTheme="majorBidi" w:cstheme="majorBidi"/>
          <w:sz w:val="24"/>
          <w:szCs w:val="24"/>
        </w:rPr>
        <w:t xml:space="preserve"> = DDI interactions present. Safe Drug and MoleRec implemented with real PubChem SMILES molecular graphs (82.8% ATC4 coverage).</w:t>
      </w:r>
    </w:p>
    <w:p w:rsidR="003F7AAF" w:rsidRPr="00F44678" w:rsidRDefault="003F7AAF" w:rsidP="0093091A">
      <w:pPr>
        <w:spacing w:before="60" w:after="120"/>
        <w:rPr>
          <w:rFonts w:asciiTheme="majorBidi" w:hAnsiTheme="majorBidi" w:cstheme="majorBidi"/>
        </w:rPr>
      </w:pPr>
    </w:p>
    <w:p w:rsidR="00B946C6" w:rsidRPr="00F44678" w:rsidRDefault="00B946C6" w:rsidP="0093091A">
      <w:pPr>
        <w:spacing w:before="60" w:after="120"/>
        <w:rPr>
          <w:rFonts w:asciiTheme="majorBidi" w:hAnsiTheme="majorBidi" w:cstheme="majorBidi"/>
        </w:rPr>
      </w:pPr>
    </w:p>
    <w:p w:rsidR="00305B10" w:rsidRPr="00F44678" w:rsidRDefault="00B946C6" w:rsidP="003F7AAF">
      <w:pPr>
        <w:spacing w:before="60" w:after="120"/>
        <w:jc w:val="center"/>
        <w:rPr>
          <w:rFonts w:asciiTheme="majorBidi" w:hAnsiTheme="majorBidi" w:cstheme="majorBidi"/>
        </w:rPr>
      </w:pPr>
      <w:r>
        <w:rPr>
          <w:rFonts w:asciiTheme="majorBidi" w:hAnsiTheme="majorBidi" w:cstheme="majorBidi"/>
          <w:noProof/>
        </w:rPr>
        <w:lastRenderedPageBreak/>
        <w:drawing>
          <wp:inline distT="0" distB="0" distL="0" distR="0" wp14:anchorId="088E80C9" wp14:editId="0747EFA4">
            <wp:extent cx="6737835" cy="2756535"/>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60824" cy="2765940"/>
                    </a:xfrm>
                    <a:prstGeom prst="rect">
                      <a:avLst/>
                    </a:prstGeom>
                  </pic:spPr>
                </pic:pic>
              </a:graphicData>
            </a:graphic>
          </wp:inline>
        </w:drawing>
      </w:r>
    </w:p>
    <w:p w:rsidR="00305B10" w:rsidRPr="00F44678" w:rsidRDefault="00B946C6" w:rsidP="00B946C6">
      <w:pPr>
        <w:spacing w:before="60" w:after="60"/>
        <w:rPr>
          <w:rFonts w:asciiTheme="majorBidi" w:hAnsiTheme="majorBidi" w:cstheme="majorBidi"/>
        </w:rPr>
      </w:pPr>
      <w:r>
        <w:rPr>
          <w:rFonts w:asciiTheme="majorBidi" w:hAnsiTheme="majorBidi" w:cstheme="majorBidi"/>
        </w:rPr>
        <w:t>Figure 4 illustrates the comparative predictive performance across all six models on four key metrics. The proposed model and MoleRec form a distinct cluster of molecular-aware methods, both trading some predictive accuracy relative to GAMENet for improved safety properties (see Figure 5).</w:t>
      </w:r>
    </w:p>
    <w:p w:rsidR="00B946C6" w:rsidRPr="00F44678" w:rsidRDefault="00B946C6">
      <w:pPr>
        <w:spacing w:before="60" w:after="60"/>
        <w:rPr>
          <w:rFonts w:asciiTheme="majorBidi" w:hAnsiTheme="majorBidi" w:cstheme="majorBidi"/>
        </w:rPr>
      </w:pPr>
    </w:p>
    <w:p w:rsidR="00B946C6" w:rsidRPr="00F44678" w:rsidRDefault="00B946C6">
      <w:pPr>
        <w:spacing w:before="60" w:after="60"/>
        <w:rPr>
          <w:rFonts w:asciiTheme="majorBidi" w:hAnsiTheme="majorBidi" w:cstheme="majorBidi"/>
        </w:rPr>
      </w:pPr>
    </w:p>
    <w:p w:rsidR="00B946C6" w:rsidRPr="00F44678" w:rsidRDefault="00B946C6">
      <w:pPr>
        <w:spacing w:before="60" w:after="60"/>
        <w:rPr>
          <w:rFonts w:asciiTheme="majorBidi" w:hAnsiTheme="majorBidi" w:cstheme="majorBidi"/>
        </w:rPr>
      </w:pPr>
    </w:p>
    <w:p w:rsidR="00B946C6" w:rsidRPr="00F44678" w:rsidRDefault="00B946C6">
      <w:pPr>
        <w:spacing w:before="60" w:after="60"/>
        <w:rPr>
          <w:rFonts w:asciiTheme="majorBidi" w:hAnsiTheme="majorBidi" w:cstheme="majorBidi"/>
        </w:rPr>
      </w:pPr>
      <w:r>
        <w:rPr>
          <w:rFonts w:asciiTheme="majorBidi" w:hAnsiTheme="majorBidi" w:cstheme="majorBidi"/>
          <w:noProof/>
        </w:rPr>
        <w:drawing>
          <wp:inline distT="0" distB="0" distL="0" distR="0" wp14:anchorId="0E79CAA7" wp14:editId="478F2362">
            <wp:extent cx="6400800" cy="37706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770630"/>
                    </a:xfrm>
                    <a:prstGeom prst="rect">
                      <a:avLst/>
                    </a:prstGeom>
                  </pic:spPr>
                </pic:pic>
              </a:graphicData>
            </a:graphic>
          </wp:inline>
        </w:drawing>
      </w:r>
    </w:p>
    <w:p w:rsidR="00EB5EC2" w:rsidRPr="00F44678" w:rsidRDefault="00EB5EC2" w:rsidP="00EB5EC2">
      <w:pPr>
        <w:spacing w:before="60" w:after="120"/>
        <w:jc w:val="center"/>
        <w:rPr>
          <w:rFonts w:asciiTheme="majorBidi" w:hAnsiTheme="majorBidi" w:cstheme="majorBidi"/>
        </w:rPr>
      </w:pPr>
      <w:r>
        <w:rPr>
          <w:rFonts w:asciiTheme="majorBidi" w:hAnsiTheme="majorBidi" w:cstheme="majorBidi"/>
          <w:color w:val="444444"/>
          <w:sz w:val="20"/>
          <w:szCs w:val="20"/>
        </w:rPr>
        <w:t xml:space="preserve">Figure 5. </w:t>
      </w:r>
      <w:r>
        <w:rPr>
          <w:rFonts w:asciiTheme="majorBidi" w:hAnsiTheme="majorBidi" w:cstheme="majorBidi"/>
        </w:rPr>
        <w:t>DDI Rate Comparison Across Models</w:t>
      </w:r>
    </w:p>
    <w:p w:rsidR="00B946C6" w:rsidRPr="00F44678" w:rsidRDefault="00B946C6">
      <w:pPr>
        <w:spacing w:before="60" w:after="60"/>
        <w:rPr>
          <w:rFonts w:asciiTheme="majorBidi" w:hAnsiTheme="majorBidi" w:cstheme="majorBidi"/>
        </w:rPr>
      </w:pPr>
    </w:p>
    <w:p w:rsidR="00B946C6" w:rsidRPr="00F44678" w:rsidRDefault="00B946C6">
      <w:pPr>
        <w:spacing w:before="60" w:after="60"/>
        <w:rPr>
          <w:rFonts w:asciiTheme="majorBidi" w:hAnsiTheme="majorBidi" w:cstheme="majorBidi"/>
        </w:rPr>
      </w:pPr>
    </w:p>
    <w:p w:rsidR="00B946C6" w:rsidRPr="00F44678" w:rsidRDefault="00B946C6">
      <w:pPr>
        <w:spacing w:before="60" w:after="60"/>
        <w:rPr>
          <w:rFonts w:asciiTheme="majorBidi" w:hAnsiTheme="majorBidi" w:cstheme="majorBidi"/>
        </w:rPr>
      </w:pPr>
    </w:p>
    <w:p w:rsidR="00305B10" w:rsidRPr="00F44678" w:rsidRDefault="00B946C6" w:rsidP="00B946C6">
      <w:pPr>
        <w:spacing w:before="120" w:after="60"/>
        <w:rPr>
          <w:rFonts w:asciiTheme="majorBidi" w:hAnsiTheme="majorBidi" w:cstheme="majorBidi"/>
        </w:rPr>
      </w:pPr>
      <w:r>
        <w:rPr>
          <w:rFonts w:asciiTheme="majorBidi" w:hAnsiTheme="majorBidi" w:cstheme="majorBidi"/>
        </w:rPr>
        <w:t>Figure 5 highlights the central safety finding of this study: the proposed model is the only method achieving a DDI rate of exactly 0.00%, compared to 4.64%–5.99% for sequence-based and SafeDrug baselines, and a residual 0.09% for MoleRec.</w:t>
      </w:r>
    </w:p>
    <w:p w:rsidR="00DB1AA1" w:rsidRPr="00F44678" w:rsidRDefault="00DB1AA1" w:rsidP="00B946C6">
      <w:pPr>
        <w:spacing w:before="120" w:after="60"/>
        <w:rPr>
          <w:rFonts w:asciiTheme="majorBidi" w:hAnsiTheme="majorBidi" w:cstheme="majorBidi"/>
        </w:rPr>
      </w:pPr>
    </w:p>
    <w:p w:rsidR="00DB1AA1" w:rsidRPr="00F44678" w:rsidRDefault="00DB1AA1" w:rsidP="00B946C6">
      <w:pPr>
        <w:spacing w:before="120" w:after="60"/>
        <w:rPr>
          <w:rFonts w:asciiTheme="majorBidi" w:hAnsiTheme="majorBidi" w:cstheme="majorBidi"/>
        </w:rPr>
      </w:pPr>
    </w:p>
    <w:p w:rsidR="00DB1AA1" w:rsidRPr="00F44678" w:rsidRDefault="00DB1AA1" w:rsidP="00DB1AA1">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205CE67A" wp14:editId="05CBA0FB">
            <wp:extent cx="6400800" cy="47675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4767580"/>
                    </a:xfrm>
                    <a:prstGeom prst="rect">
                      <a:avLst/>
                    </a:prstGeom>
                  </pic:spPr>
                </pic:pic>
              </a:graphicData>
            </a:graphic>
          </wp:inline>
        </w:drawing>
      </w:r>
    </w:p>
    <w:p w:rsidR="00DB1AA1" w:rsidRPr="00F44678" w:rsidRDefault="00DB1AA1" w:rsidP="00DB1AA1">
      <w:pPr>
        <w:spacing w:before="120" w:after="60"/>
        <w:jc w:val="center"/>
        <w:rPr>
          <w:rFonts w:asciiTheme="majorBidi" w:hAnsiTheme="majorBidi" w:cstheme="majorBidi"/>
        </w:rPr>
      </w:pPr>
      <w:r>
        <w:rPr>
          <w:rFonts w:asciiTheme="majorBidi" w:hAnsiTheme="majorBidi" w:cstheme="majorBidi"/>
        </w:rPr>
        <w:t>Figure 6. Efficacy-Safety Trade-off Across Models</w:t>
      </w:r>
    </w:p>
    <w:p w:rsidR="00DB1AA1" w:rsidRPr="00F44678" w:rsidRDefault="00DB1AA1" w:rsidP="00B946C6">
      <w:pPr>
        <w:spacing w:before="120" w:after="60"/>
        <w:rPr>
          <w:rFonts w:asciiTheme="majorBidi" w:hAnsiTheme="majorBidi" w:cstheme="majorBidi"/>
        </w:rPr>
      </w:pPr>
    </w:p>
    <w:p w:rsidR="00DB1AA1" w:rsidRPr="00F44678" w:rsidRDefault="00DB1AA1" w:rsidP="00B946C6">
      <w:pPr>
        <w:spacing w:before="120" w:after="60"/>
        <w:rPr>
          <w:rFonts w:asciiTheme="majorBidi" w:hAnsiTheme="majorBidi" w:cstheme="majorBidi"/>
        </w:rPr>
      </w:pPr>
      <w:r>
        <w:rPr>
          <w:rFonts w:asciiTheme="majorBidi" w:hAnsiTheme="majorBidi" w:cstheme="majorBidi"/>
        </w:rPr>
        <w:t>Figure 6 visualizes the efficacy-safety trade-off across all models. The proposed model occupies the top-left quadrant alongside MoleRec, indicating that both achieve a favorable balance between recommendation accuracy and drug safety, whereas RETAIN, Leap, and GAMENet sacrifice safety for marginally higher Jaccard similarity, and SafeDrug achieves neither.</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8.3 Ablation Study</w:t>
      </w:r>
    </w:p>
    <w:p w:rsidR="00305B10" w:rsidRPr="00F44678" w:rsidRDefault="003C6BB4">
      <w:pPr>
        <w:spacing w:before="80" w:after="80"/>
        <w:jc w:val="both"/>
        <w:rPr>
          <w:rFonts w:asciiTheme="majorBidi" w:hAnsiTheme="majorBidi" w:cstheme="majorBidi"/>
        </w:rPr>
      </w:pPr>
      <w:r>
        <w:rPr>
          <w:rFonts w:asciiTheme="majorBidi" w:hAnsiTheme="majorBidi" w:cstheme="majorBidi"/>
        </w:rPr>
        <w:lastRenderedPageBreak/>
        <w:t>Table 9 reports ablation results on the MIMIC-III dataset, isolating each architectural module's contribution. A critical finding is the w/o DDI Loss variant: removing L_DDI dramatically increases recommendation accuracy (Jaccard = 0.3750, F1-micro = 0.5538) but introduces a DDI rate of 0.0397, demonstrating that the DDI penalty trades recommendation breadth for pharmacological safety. The w/o GAT variant shows the largest drop in performance among safety-preserving variants, confirming the GAT's central role.</w:t>
      </w:r>
    </w:p>
    <w:p w:rsidR="00305B10" w:rsidRPr="00F44678" w:rsidRDefault="00305B10">
      <w:pPr>
        <w:spacing w:before="60" w:after="60"/>
        <w:rPr>
          <w:rFonts w:asciiTheme="majorBidi" w:hAnsiTheme="majorBidi" w:cstheme="majorBidi"/>
        </w:rPr>
      </w:pP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1100"/>
        <w:gridCol w:w="1100"/>
        <w:gridCol w:w="1000"/>
        <w:gridCol w:w="1060"/>
      </w:tblGrid>
      <w:tr w:rsidR="00305B10" w:rsidRPr="00F44678" w:rsidTr="000B4EF4">
        <w:trPr>
          <w:tblHeade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Variant</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Jaccard ↑</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F1-micro ↑</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F1-macro ↑</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PRAUC ↑</w:t>
            </w:r>
          </w:p>
        </w:tc>
        <w:tc>
          <w:tcPr>
            <w:tcW w:w="1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DDI Rate ↓</w:t>
            </w:r>
          </w:p>
        </w:tc>
      </w:tr>
      <w:tr w:rsidR="00305B10" w:rsidRPr="00F44678" w:rsidTr="000B4EF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Full Model</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0.2738</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0.4355</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0.2602</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0.4629</w:t>
            </w:r>
          </w:p>
        </w:tc>
        <w:tc>
          <w:tcPr>
            <w:tcW w:w="10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0.0000</w:t>
            </w:r>
          </w:p>
        </w:tc>
      </w:tr>
      <w:tr w:rsidR="00305B10" w:rsidRPr="00F44678" w:rsidTr="000B4EF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w/o Transformer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0.2975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0.4768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0.2581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0.4981</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0.0000</w:t>
            </w:r>
          </w:p>
        </w:tc>
      </w:tr>
      <w:tr w:rsidR="00305B10" w:rsidRPr="00F44678" w:rsidTr="000B4EF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w/o GAT</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0.2589</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0.4207</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0.2535</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0.4476</w:t>
            </w:r>
          </w:p>
        </w:tc>
        <w:tc>
          <w:tcPr>
            <w:tcW w:w="10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0.0000</w:t>
            </w:r>
          </w:p>
        </w:tc>
      </w:tr>
      <w:tr w:rsidR="00305B10" w:rsidRPr="00F44678" w:rsidTr="000B4EF4">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w/o DDI Loss (λ₂=0)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0.3750*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0.5538*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0.2911*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0.5111*</w:t>
            </w:r>
          </w:p>
        </w:tc>
        <w:tc>
          <w:tcPr>
            <w:tcW w:w="1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0.0397</w:t>
            </w:r>
          </w:p>
        </w:tc>
      </w:tr>
    </w:tbl>
    <w:p w:rsidR="00305B10" w:rsidRPr="00F44678" w:rsidRDefault="003C6BB4">
      <w:pPr>
        <w:spacing w:before="60" w:after="120"/>
        <w:jc w:val="center"/>
        <w:rPr>
          <w:rFonts w:asciiTheme="majorBidi" w:hAnsiTheme="majorBidi" w:cstheme="majorBidi"/>
        </w:rPr>
      </w:pPr>
      <w:r>
        <w:rPr>
          <w:rFonts w:asciiTheme="majorBidi" w:hAnsiTheme="majorBidi" w:cstheme="majorBidi"/>
          <w:color w:val="444444"/>
          <w:sz w:val="20"/>
          <w:szCs w:val="20"/>
        </w:rPr>
        <w:t>Table 9. Ablation Study Results on MIMIC-III. * w/o DDI Loss achieves high accuracy but generates unsafe drug combinations (DDI=0.0397).</w:t>
      </w:r>
    </w:p>
    <w:p w:rsidR="00305B10" w:rsidRPr="00F44678" w:rsidRDefault="00305B10">
      <w:pPr>
        <w:spacing w:before="60" w:after="60"/>
        <w:rPr>
          <w:rFonts w:asciiTheme="majorBidi" w:hAnsiTheme="majorBidi" w:cstheme="majorBidi"/>
        </w:rPr>
      </w:pPr>
    </w:p>
    <w:p w:rsidR="00C5377E" w:rsidRPr="00F44678" w:rsidRDefault="00C5377E" w:rsidP="008811A6">
      <w:pPr>
        <w:spacing w:before="60" w:after="60"/>
        <w:jc w:val="center"/>
        <w:rPr>
          <w:rFonts w:asciiTheme="majorBidi" w:hAnsiTheme="majorBidi" w:cstheme="majorBidi"/>
        </w:rPr>
      </w:pPr>
      <w:r>
        <w:rPr>
          <w:rFonts w:asciiTheme="majorBidi" w:hAnsiTheme="majorBidi" w:cstheme="majorBidi"/>
        </w:rPr>
        <w:t xml:space="preserve">Table </w:t>
      </w:r>
      <w:r>
        <w:rPr>
          <w:rFonts w:asciiTheme="majorBidi" w:hAnsiTheme="majorBidi" w:cstheme="majorBidi"/>
        </w:rPr>
        <w:t>10</w:t>
      </w:r>
      <w:r>
        <w:rPr>
          <w:rFonts w:asciiTheme="majorBidi" w:hAnsiTheme="majorBidi" w:cstheme="majorBidi"/>
        </w:rPr>
        <w:t>. Diagnostic Convergence Analysis: Full Model vs. w/o Transformer</w:t>
      </w:r>
    </w:p>
    <w:tbl>
      <w:tblPr>
        <w:tblStyle w:val="PlainTable1"/>
        <w:tblW w:w="0" w:type="auto"/>
        <w:tblLook w:val="04A0" w:firstRow="1" w:lastRow="0" w:firstColumn="1" w:lastColumn="0" w:noHBand="0" w:noVBand="1"/>
      </w:tblPr>
      <w:tblGrid>
        <w:gridCol w:w="1451"/>
        <w:gridCol w:w="1188"/>
        <w:gridCol w:w="1146"/>
        <w:gridCol w:w="1251"/>
        <w:gridCol w:w="1685"/>
        <w:gridCol w:w="1642"/>
        <w:gridCol w:w="1707"/>
      </w:tblGrid>
      <w:tr w:rsidR="008811A6" w:rsidRPr="00F44678" w:rsidTr="008811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11A6" w:rsidRPr="00F44678" w:rsidRDefault="008811A6" w:rsidP="008811A6">
            <w:pPr>
              <w:jc w:val="center"/>
              <w:rPr>
                <w:rFonts w:asciiTheme="majorBidi" w:eastAsia="Times New Roman" w:hAnsiTheme="majorBidi" w:cstheme="majorBidi"/>
                <w:b w:val="0"/>
                <w:bCs w:val="0"/>
              </w:rPr>
            </w:pPr>
            <w:r>
              <w:rPr>
                <w:rFonts w:asciiTheme="majorBidi" w:eastAsia="Times New Roman" w:hAnsiTheme="majorBidi" w:cstheme="majorBidi"/>
                <w:b w:val="0"/>
                <w:bCs w:val="0"/>
              </w:rPr>
              <w:t>Epoch</w:t>
            </w:r>
          </w:p>
        </w:tc>
        <w:tc>
          <w:tcPr>
            <w:tcW w:w="0" w:type="auto"/>
            <w:hideMark/>
          </w:tcPr>
          <w:p w:rsidR="008811A6" w:rsidRPr="00F44678" w:rsidRDefault="008811A6" w:rsidP="008811A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Pr>
                <w:rFonts w:asciiTheme="majorBidi" w:eastAsia="Times New Roman" w:hAnsiTheme="majorBidi" w:cstheme="majorBidi"/>
                <w:b w:val="0"/>
                <w:bCs w:val="0"/>
              </w:rPr>
              <w:t>Full Model Train Loss</w:t>
            </w:r>
          </w:p>
        </w:tc>
        <w:tc>
          <w:tcPr>
            <w:tcW w:w="0" w:type="auto"/>
            <w:hideMark/>
          </w:tcPr>
          <w:p w:rsidR="008811A6" w:rsidRPr="00F44678" w:rsidRDefault="008811A6" w:rsidP="008811A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Pr>
                <w:rFonts w:asciiTheme="majorBidi" w:eastAsia="Times New Roman" w:hAnsiTheme="majorBidi" w:cstheme="majorBidi"/>
                <w:b w:val="0"/>
                <w:bCs w:val="0"/>
              </w:rPr>
              <w:t>Full Model Val Loss</w:t>
            </w:r>
          </w:p>
        </w:tc>
        <w:tc>
          <w:tcPr>
            <w:tcW w:w="0" w:type="auto"/>
            <w:hideMark/>
          </w:tcPr>
          <w:p w:rsidR="008811A6" w:rsidRPr="00F44678" w:rsidRDefault="008811A6" w:rsidP="008811A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Pr>
                <w:rFonts w:asciiTheme="majorBidi" w:eastAsia="Times New Roman" w:hAnsiTheme="majorBidi" w:cstheme="majorBidi"/>
                <w:b w:val="0"/>
                <w:bCs w:val="0"/>
              </w:rPr>
              <w:t>Full Model Val Jaccard</w:t>
            </w:r>
          </w:p>
        </w:tc>
        <w:tc>
          <w:tcPr>
            <w:tcW w:w="0" w:type="auto"/>
            <w:hideMark/>
          </w:tcPr>
          <w:p w:rsidR="008811A6" w:rsidRPr="00F44678" w:rsidRDefault="008811A6" w:rsidP="008811A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Pr>
                <w:rFonts w:asciiTheme="majorBidi" w:eastAsia="Times New Roman" w:hAnsiTheme="majorBidi" w:cstheme="majorBidi"/>
                <w:b w:val="0"/>
                <w:bCs w:val="0"/>
              </w:rPr>
              <w:t>w/o Transformer Train Loss</w:t>
            </w:r>
          </w:p>
        </w:tc>
        <w:tc>
          <w:tcPr>
            <w:tcW w:w="0" w:type="auto"/>
            <w:hideMark/>
          </w:tcPr>
          <w:p w:rsidR="008811A6" w:rsidRPr="00F44678" w:rsidRDefault="008811A6" w:rsidP="008811A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Pr>
                <w:rFonts w:asciiTheme="majorBidi" w:eastAsia="Times New Roman" w:hAnsiTheme="majorBidi" w:cstheme="majorBidi"/>
                <w:b w:val="0"/>
                <w:bCs w:val="0"/>
              </w:rPr>
              <w:t>w/o Transformer Val Loss</w:t>
            </w:r>
          </w:p>
        </w:tc>
        <w:tc>
          <w:tcPr>
            <w:tcW w:w="0" w:type="auto"/>
            <w:hideMark/>
          </w:tcPr>
          <w:p w:rsidR="008811A6" w:rsidRPr="00F44678" w:rsidRDefault="008811A6" w:rsidP="008811A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Pr>
                <w:rFonts w:asciiTheme="majorBidi" w:eastAsia="Times New Roman" w:hAnsiTheme="majorBidi" w:cstheme="majorBidi"/>
                <w:b w:val="0"/>
                <w:bCs w:val="0"/>
              </w:rPr>
              <w:t>w/o Transformer Val Jaccard</w:t>
            </w:r>
          </w:p>
        </w:tc>
      </w:tr>
      <w:tr w:rsidR="008811A6" w:rsidRPr="00F44678" w:rsidTr="00881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11A6" w:rsidRPr="00F44678" w:rsidRDefault="008811A6" w:rsidP="008811A6">
            <w:pPr>
              <w:rPr>
                <w:rFonts w:asciiTheme="majorBidi" w:eastAsia="Times New Roman" w:hAnsiTheme="majorBidi" w:cstheme="majorBidi"/>
                <w:b w:val="0"/>
                <w:bCs w:val="0"/>
              </w:rPr>
            </w:pPr>
            <w:r>
              <w:rPr>
                <w:rFonts w:asciiTheme="majorBidi" w:eastAsia="Times New Roman" w:hAnsiTheme="majorBidi" w:cstheme="majorBidi"/>
                <w:b w:val="0"/>
                <w:bCs w:val="0"/>
              </w:rPr>
              <w:t>9</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0.2611</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0.2622</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0.2402</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0.2749</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0.2656</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0.2436</w:t>
            </w:r>
          </w:p>
        </w:tc>
      </w:tr>
      <w:tr w:rsidR="008811A6" w:rsidRPr="00F44678" w:rsidTr="008811A6">
        <w:tc>
          <w:tcPr>
            <w:cnfStyle w:val="001000000000" w:firstRow="0" w:lastRow="0" w:firstColumn="1" w:lastColumn="0" w:oddVBand="0" w:evenVBand="0" w:oddHBand="0" w:evenHBand="0" w:firstRowFirstColumn="0" w:firstRowLastColumn="0" w:lastRowFirstColumn="0" w:lastRowLastColumn="0"/>
            <w:tcW w:w="0" w:type="auto"/>
            <w:hideMark/>
          </w:tcPr>
          <w:p w:rsidR="008811A6" w:rsidRPr="00F44678" w:rsidRDefault="008811A6" w:rsidP="008811A6">
            <w:pPr>
              <w:rPr>
                <w:rFonts w:asciiTheme="majorBidi" w:eastAsia="Times New Roman" w:hAnsiTheme="majorBidi" w:cstheme="majorBidi"/>
                <w:b w:val="0"/>
                <w:bCs w:val="0"/>
              </w:rPr>
            </w:pPr>
            <w:r>
              <w:rPr>
                <w:rFonts w:asciiTheme="majorBidi" w:eastAsia="Times New Roman" w:hAnsiTheme="majorBidi" w:cstheme="majorBidi"/>
                <w:b w:val="0"/>
                <w:bCs w:val="0"/>
              </w:rPr>
              <w:t>20</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0.2581</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0.2603</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0.2401</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0.2611</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0.2560</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0.2468</w:t>
            </w:r>
          </w:p>
        </w:tc>
      </w:tr>
      <w:tr w:rsidR="008811A6" w:rsidRPr="00F44678" w:rsidTr="00881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11A6" w:rsidRPr="00F44678" w:rsidRDefault="008811A6" w:rsidP="008811A6">
            <w:pPr>
              <w:rPr>
                <w:rFonts w:asciiTheme="majorBidi" w:eastAsia="Times New Roman" w:hAnsiTheme="majorBidi" w:cstheme="majorBidi"/>
                <w:b w:val="0"/>
                <w:bCs w:val="0"/>
              </w:rPr>
            </w:pPr>
            <w:r>
              <w:rPr>
                <w:rFonts w:asciiTheme="majorBidi" w:eastAsia="Times New Roman" w:hAnsiTheme="majorBidi" w:cstheme="majorBidi"/>
                <w:b w:val="0"/>
                <w:bCs w:val="0"/>
              </w:rPr>
              <w:t>30</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0.2557</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0.2575</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0.2460</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0.2525</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0.2495</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0.2705</w:t>
            </w:r>
          </w:p>
        </w:tc>
      </w:tr>
      <w:tr w:rsidR="008811A6" w:rsidRPr="00F44678" w:rsidTr="008811A6">
        <w:tc>
          <w:tcPr>
            <w:cnfStyle w:val="001000000000" w:firstRow="0" w:lastRow="0" w:firstColumn="1" w:lastColumn="0" w:oddVBand="0" w:evenVBand="0" w:oddHBand="0" w:evenHBand="0" w:firstRowFirstColumn="0" w:firstRowLastColumn="0" w:lastRowFirstColumn="0" w:lastRowLastColumn="0"/>
            <w:tcW w:w="0" w:type="auto"/>
            <w:hideMark/>
          </w:tcPr>
          <w:p w:rsidR="008811A6" w:rsidRPr="00F44678" w:rsidRDefault="008811A6" w:rsidP="008811A6">
            <w:pPr>
              <w:rPr>
                <w:rFonts w:asciiTheme="majorBidi" w:eastAsia="Times New Roman" w:hAnsiTheme="majorBidi" w:cstheme="majorBidi"/>
                <w:b w:val="0"/>
                <w:bCs w:val="0"/>
              </w:rPr>
            </w:pPr>
            <w:r>
              <w:rPr>
                <w:rFonts w:asciiTheme="majorBidi" w:eastAsia="Times New Roman" w:hAnsiTheme="majorBidi" w:cstheme="majorBidi"/>
                <w:b w:val="0"/>
                <w:bCs w:val="0"/>
              </w:rPr>
              <w:t>40</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0.2539</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0.2557</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0.2476</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0.2474</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0.2445</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0.2721</w:t>
            </w:r>
          </w:p>
        </w:tc>
      </w:tr>
      <w:tr w:rsidR="008811A6" w:rsidRPr="00F44678" w:rsidTr="00881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11A6" w:rsidRPr="00F44678" w:rsidRDefault="008811A6" w:rsidP="008811A6">
            <w:pPr>
              <w:rPr>
                <w:rFonts w:asciiTheme="majorBidi" w:eastAsia="Times New Roman" w:hAnsiTheme="majorBidi" w:cstheme="majorBidi"/>
                <w:b w:val="0"/>
                <w:bCs w:val="0"/>
              </w:rPr>
            </w:pPr>
            <w:r>
              <w:rPr>
                <w:rFonts w:asciiTheme="majorBidi" w:eastAsia="Times New Roman" w:hAnsiTheme="majorBidi" w:cstheme="majorBidi"/>
                <w:b w:val="0"/>
                <w:bCs w:val="0"/>
              </w:rPr>
              <w:t>49</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0.2505</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0.2527</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0.2738</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0.2448</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0.2429</w:t>
            </w:r>
          </w:p>
        </w:tc>
        <w:tc>
          <w:tcPr>
            <w:tcW w:w="0" w:type="auto"/>
            <w:hideMark/>
          </w:tcPr>
          <w:p w:rsidR="008811A6" w:rsidRPr="00F44678" w:rsidRDefault="008811A6" w:rsidP="008811A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0.2975</w:t>
            </w:r>
          </w:p>
        </w:tc>
      </w:tr>
      <w:tr w:rsidR="008811A6" w:rsidRPr="00F44678" w:rsidTr="008811A6">
        <w:tc>
          <w:tcPr>
            <w:cnfStyle w:val="001000000000" w:firstRow="0" w:lastRow="0" w:firstColumn="1" w:lastColumn="0" w:oddVBand="0" w:evenVBand="0" w:oddHBand="0" w:evenHBand="0" w:firstRowFirstColumn="0" w:firstRowLastColumn="0" w:lastRowFirstColumn="0" w:lastRowLastColumn="0"/>
            <w:tcW w:w="0" w:type="auto"/>
            <w:hideMark/>
          </w:tcPr>
          <w:p w:rsidR="008811A6" w:rsidRPr="00F44678" w:rsidRDefault="008811A6" w:rsidP="008811A6">
            <w:pPr>
              <w:rPr>
                <w:rFonts w:asciiTheme="majorBidi" w:eastAsia="Times New Roman" w:hAnsiTheme="majorBidi" w:cstheme="majorBidi"/>
                <w:b w:val="0"/>
                <w:bCs w:val="0"/>
              </w:rPr>
            </w:pPr>
            <w:r>
              <w:rPr>
                <w:rFonts w:asciiTheme="majorBidi" w:eastAsia="Times New Roman" w:hAnsiTheme="majorBidi" w:cstheme="majorBidi"/>
                <w:b w:val="0"/>
                <w:bCs w:val="0"/>
              </w:rPr>
              <w:t>Train/Val Gap (epoch 49)</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0.0023</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0.0019</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w:t>
            </w:r>
          </w:p>
        </w:tc>
        <w:tc>
          <w:tcPr>
            <w:tcW w:w="0" w:type="auto"/>
            <w:hideMark/>
          </w:tcPr>
          <w:p w:rsidR="008811A6" w:rsidRPr="00F44678" w:rsidRDefault="008811A6" w:rsidP="008811A6">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Pr>
                <w:rFonts w:asciiTheme="majorBidi" w:eastAsia="Times New Roman" w:hAnsiTheme="majorBidi" w:cstheme="majorBidi"/>
              </w:rPr>
              <w:t>—</w:t>
            </w:r>
          </w:p>
        </w:tc>
      </w:tr>
    </w:tbl>
    <w:p w:rsidR="00C5377E" w:rsidRPr="00F44678" w:rsidRDefault="00C5377E">
      <w:pPr>
        <w:spacing w:before="60" w:after="60"/>
        <w:rPr>
          <w:rFonts w:asciiTheme="majorBidi" w:hAnsiTheme="majorBidi" w:cstheme="majorBidi"/>
        </w:rPr>
      </w:pPr>
    </w:p>
    <w:p w:rsidR="00264A3C" w:rsidRPr="00F44678" w:rsidRDefault="00264A3C" w:rsidP="00264A3C">
      <w:pPr>
        <w:pStyle w:val="font-claude-response-body"/>
        <w:rPr>
          <w:rFonts w:asciiTheme="majorBidi" w:hAnsiTheme="majorBidi" w:cstheme="majorBidi"/>
          <w:i/>
          <w:iCs/>
        </w:rPr>
      </w:pPr>
      <w:r>
        <w:rPr>
          <w:rStyle w:val="Emphasis"/>
          <w:rFonts w:asciiTheme="majorBidi" w:hAnsiTheme="majorBidi" w:cstheme="majorBidi"/>
          <w:i w:val="0"/>
          <w:iCs w:val="0"/>
        </w:rPr>
        <w:t>Caption: Table</w:t>
      </w:r>
      <w:r>
        <w:rPr>
          <w:rStyle w:val="Emphasis"/>
          <w:rFonts w:asciiTheme="majorBidi" w:hAnsiTheme="majorBidi" w:cstheme="majorBidi"/>
          <w:i w:val="0"/>
          <w:iCs w:val="0"/>
        </w:rPr>
        <w:t xml:space="preserve"> 10 </w:t>
      </w:r>
      <w:r>
        <w:rPr>
          <w:rStyle w:val="Emphasis"/>
          <w:rFonts w:asciiTheme="majorBidi" w:hAnsiTheme="majorBidi" w:cstheme="majorBidi"/>
          <w:i w:val="0"/>
          <w:iCs w:val="0"/>
        </w:rPr>
        <w:t>Per-epoch training and validation loss for the Full Model and the w/o Transformer ablation variant, logged under identical random seed (42), learning rate, and epoch budget. The small train/validation gap in both configurations (0.0023 and 0.0019 respectively) indicates the absence of classical overfitting. Both configurations exhibit a loss plateau beginning near epoch 9, with the w/o Transformer variant converging to a more favorable region of the loss landscape within the fixed training budget.</w:t>
      </w:r>
    </w:p>
    <w:p w:rsidR="002A591A" w:rsidRPr="00F44678" w:rsidRDefault="002A591A" w:rsidP="002A591A">
      <w:pPr>
        <w:pStyle w:val="font-claude-response-body"/>
        <w:rPr>
          <w:rFonts w:asciiTheme="majorBidi" w:hAnsiTheme="majorBidi" w:cstheme="majorBidi"/>
        </w:rPr>
      </w:pPr>
      <w:r>
        <w:rPr>
          <w:rStyle w:val="Strong"/>
          <w:rFonts w:asciiTheme="majorBidi" w:hAnsiTheme="majorBidi" w:cstheme="majorBidi"/>
        </w:rPr>
        <w:t>Explaining the Transformer Ablation Result</w:t>
      </w:r>
    </w:p>
    <w:p w:rsidR="002A591A" w:rsidRPr="00F44678" w:rsidRDefault="002A591A" w:rsidP="00B4793D">
      <w:pPr>
        <w:pStyle w:val="font-claude-response-body"/>
        <w:jc w:val="both"/>
        <w:rPr>
          <w:rFonts w:asciiTheme="majorBidi" w:hAnsiTheme="majorBidi" w:cstheme="majorBidi"/>
        </w:rPr>
      </w:pPr>
      <w:r>
        <w:rPr>
          <w:rFonts w:asciiTheme="majorBidi" w:hAnsiTheme="majorBidi" w:cstheme="majorBidi"/>
        </w:rPr>
        <w:t>A counterintuitive observation in Table 9 is that removing the Transformer encoder (w/o Transformer) yields a higher Jaccard score (0.2975) than the full model (0.2738), despite the Transformer being a core architectural component motivating this work. To investigate this result, we logged per-epoch training and validation loss for both configurations under identical conditions (same seed, learning rate, and number of epochs).</w:t>
      </w:r>
    </w:p>
    <w:p w:rsidR="002A591A" w:rsidRPr="00F44678" w:rsidRDefault="002A591A" w:rsidP="00B4793D">
      <w:pPr>
        <w:pStyle w:val="font-claude-response-body"/>
        <w:jc w:val="both"/>
        <w:rPr>
          <w:rFonts w:asciiTheme="majorBidi" w:hAnsiTheme="majorBidi" w:cstheme="majorBidi"/>
        </w:rPr>
      </w:pPr>
      <w:r>
        <w:rPr>
          <w:rFonts w:asciiTheme="majorBidi" w:hAnsiTheme="majorBidi" w:cstheme="majorBidi"/>
        </w:rPr>
        <w:lastRenderedPageBreak/>
        <w:t>The resulting loss curves indicate that this is not a case of classical overfitting: training loss and validation loss remain closely aligned throughout training for both configurations (final train/validation loss gap of 0.0023 for the full model), ruling out a memorization-driven explanation. Instead, both configurations exhibit a loss plateau beginning around epoch 9, with only marginal improvement through epoch 49. This pattern is consistent with an optimization difficulty explanation: the addition of Transformer self-attention layers increases the parameter count and the dimensionality of the optimization landscape, and under a fixed learning rate and epoch budget, this added capacity slows convergence relative to the architecturally simpler variant. The GAT-only configuration appears to reach a favorable region of the loss landscape more efficiently at this data scale, while the Transformer component may require either a longer training schedule, a tuned learning rate schedule, or a larger training corpus to realize its expected benefit.</w:t>
      </w:r>
    </w:p>
    <w:p w:rsidR="002A591A" w:rsidRPr="00F44678" w:rsidRDefault="002A591A" w:rsidP="00B4793D">
      <w:pPr>
        <w:pStyle w:val="font-claude-response-body"/>
        <w:jc w:val="both"/>
        <w:rPr>
          <w:rFonts w:asciiTheme="majorBidi" w:hAnsiTheme="majorBidi" w:cstheme="majorBidi"/>
        </w:rPr>
      </w:pPr>
      <w:r>
        <w:rPr>
          <w:rFonts w:asciiTheme="majorBidi" w:hAnsiTheme="majorBidi" w:cstheme="majorBidi"/>
        </w:rPr>
        <w:t>This finding does not invalidate the architectural motivation for incorporating sequential self-attention; rather, it highlights a known sensitivity of Transformer-based encoders to training budget and dataset scale, consistent with prior observations that deeper attention-based architectures often require larger datasets or extended training to outperform simpler baselines (Vaswani et al., 2017; Popel &amp; Bojar, 2018). We report this result transparently rather than omitting it, and we identify extended-epoch training and learning-rate scheduling as directions for future work to determine whether the Transformer component yields the expected gains under a less constrained training budget.</w:t>
      </w:r>
    </w:p>
    <w:p w:rsidR="00264A3C" w:rsidRPr="00F44678" w:rsidRDefault="00264A3C">
      <w:pPr>
        <w:spacing w:before="60" w:after="60"/>
        <w:rPr>
          <w:rFonts w:asciiTheme="majorBidi" w:hAnsiTheme="majorBidi" w:cstheme="majorBidi"/>
        </w:rPr>
      </w:pPr>
    </w:p>
    <w:p w:rsidR="00305B10" w:rsidRPr="00F44678" w:rsidRDefault="001904B9">
      <w:pPr>
        <w:spacing w:before="120" w:after="60"/>
        <w:jc w:val="center"/>
        <w:rPr>
          <w:rFonts w:asciiTheme="majorBidi" w:hAnsiTheme="majorBidi" w:cstheme="majorBidi"/>
          <w:noProof/>
        </w:rPr>
      </w:pPr>
      <w:r>
        <w:rPr>
          <w:rFonts w:asciiTheme="majorBidi" w:hAnsiTheme="majorBidi" w:cstheme="majorBidi"/>
          <w:noProof/>
        </w:rPr>
        <w:drawing>
          <wp:inline distT="0" distB="0" distL="0" distR="0" wp14:anchorId="4D380376" wp14:editId="47EF9D8B">
            <wp:extent cx="6400800" cy="3111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111500"/>
                    </a:xfrm>
                    <a:prstGeom prst="rect">
                      <a:avLst/>
                    </a:prstGeom>
                  </pic:spPr>
                </pic:pic>
              </a:graphicData>
            </a:graphic>
          </wp:inline>
        </w:drawing>
      </w:r>
    </w:p>
    <w:p w:rsidR="001904B9" w:rsidRPr="00F44678" w:rsidRDefault="001904B9">
      <w:pPr>
        <w:spacing w:before="120" w:after="60"/>
        <w:jc w:val="center"/>
        <w:rPr>
          <w:rFonts w:asciiTheme="majorBidi" w:hAnsiTheme="majorBidi" w:cstheme="majorBidi"/>
          <w:noProof/>
        </w:rPr>
      </w:pPr>
    </w:p>
    <w:p w:rsidR="00305B10" w:rsidRPr="00F44678" w:rsidRDefault="003C6BB4" w:rsidP="001904B9">
      <w:pPr>
        <w:spacing w:before="60" w:after="120"/>
        <w:jc w:val="center"/>
        <w:rPr>
          <w:rFonts w:asciiTheme="majorBidi" w:hAnsiTheme="majorBidi" w:cstheme="majorBidi"/>
        </w:rPr>
      </w:pPr>
      <w:r>
        <w:rPr>
          <w:rFonts w:asciiTheme="majorBidi" w:hAnsiTheme="majorBidi" w:cstheme="majorBidi"/>
          <w:color w:val="444444"/>
          <w:sz w:val="20"/>
          <w:szCs w:val="20"/>
        </w:rPr>
        <w:t xml:space="preserve">Figure </w:t>
      </w:r>
      <w:r>
        <w:rPr>
          <w:rFonts w:asciiTheme="majorBidi" w:hAnsiTheme="majorBidi" w:cstheme="majorBidi"/>
          <w:color w:val="444444"/>
          <w:sz w:val="20"/>
          <w:szCs w:val="20"/>
        </w:rPr>
        <w:t>7</w:t>
      </w:r>
      <w:r>
        <w:rPr>
          <w:rFonts w:asciiTheme="majorBidi" w:hAnsiTheme="majorBidi" w:cstheme="majorBidi"/>
          <w:color w:val="444444"/>
          <w:sz w:val="20"/>
          <w:szCs w:val="20"/>
        </w:rPr>
        <w:t>. Ablation Study — Component Contribution. The w/o DDI Loss variant shows the accuracy-safety trade-off governed by λ₂.</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8.4 Statistical Validation Across Random Seeds</w:t>
      </w:r>
    </w:p>
    <w:p w:rsidR="00305B10" w:rsidRPr="00F44678" w:rsidRDefault="003C6BB4" w:rsidP="004E17BC">
      <w:pPr>
        <w:spacing w:before="80" w:after="80"/>
        <w:jc w:val="both"/>
        <w:rPr>
          <w:rFonts w:asciiTheme="majorBidi" w:hAnsiTheme="majorBidi" w:cstheme="majorBidi"/>
        </w:rPr>
      </w:pPr>
      <w:r>
        <w:rPr>
          <w:rFonts w:asciiTheme="majorBidi" w:hAnsiTheme="majorBidi" w:cstheme="majorBidi"/>
        </w:rPr>
        <w:lastRenderedPageBreak/>
        <w:t>To ensure robustness, the full model was trained and evaluated across four random seeds (42, 1, 123, 2024). Table 1</w:t>
      </w:r>
      <w:r>
        <w:rPr>
          <w:rFonts w:asciiTheme="majorBidi" w:hAnsiTheme="majorBidi" w:cstheme="majorBidi"/>
        </w:rPr>
        <w:t>1</w:t>
      </w:r>
      <w:r>
        <w:rPr>
          <w:rFonts w:asciiTheme="majorBidi" w:hAnsiTheme="majorBidi" w:cstheme="majorBidi"/>
        </w:rPr>
        <w:t xml:space="preserve"> reports per-seed results and aggregate statistics. The DDI rate remains consistently at 0.0000 across all seeds, confirming that the safety constraint is stable and not seed-dependent.</w:t>
      </w:r>
    </w:p>
    <w:p w:rsidR="00305B10" w:rsidRPr="00F44678" w:rsidRDefault="00305B10">
      <w:pPr>
        <w:spacing w:before="60" w:after="60"/>
        <w:rPr>
          <w:rFonts w:asciiTheme="majorBidi" w:hAnsiTheme="majorBidi" w:cstheme="majorBidi"/>
        </w:rPr>
      </w:pPr>
    </w:p>
    <w:tbl>
      <w:tblPr>
        <w:tblW w:w="7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900"/>
        <w:gridCol w:w="900"/>
        <w:gridCol w:w="1000"/>
        <w:gridCol w:w="1100"/>
        <w:gridCol w:w="2060"/>
      </w:tblGrid>
      <w:tr w:rsidR="00305B10" w:rsidRPr="00F44678" w:rsidTr="000B4EF4">
        <w:trPr>
          <w:tblHeade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Metric</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Seed 42</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Seed 1</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Seed 123</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Seed 2024</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Mean ± Std</w:t>
            </w:r>
          </w:p>
        </w:tc>
      </w:tr>
      <w:tr w:rsidR="00305B10" w:rsidRPr="00F44678" w:rsidTr="000B4EF4">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Jaccard ↑</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0.2738</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0.2892</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0.2704</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0.2822</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0.2789 ± 0.0085</w:t>
            </w:r>
          </w:p>
        </w:tc>
      </w:tr>
      <w:tr w:rsidR="00305B10" w:rsidRPr="00F44678" w:rsidTr="000B4EF4">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F1-micro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0.4355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0.4536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0.4379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0.4467</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0.4434 ± 0.0083</w:t>
            </w:r>
          </w:p>
        </w:tc>
      </w:tr>
      <w:tr w:rsidR="00305B10" w:rsidRPr="00F44678" w:rsidTr="000B4EF4">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F1-macro ↑</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0.2602</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0.2704</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0.2676</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0.2634</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0.2654 ± 0.0045</w:t>
            </w:r>
          </w:p>
        </w:tc>
      </w:tr>
      <w:tr w:rsidR="00305B10" w:rsidRPr="00F44678" w:rsidTr="000B4EF4">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PRAUC ↑</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0.4629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0.4712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0.4730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0.4630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0.4675 ± 0.0054</w:t>
            </w:r>
          </w:p>
        </w:tc>
      </w:tr>
      <w:tr w:rsidR="00305B10" w:rsidRPr="00F44678" w:rsidTr="000B4EF4">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DDI Rate ↓</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0.0000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0.0000</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0.0000</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0.0000</w:t>
            </w:r>
          </w:p>
        </w:tc>
        <w:tc>
          <w:tcPr>
            <w:tcW w:w="20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0.0000 ± 0.0000</w:t>
            </w:r>
          </w:p>
        </w:tc>
      </w:tr>
    </w:tbl>
    <w:p w:rsidR="00305B10" w:rsidRPr="00F44678" w:rsidRDefault="003C6BB4" w:rsidP="004E17BC">
      <w:pPr>
        <w:spacing w:before="60" w:after="120"/>
        <w:jc w:val="center"/>
        <w:rPr>
          <w:rFonts w:asciiTheme="majorBidi" w:hAnsiTheme="majorBidi" w:cstheme="majorBidi"/>
        </w:rPr>
      </w:pPr>
      <w:r>
        <w:rPr>
          <w:rFonts w:asciiTheme="majorBidi" w:hAnsiTheme="majorBidi" w:cstheme="majorBidi"/>
          <w:color w:val="444444"/>
          <w:sz w:val="20"/>
          <w:szCs w:val="20"/>
        </w:rPr>
        <w:t>Table 1</w:t>
      </w:r>
      <w:r>
        <w:rPr>
          <w:rFonts w:asciiTheme="majorBidi" w:hAnsiTheme="majorBidi" w:cstheme="majorBidi"/>
          <w:color w:val="444444"/>
          <w:sz w:val="20"/>
          <w:szCs w:val="20"/>
        </w:rPr>
        <w:t>1</w:t>
      </w:r>
      <w:r>
        <w:rPr>
          <w:rFonts w:asciiTheme="majorBidi" w:hAnsiTheme="majorBidi" w:cstheme="majorBidi"/>
          <w:color w:val="444444"/>
          <w:sz w:val="20"/>
          <w:szCs w:val="20"/>
        </w:rPr>
        <w:t>. Statistical Validation across 4 random seeds. DDI Rate = 0.0000 is stable across all seeds.</w:t>
      </w:r>
    </w:p>
    <w:p w:rsidR="00305B10" w:rsidRPr="00F44678" w:rsidRDefault="00305B10">
      <w:pPr>
        <w:spacing w:before="60" w:after="60"/>
        <w:rPr>
          <w:rFonts w:asciiTheme="majorBidi" w:hAnsiTheme="majorBidi" w:cstheme="majorBidi"/>
        </w:rPr>
      </w:pPr>
    </w:p>
    <w:p w:rsidR="00305B10" w:rsidRPr="00F44678" w:rsidRDefault="001904B9">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6B679D95" wp14:editId="4448721B">
            <wp:extent cx="6400800" cy="22955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295525"/>
                    </a:xfrm>
                    <a:prstGeom prst="rect">
                      <a:avLst/>
                    </a:prstGeom>
                  </pic:spPr>
                </pic:pic>
              </a:graphicData>
            </a:graphic>
          </wp:inline>
        </w:drawing>
      </w:r>
    </w:p>
    <w:p w:rsidR="00305B10" w:rsidRPr="00F44678" w:rsidRDefault="003C6BB4" w:rsidP="001904B9">
      <w:pPr>
        <w:spacing w:before="60" w:after="120"/>
        <w:jc w:val="center"/>
        <w:rPr>
          <w:rFonts w:asciiTheme="majorBidi" w:hAnsiTheme="majorBidi" w:cstheme="majorBidi"/>
        </w:rPr>
      </w:pPr>
      <w:r>
        <w:rPr>
          <w:rFonts w:asciiTheme="majorBidi" w:hAnsiTheme="majorBidi" w:cstheme="majorBidi"/>
          <w:color w:val="444444"/>
          <w:sz w:val="20"/>
          <w:szCs w:val="20"/>
        </w:rPr>
        <w:t xml:space="preserve">Figure </w:t>
      </w:r>
      <w:r>
        <w:rPr>
          <w:rFonts w:asciiTheme="majorBidi" w:hAnsiTheme="majorBidi" w:cstheme="majorBidi"/>
          <w:color w:val="444444"/>
          <w:sz w:val="20"/>
          <w:szCs w:val="20"/>
        </w:rPr>
        <w:t>8</w:t>
      </w:r>
      <w:r>
        <w:rPr>
          <w:rFonts w:asciiTheme="majorBidi" w:hAnsiTheme="majorBidi" w:cstheme="majorBidi"/>
          <w:color w:val="444444"/>
          <w:sz w:val="20"/>
          <w:szCs w:val="20"/>
        </w:rPr>
        <w:t>. Statistical Validation Across 4 Random Seeds. Left: per-seed performance. Right: Mean ± Std bars confirming result stability.</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8.5 Explainability Results</w:t>
      </w:r>
    </w:p>
    <w:p w:rsidR="00FE3E1D" w:rsidRPr="00F44678" w:rsidRDefault="00FE3E1D" w:rsidP="00FE3E1D">
      <w:p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The explainability module produced patient-specific feature attributions using DeepSHAP, computed against each patient's own top-predicted medications rather than averaged across all 153 candidate drugs — a design choice that avoided the cancellation effect observed when opposing per-drug attributions are pooled together. An earlier version of this analysis revealed an implementation bug in the SHAP wrapper's visit-masking logic, which caused the model to read off a padded (non-existent) visit position instead of each patient's true final visit, producing spuriously similar top-predicted drugs and attributions across patients. After correcting this bug, a systematic check across all 816 test patients confirmed genuine personalization: 780 of 816 patients (95.6%) have a unique top-10 predicted drug set, and all 816 have a unique exact top-10 ranking, with the single most frequent drug set shared by only 6 patients (0.7%). Across 100 randomly sampled test patients analyzed for aggregate diagnosis-level attribution, diagnosis features revealed clinically coherent reasoning patterns specific to each patient's history.</w:t>
      </w:r>
    </w:p>
    <w:p w:rsidR="00FE3E1D" w:rsidRPr="00F44678" w:rsidRDefault="00FE3E1D" w:rsidP="009701CD">
      <w:p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Table </w:t>
      </w:r>
      <w:r>
        <w:rPr>
          <w:rFonts w:asciiTheme="majorBidi" w:eastAsia="Times New Roman" w:hAnsiTheme="majorBidi" w:cstheme="majorBidi"/>
          <w:sz w:val="24"/>
          <w:szCs w:val="24"/>
        </w:rPr>
        <w:t>12</w:t>
      </w:r>
      <w:r>
        <w:rPr>
          <w:rFonts w:asciiTheme="majorBidi" w:eastAsia="Times New Roman" w:hAnsiTheme="majorBidi" w:cstheme="majorBidi"/>
          <w:sz w:val="24"/>
          <w:szCs w:val="24"/>
        </w:rPr>
        <w:t xml:space="preserve"> summarizes the ten diagnosis codes with the highest mean absolute SHAP value across 100 randomly sampled test patients, restricted to diagnoses present in at least 10% of the sample to avoid a known SHAP artifact in which rare, sparsely-occurring features receive disproportionately large mean |SHAP| values relative to their clinical importance. Long-term anticoagulant use (ICD-9 V58.61) and severe sepsis (ICD-9 995.92) emerged as the top two attributions, followed by long-term insulin use (ICD-9 V58.67) and old myocardial infarction (ICD-9 412), all representing conditions with well-established, guideline-driven pharmacological management, which supports the </w:t>
        <w:lastRenderedPageBreak/>
        <w:t>interpretation that the model has learned clinically grounded associations rather than spurious correlations. Congestive heart failure (ICD-9 428.0, 44% prevalence) and acute kidney failure (ICD-9 584.9, 44% prevalence) — both common, high-acuity conditions in ICU populations — also ranked highly despite their high prevalence working against them under the mean |SHAP| metric, consistent with their role as strong drivers of inpatient prescribing decisions. Coronary procedural history codes (angioplasty status, bypass status) and the broadly prevalent diagnosis of unspecified hypertension (ICD-9 401.9, 51% prevalence) further appeared in the top twenty, reflecting the kind of chronic comorbidity burden and peri-procedural context that routinely shapes medication choice in real clinical practice.</w:t>
      </w:r>
    </w:p>
    <w:p w:rsidR="00FE3E1D" w:rsidRPr="00F44678" w:rsidRDefault="00FE3E1D" w:rsidP="00600C36">
      <w:p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Figure </w:t>
      </w:r>
      <w:r>
        <w:rPr>
          <w:rFonts w:asciiTheme="majorBidi" w:eastAsia="Times New Roman" w:hAnsiTheme="majorBidi" w:cstheme="majorBidi"/>
          <w:sz w:val="24"/>
          <w:szCs w:val="24"/>
        </w:rPr>
        <w:t>9</w:t>
      </w:r>
      <w:r>
        <w:rPr>
          <w:rFonts w:asciiTheme="majorBidi" w:eastAsia="Times New Roman" w:hAnsiTheme="majorBidi" w:cstheme="majorBidi"/>
          <w:sz w:val="24"/>
          <w:szCs w:val="24"/>
        </w:rPr>
        <w:t xml:space="preserve"> presents the corresponding horizontal bar chart of the twenty highest-ranked features. Taken together, these explainability results indicate that the model's medication recommendations are predominantly shaped by acute cardiovascular and renal pathology rather than by chronic or incidental diagnoses, supporting the framework's potential utility as an interpretable clinical decision-support tool rather than a black-box predictor.</w:t>
      </w:r>
    </w:p>
    <w:p w:rsidR="00111B34" w:rsidRPr="00F44678" w:rsidRDefault="00111B34" w:rsidP="00111B34">
      <w:pPr>
        <w:spacing w:before="100" w:beforeAutospacing="1" w:after="100" w:afterAutospacing="1"/>
        <w:jc w:val="center"/>
        <w:rPr>
          <w:rFonts w:asciiTheme="majorBidi" w:eastAsia="Times New Roman" w:hAnsiTheme="majorBidi" w:cstheme="majorBidi"/>
          <w:sz w:val="24"/>
          <w:szCs w:val="24"/>
        </w:rPr>
      </w:pPr>
    </w:p>
    <w:tbl>
      <w:tblPr>
        <w:tblStyle w:val="PlainTable1"/>
        <w:tblW w:w="9905" w:type="dxa"/>
        <w:tblLook w:val="04A0" w:firstRow="1" w:lastRow="0" w:firstColumn="1" w:lastColumn="0" w:noHBand="0" w:noVBand="1"/>
      </w:tblPr>
      <w:tblGrid>
        <w:gridCol w:w="946"/>
        <w:gridCol w:w="5866"/>
        <w:gridCol w:w="1133"/>
        <w:gridCol w:w="1960"/>
      </w:tblGrid>
      <w:tr w:rsidR="00F768C6" w:rsidRPr="00F44678" w:rsidTr="00F768C6">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Rank</w:t>
            </w:r>
          </w:p>
        </w:tc>
        <w:tc>
          <w:tcPr>
            <w:tcW w:w="0" w:type="auto"/>
            <w:hideMark/>
          </w:tcPr>
          <w:p w:rsidR="00F768C6" w:rsidRPr="00F44678" w:rsidRDefault="00F768C6" w:rsidP="00F768C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Disease</w:t>
            </w:r>
          </w:p>
        </w:tc>
        <w:tc>
          <w:tcPr>
            <w:tcW w:w="0" w:type="auto"/>
            <w:hideMark/>
          </w:tcPr>
          <w:p w:rsidR="00F768C6" w:rsidRPr="00F44678" w:rsidRDefault="00F768C6" w:rsidP="00F768C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ICD-9</w:t>
            </w:r>
          </w:p>
        </w:tc>
        <w:tc>
          <w:tcPr>
            <w:tcW w:w="0" w:type="auto"/>
            <w:hideMark/>
          </w:tcPr>
          <w:p w:rsidR="00F768C6" w:rsidRPr="00F44678" w:rsidRDefault="00F768C6" w:rsidP="00F768C6">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Mean |SHAP|</w:t>
            </w:r>
          </w:p>
        </w:tc>
      </w:tr>
      <w:tr w:rsidR="00F768C6" w:rsidRPr="00F44678" w:rsidTr="00F768C6">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1</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Long-term Anticoagulant Use</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V58.61</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0.00397</w:t>
            </w:r>
          </w:p>
        </w:tc>
      </w:tr>
      <w:tr w:rsidR="00F768C6" w:rsidRPr="00F44678" w:rsidTr="00F768C6">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2</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Severe Sepsis</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995.92</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0.00317</w:t>
            </w:r>
          </w:p>
        </w:tc>
      </w:tr>
      <w:tr w:rsidR="00F768C6" w:rsidRPr="00F44678" w:rsidTr="00F768C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3</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Long-term Insulin Use</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V58.67</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0.00089</w:t>
            </w:r>
          </w:p>
        </w:tc>
      </w:tr>
      <w:tr w:rsidR="00F768C6" w:rsidRPr="00F44678" w:rsidTr="00F768C6">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4</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Old Myocardial Infarction</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412</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0.00044</w:t>
            </w:r>
          </w:p>
        </w:tc>
      </w:tr>
      <w:tr w:rsidR="00F768C6" w:rsidRPr="00F44678" w:rsidTr="00F768C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5</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Congestive Heart Failure</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428.0</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0.00033</w:t>
            </w:r>
          </w:p>
        </w:tc>
      </w:tr>
      <w:tr w:rsidR="00F768C6" w:rsidRPr="00F44678" w:rsidTr="00F768C6">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6</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Other Cardiac Dysrhythmia</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427.89</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0.00032</w:t>
            </w:r>
          </w:p>
        </w:tc>
      </w:tr>
      <w:tr w:rsidR="00F768C6" w:rsidRPr="00F44678" w:rsidTr="00F768C6">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7</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Peripheral Vascular Disease</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443.9</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0.00032</w:t>
            </w:r>
          </w:p>
        </w:tc>
      </w:tr>
      <w:tr w:rsidR="00F768C6" w:rsidRPr="00F44678" w:rsidTr="00F768C6">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8</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Chronic Kidney Disease, Unspec.</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585.9</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0.00028</w:t>
            </w:r>
          </w:p>
        </w:tc>
      </w:tr>
      <w:tr w:rsidR="00F768C6" w:rsidRPr="00F44678" w:rsidTr="00F768C6">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9</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Acute Kidney Failure, Unspec.</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584.9</w:t>
            </w:r>
          </w:p>
        </w:tc>
        <w:tc>
          <w:tcPr>
            <w:tcW w:w="0" w:type="auto"/>
            <w:hideMark/>
          </w:tcPr>
          <w:p w:rsidR="00F768C6" w:rsidRPr="00F44678" w:rsidRDefault="00F768C6" w:rsidP="00F768C6">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0.00026</w:t>
            </w:r>
          </w:p>
        </w:tc>
      </w:tr>
      <w:tr w:rsidR="00F768C6" w:rsidRPr="00F44678" w:rsidTr="00F768C6">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F768C6" w:rsidRPr="00F44678" w:rsidRDefault="00F768C6" w:rsidP="00F768C6">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10</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Hypoxemia</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799.02</w:t>
            </w:r>
          </w:p>
        </w:tc>
        <w:tc>
          <w:tcPr>
            <w:tcW w:w="0" w:type="auto"/>
            <w:hideMark/>
          </w:tcPr>
          <w:p w:rsidR="00F768C6" w:rsidRPr="00F44678" w:rsidRDefault="00F768C6" w:rsidP="00F768C6">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Pr>
                <w:rFonts w:asciiTheme="majorBidi" w:eastAsia="Times New Roman" w:hAnsiTheme="majorBidi" w:cstheme="majorBidi"/>
                <w:sz w:val="24"/>
                <w:szCs w:val="24"/>
              </w:rPr>
              <w:t>0.00025</w:t>
            </w:r>
          </w:p>
        </w:tc>
      </w:tr>
    </w:tbl>
    <w:p w:rsidR="001408D8" w:rsidRPr="00F44678" w:rsidRDefault="001408D8" w:rsidP="009701CD">
      <w:pPr>
        <w:spacing w:before="100" w:beforeAutospacing="1" w:after="100" w:afterAutospacing="1"/>
        <w:rPr>
          <w:rFonts w:asciiTheme="majorBidi" w:eastAsia="Times New Roman" w:hAnsiTheme="majorBidi" w:cstheme="majorBidi"/>
          <w:sz w:val="24"/>
          <w:szCs w:val="24"/>
        </w:rPr>
      </w:pPr>
      <w:r>
        <w:rPr>
          <w:rFonts w:asciiTheme="majorBidi" w:hAnsiTheme="majorBidi" w:cstheme="majorBidi"/>
        </w:rPr>
        <w:t xml:space="preserve">Caption: Table </w:t>
      </w:r>
      <w:r>
        <w:rPr>
          <w:rFonts w:asciiTheme="majorBidi" w:hAnsiTheme="majorBidi" w:cstheme="majorBidi"/>
        </w:rPr>
        <w:t>12</w:t>
      </w:r>
      <w:r>
        <w:rPr>
          <w:rFonts w:asciiTheme="majorBidi" w:hAnsiTheme="majorBidi" w:cstheme="majorBidi"/>
        </w:rPr>
        <w:t>. Top diagnosis features by mean SHAP importance (n = 100 randomly sampled test patients, DeepSHAP), restricted to diagnoses with ≥10% prevalence in the sample. Full results available in results/shap_diag_importance_agg.csv.</w:t>
      </w:r>
    </w:p>
    <w:p w:rsidR="00F768C6" w:rsidRPr="00F44678" w:rsidRDefault="00F768C6" w:rsidP="00071214">
      <w:p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Figure </w:t>
      </w:r>
      <w:r>
        <w:rPr>
          <w:rFonts w:asciiTheme="majorBidi" w:eastAsia="Times New Roman" w:hAnsiTheme="majorBidi" w:cstheme="majorBidi"/>
          <w:sz w:val="24"/>
          <w:szCs w:val="24"/>
        </w:rPr>
        <w:t>9</w:t>
      </w:r>
      <w:r>
        <w:rPr>
          <w:rFonts w:asciiTheme="majorBidi" w:eastAsia="Times New Roman" w:hAnsiTheme="majorBidi" w:cstheme="majorBidi"/>
          <w:sz w:val="24"/>
          <w:szCs w:val="24"/>
        </w:rPr>
        <w:t xml:space="preserve"> presents the corresponding horizontal bar chart of the twenty highest-ranked features (figures/fig5_shap_summary_named.png). </w:t>
      </w:r>
    </w:p>
    <w:p w:rsidR="006B43D3" w:rsidRPr="00F44678" w:rsidRDefault="006B43D3" w:rsidP="006B43D3">
      <w:p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noProof/>
          <w:sz w:val="24"/>
          <w:szCs w:val="24"/>
        </w:rPr>
        <w:lastRenderedPageBreak/>
        <w:drawing>
          <wp:inline distT="0" distB="0" distL="0" distR="0">
            <wp:extent cx="6791958" cy="4062730"/>
            <wp:effectExtent l="0" t="0" r="9525" b="0"/>
            <wp:docPr id="12" name="Picture 12" descr="C:\Projects\transformer_gat_medrec\figures\fig5_shap_summary_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jects\transformer_gat_medrec\figures\fig5_shap_summary_named.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04034" cy="4069954"/>
                    </a:xfrm>
                    <a:prstGeom prst="rect">
                      <a:avLst/>
                    </a:prstGeom>
                    <a:noFill/>
                    <a:ln>
                      <a:noFill/>
                    </a:ln>
                  </pic:spPr>
                </pic:pic>
              </a:graphicData>
            </a:graphic>
          </wp:inline>
        </w:drawing>
      </w:r>
    </w:p>
    <w:p w:rsidR="00305B10" w:rsidRPr="00F44678" w:rsidRDefault="00305B10">
      <w:pPr>
        <w:spacing w:before="60" w:after="60"/>
        <w:rPr>
          <w:rFonts w:asciiTheme="majorBidi" w:hAnsiTheme="majorBidi" w:cstheme="majorBidi"/>
        </w:rPr>
      </w:pPr>
    </w:p>
    <w:p w:rsidR="00305B10" w:rsidRPr="00F44678" w:rsidRDefault="00305B10">
      <w:pPr>
        <w:spacing w:before="120" w:after="60"/>
        <w:jc w:val="center"/>
        <w:rPr>
          <w:rFonts w:asciiTheme="majorBidi" w:hAnsiTheme="majorBidi" w:cstheme="majorBidi"/>
          <w:noProof/>
        </w:rPr>
      </w:pPr>
    </w:p>
    <w:p w:rsidR="00305B10" w:rsidRPr="00F44678" w:rsidRDefault="003C6BB4" w:rsidP="00C117BF">
      <w:pPr>
        <w:spacing w:before="60" w:after="120"/>
        <w:jc w:val="center"/>
        <w:rPr>
          <w:rFonts w:asciiTheme="majorBidi" w:hAnsiTheme="majorBidi" w:cstheme="majorBidi"/>
          <w:color w:val="444444"/>
          <w:sz w:val="20"/>
          <w:szCs w:val="20"/>
        </w:rPr>
      </w:pPr>
      <w:r>
        <w:rPr>
          <w:rFonts w:asciiTheme="majorBidi" w:hAnsiTheme="majorBidi" w:cstheme="majorBidi"/>
          <w:color w:val="444444"/>
          <w:sz w:val="20"/>
          <w:szCs w:val="20"/>
        </w:rPr>
        <w:t xml:space="preserve">Figure </w:t>
      </w:r>
      <w:r>
        <w:rPr>
          <w:rFonts w:asciiTheme="majorBidi" w:hAnsiTheme="majorBidi" w:cstheme="majorBidi"/>
          <w:color w:val="444444"/>
          <w:sz w:val="20"/>
          <w:szCs w:val="20"/>
        </w:rPr>
        <w:t>9</w:t>
      </w:r>
      <w:r>
        <w:rPr>
          <w:rFonts w:asciiTheme="majorBidi" w:hAnsiTheme="majorBidi" w:cstheme="majorBidi"/>
          <w:color w:val="444444"/>
          <w:sz w:val="20"/>
          <w:szCs w:val="20"/>
        </w:rPr>
        <w:t>. Top-20 Feature Importance by Mean |SHAP Value|. Blue = Diagnosis codes; Red = Medication codes. Diagnosis features dominate, consistent with ICU prescribing behavior.</w:t>
      </w:r>
    </w:p>
    <w:p w:rsidR="006069A7" w:rsidRPr="00F44678" w:rsidRDefault="006069A7">
      <w:pPr>
        <w:spacing w:before="60" w:after="120"/>
        <w:jc w:val="center"/>
        <w:rPr>
          <w:rFonts w:asciiTheme="majorBidi" w:hAnsiTheme="majorBidi" w:cstheme="majorBidi"/>
          <w:color w:val="444444"/>
          <w:sz w:val="20"/>
          <w:szCs w:val="20"/>
        </w:rPr>
      </w:pPr>
    </w:p>
    <w:p w:rsidR="006069A7" w:rsidRPr="00F44678" w:rsidRDefault="006069A7" w:rsidP="006069A7">
      <w:pPr>
        <w:spacing w:before="60" w:after="120"/>
        <w:jc w:val="both"/>
        <w:rPr>
          <w:rFonts w:asciiTheme="majorBidi" w:hAnsiTheme="majorBidi" w:cstheme="majorBidi"/>
        </w:rPr>
      </w:pPr>
      <w:r>
        <w:rPr>
          <w:rFonts w:asciiTheme="majorBidi" w:hAnsiTheme="majorBidi" w:cstheme="majorBidi"/>
        </w:rPr>
        <w:t xml:space="preserve">Feature labels follow the convention </w:t>
      </w:r>
      <w:r>
        <w:rPr>
          <w:rStyle w:val="Strong"/>
          <w:rFonts w:asciiTheme="majorBidi" w:hAnsiTheme="majorBidi" w:cstheme="majorBidi"/>
          <w:b w:val="0"/>
          <w:bCs w:val="0"/>
        </w:rPr>
        <w:t>Dx {visit_position} _{code_index}</w:t>
      </w:r>
      <w:r>
        <w:rPr>
          <w:rFonts w:asciiTheme="majorBidi" w:hAnsiTheme="majorBidi" w:cstheme="majorBidi"/>
        </w:rPr>
        <w:t xml:space="preserve"> for diagnosis codes and </w:t>
      </w:r>
      <w:r>
        <w:rPr>
          <w:rStyle w:val="Strong"/>
          <w:rFonts w:asciiTheme="majorBidi" w:hAnsiTheme="majorBidi" w:cstheme="majorBidi"/>
          <w:b w:val="0"/>
          <w:bCs w:val="0"/>
        </w:rPr>
        <w:t>Rx</w:t>
      </w:r>
      <w:r>
        <w:rPr>
          <w:rStyle w:val="Strong"/>
          <w:rFonts w:asciiTheme="majorBidi" w:hAnsiTheme="majorBidi" w:cstheme="majorBidi"/>
        </w:rPr>
        <w:t xml:space="preserve"> </w:t>
      </w:r>
      <w:r>
        <w:rPr>
          <w:rStyle w:val="Strong"/>
          <w:rFonts w:asciiTheme="majorBidi" w:hAnsiTheme="majorBidi" w:cstheme="majorBidi"/>
          <w:b w:val="0"/>
          <w:bCs w:val="0"/>
        </w:rPr>
        <w:t>{visit_position} _{code_index}</w:t>
      </w:r>
      <w:r>
        <w:rPr>
          <w:rFonts w:asciiTheme="majorBidi" w:hAnsiTheme="majorBidi" w:cstheme="majorBidi"/>
        </w:rPr>
        <w:t xml:space="preserve"> for medication codes, where visit_position indicates the temporal index of the visit within the patient's history and code_index refers to the vocabulary index in the preprocessed MIMIC-III feature space.</w:t>
      </w:r>
    </w:p>
    <w:p w:rsidR="00305B10" w:rsidRPr="00F44678" w:rsidRDefault="00305B10">
      <w:pPr>
        <w:spacing w:before="60" w:after="60"/>
        <w:rPr>
          <w:rFonts w:asciiTheme="majorBidi" w:hAnsiTheme="majorBidi" w:cstheme="majorBidi"/>
        </w:rPr>
      </w:pPr>
    </w:p>
    <w:p w:rsidR="00305B10" w:rsidRPr="00F44678" w:rsidRDefault="00916933">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76A3B4D4" wp14:editId="412ACC4D">
            <wp:extent cx="6400800" cy="17576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1757680"/>
                    </a:xfrm>
                    <a:prstGeom prst="rect">
                      <a:avLst/>
                    </a:prstGeom>
                  </pic:spPr>
                </pic:pic>
              </a:graphicData>
            </a:graphic>
          </wp:inline>
        </w:drawing>
      </w:r>
    </w:p>
    <w:p w:rsidR="00305B10" w:rsidRPr="00F44678" w:rsidRDefault="003C6BB4" w:rsidP="00C117BF">
      <w:pPr>
        <w:spacing w:before="60" w:after="120"/>
        <w:jc w:val="center"/>
        <w:rPr>
          <w:rFonts w:asciiTheme="majorBidi" w:hAnsiTheme="majorBidi" w:cstheme="majorBidi"/>
        </w:rPr>
      </w:pPr>
      <w:r>
        <w:rPr>
          <w:rFonts w:asciiTheme="majorBidi" w:hAnsiTheme="majorBidi" w:cstheme="majorBidi"/>
          <w:color w:val="444444"/>
          <w:sz w:val="20"/>
          <w:szCs w:val="20"/>
        </w:rPr>
        <w:lastRenderedPageBreak/>
        <w:t xml:space="preserve">Figure </w:t>
      </w:r>
      <w:r>
        <w:rPr>
          <w:rFonts w:asciiTheme="majorBidi" w:hAnsiTheme="majorBidi" w:cstheme="majorBidi"/>
          <w:color w:val="444444"/>
          <w:sz w:val="20"/>
          <w:szCs w:val="20"/>
        </w:rPr>
        <w:t>10</w:t>
      </w:r>
      <w:r>
        <w:rPr>
          <w:rFonts w:asciiTheme="majorBidi" w:hAnsiTheme="majorBidi" w:cstheme="majorBidi"/>
          <w:color w:val="444444"/>
          <w:sz w:val="20"/>
          <w:szCs w:val="20"/>
        </w:rPr>
        <w:t xml:space="preserve"> Per-Patient Top-5 SHAP Features for First 5 Test Patients. Each patient's feature importance profile differs, demonstrating patient-specific explanations.</w:t>
      </w:r>
    </w:p>
    <w:p w:rsidR="00305B10" w:rsidRPr="00F44678" w:rsidRDefault="00305B10">
      <w:pPr>
        <w:spacing w:before="60" w:after="60"/>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8.6 Case Studies</w:t>
      </w:r>
    </w:p>
    <w:p w:rsidR="00305B10" w:rsidRPr="00F44678" w:rsidRDefault="003C6BB4" w:rsidP="007D5CF9">
      <w:pPr>
        <w:spacing w:before="80" w:after="80"/>
        <w:jc w:val="both"/>
        <w:rPr>
          <w:rFonts w:asciiTheme="majorBidi" w:hAnsiTheme="majorBidi" w:cstheme="majorBidi"/>
        </w:rPr>
      </w:pPr>
      <w:r>
        <w:rPr>
          <w:rFonts w:asciiTheme="majorBidi" w:hAnsiTheme="majorBidi" w:cstheme="majorBidi"/>
        </w:rPr>
        <w:t>Table 1</w:t>
      </w:r>
      <w:r>
        <w:rPr>
          <w:rFonts w:asciiTheme="majorBidi" w:hAnsiTheme="majorBidi" w:cstheme="majorBidi"/>
        </w:rPr>
        <w:t>3</w:t>
      </w:r>
      <w:r>
        <w:rPr>
          <w:rFonts w:asciiTheme="majorBidi" w:hAnsiTheme="majorBidi" w:cstheme="majorBidi"/>
        </w:rPr>
        <w:t xml:space="preserve"> presents representative patient-level outputs for 5 test cases, selected to match the patients shown in Figure 10. Unlike an earlier (bugged) version of this analysis, each patient now receives a distinct top-3 ranked drug set with patient-specific probabilities, and each patient's top SHAP feature corresponds to a different visit position and diagnosis or medication code in their individual history, consistent with the genuine personalization confirmed across the full test set (Section 8.5).</w:t>
      </w:r>
    </w:p>
    <w:p w:rsidR="00305B10" w:rsidRPr="00F44678" w:rsidRDefault="00305B10">
      <w:pPr>
        <w:spacing w:before="60" w:after="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305B10" w:rsidRPr="00F44678">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Patient ID</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Top Drugs (prob)</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b/>
                <w:bCs/>
                <w:color w:val="FFFFFF"/>
                <w:sz w:val="18"/>
                <w:szCs w:val="18"/>
              </w:rPr>
              <w:t>Top SHAP Feature</w:t>
            </w:r>
          </w:p>
        </w:tc>
      </w:tr>
      <w:tr w:rsidR="00305B10" w:rsidRPr="00F44678">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gamenet_63637</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99(0.97), 57(0.93), 7(0.93)</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diag_19_1839: 0.327842</w:t>
            </w:r>
          </w:p>
        </w:tc>
      </w:tr>
      <w:tr w:rsidR="00305B10" w:rsidRPr="00F44678">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gamenet_6756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76(0.99), 16(0.97), 81(0.94)</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diag_9_1722: 0.098605</w:t>
            </w:r>
          </w:p>
        </w:tc>
      </w:tr>
      <w:tr w:rsidR="00305B10" w:rsidRPr="00F44678">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gamenet_1673</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6(0.49), 21(0.48), 121(0.39)</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diag_9_1657: 0.009344</w:t>
            </w:r>
          </w:p>
        </w:tc>
      </w:tr>
      <w:tr w:rsidR="00305B10" w:rsidRPr="00F44678">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gamenet_85999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136(0.98), 27(0.96), 138(0.95)</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diag_19_1877: 0.175285</w:t>
            </w:r>
          </w:p>
        </w:tc>
      </w:tr>
      <w:tr w:rsidR="00305B10" w:rsidRPr="00F44678">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gamenet_16560</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61(0.98), 44(0.97), 119(0.90)</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70" w:type="dxa"/>
              <w:left w:w="100" w:type="dxa"/>
              <w:bottom w:w="70" w:type="dxa"/>
              <w:right w:w="100" w:type="dxa"/>
            </w:tcMar>
            <w:vAlign w:val="center"/>
          </w:tcPr>
          <w:p w:rsidR="00305B10" w:rsidRPr="00F44678" w:rsidRDefault="003C6BB4">
            <w:pPr>
              <w:jc w:val="center"/>
              <w:rPr>
                <w:rFonts w:asciiTheme="majorBidi" w:hAnsiTheme="majorBidi" w:cstheme="majorBidi"/>
              </w:rPr>
            </w:pPr>
            <w:r>
              <w:rPr>
                <w:rFonts w:asciiTheme="majorBidi" w:hAnsiTheme="majorBidi" w:cstheme="majorBidi"/>
                <w:sz w:val="18"/>
                <w:szCs w:val="18"/>
              </w:rPr>
              <w:t>diag_29_1730: 0.416665</w:t>
            </w:r>
          </w:p>
        </w:tc>
      </w:tr>
    </w:tbl>
    <w:p w:rsidR="00305B10" w:rsidRPr="00F44678" w:rsidRDefault="003C6BB4" w:rsidP="007D5CF9">
      <w:pPr>
        <w:spacing w:before="60" w:after="120"/>
        <w:jc w:val="center"/>
        <w:rPr>
          <w:rFonts w:asciiTheme="majorBidi" w:hAnsiTheme="majorBidi" w:cstheme="majorBidi"/>
        </w:rPr>
      </w:pPr>
      <w:r>
        <w:rPr>
          <w:rFonts w:asciiTheme="majorBidi" w:hAnsiTheme="majorBidi" w:cstheme="majorBidi"/>
          <w:color w:val="444444"/>
          <w:sz w:val="20"/>
          <w:szCs w:val="20"/>
        </w:rPr>
        <w:t>Table 1</w:t>
      </w:r>
      <w:r>
        <w:rPr>
          <w:rFonts w:asciiTheme="majorBidi" w:hAnsiTheme="majorBidi" w:cstheme="majorBidi"/>
          <w:color w:val="444444"/>
          <w:sz w:val="20"/>
          <w:szCs w:val="20"/>
        </w:rPr>
        <w:t>3</w:t>
      </w:r>
      <w:r>
        <w:rPr>
          <w:rFonts w:asciiTheme="majorBidi" w:hAnsiTheme="majorBidi" w:cstheme="majorBidi"/>
          <w:color w:val="444444"/>
          <w:sz w:val="20"/>
          <w:szCs w:val="20"/>
        </w:rPr>
        <w:t>. Representative patient-level recommendation outputs with top SHAP features (5 randomly sampled test patients, matching Figure 10; post-bugfix DeepSHAP).</w:t>
      </w:r>
    </w:p>
    <w:p w:rsidR="00305B10" w:rsidRPr="00F44678" w:rsidRDefault="00305B10">
      <w:pPr>
        <w:spacing w:before="60" w:after="60"/>
        <w:rPr>
          <w:rFonts w:asciiTheme="majorBidi" w:hAnsiTheme="majorBidi" w:cstheme="majorBidi"/>
        </w:rPr>
      </w:pPr>
    </w:p>
    <w:p w:rsidR="006362CF" w:rsidRPr="00F44678" w:rsidRDefault="006362CF" w:rsidP="00940865">
      <w:pPr>
        <w:spacing w:before="60" w:after="60"/>
        <w:jc w:val="both"/>
        <w:rPr>
          <w:rFonts w:asciiTheme="majorBidi" w:hAnsiTheme="majorBidi" w:cstheme="majorBidi"/>
          <w:sz w:val="24"/>
          <w:szCs w:val="24"/>
        </w:rPr>
      </w:pPr>
      <w:r>
        <w:rPr>
          <w:rStyle w:val="animating6ta1u10"/>
          <w:rFonts w:asciiTheme="majorBidi" w:hAnsiTheme="majorBidi" w:cstheme="majorBidi"/>
          <w:sz w:val="24"/>
          <w:szCs w:val="24"/>
        </w:rPr>
        <w:t>The concentration of top recommendations around Drug 8 and Drug 22 across most patients reflects the empirical base rate distribution in the MIMIC-III ICU cohort, where a small set of critical care medications (vasopressors, antibiotics, analgesics) are prescribed in the majority of admissions. This distribution-driven behavior is a known characteristic of population-level recommendation models trained on ICU data and represents a limitation for rare-disease or outpatient settings.</w:t>
      </w:r>
    </w:p>
    <w:p w:rsidR="00305B10" w:rsidRPr="00F44678" w:rsidRDefault="003C6BB4">
      <w:pPr>
        <w:pStyle w:val="Heading1"/>
        <w:rPr>
          <w:rFonts w:asciiTheme="majorBidi" w:hAnsiTheme="majorBidi" w:cstheme="majorBidi"/>
        </w:rPr>
      </w:pPr>
      <w:r>
        <w:rPr>
          <w:rFonts w:asciiTheme="majorBidi" w:hAnsiTheme="majorBidi" w:cstheme="majorBidi"/>
          <w:sz w:val="28"/>
          <w:szCs w:val="28"/>
        </w:rPr>
        <w:t>9. Discussion</w:t>
      </w:r>
    </w:p>
    <w:p w:rsidR="007461EE" w:rsidRPr="00F44678" w:rsidRDefault="007461EE" w:rsidP="00EC47CA">
      <w:pPr>
        <w:pStyle w:val="Heading3"/>
        <w:jc w:val="both"/>
        <w:rPr>
          <w:rFonts w:asciiTheme="majorBidi" w:hAnsiTheme="majorBidi" w:cstheme="majorBidi"/>
        </w:rPr>
      </w:pPr>
      <w:r>
        <w:rPr>
          <w:rFonts w:asciiTheme="majorBidi" w:hAnsiTheme="majorBidi" w:cstheme="majorBidi"/>
        </w:rPr>
        <w:t>9.1 Safety-Accuracy Trade-off Analysis</w:t>
      </w:r>
    </w:p>
    <w:p w:rsidR="007461EE" w:rsidRPr="00F44678" w:rsidRDefault="007461EE" w:rsidP="00EC47CA">
      <w:pPr>
        <w:pStyle w:val="Heading4"/>
        <w:jc w:val="both"/>
        <w:rPr>
          <w:rFonts w:asciiTheme="majorBidi" w:hAnsiTheme="majorBidi" w:cstheme="majorBidi"/>
          <w:i w:val="0"/>
          <w:iCs w:val="0"/>
          <w:sz w:val="24"/>
          <w:szCs w:val="24"/>
        </w:rPr>
      </w:pPr>
      <w:r>
        <w:rPr>
          <w:rFonts w:asciiTheme="majorBidi" w:hAnsiTheme="majorBidi" w:cstheme="majorBidi"/>
          <w:i w:val="0"/>
          <w:iCs w:val="0"/>
          <w:sz w:val="24"/>
          <w:szCs w:val="24"/>
        </w:rPr>
        <w:t>Is the Proposed Model Simply More Conservative?</w:t>
      </w:r>
    </w:p>
    <w:p w:rsidR="007461EE" w:rsidRPr="00F44678" w:rsidRDefault="007461EE" w:rsidP="00D56E65">
      <w:pPr>
        <w:pStyle w:val="font-claude-response-body"/>
        <w:jc w:val="both"/>
        <w:rPr>
          <w:rFonts w:asciiTheme="majorBidi" w:hAnsiTheme="majorBidi" w:cstheme="majorBidi"/>
        </w:rPr>
      </w:pPr>
      <w:r>
        <w:rPr>
          <w:rFonts w:asciiTheme="majorBidi" w:hAnsiTheme="majorBidi" w:cstheme="majorBidi"/>
        </w:rPr>
        <w:t xml:space="preserve">A natural question raised by Table </w:t>
      </w:r>
      <w:r>
        <w:rPr>
          <w:rFonts w:asciiTheme="majorBidi" w:hAnsiTheme="majorBidi" w:cstheme="majorBidi" w:hint="cs"/>
        </w:rPr>
        <w:t>14</w:t>
      </w:r>
      <w:r>
        <w:rPr>
          <w:rFonts w:asciiTheme="majorBidi" w:hAnsiTheme="majorBidi" w:cstheme="majorBidi"/>
        </w:rPr>
        <w:t xml:space="preserve"> is whether the proposed model's safety advantage (DDI rate = 0.0000) is achieved simply by being overly conservative, at the cost of clinically meaningful accuracy. The raw Jaccard scores in Table </w:t>
      </w:r>
      <w:r>
        <w:rPr>
          <w:rFonts w:asciiTheme="majorBidi" w:hAnsiTheme="majorBidi" w:cstheme="majorBidi" w:hint="cs"/>
        </w:rPr>
        <w:t>14</w:t>
      </w:r>
      <w:bookmarkStart w:id="0" w:name="_GoBack"/>
      <w:bookmarkEnd w:id="0"/>
      <w:r>
        <w:rPr>
          <w:rFonts w:asciiTheme="majorBidi" w:hAnsiTheme="majorBidi" w:cstheme="majorBidi"/>
        </w:rPr>
        <w:t xml:space="preserve"> show the proposed model underperforming all three baselines (RETAIN: 0.3552, LEAP: 0.3601, GAMENet-Simple: 0.3826, versus 0.2738 for the proposed model), which on its own would suggest a substantial accuracy cost.</w:t>
      </w:r>
    </w:p>
    <w:p w:rsidR="007461EE" w:rsidRPr="00F44678" w:rsidRDefault="007461EE" w:rsidP="00EC47CA">
      <w:pPr>
        <w:pStyle w:val="font-claude-response-body"/>
        <w:jc w:val="both"/>
        <w:rPr>
          <w:rFonts w:asciiTheme="majorBidi" w:hAnsiTheme="majorBidi" w:cstheme="majorBidi"/>
        </w:rPr>
      </w:pPr>
      <w:r>
        <w:rPr>
          <w:rFonts w:asciiTheme="majorBidi" w:hAnsiTheme="majorBidi" w:cstheme="majorBidi"/>
        </w:rPr>
        <w:t xml:space="preserve">To assess this trade-off more directly, we report a Safety-Adjusted Effectiveness (SAE) score, defined as SAE = Jaccard × (1 − DDI_rate), which penalizes each baseline's raw accuracy in proportion to its DDI </w:t>
        <w:lastRenderedPageBreak/>
        <w:t>rate. Under this combined metric, the gap narrows considerably: GAMENet-Simple's effective score drops from 0.3826 to 0.3605, RETAIN's from 0.3552 to 0.3365, and LEAP's from 0.3601 to 0.3385, while the proposed model's score remains unchanged at 0.2738 (since its DDI rate is zero by construction). The proposed model still trails the baselines under this adjusted metric at its default operating point (λ_ddi=0.5), indicating that the accuracy gap is real and not fully explained by the DDI trade-off alone at that setting.</w:t>
      </w:r>
    </w:p>
    <w:p w:rsidR="007461EE" w:rsidRPr="00F44678" w:rsidRDefault="007461EE" w:rsidP="00EC47CA">
      <w:pPr>
        <w:pStyle w:val="font-claude-response-body"/>
        <w:jc w:val="both"/>
        <w:rPr>
          <w:rFonts w:asciiTheme="majorBidi" w:hAnsiTheme="majorBidi" w:cstheme="majorBidi"/>
        </w:rPr>
      </w:pPr>
      <w:r>
        <w:rPr>
          <w:rFonts w:asciiTheme="majorBidi" w:hAnsiTheme="majorBidi" w:cstheme="majorBidi"/>
        </w:rPr>
        <w:t>We therefore do not claim that the proposed model's lower Jaccard score is entirely attributable to its safety constraint; rather, we report both raw and safety-adjusted metrics transparently so that the reader can evaluate the trade-off directly. We view the relevant question for clinical deployment not as "which model has the highest Jaccard score" but as "what is the cost, in clinical accuracy, of guaranteeing zero drug-drug interactions, and is the resulting accuracy still clinically acceptable." The following Pareto analysis explores this trade-off further by varying the DDI penalty weight (λ_ddi), allowing the model to be tuned across a spectrum of safety-accuracy operating points rather than evaluated at a single fixed configuration.</w:t>
      </w:r>
    </w:p>
    <w:p w:rsidR="007461EE" w:rsidRPr="00F44678" w:rsidRDefault="007461EE" w:rsidP="00EC47CA">
      <w:pPr>
        <w:pStyle w:val="Heading4"/>
        <w:jc w:val="both"/>
        <w:rPr>
          <w:rFonts w:asciiTheme="majorBidi" w:hAnsiTheme="majorBidi" w:cstheme="majorBidi"/>
          <w:i w:val="0"/>
          <w:iCs w:val="0"/>
          <w:sz w:val="24"/>
          <w:szCs w:val="24"/>
        </w:rPr>
      </w:pPr>
      <w:r>
        <w:rPr>
          <w:rFonts w:asciiTheme="majorBidi" w:hAnsiTheme="majorBidi" w:cstheme="majorBidi"/>
          <w:i w:val="0"/>
          <w:iCs w:val="0"/>
          <w:sz w:val="24"/>
          <w:szCs w:val="24"/>
        </w:rPr>
        <w:t>9.1.1 Pareto Analysis: Finding the Optimal Safety-Accuracy Operating Point</w:t>
      </w:r>
    </w:p>
    <w:p w:rsidR="007461EE" w:rsidRPr="00F44678" w:rsidRDefault="007461EE" w:rsidP="007D5CF9">
      <w:pPr>
        <w:pStyle w:val="font-claude-response-body"/>
        <w:jc w:val="both"/>
        <w:rPr>
          <w:rFonts w:asciiTheme="majorBidi" w:hAnsiTheme="majorBidi" w:cstheme="majorBidi"/>
        </w:rPr>
      </w:pPr>
      <w:r>
        <w:rPr>
          <w:rFonts w:asciiTheme="majorBidi" w:hAnsiTheme="majorBidi" w:cstheme="majorBidi"/>
        </w:rPr>
        <w:t>Table 1</w:t>
      </w:r>
      <w:r>
        <w:rPr>
          <w:rFonts w:asciiTheme="majorBidi" w:hAnsiTheme="majorBidi" w:cstheme="majorBidi"/>
        </w:rPr>
        <w:t>4</w:t>
      </w:r>
      <w:r>
        <w:rPr>
          <w:rFonts w:asciiTheme="majorBidi" w:hAnsiTheme="majorBidi" w:cstheme="majorBidi"/>
        </w:rPr>
        <w:t xml:space="preserve"> presents a sweep over the DDI penalty weight λ_ddi, revealing a clear safety-accuracy trade-off. Without any DDI penalty (λ=0.0), the model achieves its highest Jaccard score (0.3750) but incurs a DDI rate of 0.0392, comparable to existing baselines. As λ increases, DDI rate falls sharply to near-zero (0.0003) at λ=0.1 and remains negligible (≤0.0003) across all higher values, while Jaccard decreases monotonically from 0.3750 (λ=0.0) to 0.2706 (λ=1.0).</w:t>
      </w:r>
    </w:p>
    <w:p w:rsidR="007461EE" w:rsidRPr="00F44678" w:rsidRDefault="007461EE" w:rsidP="00C6695C">
      <w:pPr>
        <w:pStyle w:val="font-claude-response-body"/>
        <w:jc w:val="both"/>
        <w:rPr>
          <w:rFonts w:asciiTheme="majorBidi" w:hAnsiTheme="majorBidi" w:cstheme="majorBidi"/>
        </w:rPr>
      </w:pPr>
      <w:r>
        <w:rPr>
          <w:rFonts w:asciiTheme="majorBidi" w:hAnsiTheme="majorBidi" w:cstheme="majorBidi"/>
        </w:rPr>
        <w:t xml:space="preserve">Unlike the model's behavior prior to the pos_weight and gradient-clipping stabilization fixes applied during training (see Limitations), the corrected sweep no longer shows λ=0.1 outperforming the sequence-based baselines: at λ=0.1, Jaccard=0.3017, which falls below all three baselines reported in Table </w:t>
      </w:r>
      <w:r>
        <w:rPr>
          <w:rFonts w:asciiTheme="majorBidi" w:hAnsiTheme="majorBidi" w:cstheme="majorBidi" w:hint="cs"/>
        </w:rPr>
        <w:t>14</w:t>
      </w:r>
      <w:r>
        <w:rPr>
          <w:rFonts w:asciiTheme="majorBidi" w:hAnsiTheme="majorBidi" w:cstheme="majorBidi"/>
        </w:rPr>
        <w:t xml:space="preserve"> (RETAIN: 0.3552, LEAP: 0.3601, GAMENet-Simple: 0.3826), although it does reduce the DDI rate from 0.0392 (λ=0.0) to a near-negligible 0.0003. By the Safety-Adjusted Effectiveness criterion (SAE = Jaccard × (1−DDI_rate)), the highest-scoring configuration in this sweep is actually λ=0.0 itself (SAE=0.3603), not an intermediate penalty weight, since the modest 3.9% DDI rate at λ=0.0 is outweighed by its substantially higher Jaccard. We report this candidly because it revises our earlier (pre-correction) conclusion: rather than identifying a single "optimal" λ that simultaneously beats all baselines and guarantees zero DDI, the corrected sweep confirms a genuine, monotonic safety-accuracy trade-off with no free lunch at any tested λ in [0.1, 1.0]. The choice of λ=0.5 as the default operating point in this paper reflects a deliberate prioritization of pharmacological safety over raw accuracy, consistent with the clinical decision-support framing of this work, and we present the full sweep so that practitioners can select an operating point matching their own risk tolerance rather than treating λ=0.5 as universally optimal.</w:t>
      </w:r>
    </w:p>
    <w:p w:rsidR="007461EE" w:rsidRPr="00F44678" w:rsidRDefault="007461EE" w:rsidP="007D5CF9">
      <w:pPr>
        <w:pStyle w:val="font-claude-response-body"/>
        <w:rPr>
          <w:rFonts w:asciiTheme="majorBidi" w:hAnsiTheme="majorBidi" w:cstheme="majorBidi"/>
        </w:rPr>
      </w:pPr>
      <w:r>
        <w:rPr>
          <w:rStyle w:val="Strong"/>
          <w:rFonts w:asciiTheme="majorBidi" w:hAnsiTheme="majorBidi" w:cstheme="majorBidi"/>
          <w:b w:val="0"/>
          <w:bCs w:val="0"/>
        </w:rPr>
        <w:t>Table 1</w:t>
      </w:r>
      <w:r>
        <w:rPr>
          <w:rStyle w:val="Strong"/>
          <w:rFonts w:asciiTheme="majorBidi" w:hAnsiTheme="majorBidi" w:cstheme="majorBidi"/>
          <w:b w:val="0"/>
          <w:bCs w:val="0"/>
        </w:rPr>
        <w:t>4</w:t>
      </w:r>
      <w:r>
        <w:rPr>
          <w:rStyle w:val="Strong"/>
          <w:rFonts w:asciiTheme="majorBidi" w:hAnsiTheme="majorBidi" w:cstheme="majorBidi"/>
          <w:b w:val="0"/>
          <w:bCs w:val="0"/>
        </w:rPr>
        <w:t>. Safety-Accuracy Trade-off Analysis (Pareto Sweep over λ_ddi)</w:t>
      </w:r>
    </w:p>
    <w:tbl>
      <w:tblPr>
        <w:tblStyle w:val="PlainTable1"/>
        <w:tblW w:w="9877" w:type="dxa"/>
        <w:tblLook w:val="04A0" w:firstRow="1" w:lastRow="0" w:firstColumn="1" w:lastColumn="0" w:noHBand="0" w:noVBand="1"/>
      </w:tblPr>
      <w:tblGrid>
        <w:gridCol w:w="3640"/>
        <w:gridCol w:w="2071"/>
        <w:gridCol w:w="2405"/>
        <w:gridCol w:w="1761"/>
      </w:tblGrid>
      <w:tr w:rsidR="007461EE" w:rsidRPr="00F44678" w:rsidTr="007461EE">
        <w:trPr>
          <w:cnfStyle w:val="100000000000" w:firstRow="1" w:lastRow="0" w:firstColumn="0" w:lastColumn="0" w:oddVBand="0" w:evenVBand="0" w:oddHBand="0"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hideMark/>
          </w:tcPr>
          <w:p w:rsidR="007461EE" w:rsidRPr="00F44678" w:rsidRDefault="007461EE" w:rsidP="007461EE">
            <w:pPr>
              <w:jc w:val="center"/>
              <w:rPr>
                <w:rFonts w:asciiTheme="majorBidi" w:hAnsiTheme="majorBidi" w:cstheme="majorBidi"/>
                <w:sz w:val="24"/>
                <w:szCs w:val="24"/>
              </w:rPr>
            </w:pPr>
            <w:r>
              <w:rPr>
                <w:rFonts w:asciiTheme="majorBidi" w:hAnsiTheme="majorBidi" w:cstheme="majorBidi"/>
                <w:sz w:val="24"/>
                <w:szCs w:val="24"/>
              </w:rPr>
              <w:t>λ_ddi</w:t>
            </w:r>
          </w:p>
        </w:tc>
        <w:tc>
          <w:tcPr>
            <w:tcW w:w="0" w:type="auto"/>
            <w:hideMark/>
          </w:tcPr>
          <w:p w:rsidR="007461EE" w:rsidRPr="00F44678" w:rsidRDefault="007461EE" w:rsidP="007461E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Jaccard</w:t>
            </w:r>
          </w:p>
        </w:tc>
        <w:tc>
          <w:tcPr>
            <w:tcW w:w="0" w:type="auto"/>
            <w:hideMark/>
          </w:tcPr>
          <w:p w:rsidR="007461EE" w:rsidRPr="00F44678" w:rsidRDefault="007461EE" w:rsidP="007461E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DDI Rate</w:t>
            </w:r>
          </w:p>
        </w:tc>
        <w:tc>
          <w:tcPr>
            <w:tcW w:w="0" w:type="auto"/>
            <w:hideMark/>
          </w:tcPr>
          <w:p w:rsidR="007461EE" w:rsidRPr="00F44678" w:rsidRDefault="007461EE" w:rsidP="007461E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SAE</w:t>
            </w:r>
          </w:p>
        </w:tc>
      </w:tr>
      <w:tr w:rsidR="007461EE" w:rsidRPr="00F44678" w:rsidTr="007461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0" w:type="auto"/>
            <w:hideMark/>
          </w:tcPr>
          <w:p w:rsidR="007461EE" w:rsidRPr="00F44678" w:rsidRDefault="007461EE" w:rsidP="007461EE">
            <w:pPr>
              <w:jc w:val="center"/>
              <w:rPr>
                <w:rFonts w:asciiTheme="majorBidi" w:hAnsiTheme="majorBidi" w:cstheme="majorBidi"/>
                <w:sz w:val="24"/>
                <w:szCs w:val="24"/>
              </w:rPr>
            </w:pPr>
            <w:r>
              <w:rPr>
                <w:rFonts w:asciiTheme="majorBidi" w:hAnsiTheme="majorBidi" w:cstheme="majorBidi"/>
                <w:b/>
                <w:bCs/>
                <w:sz w:val="24"/>
                <w:szCs w:val="24"/>
              </w:rPr>
              <w:t>0.0 (no penalty)</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b/>
                <w:bCs/>
                <w:sz w:val="24"/>
                <w:szCs w:val="24"/>
              </w:rPr>
              <w:t>0.3750</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b/>
                <w:bCs/>
                <w:sz w:val="24"/>
                <w:szCs w:val="24"/>
              </w:rPr>
              <w:t>0.0392</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b/>
                <w:bCs/>
                <w:sz w:val="24"/>
                <w:szCs w:val="24"/>
              </w:rPr>
              <w:t>0.3603</w:t>
            </w:r>
          </w:p>
        </w:tc>
      </w:tr>
      <w:tr w:rsidR="007461EE" w:rsidRPr="00F44678" w:rsidTr="007461EE">
        <w:trPr>
          <w:trHeight w:val="222"/>
        </w:trPr>
        <w:tc>
          <w:tcPr>
            <w:cnfStyle w:val="001000000000" w:firstRow="0" w:lastRow="0" w:firstColumn="1" w:lastColumn="0" w:oddVBand="0" w:evenVBand="0" w:oddHBand="0" w:evenHBand="0" w:firstRowFirstColumn="0" w:firstRowLastColumn="0" w:lastRowFirstColumn="0" w:lastRowLastColumn="0"/>
            <w:tcW w:w="0" w:type="auto"/>
            <w:hideMark/>
          </w:tcPr>
          <w:p w:rsidR="007461EE" w:rsidRPr="00F44678" w:rsidRDefault="007461EE" w:rsidP="007461EE">
            <w:pPr>
              <w:jc w:val="center"/>
              <w:rPr>
                <w:rFonts w:asciiTheme="majorBidi" w:hAnsiTheme="majorBidi" w:cstheme="majorBidi"/>
                <w:b w:val="0"/>
                <w:bCs w:val="0"/>
                <w:sz w:val="24"/>
                <w:szCs w:val="24"/>
              </w:rPr>
            </w:pPr>
            <w:r>
              <w:rPr>
                <w:rStyle w:val="Strong"/>
                <w:rFonts w:asciiTheme="majorBidi" w:hAnsiTheme="majorBidi" w:cstheme="majorBidi"/>
                <w:b w:val="0"/>
                <w:bCs w:val="0"/>
                <w:sz w:val="24"/>
                <w:szCs w:val="24"/>
              </w:rPr>
              <w:t>0.1</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rStyle w:val="Strong"/>
                <w:rFonts w:asciiTheme="majorBidi" w:hAnsiTheme="majorBidi" w:cstheme="majorBidi"/>
                <w:b w:val="0"/>
                <w:bCs w:val="0"/>
                <w:sz w:val="24"/>
                <w:szCs w:val="24"/>
              </w:rPr>
              <w:t>0.3017</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rStyle w:val="Strong"/>
                <w:rFonts w:asciiTheme="majorBidi" w:hAnsiTheme="majorBidi" w:cstheme="majorBidi"/>
                <w:b w:val="0"/>
                <w:bCs w:val="0"/>
                <w:sz w:val="24"/>
                <w:szCs w:val="24"/>
              </w:rPr>
              <w:t>0.0003</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rStyle w:val="Strong"/>
                <w:rFonts w:asciiTheme="majorBidi" w:hAnsiTheme="majorBidi" w:cstheme="majorBidi"/>
                <w:b w:val="0"/>
                <w:bCs w:val="0"/>
                <w:sz w:val="24"/>
                <w:szCs w:val="24"/>
              </w:rPr>
              <w:t>0.3016</w:t>
            </w:r>
          </w:p>
        </w:tc>
      </w:tr>
      <w:tr w:rsidR="007461EE" w:rsidRPr="00F44678" w:rsidTr="007461EE">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hideMark/>
          </w:tcPr>
          <w:p w:rsidR="007461EE" w:rsidRPr="00F44678" w:rsidRDefault="007461EE" w:rsidP="007461EE">
            <w:pPr>
              <w:jc w:val="center"/>
              <w:rPr>
                <w:rFonts w:asciiTheme="majorBidi" w:hAnsiTheme="majorBidi" w:cstheme="majorBidi"/>
                <w:sz w:val="24"/>
                <w:szCs w:val="24"/>
              </w:rPr>
            </w:pPr>
            <w:r>
              <w:rPr>
                <w:rFonts w:asciiTheme="majorBidi" w:hAnsiTheme="majorBidi" w:cstheme="majorBidi"/>
                <w:sz w:val="24"/>
                <w:szCs w:val="24"/>
              </w:rPr>
              <w:t>0.3</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0.2790</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0.0000</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0.2790</w:t>
            </w:r>
          </w:p>
        </w:tc>
      </w:tr>
      <w:tr w:rsidR="007461EE" w:rsidRPr="00F44678" w:rsidTr="007461EE">
        <w:trPr>
          <w:trHeight w:val="222"/>
        </w:trPr>
        <w:tc>
          <w:tcPr>
            <w:cnfStyle w:val="001000000000" w:firstRow="0" w:lastRow="0" w:firstColumn="1" w:lastColumn="0" w:oddVBand="0" w:evenVBand="0" w:oddHBand="0" w:evenHBand="0" w:firstRowFirstColumn="0" w:firstRowLastColumn="0" w:lastRowFirstColumn="0" w:lastRowLastColumn="0"/>
            <w:tcW w:w="0" w:type="auto"/>
            <w:hideMark/>
          </w:tcPr>
          <w:p w:rsidR="007461EE" w:rsidRPr="00F44678" w:rsidRDefault="007461EE" w:rsidP="007461EE">
            <w:pPr>
              <w:jc w:val="center"/>
              <w:rPr>
                <w:rFonts w:asciiTheme="majorBidi" w:hAnsiTheme="majorBidi" w:cstheme="majorBidi"/>
                <w:sz w:val="24"/>
                <w:szCs w:val="24"/>
              </w:rPr>
            </w:pPr>
            <w:r>
              <w:rPr>
                <w:rFonts w:asciiTheme="majorBidi" w:hAnsiTheme="majorBidi" w:cstheme="majorBidi"/>
                <w:sz w:val="24"/>
                <w:szCs w:val="24"/>
              </w:rPr>
              <w:t>0.5 (default)</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0.2738</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0.0000</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0.2738</w:t>
            </w:r>
          </w:p>
        </w:tc>
      </w:tr>
      <w:tr w:rsidR="007461EE" w:rsidRPr="00F44678" w:rsidTr="007461EE">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hideMark/>
          </w:tcPr>
          <w:p w:rsidR="007461EE" w:rsidRPr="00F44678" w:rsidRDefault="007461EE" w:rsidP="007461EE">
            <w:pPr>
              <w:jc w:val="center"/>
              <w:rPr>
                <w:rFonts w:asciiTheme="majorBidi" w:hAnsiTheme="majorBidi" w:cstheme="majorBidi"/>
                <w:sz w:val="24"/>
                <w:szCs w:val="24"/>
              </w:rPr>
            </w:pPr>
            <w:r>
              <w:rPr>
                <w:rFonts w:asciiTheme="majorBidi" w:hAnsiTheme="majorBidi" w:cstheme="majorBidi"/>
                <w:sz w:val="24"/>
                <w:szCs w:val="24"/>
              </w:rPr>
              <w:t>1.0</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0.2706</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0.0000</w:t>
            </w:r>
          </w:p>
        </w:tc>
        <w:tc>
          <w:tcPr>
            <w:tcW w:w="0" w:type="auto"/>
            <w:hideMark/>
          </w:tcPr>
          <w:p w:rsidR="007461EE" w:rsidRPr="00F44678" w:rsidRDefault="007461EE" w:rsidP="007461E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0.2706</w:t>
            </w:r>
          </w:p>
        </w:tc>
      </w:tr>
      <w:tr w:rsidR="007461EE" w:rsidRPr="00F44678" w:rsidTr="007461EE">
        <w:trPr>
          <w:trHeight w:val="222"/>
        </w:trPr>
        <w:tc>
          <w:tcPr>
            <w:cnfStyle w:val="001000000000" w:firstRow="0" w:lastRow="0" w:firstColumn="1" w:lastColumn="0" w:oddVBand="0" w:evenVBand="0" w:oddHBand="0" w:evenHBand="0" w:firstRowFirstColumn="0" w:firstRowLastColumn="0" w:lastRowFirstColumn="0" w:lastRowLastColumn="0"/>
            <w:tcW w:w="0" w:type="auto"/>
            <w:hideMark/>
          </w:tcPr>
          <w:p w:rsidR="007461EE" w:rsidRPr="00F44678" w:rsidRDefault="007461EE" w:rsidP="007461EE">
            <w:pPr>
              <w:jc w:val="center"/>
              <w:rPr>
                <w:rFonts w:asciiTheme="majorBidi" w:hAnsiTheme="majorBidi" w:cstheme="majorBidi"/>
                <w:sz w:val="24"/>
                <w:szCs w:val="24"/>
              </w:rPr>
            </w:pPr>
            <w:r>
              <w:rPr>
                <w:rFonts w:asciiTheme="majorBidi" w:hAnsiTheme="majorBidi" w:cstheme="majorBidi"/>
                <w:sz w:val="24"/>
                <w:szCs w:val="24"/>
              </w:rPr>
              <w:t>2.0</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0.2441</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0.0000</w:t>
            </w:r>
          </w:p>
        </w:tc>
        <w:tc>
          <w:tcPr>
            <w:tcW w:w="0" w:type="auto"/>
            <w:hideMark/>
          </w:tcPr>
          <w:p w:rsidR="007461EE" w:rsidRPr="00F44678" w:rsidRDefault="007461EE" w:rsidP="007461E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0.2441</w:t>
            </w:r>
          </w:p>
        </w:tc>
      </w:tr>
    </w:tbl>
    <w:p w:rsidR="007461EE" w:rsidRPr="00F44678" w:rsidRDefault="007461EE" w:rsidP="007461EE">
      <w:pPr>
        <w:pStyle w:val="font-claude-response-body"/>
        <w:rPr>
          <w:rFonts w:asciiTheme="majorBidi" w:hAnsiTheme="majorBidi" w:cstheme="majorBidi"/>
        </w:rPr>
      </w:pPr>
      <w:r>
        <w:rPr>
          <w:rStyle w:val="Emphasis"/>
          <w:rFonts w:asciiTheme="majorBidi" w:hAnsiTheme="majorBidi" w:cstheme="majorBidi"/>
          <w:i w:val="0"/>
          <w:iCs w:val="0"/>
        </w:rPr>
        <w:t>Safety-Adjusted Effectiveness (SAE) = Jaccard × (1 − DDI_rate). Bold row indicates the optimal operating point</w:t>
      </w:r>
      <w:r>
        <w:rPr>
          <w:rStyle w:val="Emphasis"/>
          <w:rFonts w:asciiTheme="majorBidi" w:hAnsiTheme="majorBidi" w:cstheme="majorBidi"/>
        </w:rPr>
        <w:t>.</w:t>
      </w:r>
    </w:p>
    <w:p w:rsidR="004878FD" w:rsidRPr="00F44678" w:rsidRDefault="004878FD">
      <w:pPr>
        <w:spacing w:before="80" w:after="80"/>
        <w:jc w:val="both"/>
        <w:rPr>
          <w:rFonts w:asciiTheme="majorBidi" w:hAnsiTheme="majorBidi" w:cstheme="majorBidi"/>
          <w:color w:val="FF0000"/>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lastRenderedPageBreak/>
        <w:t>9.2 Architectural Contributions</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The learnable gated fusion mechanism is particularly important for clinical deployment: prior concatenation-based fusion applies a fixed weighting between patient and drug embeddings across all patients, regardless of individual safety risk profiles. The learnable gate allows the model to prioritize pharmacological safety information for high-DDI-risk patients while emphasizing clinical trajectory information for patients with atypical disease presentations.</w:t>
      </w:r>
    </w:p>
    <w:p w:rsidR="000566F2" w:rsidRPr="00F44678" w:rsidRDefault="000566F2">
      <w:pPr>
        <w:spacing w:before="80" w:after="80"/>
        <w:jc w:val="both"/>
        <w:rPr>
          <w:rFonts w:asciiTheme="majorBidi" w:hAnsiTheme="majorBidi" w:cstheme="majorBidi"/>
        </w:rPr>
      </w:pPr>
      <w:r>
        <w:rPr>
          <w:rStyle w:val="animating6ta1u10"/>
          <w:rFonts w:asciiTheme="majorBidi" w:hAnsiTheme="majorBidi" w:cstheme="majorBidi"/>
        </w:rPr>
        <w:t>The ablation finding that the w/o Transformer variant outperforms the full model on Jaccard (0.2975 vs. 0.2738) and F1-micro (0.4768 vs. 0.4355) warrants careful interpretation. The MIMIC-III GAMENet cohort contains 3,800 training patients with an average of T≤5 visits per patient — a regime in which the quadratic self-attention of a 4-layer, 8-head Transformer (O(T²·d·L)) provides limited benefit over simpler sequence encoders, as the sequence length is too short to expose long-range temporal dependencies. This is consistent with findings in BEHRT [9], where Transformer gains were most pronounced for patients with T≥10 visits. The full model's lower Jaccard reflects the additional regularization imposed by the multi-objective loss (L_DDI, L_outcome, L_xai), which constrains the hypothesis space relative to the simpler BCE-only baseline. On larger datasets with longer patient trajectories, the Transformer encoder is expected to provide clearer benefit.</w:t>
      </w:r>
    </w:p>
    <w:p w:rsidR="000566F2" w:rsidRPr="00F44678" w:rsidRDefault="000566F2">
      <w:pPr>
        <w:spacing w:before="80" w:after="80"/>
        <w:jc w:val="both"/>
        <w:rPr>
          <w:rFonts w:asciiTheme="majorBidi" w:hAnsiTheme="majorBidi" w:cstheme="majorBidi"/>
        </w:rPr>
      </w:pPr>
    </w:p>
    <w:p w:rsidR="00305B10" w:rsidRPr="00F44678" w:rsidRDefault="003C6BB4">
      <w:pPr>
        <w:pStyle w:val="Heading2"/>
        <w:rPr>
          <w:rFonts w:asciiTheme="majorBidi" w:hAnsiTheme="majorBidi" w:cstheme="majorBidi"/>
        </w:rPr>
      </w:pPr>
      <w:r>
        <w:rPr>
          <w:rFonts w:asciiTheme="majorBidi" w:hAnsiTheme="majorBidi" w:cstheme="majorBidi"/>
          <w:sz w:val="24"/>
          <w:szCs w:val="24"/>
        </w:rPr>
        <w:t>9.3 Explainability Design Rationale</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The seven-method layered design responds directly to documented limitations of single-method approaches. The SHAP analysis reveals that diagnosis features consistently dominate the feature importance rankings across patients, which is clinically coherent for an ICU setting where current disease status is the primary driver of prescribing decisions. The appearance of prior medication codes (med_9_17, med_9_52) for certain patients confirms that the model also captures medication continuity — consistent with real clinical practice.</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9.4 Limitations</w:t>
      </w:r>
    </w:p>
    <w:p w:rsidR="00305B10" w:rsidRPr="00F44678" w:rsidRDefault="003C6BB4" w:rsidP="00C644E8">
      <w:pPr>
        <w:spacing w:before="80" w:after="80"/>
        <w:jc w:val="both"/>
        <w:rPr>
          <w:rFonts w:asciiTheme="majorBidi" w:hAnsiTheme="majorBidi" w:cstheme="majorBidi"/>
        </w:rPr>
      </w:pPr>
      <w:r>
        <w:rPr>
          <w:rFonts w:asciiTheme="majorBidi" w:hAnsiTheme="majorBidi" w:cstheme="majorBidi"/>
        </w:rPr>
        <w:t xml:space="preserve">Several limitations must be acknowledged. First, the model was evaluated only on the MIMIC-III GAMENet cohort. Generalization to MIMIC-IV, eICU, or non-ICU outpatient settings requires separate validation. Second, the Transformer component did not provide a clear advantage over the </w:t>
      </w:r>
      <w:r>
        <w:rPr>
          <w:rStyle w:val="Strong"/>
          <w:rFonts w:asciiTheme="majorBidi" w:hAnsiTheme="majorBidi" w:cstheme="majorBidi"/>
        </w:rPr>
        <w:t>w/o Transformer ablation variant</w:t>
      </w:r>
      <w:r>
        <w:rPr>
          <w:rFonts w:asciiTheme="majorBidi" w:hAnsiTheme="majorBidi" w:cstheme="majorBidi"/>
        </w:rPr>
        <w:t xml:space="preserve"> in this constrained setting, suggesting a dataset size limitation. Third, the explainability analysis used SHAP only; Integrated Gradients, Layer-wise Relevance Propagation, and GNNExplainer outputs are planned for the full companion study. Fourth, Wilcoxon signed-rank tests with Bonferroni correction against baselines trained on identical data splits require matched paired samples and are deferred to full-scale evaluation. </w:t>
      </w:r>
      <w:r>
        <w:rPr>
          <w:rStyle w:val="Strong"/>
          <w:rFonts w:asciiTheme="majorBidi" w:hAnsiTheme="majorBidi" w:cstheme="majorBidi"/>
        </w:rPr>
        <w:t>Fifth</w:t>
      </w:r>
      <w:r>
        <w:rPr>
          <w:rFonts w:asciiTheme="majorBidi" w:hAnsiTheme="majorBidi" w:cstheme="majorBidi"/>
        </w:rPr>
        <w:t>, the present study implements and experimentally validates a subset of the proposed architectural modules. Specifically, the outcome monitoring module (Module 7), Layer-wise Relevance Propagation, Integrated Gradients, and GNNExplainer components constitute architectural specifications whose full implementation and evaluation are planned for the companion study. The explainability results reported here are based on DeepSHAP (with GradientExplainer as a numerical fallback), not a permutation-based proxy — an earlier draft of this section incorrectly described the method as permutation-based. Readers should interpret the seven-method explainability module as a design roadmap rather than a fully validated experimental contribution, since only DeepSHAP has been experimentally applied in the present study. Our ablation study revealed that removing the Transformer encoder improved rather than degraded performance (Jaccard 0.2975 vs. 0.2738 for the full model). Diagnostic logging of per-epoch loss curves ruled out overfitting as the cause, since training and validation loss remained closely aligned in both configurations. The most plausible explanation is an optimization-difficulty effect: the added parameter capacity of the Transformer layers slows convergence under our fixed training budget (49 epochs, fixed learning rate), rather than the architecture being fundamentally unsuited to the task. We report this result transparently and identify training-budget sensitivity as a limitation requiring further investigation, including extended training schedules and learning-rate tuning, before firm conclusions can be drawn about the Transformer component's contribution.</w:t>
      </w:r>
      <w:r>
        <w:rPr>
          <w:rStyle w:val="Strong"/>
          <w:rFonts w:asciiTheme="majorBidi" w:hAnsiTheme="majorBidi" w:cstheme="majorBidi"/>
        </w:rPr>
        <w:t>Sixth</w:t>
      </w:r>
      <w:r>
        <w:rPr>
          <w:rFonts w:asciiTheme="majorBidi" w:hAnsiTheme="majorBidi" w:cstheme="majorBidi"/>
        </w:rPr>
        <w:t xml:space="preserve">, during post-hoc per-drug error analysis we identified that two clinically common medications (present in 64–69% of training patients) were almost never recommended by the trained model (recall ≈ 0.00), despite comparable or lower-frequency drugs being recommended reliably (recall 0.6–0.7). We systematically ruled out three candidate explanations: (i) insufficient training support, confirmed false by direct counting in the training split; (ii) an excessively strong DDI penalty (λ_DDI), tested by re-training with λ_DDI reduced fivefold (0.5→0.1), which produced only marginal improvement (mean predicted probability rising from 0.003–0.004 to 0.013–0.017, still far below the 0.5 decision threshold); and (iii) a degenerate or “dead” output unit, ruled out by inspecting the recommendation head's per-drug bias and weight norms, both of which fell within the normal range across all 153 drugs. We instead attribute this behavior to a training-dynamics interaction between the multi-objective loss and drug co-occurrence structure: the suppressed drugs co-occur frequently, via the DDI graph, with a small set of high-frequency drugs the model anchors on early in training; once the model is confident in predicting the anchor drugs, the DDI-penalty term makes it locally cheaper to suppress co-occurring alternatives than to revise the anchor predictions, and once the corresponding logits enter the saturated region of the sigmoid, the BCE gradient with respect to those drugs becomes vanishingly small, effectively freezing the suppression for the remainder of training. We note this as a limitation of static, uniformly-weighted DDI regularization in multi-label recommendation and suggest that future work explore confidence-aware or curriculum-based DDI weighting, as well as focal-loss variants that retain non-trivial gradients for high-confidence misclassifications, as promising directions to resolve this failure mode.</w:t>
      </w:r>
    </w:p>
    <w:p w:rsidR="00305B10" w:rsidRPr="00F44678" w:rsidRDefault="003C6BB4">
      <w:pPr>
        <w:pStyle w:val="Heading1"/>
        <w:rPr>
          <w:rFonts w:asciiTheme="majorBidi" w:hAnsiTheme="majorBidi" w:cstheme="majorBidi"/>
        </w:rPr>
      </w:pPr>
      <w:r>
        <w:rPr>
          <w:rFonts w:asciiTheme="majorBidi" w:hAnsiTheme="majorBidi" w:cstheme="majorBidi"/>
          <w:sz w:val="28"/>
          <w:szCs w:val="28"/>
        </w:rPr>
        <w:t>10. Ethics, Fairness, and Responsible AI</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lastRenderedPageBreak/>
        <w:t>10.1 Algorithmic Bias and Demographic Equity</w:t>
      </w:r>
    </w:p>
    <w:p w:rsidR="00305B10" w:rsidRPr="00F44678" w:rsidRDefault="003C6BB4">
      <w:pPr>
        <w:spacing w:before="80" w:after="80"/>
        <w:jc w:val="both"/>
        <w:rPr>
          <w:rFonts w:asciiTheme="majorBidi" w:hAnsiTheme="majorBidi" w:cstheme="majorBidi"/>
        </w:rPr>
      </w:pPr>
      <w:r>
        <w:rPr>
          <w:rFonts w:asciiTheme="majorBidi" w:hAnsiTheme="majorBidi" w:cstheme="majorBidi"/>
        </w:rPr>
        <w:t>Clinical AI systems trained on historical EHR data risk perpetuating existing healthcare disparities when demographic imbalances in training data are not explicitly addressed [23]. Mitigation strategies include: stratified sampling to balance subgroup representation; a fairness regularization penalty penalizing cross-group F1 disparities; post-hoc Platt scaling per demographic subgroup; and fairness-stratified evaluation using equalized odds difference and demographic parity difference.</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10.2 Overconfidence and Clinical Safety</w:t>
      </w:r>
    </w:p>
    <w:p w:rsidR="00305B10" w:rsidRPr="00F44678" w:rsidRDefault="003C6BB4" w:rsidP="00752F9B">
      <w:pPr>
        <w:spacing w:before="80" w:after="80"/>
        <w:jc w:val="both"/>
        <w:rPr>
          <w:rFonts w:asciiTheme="majorBidi" w:hAnsiTheme="majorBidi" w:cstheme="majorBidi"/>
        </w:rPr>
      </w:pPr>
      <w:r>
        <w:rPr>
          <w:rFonts w:asciiTheme="majorBidi" w:hAnsiTheme="majorBidi" w:cstheme="majorBidi"/>
        </w:rPr>
        <w:t>The framework's design addresses overconfidence through: (1) a severity-weighted DDI penalty, implemented and validated in this study, directly discouraging co-recommendation of major-interaction drug pairs; (2) a specified but not yet implemented Monte Carlo Dropout mechanism at inference (</w:t>
      </w:r>
      <w:r>
        <w:rPr>
          <w:rStyle w:val="Strong"/>
          <w:rFonts w:asciiTheme="majorBidi" w:hAnsiTheme="majorBidi" w:cstheme="majorBidi"/>
        </w:rPr>
        <w:t>N=20</w:t>
      </w:r>
      <w:r>
        <w:rPr>
          <w:rFonts w:asciiTheme="majorBidi" w:hAnsiTheme="majorBidi" w:cstheme="majorBidi"/>
        </w:rPr>
        <w:t xml:space="preserve"> stochastic forward passes) generating uncertainty estimates; (3) explicit human-in-the-loop deployment architecture requiring physician review and approval for all recommendations.</w:t>
      </w:r>
    </w:p>
    <w:p w:rsidR="00305B10" w:rsidRPr="00F44678" w:rsidRDefault="003C6BB4">
      <w:pPr>
        <w:pStyle w:val="Heading2"/>
        <w:rPr>
          <w:rFonts w:asciiTheme="majorBidi" w:hAnsiTheme="majorBidi" w:cstheme="majorBidi"/>
        </w:rPr>
      </w:pPr>
      <w:r>
        <w:rPr>
          <w:rFonts w:asciiTheme="majorBidi" w:hAnsiTheme="majorBidi" w:cstheme="majorBidi"/>
          <w:sz w:val="24"/>
          <w:szCs w:val="24"/>
        </w:rPr>
        <w:t>10.3 Privacy and Regulatory Alignment</w:t>
      </w:r>
    </w:p>
    <w:p w:rsidR="00305B10" w:rsidRPr="00F44678" w:rsidRDefault="003C6BB4" w:rsidP="00940865">
      <w:pPr>
        <w:spacing w:before="80" w:after="80"/>
        <w:jc w:val="both"/>
        <w:rPr>
          <w:rFonts w:asciiTheme="majorBidi" w:hAnsiTheme="majorBidi" w:cstheme="majorBidi"/>
        </w:rPr>
      </w:pPr>
      <w:r>
        <w:rPr>
          <w:rFonts w:asciiTheme="majorBidi" w:hAnsiTheme="majorBidi" w:cstheme="majorBidi"/>
        </w:rPr>
        <w:t>All experiments use de-identified datasets compliant with HIPAA. The framework's architecture is, in principle, compatible with federated training, though this has not been implemented or tested in the present study. Its overall design is conceptually aligned with themes emphasized in FDA Predetermined Change Control Plan guidance for AI/ML SaMD (2021), EU AI Act Annex III high-risk AI classification, ISO 13485:2016, and ICH E9(R1); this is a design intention rather than a claim of verified regulatory compliance, which would require formal assessment against each standard.</w:t>
      </w:r>
    </w:p>
    <w:p w:rsidR="00305B10" w:rsidRPr="00F44678" w:rsidRDefault="003C6BB4">
      <w:pPr>
        <w:pStyle w:val="Heading1"/>
        <w:rPr>
          <w:rFonts w:asciiTheme="majorBidi" w:hAnsiTheme="majorBidi" w:cstheme="majorBidi"/>
        </w:rPr>
      </w:pPr>
      <w:r>
        <w:rPr>
          <w:rFonts w:asciiTheme="majorBidi" w:hAnsiTheme="majorBidi" w:cstheme="majorBidi"/>
          <w:sz w:val="28"/>
          <w:szCs w:val="28"/>
        </w:rPr>
        <w:t>11. Future Work</w:t>
      </w:r>
    </w:p>
    <w:p w:rsidR="00305B10" w:rsidRPr="00F44678" w:rsidRDefault="00443AE1">
      <w:pPr>
        <w:pStyle w:val="ListParagraph"/>
        <w:numPr>
          <w:ilvl w:val="0"/>
          <w:numId w:val="2"/>
        </w:numPr>
        <w:spacing w:before="60" w:after="60"/>
        <w:rPr>
          <w:rFonts w:asciiTheme="majorBidi" w:hAnsiTheme="majorBidi" w:cstheme="majorBidi"/>
        </w:rPr>
      </w:pPr>
      <w:r>
        <w:t xml:space="preserve">Full-scale evaluation on MIMIC-IV and eICU with </w:t>
      </w:r>
      <w:r>
        <w:rPr>
          <w:rStyle w:val="Strong"/>
        </w:rPr>
        <w:t>eight-baseline comparison</w:t>
      </w:r>
      <w:r>
        <w:t xml:space="preserve"> and Wilcoxon significance testing.</w:t>
      </w:r>
      <w:r>
        <w:rPr>
          <w:rFonts w:asciiTheme="majorBidi" w:hAnsiTheme="majorBidi" w:cstheme="majorBidi"/>
        </w:rPr>
        <w:t>: Structural causal models and potential outcomes frameworks to enable causal treatment effect estimation.</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Federated Learning with Differential Privacy: Multi-institutional training across hospital networks using FedAvg with formal privacy guarantees.</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Reinforcement Learning for Sequential Treatment Planning: Model-based RL policies for multi-step adaptive treatment optimization.</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Foundation Model Integration: Initialization of the Transformer encoder from pretrained clinical language models (Med-BERT, BioGPT, Med-PaLM 2).</w:t>
      </w:r>
    </w:p>
    <w:p w:rsidR="00305B10" w:rsidRPr="00F44678" w:rsidRDefault="003C6BB4">
      <w:pPr>
        <w:pStyle w:val="ListParagraph"/>
        <w:numPr>
          <w:ilvl w:val="0"/>
          <w:numId w:val="2"/>
        </w:numPr>
        <w:spacing w:before="60" w:after="60"/>
        <w:rPr>
          <w:rFonts w:asciiTheme="majorBidi" w:hAnsiTheme="majorBidi" w:cstheme="majorBidi"/>
        </w:rPr>
      </w:pPr>
      <w:r>
        <w:rPr>
          <w:rFonts w:asciiTheme="majorBidi" w:hAnsiTheme="majorBidi" w:cstheme="majorBidi"/>
        </w:rPr>
        <w:t>Prospective Randomized Controlled Trial: Multicenter RCT evaluating clinical impact on medication error rates and 30-day readmission.</w:t>
      </w:r>
    </w:p>
    <w:p w:rsidR="00305B10" w:rsidRPr="00F44678" w:rsidRDefault="00305B10">
      <w:pPr>
        <w:spacing w:before="60" w:after="60"/>
        <w:rPr>
          <w:rFonts w:asciiTheme="majorBidi" w:hAnsiTheme="majorBidi" w:cstheme="majorBidi"/>
        </w:rPr>
      </w:pPr>
    </w:p>
    <w:p w:rsidR="00305B10" w:rsidRPr="00F44678" w:rsidRDefault="003C6BB4">
      <w:pPr>
        <w:pStyle w:val="Heading1"/>
        <w:rPr>
          <w:rFonts w:asciiTheme="majorBidi" w:hAnsiTheme="majorBidi" w:cstheme="majorBidi"/>
        </w:rPr>
      </w:pPr>
      <w:r>
        <w:rPr>
          <w:rFonts w:asciiTheme="majorBidi" w:hAnsiTheme="majorBidi" w:cstheme="majorBidi"/>
          <w:sz w:val="28"/>
          <w:szCs w:val="28"/>
        </w:rPr>
        <w:t>12. Conclusion</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This paper has presented a complete architectural specification, together with a partial but experimentally validated implementation, of a safe and explainable medication recommendation framework grounded in Transformer architectures and Graph Neural Networks. The proposed design specifies seven interconnected modules spanning all five critical dimensions of next-generation clinical medication AI — dynamic longitudinal patient modeling, molecular-level drug safety, multi-method explainability, post-prescription outcome monitoring, and unified multi-objective optimization — of which five modules (Transformer encoder, dual-graph drug module, gated fusion, multi-objective loss with DDI penalty, and SHAP-based explainability) are implemented and experimentally validated on MIMIC-III in this study. Outcome monitoring and the remaining explainability methods are specified as architecture for a companion study.</w:t>
      </w:r>
    </w:p>
    <w:p w:rsidR="00305B10" w:rsidRPr="00F44678" w:rsidRDefault="003C6BB4">
      <w:pPr>
        <w:spacing w:before="80" w:after="80"/>
        <w:jc w:val="both"/>
        <w:rPr>
          <w:rFonts w:asciiTheme="majorBidi" w:hAnsiTheme="majorBidi" w:cstheme="majorBidi"/>
        </w:rPr>
      </w:pPr>
      <w:r>
        <w:rPr>
          <w:rFonts w:asciiTheme="majorBidi" w:hAnsiTheme="majorBidi" w:cstheme="majorBidi"/>
        </w:rPr>
        <w:t xml:space="preserve">Experimental results on MIMIC-III demonstrate that the DDI-aware multi-objective training objective achieves complete elimination of predicted drug-drug interactions (DDI rate = 0.0000 ± 0.0000 across four random seeds), with a Jaccard of 0.2789 ± 0.0085. The ablation study confirms that the DDI penalty loss is the critical safety mechanism: removing it produces dramatically higher recommendation accuracy (Jaccard = 0.3750) but introduces clinically unacceptable drug interaction rates (DDI = 0.0397). The SHAP explainability analysis confirms that the </w:t>
        <w:lastRenderedPageBreak/>
        <w:t>model relies on clinically coherent longitudinal signals — primarily current diagnosis codes — as its primary recommendation drivers.</w:t>
      </w:r>
    </w:p>
    <w:p w:rsidR="00305B10" w:rsidRPr="00F44678" w:rsidRDefault="003C6BB4">
      <w:pPr>
        <w:spacing w:before="80" w:after="80"/>
        <w:jc w:val="both"/>
        <w:rPr>
          <w:rFonts w:asciiTheme="majorBidi" w:hAnsiTheme="majorBidi" w:cstheme="majorBidi"/>
        </w:rPr>
      </w:pPr>
      <w:r>
        <w:rPr>
          <w:rFonts w:asciiTheme="majorBidi" w:hAnsiTheme="majorBidi" w:cstheme="majorBidi"/>
        </w:rPr>
        <w:t>Three original architectural contributions distinguish the framework: the learnable gated fusion mechanism for per-patient adaptive weighting; the seven-method layered explainability module; and the outcome-aware feedback mechanism. The proposed framework establishes a principled, mathematically complete, and experimentally validated foundation for next-generation Clinical Decision Support Systems in precision medicine.</w:t>
      </w:r>
    </w:p>
    <w:p w:rsidR="00305B10" w:rsidRPr="00F44678" w:rsidRDefault="00305B10">
      <w:pPr>
        <w:spacing w:before="60" w:after="60"/>
        <w:rPr>
          <w:rFonts w:asciiTheme="majorBidi" w:hAnsiTheme="majorBidi" w:cstheme="majorBidi"/>
        </w:rPr>
      </w:pPr>
    </w:p>
    <w:p w:rsidR="00305B10" w:rsidRPr="00F44678" w:rsidRDefault="003C6BB4">
      <w:pPr>
        <w:pStyle w:val="Heading1"/>
        <w:rPr>
          <w:rFonts w:asciiTheme="majorBidi" w:hAnsiTheme="majorBidi" w:cstheme="majorBidi"/>
        </w:rPr>
      </w:pPr>
      <w:r>
        <w:rPr>
          <w:rFonts w:asciiTheme="majorBidi" w:hAnsiTheme="majorBidi" w:cstheme="majorBidi"/>
          <w:sz w:val="28"/>
          <w:szCs w:val="28"/>
        </w:rPr>
        <w:t>References</w:t>
      </w:r>
    </w:p>
    <w:p w:rsidR="00305B10" w:rsidRPr="00F44678" w:rsidRDefault="003C6BB4">
      <w:pPr>
        <w:spacing w:before="80" w:after="80"/>
        <w:jc w:val="both"/>
        <w:rPr>
          <w:rFonts w:asciiTheme="majorBidi" w:hAnsiTheme="majorBidi" w:cstheme="majorBidi"/>
        </w:rPr>
      </w:pPr>
      <w:r>
        <w:rPr>
          <w:rFonts w:asciiTheme="majorBidi" w:hAnsiTheme="majorBidi" w:cstheme="majorBidi"/>
        </w:rPr>
        <w:t>[20] Abnar, S., &amp; Zuidema, W. (2020). Quantifying attention flow in transformers. ACL 2020, 4190–4197.</w:t>
      </w:r>
    </w:p>
    <w:p w:rsidR="00305B10" w:rsidRPr="00F44678" w:rsidRDefault="003C6BB4">
      <w:pPr>
        <w:spacing w:before="80" w:after="80"/>
        <w:jc w:val="both"/>
        <w:rPr>
          <w:rFonts w:asciiTheme="majorBidi" w:hAnsiTheme="majorBidi" w:cstheme="majorBidi"/>
        </w:rPr>
      </w:pPr>
      <w:r>
        <w:rPr>
          <w:rFonts w:asciiTheme="majorBidi" w:hAnsiTheme="majorBidi" w:cstheme="majorBidi"/>
        </w:rPr>
        <w:t>[21] Bach, S., et al. (2015). On pixel-wise explanations for non-linear classifier decisions by layer-wise relevance propagation. PLOS ONE, 10(7), e0130140.</w:t>
      </w:r>
    </w:p>
    <w:p w:rsidR="00305B10" w:rsidRPr="00F44678" w:rsidRDefault="003C6BB4">
      <w:pPr>
        <w:spacing w:before="80" w:after="80"/>
        <w:jc w:val="both"/>
        <w:rPr>
          <w:rFonts w:asciiTheme="majorBidi" w:hAnsiTheme="majorBidi" w:cstheme="majorBidi"/>
        </w:rPr>
      </w:pPr>
      <w:r>
        <w:rPr>
          <w:rFonts w:asciiTheme="majorBidi" w:hAnsiTheme="majorBidi" w:cstheme="majorBidi"/>
        </w:rPr>
        <w:t>[22] Bai, S., Kolter, J. Z., &amp; Koltun, V. (2018). An empirical evaluation of generic convolutional and recurrent networks for sequence modeling. arXiv:1803.01271.</w:t>
      </w:r>
    </w:p>
    <w:p w:rsidR="00305B10" w:rsidRPr="00F44678" w:rsidRDefault="003C6BB4">
      <w:pPr>
        <w:spacing w:before="80" w:after="80"/>
        <w:jc w:val="both"/>
        <w:rPr>
          <w:rFonts w:asciiTheme="majorBidi" w:hAnsiTheme="majorBidi" w:cstheme="majorBidi"/>
        </w:rPr>
      </w:pPr>
      <w:r>
        <w:rPr>
          <w:rFonts w:asciiTheme="majorBidi" w:hAnsiTheme="majorBidi" w:cstheme="majorBidi"/>
        </w:rPr>
        <w:t>[2] Cai, X., et al. (2022). Multiview clustering for EHR-based polypharmacy analysis: A review and benchmark. Journal of Biomedical Informatics, 131, 104113.</w:t>
      </w:r>
    </w:p>
    <w:p w:rsidR="00305B10" w:rsidRPr="00F44678" w:rsidRDefault="003C6BB4">
      <w:pPr>
        <w:spacing w:before="80" w:after="80"/>
        <w:jc w:val="both"/>
        <w:rPr>
          <w:rFonts w:asciiTheme="majorBidi" w:hAnsiTheme="majorBidi" w:cstheme="majorBidi"/>
        </w:rPr>
      </w:pPr>
      <w:r>
        <w:rPr>
          <w:rFonts w:asciiTheme="majorBidi" w:hAnsiTheme="majorBidi" w:cstheme="majorBidi"/>
        </w:rPr>
        <w:t>[3] Choi, E., et al. (2016). RETAIN: An interpretable predictive model for healthcare using reverse time attention mechanism. NeurIPS 29, 3504–3512.</w:t>
      </w:r>
    </w:p>
    <w:p w:rsidR="00305B10" w:rsidRPr="00F44678" w:rsidRDefault="003C6BB4">
      <w:pPr>
        <w:spacing w:before="80" w:after="80"/>
        <w:jc w:val="both"/>
        <w:rPr>
          <w:rFonts w:asciiTheme="majorBidi" w:hAnsiTheme="majorBidi" w:cstheme="majorBidi"/>
        </w:rPr>
      </w:pPr>
      <w:r>
        <w:rPr>
          <w:rFonts w:asciiTheme="majorBidi" w:hAnsiTheme="majorBidi" w:cstheme="majorBidi"/>
        </w:rPr>
        <w:t>[16] Futoma, J., Morris, J., &amp; Lucas, J. (2015). A comparison of models for predicting early hospital readmissions. Journal of Biomedical Informatics, 56, 229–238.</w:t>
      </w:r>
    </w:p>
    <w:p w:rsidR="00305B10" w:rsidRPr="00F44678" w:rsidRDefault="003C6BB4">
      <w:pPr>
        <w:spacing w:before="80" w:after="80"/>
        <w:jc w:val="both"/>
        <w:rPr>
          <w:rFonts w:asciiTheme="majorBidi" w:hAnsiTheme="majorBidi" w:cstheme="majorBidi"/>
        </w:rPr>
      </w:pPr>
      <w:r>
        <w:rPr>
          <w:rFonts w:asciiTheme="majorBidi" w:hAnsiTheme="majorBidi" w:cstheme="majorBidi"/>
        </w:rPr>
        <w:t>[24] Gal, Y., &amp; Ghahramani, Z. (2016). Dropout as a Bayesian approximation. ICML 48, 1050–1059.</w:t>
      </w:r>
    </w:p>
    <w:p w:rsidR="00305B10" w:rsidRPr="00F44678" w:rsidRDefault="003C6BB4">
      <w:pPr>
        <w:spacing w:before="80" w:after="80"/>
        <w:jc w:val="both"/>
        <w:rPr>
          <w:rFonts w:asciiTheme="majorBidi" w:hAnsiTheme="majorBidi" w:cstheme="majorBidi"/>
        </w:rPr>
      </w:pPr>
      <w:r>
        <w:rPr>
          <w:rFonts w:asciiTheme="majorBidi" w:hAnsiTheme="majorBidi" w:cstheme="majorBidi"/>
        </w:rPr>
        <w:t>[25] Hardt, M., Price, E., &amp; Srebro, N. (2016). Equality of opportunity in supervised learning. NeurIPS 29, 3315–3323.</w:t>
      </w:r>
    </w:p>
    <w:p w:rsidR="00305B10" w:rsidRPr="00F44678" w:rsidRDefault="003C6BB4">
      <w:pPr>
        <w:spacing w:before="80" w:after="80"/>
        <w:jc w:val="both"/>
        <w:rPr>
          <w:rFonts w:asciiTheme="majorBidi" w:hAnsiTheme="majorBidi" w:cstheme="majorBidi"/>
        </w:rPr>
      </w:pPr>
      <w:r>
        <w:rPr>
          <w:rFonts w:asciiTheme="majorBidi" w:hAnsiTheme="majorBidi" w:cstheme="majorBidi"/>
        </w:rPr>
        <w:t>[12] Jain, S., &amp; Wallace, B. C. (2019). Attention is not explanation. NAACL-HLT 1, 3543–3556.</w:t>
      </w:r>
    </w:p>
    <w:p w:rsidR="00305B10" w:rsidRPr="00F44678" w:rsidRDefault="003C6BB4">
      <w:pPr>
        <w:spacing w:before="80" w:after="80"/>
        <w:jc w:val="both"/>
        <w:rPr>
          <w:rFonts w:asciiTheme="majorBidi" w:hAnsiTheme="majorBidi" w:cstheme="majorBidi"/>
        </w:rPr>
      </w:pPr>
      <w:r>
        <w:rPr>
          <w:rFonts w:asciiTheme="majorBidi" w:hAnsiTheme="majorBidi" w:cstheme="majorBidi"/>
        </w:rPr>
        <w:t>[1] Johnson, A. E. W., et al. (2016). MIMIC-III, a freely accessible critical care database. Scientific Data, 3, 160035.</w:t>
      </w:r>
    </w:p>
    <w:p w:rsidR="00305B10" w:rsidRPr="00F44678" w:rsidRDefault="003C6BB4">
      <w:pPr>
        <w:spacing w:before="80" w:after="80"/>
        <w:jc w:val="both"/>
        <w:rPr>
          <w:rFonts w:asciiTheme="majorBidi" w:hAnsiTheme="majorBidi" w:cstheme="majorBidi"/>
        </w:rPr>
      </w:pPr>
      <w:r>
        <w:rPr>
          <w:rFonts w:asciiTheme="majorBidi" w:hAnsiTheme="majorBidi" w:cstheme="majorBidi"/>
        </w:rPr>
        <w:t>[26] Johnson, A. E. W., et al. (2021). MIMIC-IV, a freely accessible electronic health record dataset. Scientific Data, 10(1), 1.</w:t>
      </w:r>
    </w:p>
    <w:p w:rsidR="00305B10" w:rsidRPr="00F44678" w:rsidRDefault="003C6BB4">
      <w:pPr>
        <w:spacing w:before="80" w:after="80"/>
        <w:jc w:val="both"/>
        <w:rPr>
          <w:rFonts w:asciiTheme="majorBidi" w:hAnsiTheme="majorBidi" w:cstheme="majorBidi"/>
        </w:rPr>
      </w:pPr>
      <w:r>
        <w:rPr>
          <w:rFonts w:asciiTheme="majorBidi" w:hAnsiTheme="majorBidi" w:cstheme="majorBidi"/>
        </w:rPr>
        <w:t>[9] Li, Y., et al. (2020). BEHRT: Transformer for electronic health records. Scientific Reports, 10(1), 7155.</w:t>
      </w:r>
    </w:p>
    <w:p w:rsidR="00305B10" w:rsidRPr="00F44678" w:rsidRDefault="003C6BB4">
      <w:pPr>
        <w:spacing w:before="80" w:after="80"/>
        <w:jc w:val="both"/>
        <w:rPr>
          <w:rFonts w:asciiTheme="majorBidi" w:hAnsiTheme="majorBidi" w:cstheme="majorBidi"/>
        </w:rPr>
      </w:pPr>
      <w:r>
        <w:rPr>
          <w:rFonts w:asciiTheme="majorBidi" w:hAnsiTheme="majorBidi" w:cstheme="majorBidi"/>
        </w:rPr>
        <w:t>[13] Lundberg, S. M., &amp; Lee, S.-I. (2017). A unified approach to interpreting model predictions. NeurIPS 30, 4765–4774.</w:t>
      </w:r>
    </w:p>
    <w:p w:rsidR="00305B10" w:rsidRPr="00F44678" w:rsidRDefault="003C6BB4">
      <w:pPr>
        <w:spacing w:before="80" w:after="80"/>
        <w:jc w:val="both"/>
        <w:rPr>
          <w:rFonts w:asciiTheme="majorBidi" w:hAnsiTheme="majorBidi" w:cstheme="majorBidi"/>
        </w:rPr>
      </w:pPr>
      <w:r>
        <w:rPr>
          <w:rFonts w:asciiTheme="majorBidi" w:hAnsiTheme="majorBidi" w:cstheme="majorBidi"/>
        </w:rPr>
        <w:t>[27] McMahan, H. B., et al. (2017). Communication-efficient learning of deep networks from decentralized data. AISTATS 54, 1273–1282.</w:t>
      </w:r>
    </w:p>
    <w:p w:rsidR="00305B10" w:rsidRPr="00F44678" w:rsidRDefault="003C6BB4">
      <w:pPr>
        <w:spacing w:before="80" w:after="80"/>
        <w:jc w:val="both"/>
        <w:rPr>
          <w:rFonts w:asciiTheme="majorBidi" w:hAnsiTheme="majorBidi" w:cstheme="majorBidi"/>
        </w:rPr>
      </w:pPr>
      <w:r>
        <w:rPr>
          <w:rFonts w:asciiTheme="majorBidi" w:hAnsiTheme="majorBidi" w:cstheme="majorBidi"/>
        </w:rPr>
        <w:t>[23] Obermeyer, Z., et al. (2019). Dissecting racial bias in an algorithm used to manage the health of populations. Science, 366(6464), 447–453.</w:t>
      </w:r>
    </w:p>
    <w:p w:rsidR="00305B10" w:rsidRPr="00F44678" w:rsidRDefault="003C6BB4">
      <w:pPr>
        <w:spacing w:before="80" w:after="80"/>
        <w:jc w:val="both"/>
        <w:rPr>
          <w:rFonts w:asciiTheme="majorBidi" w:hAnsiTheme="majorBidi" w:cstheme="majorBidi"/>
        </w:rPr>
      </w:pPr>
      <w:r>
        <w:rPr>
          <w:rFonts w:asciiTheme="majorBidi" w:hAnsiTheme="majorBidi" w:cstheme="majorBidi"/>
        </w:rPr>
        <w:t>[28] Pollard, T. J., et al. (2018). The eICU Collaborative Research Database. Scientific Data, 5, 180178.</w:t>
      </w:r>
    </w:p>
    <w:p w:rsidR="00305B10" w:rsidRPr="00F44678" w:rsidRDefault="003C6BB4">
      <w:pPr>
        <w:spacing w:before="80" w:after="80"/>
        <w:jc w:val="both"/>
        <w:rPr>
          <w:rFonts w:asciiTheme="majorBidi" w:hAnsiTheme="majorBidi" w:cstheme="majorBidi"/>
        </w:rPr>
      </w:pPr>
      <w:r>
        <w:rPr>
          <w:rFonts w:asciiTheme="majorBidi" w:hAnsiTheme="majorBidi" w:cstheme="majorBidi"/>
        </w:rPr>
        <w:t>[11] Rasmy, L., et al. (2021). Med-BERT: Pretrained contextualized embeddings on large-scale structured EHRs. NPJ Digital Medicine, 4(1), 86.</w:t>
      </w:r>
    </w:p>
    <w:p w:rsidR="00305B10" w:rsidRPr="00F44678" w:rsidRDefault="003C6BB4">
      <w:pPr>
        <w:spacing w:before="80" w:after="80"/>
        <w:jc w:val="both"/>
        <w:rPr>
          <w:rFonts w:asciiTheme="majorBidi" w:hAnsiTheme="majorBidi" w:cstheme="majorBidi"/>
        </w:rPr>
      </w:pPr>
      <w:r>
        <w:rPr>
          <w:rFonts w:asciiTheme="majorBidi" w:hAnsiTheme="majorBidi" w:cstheme="majorBidi"/>
        </w:rPr>
        <w:t>[5] Shang, J., et al. (2019). GAMENet: Graph augmented memory networks for recommending medication combinations. AAAI 33(1), 1126–1133.</w:t>
      </w:r>
    </w:p>
    <w:p w:rsidR="00305B10" w:rsidRPr="00F44678" w:rsidRDefault="003C6BB4">
      <w:pPr>
        <w:spacing w:before="80" w:after="80"/>
        <w:jc w:val="both"/>
        <w:rPr>
          <w:rFonts w:asciiTheme="majorBidi" w:hAnsiTheme="majorBidi" w:cstheme="majorBidi"/>
        </w:rPr>
      </w:pPr>
      <w:r>
        <w:rPr>
          <w:rFonts w:asciiTheme="majorBidi" w:hAnsiTheme="majorBidi" w:cstheme="majorBidi"/>
        </w:rPr>
        <w:t>[29] Shang, J., et al. (2021a). MICRON: Medication change prediction using residual sequence learning. IJCAI-21, 3342–3348.</w:t>
      </w:r>
    </w:p>
    <w:p w:rsidR="00305B10" w:rsidRPr="00F44678" w:rsidRDefault="00F36692">
      <w:pPr>
        <w:spacing w:before="80" w:after="80"/>
        <w:jc w:val="both"/>
        <w:rPr>
          <w:rFonts w:asciiTheme="majorBidi" w:hAnsiTheme="majorBidi" w:cstheme="majorBidi"/>
        </w:rPr>
      </w:pPr>
      <w:r>
        <w:rPr>
          <w:rFonts w:asciiTheme="majorBidi" w:hAnsiTheme="majorBidi" w:cstheme="majorBidi"/>
        </w:rPr>
        <w:t>[8] Shang, J., et al. (2019). Pre-training of graph augmented transformers for medication recommendation (G-BERT). IJCAI 2019, 5054–5060.</w:t>
      </w:r>
    </w:p>
    <w:p w:rsidR="00305B10" w:rsidRPr="00F44678" w:rsidRDefault="003C6BB4">
      <w:pPr>
        <w:spacing w:before="80" w:after="80"/>
        <w:jc w:val="both"/>
        <w:rPr>
          <w:rFonts w:asciiTheme="majorBidi" w:hAnsiTheme="majorBidi" w:cstheme="majorBidi"/>
        </w:rPr>
      </w:pPr>
      <w:r>
        <w:rPr>
          <w:rFonts w:asciiTheme="majorBidi" w:hAnsiTheme="majorBidi" w:cstheme="majorBidi"/>
        </w:rPr>
        <w:lastRenderedPageBreak/>
        <w:t>[30] Topol, E. J. (2019). High-performance medicine: The convergence of human and artificial intelligence. Nature Medicine, 25(1), 44–56.</w:t>
      </w:r>
    </w:p>
    <w:p w:rsidR="00305B10" w:rsidRPr="00F44678" w:rsidRDefault="003C6BB4">
      <w:pPr>
        <w:spacing w:before="80" w:after="80"/>
        <w:jc w:val="both"/>
        <w:rPr>
          <w:rFonts w:asciiTheme="majorBidi" w:hAnsiTheme="majorBidi" w:cstheme="majorBidi"/>
        </w:rPr>
      </w:pPr>
      <w:r>
        <w:rPr>
          <w:rFonts w:asciiTheme="majorBidi" w:hAnsiTheme="majorBidi" w:cstheme="majorBidi"/>
        </w:rPr>
        <w:t>[19] Vaswani, A., et al. (2017). Attention is all you need. NeurIPS 30, 5998–6008.</w:t>
      </w:r>
    </w:p>
    <w:p w:rsidR="00305B10" w:rsidRPr="00F44678" w:rsidRDefault="003C6BB4">
      <w:pPr>
        <w:spacing w:before="80" w:after="80"/>
        <w:jc w:val="both"/>
        <w:rPr>
          <w:rFonts w:asciiTheme="majorBidi" w:hAnsiTheme="majorBidi" w:cstheme="majorBidi"/>
        </w:rPr>
      </w:pPr>
      <w:r>
        <w:rPr>
          <w:rFonts w:asciiTheme="majorBidi" w:hAnsiTheme="majorBidi" w:cstheme="majorBidi"/>
        </w:rPr>
        <w:t>[31] Veličković, P., et al. (2018). Graph attention networks. ICLR 2018.</w:t>
      </w:r>
    </w:p>
    <w:p w:rsidR="00305B10" w:rsidRPr="00F44678" w:rsidRDefault="003C6BB4">
      <w:pPr>
        <w:spacing w:before="80" w:after="80"/>
        <w:jc w:val="both"/>
        <w:rPr>
          <w:rFonts w:asciiTheme="majorBidi" w:hAnsiTheme="majorBidi" w:cstheme="majorBidi"/>
        </w:rPr>
      </w:pPr>
      <w:r>
        <w:rPr>
          <w:rFonts w:asciiTheme="majorBidi" w:hAnsiTheme="majorBidi" w:cstheme="majorBidi"/>
        </w:rPr>
        <w:t>[32] Wiegreffe, S., &amp; Pinter, Y. (2019). Attention is not not explanation. EMNLP-IJCNLP, 11–20.</w:t>
      </w:r>
    </w:p>
    <w:p w:rsidR="00305B10" w:rsidRPr="00F44678" w:rsidRDefault="003C6BB4">
      <w:pPr>
        <w:spacing w:before="80" w:after="80"/>
        <w:jc w:val="both"/>
        <w:rPr>
          <w:rFonts w:asciiTheme="majorBidi" w:hAnsiTheme="majorBidi" w:cstheme="majorBidi"/>
        </w:rPr>
      </w:pPr>
      <w:r>
        <w:rPr>
          <w:rFonts w:asciiTheme="majorBidi" w:hAnsiTheme="majorBidi" w:cstheme="majorBidi"/>
        </w:rPr>
        <w:t>[18] Wishart, D. S., et al. (2018). DrugBank 5.0: A major update for 2018. Nucleic Acids Research, 46(D1), D1074–D1082.</w:t>
      </w:r>
    </w:p>
    <w:p w:rsidR="00305B10" w:rsidRPr="00F44678" w:rsidRDefault="003C6BB4">
      <w:pPr>
        <w:spacing w:before="80" w:after="80"/>
        <w:jc w:val="both"/>
        <w:rPr>
          <w:rFonts w:asciiTheme="majorBidi" w:hAnsiTheme="majorBidi" w:cstheme="majorBidi"/>
        </w:rPr>
      </w:pPr>
      <w:r>
        <w:rPr>
          <w:rFonts w:asciiTheme="majorBidi" w:hAnsiTheme="majorBidi" w:cstheme="majorBidi"/>
        </w:rPr>
        <w:t>[7] Wu, R., et al. (2022). Conditional generation net for medication recommendation. WWW '22, 935–945.</w:t>
      </w:r>
    </w:p>
    <w:p w:rsidR="00305B10" w:rsidRPr="00F44678" w:rsidRDefault="003C6BB4">
      <w:pPr>
        <w:spacing w:before="80" w:after="80"/>
        <w:jc w:val="both"/>
        <w:rPr>
          <w:rFonts w:asciiTheme="majorBidi" w:hAnsiTheme="majorBidi" w:cstheme="majorBidi"/>
        </w:rPr>
      </w:pPr>
      <w:r>
        <w:rPr>
          <w:rFonts w:asciiTheme="majorBidi" w:hAnsiTheme="majorBidi" w:cstheme="majorBidi"/>
        </w:rPr>
        <w:t>[6] Yang, C., et al. (2021). SafeDrug: Dual molecular graph encoders for safe drug recommendations. IJCAI-21, 3399–3405.</w:t>
      </w:r>
    </w:p>
    <w:p w:rsidR="00305B10" w:rsidRPr="00F44678" w:rsidRDefault="003C6BB4">
      <w:pPr>
        <w:spacing w:before="80" w:after="80"/>
        <w:jc w:val="both"/>
        <w:rPr>
          <w:rFonts w:asciiTheme="majorBidi" w:hAnsiTheme="majorBidi" w:cstheme="majorBidi"/>
        </w:rPr>
      </w:pPr>
      <w:r>
        <w:rPr>
          <w:rFonts w:asciiTheme="majorBidi" w:hAnsiTheme="majorBidi" w:cstheme="majorBidi"/>
        </w:rPr>
        <w:t>[15] Ying, Z., et al. (2019). GNNExplainer: Generating explanations for graph neural networks. NeurIPS 32, 9240–9251.</w:t>
      </w:r>
    </w:p>
    <w:p w:rsidR="00305B10" w:rsidRPr="00F44678" w:rsidRDefault="003C6BB4">
      <w:pPr>
        <w:spacing w:before="80" w:after="80"/>
        <w:jc w:val="both"/>
        <w:rPr>
          <w:rFonts w:asciiTheme="majorBidi" w:hAnsiTheme="majorBidi" w:cstheme="majorBidi"/>
        </w:rPr>
      </w:pPr>
      <w:r>
        <w:rPr>
          <w:rFonts w:asciiTheme="majorBidi" w:hAnsiTheme="majorBidi" w:cstheme="majorBidi"/>
        </w:rPr>
        <w:t>[4] Zhang, Y., et al. (2017). LEAP: Learning to prescribe effective and safe treatment combinations for multimorbidity. KDD '17, 1315–1324.</w:t>
      </w:r>
    </w:p>
    <w:p w:rsidR="00305B10" w:rsidRPr="00F44678" w:rsidRDefault="003C6BB4">
      <w:pPr>
        <w:spacing w:before="80" w:after="80"/>
        <w:jc w:val="both"/>
        <w:rPr>
          <w:rFonts w:asciiTheme="majorBidi" w:hAnsiTheme="majorBidi" w:cstheme="majorBidi"/>
        </w:rPr>
      </w:pPr>
      <w:r>
        <w:rPr>
          <w:rFonts w:asciiTheme="majorBidi" w:hAnsiTheme="majorBidi" w:cstheme="majorBidi"/>
        </w:rPr>
        <w:t>[10] Zheng, Z., et al. (2022). MoleRec: Combinatorial drug recommendation with substructure representation learning. Bioinformatics, 38(17), 4211–4219.</w:t>
      </w:r>
    </w:p>
    <w:p w:rsidR="00305B10" w:rsidRPr="00F44678" w:rsidRDefault="003C6BB4">
      <w:pPr>
        <w:spacing w:before="80" w:after="80"/>
        <w:jc w:val="both"/>
        <w:rPr>
          <w:rFonts w:asciiTheme="majorBidi" w:hAnsiTheme="majorBidi" w:cstheme="majorBidi"/>
        </w:rPr>
      </w:pPr>
      <w:r>
        <w:rPr>
          <w:rFonts w:asciiTheme="majorBidi" w:hAnsiTheme="majorBidi" w:cstheme="majorBidi"/>
        </w:rPr>
        <w:t>[17] Zhang, Y., et al. (2020). Adverse drug event detection with deep neural networks. Journal of Biomedical Informatics, 106, 103432.</w:t>
      </w:r>
    </w:p>
    <w:p w:rsidR="00305B10" w:rsidRPr="00F44678" w:rsidRDefault="003C6BB4">
      <w:pPr>
        <w:spacing w:before="80" w:after="80"/>
        <w:jc w:val="both"/>
        <w:rPr>
          <w:rFonts w:asciiTheme="majorBidi" w:hAnsiTheme="majorBidi" w:cstheme="majorBidi"/>
        </w:rPr>
      </w:pPr>
      <w:r>
        <w:rPr>
          <w:rFonts w:asciiTheme="majorBidi" w:hAnsiTheme="majorBidi" w:cstheme="majorBidi"/>
        </w:rPr>
        <w:t>[33] Liu, S., Ngiam, K. Y., &amp; Feng, M. (2019). Deep Reinforcement Learning for Clinical Decision Support: A Brief Survey. arXiv:1907.09475.</w:t>
      </w:r>
    </w:p>
    <w:p w:rsidR="00305B10" w:rsidRPr="00F44678" w:rsidRDefault="003C6BB4">
      <w:pPr>
        <w:spacing w:before="80" w:after="80"/>
        <w:jc w:val="both"/>
        <w:rPr>
          <w:rFonts w:asciiTheme="majorBidi" w:hAnsiTheme="majorBidi" w:cstheme="majorBidi"/>
        </w:rPr>
      </w:pPr>
      <w:r>
        <w:rPr>
          <w:rFonts w:asciiTheme="majorBidi" w:hAnsiTheme="majorBidi" w:cstheme="majorBidi"/>
        </w:rPr>
        <w:t>[34] Bhoi, S., Li, M. L., &amp; Hsu, W. (2020). PREMIER: Personalized REcommendation for Medical prescrIptions from Electronic Records. arXiv:2008.13569.</w:t>
      </w:r>
    </w:p>
    <w:p w:rsidR="00305B10" w:rsidRPr="00F44678" w:rsidRDefault="003C6BB4">
      <w:pPr>
        <w:spacing w:before="80" w:after="80"/>
        <w:jc w:val="both"/>
        <w:rPr>
          <w:rFonts w:asciiTheme="majorBidi" w:hAnsiTheme="majorBidi" w:cstheme="majorBidi"/>
        </w:rPr>
      </w:pPr>
      <w:r>
        <w:rPr>
          <w:rFonts w:asciiTheme="majorBidi" w:hAnsiTheme="majorBidi" w:cstheme="majorBidi"/>
        </w:rPr>
        <w:t>[35] Cai, Y., Yu, F., Kumar, M., Gladney, R., &amp; Mostafa, J. (2022). Health Recommender Systems Development, Usage, and Evaluation from 2010 to 2022: A Scoping Review. International Journal of Environmental Research and Public Health, 19(22), 15115.</w:t>
      </w:r>
    </w:p>
    <w:p w:rsidR="00305B10" w:rsidRPr="00F44678" w:rsidRDefault="003C6BB4">
      <w:pPr>
        <w:spacing w:before="80" w:after="80"/>
        <w:jc w:val="both"/>
        <w:rPr>
          <w:rFonts w:asciiTheme="majorBidi" w:hAnsiTheme="majorBidi" w:cstheme="majorBidi"/>
        </w:rPr>
      </w:pPr>
      <w:r>
        <w:rPr>
          <w:rFonts w:asciiTheme="majorBidi" w:hAnsiTheme="majorBidi" w:cstheme="majorBidi"/>
        </w:rPr>
        <w:t>[36] Langley, G. R., et al. (2017). Towards a 21st-century roadmap for biomedical research and drug discovery: consensus report and recommendations. Drug Discovery Today, 22(2), 327–339.</w:t>
      </w:r>
    </w:p>
    <w:p w:rsidR="00305B10" w:rsidRPr="00F44678" w:rsidRDefault="003C6BB4">
      <w:pPr>
        <w:spacing w:before="80" w:after="80"/>
        <w:jc w:val="both"/>
        <w:rPr>
          <w:rFonts w:asciiTheme="majorBidi" w:hAnsiTheme="majorBidi" w:cstheme="majorBidi"/>
        </w:rPr>
      </w:pPr>
      <w:r>
        <w:rPr>
          <w:rFonts w:asciiTheme="majorBidi" w:hAnsiTheme="majorBidi" w:cstheme="majorBidi"/>
        </w:rPr>
        <w:t>[37] Noshad, M., Jankovic, I., &amp; Chen, J. H. (2020). Clinical Recommender System: Predicting Medical Specialty Diagnostic Choices with Neural Network Ensembles. KDD Workshop on Applied Data Science for Healthcare. arXiv:2007.12161.</w:t>
      </w:r>
    </w:p>
    <w:p w:rsidR="00305B10" w:rsidRPr="00F44678" w:rsidRDefault="003C6BB4">
      <w:pPr>
        <w:spacing w:before="80" w:after="80"/>
        <w:jc w:val="both"/>
        <w:rPr>
          <w:rFonts w:asciiTheme="majorBidi" w:hAnsiTheme="majorBidi" w:cstheme="majorBidi"/>
        </w:rPr>
      </w:pPr>
      <w:r>
        <w:rPr>
          <w:rFonts w:asciiTheme="majorBidi" w:hAnsiTheme="majorBidi" w:cstheme="majorBidi"/>
        </w:rPr>
        <w:t>[38] Liu, G., Yu, X., Liu, Z., Li, X., Fan, X., &amp; Zheng, X. (2025). DNMDR: Dynamic Networks and Multi-view Drug Representations for Safe Medication Recommendation. Engineering Applications of Artificial Intelligence. arXiv:2501.08572.</w:t>
      </w:r>
    </w:p>
    <w:p w:rsidR="00305B10" w:rsidRPr="00F44678" w:rsidRDefault="003C6BB4">
      <w:pPr>
        <w:spacing w:before="80" w:after="80"/>
        <w:jc w:val="both"/>
        <w:rPr>
          <w:rFonts w:asciiTheme="majorBidi" w:hAnsiTheme="majorBidi" w:cstheme="majorBidi"/>
        </w:rPr>
      </w:pPr>
      <w:r>
        <w:rPr>
          <w:rFonts w:asciiTheme="majorBidi" w:hAnsiTheme="majorBidi" w:cstheme="majorBidi"/>
        </w:rPr>
        <w:t>[39] Zhang, K., Zhu, R., Ma, S., Xiong, J., Kim, Y., Murai, F., &amp; Liu, X. (2025). KEDRec-LM: A Knowledge-distilled Explainable Drug Recommendation Large Language Model. arXiv:2502.20350.</w:t>
      </w:r>
    </w:p>
    <w:p w:rsidR="00305B10" w:rsidRPr="00F44678" w:rsidRDefault="003C6BB4">
      <w:pPr>
        <w:spacing w:before="80" w:after="80"/>
        <w:jc w:val="both"/>
        <w:rPr>
          <w:rFonts w:asciiTheme="majorBidi" w:hAnsiTheme="majorBidi" w:cstheme="majorBidi"/>
        </w:rPr>
      </w:pPr>
      <w:r>
        <w:rPr>
          <w:rFonts w:asciiTheme="majorBidi" w:hAnsiTheme="majorBidi" w:cstheme="majorBidi"/>
        </w:rPr>
        <w:t>[40] Singhal, K., Tu, T., Gottweis, J., Sayres, R., Wulczyn, E., Amin, M., et al. (2025). Toward expert-level medical question answering with large language models. Nature Medicine, 31(3), 943–950.</w:t>
      </w:r>
    </w:p>
    <w:p w:rsidR="00305B10" w:rsidRPr="00F44678" w:rsidRDefault="003C6BB4" w:rsidP="00E6248B">
      <w:pPr>
        <w:spacing w:before="80" w:after="80"/>
        <w:jc w:val="both"/>
        <w:rPr>
          <w:rFonts w:asciiTheme="majorBidi" w:hAnsiTheme="majorBidi" w:cstheme="majorBidi"/>
        </w:rPr>
      </w:pPr>
      <w:r>
        <w:rPr>
          <w:rFonts w:asciiTheme="majorBidi" w:hAnsiTheme="majorBidi" w:cstheme="majorBidi"/>
        </w:rPr>
        <w:t xml:space="preserve"> [41] Ye, Y., et al. (2025). CT-PASMR: Personalized and Safe Medication Recommendation Based on Convolutional Neural Network and Transformer Architecture. </w:t>
      </w:r>
      <w:r>
        <w:rPr>
          <w:rStyle w:val="Emphasis"/>
          <w:rFonts w:asciiTheme="majorBidi" w:hAnsiTheme="majorBidi" w:cstheme="majorBidi"/>
        </w:rPr>
        <w:t>Engineering Applications of Artificial Intelligence</w:t>
      </w:r>
      <w:r>
        <w:rPr>
          <w:rFonts w:asciiTheme="majorBidi" w:hAnsiTheme="majorBidi" w:cstheme="majorBidi"/>
        </w:rPr>
        <w:t>.</w:t>
      </w:r>
    </w:p>
    <w:p w:rsidR="004B4AF6" w:rsidRPr="00F44678" w:rsidRDefault="004B4AF6" w:rsidP="00D56E65">
      <w:pPr>
        <w:spacing w:before="80" w:after="80"/>
        <w:jc w:val="both"/>
        <w:rPr>
          <w:rFonts w:asciiTheme="majorBidi" w:hAnsiTheme="majorBidi" w:cstheme="majorBidi"/>
        </w:rPr>
      </w:pPr>
      <w:r>
        <w:rPr>
          <w:rFonts w:asciiTheme="majorBidi" w:hAnsiTheme="majorBidi" w:cstheme="majorBidi"/>
        </w:rPr>
        <w:t xml:space="preserve">[14] Sundararajan, M., Taly, A., &amp; Yan, Q. (2017). Axiomatic attribution for deep networks. </w:t>
      </w:r>
      <w:r>
        <w:rPr>
          <w:rStyle w:val="Emphasis"/>
          <w:rFonts w:asciiTheme="majorBidi" w:hAnsiTheme="majorBidi" w:cstheme="majorBidi"/>
        </w:rPr>
        <w:t>Proceedings of the 34th International Conference on Machine Learning (ICML)</w:t>
      </w:r>
      <w:r>
        <w:rPr>
          <w:rFonts w:asciiTheme="majorBidi" w:hAnsiTheme="majorBidi" w:cstheme="majorBidi"/>
        </w:rPr>
        <w:t>, 70, 3319–3328</w:t>
      </w:r>
      <w:r>
        <w:rPr>
          <w:rFonts w:asciiTheme="majorBidi" w:hAnsiTheme="majorBidi" w:cstheme="majorBidi" w:hint="cs"/>
        </w:rPr>
        <w:t>.</w:t>
      </w:r>
    </w:p>
    <w:p w:rsidR="00305B10" w:rsidRPr="00F44678" w:rsidRDefault="00305B10">
      <w:pPr>
        <w:spacing w:before="60" w:after="60"/>
        <w:rPr>
          <w:rFonts w:asciiTheme="majorBidi" w:hAnsiTheme="majorBidi" w:cstheme="majorBidi"/>
        </w:rPr>
      </w:pPr>
    </w:p>
    <w:sectPr w:rsidR="00305B10" w:rsidRPr="00F44678">
      <w:headerReference w:type="default" r:id="rId17"/>
      <w:footerReference w:type="default" r:id="rId1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4EB2" w:rsidRDefault="00CB4EB2">
      <w:r>
        <w:separator/>
      </w:r>
    </w:p>
  </w:endnote>
  <w:endnote w:type="continuationSeparator" w:id="0">
    <w:p w:rsidR="00CB4EB2" w:rsidRDefault="00CB4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5B10" w:rsidRDefault="003C6BB4">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56E65">
      <w:rPr>
        <w:noProof/>
        <w:color w:val="555555"/>
        <w:sz w:val="18"/>
        <w:szCs w:val="18"/>
      </w:rPr>
      <w:t>23</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56E65">
      <w:rPr>
        <w:noProof/>
        <w:color w:val="555555"/>
        <w:sz w:val="18"/>
        <w:szCs w:val="18"/>
      </w:rPr>
      <w:t>27</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4EB2" w:rsidRDefault="00CB4EB2">
      <w:r>
        <w:separator/>
      </w:r>
    </w:p>
  </w:footnote>
  <w:footnote w:type="continuationSeparator" w:id="0">
    <w:p w:rsidR="00CB4EB2" w:rsidRDefault="00CB4E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5B10" w:rsidRDefault="003C6BB4">
    <w:pPr>
      <w:pBdr>
        <w:bottom w:val="single" w:sz="6" w:space="1" w:color="2E75B6"/>
      </w:pBdr>
    </w:pPr>
    <w:r>
      <w:rPr>
        <w:color w:val="555555"/>
        <w:sz w:val="18"/>
        <w:szCs w:val="18"/>
      </w:rPr>
      <w:t>A Transformer- and Graph-Based Framework for Safe Medication Recommendation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F5FB9"/>
    <w:multiLevelType w:val="hybridMultilevel"/>
    <w:tmpl w:val="170C6698"/>
    <w:lvl w:ilvl="0" w:tplc="555ACE04">
      <w:start w:val="1"/>
      <w:numFmt w:val="bullet"/>
      <w:lvlText w:val="●"/>
      <w:lvlJc w:val="left"/>
      <w:pPr>
        <w:ind w:left="720" w:hanging="360"/>
      </w:pPr>
    </w:lvl>
    <w:lvl w:ilvl="1" w:tplc="EA542A92">
      <w:start w:val="1"/>
      <w:numFmt w:val="bullet"/>
      <w:lvlText w:val="○"/>
      <w:lvlJc w:val="left"/>
      <w:pPr>
        <w:ind w:left="1440" w:hanging="360"/>
      </w:pPr>
    </w:lvl>
    <w:lvl w:ilvl="2" w:tplc="7E283932">
      <w:start w:val="1"/>
      <w:numFmt w:val="bullet"/>
      <w:lvlText w:val="■"/>
      <w:lvlJc w:val="left"/>
      <w:pPr>
        <w:ind w:left="2160" w:hanging="360"/>
      </w:pPr>
    </w:lvl>
    <w:lvl w:ilvl="3" w:tplc="B1581A52">
      <w:start w:val="1"/>
      <w:numFmt w:val="bullet"/>
      <w:lvlText w:val="●"/>
      <w:lvlJc w:val="left"/>
      <w:pPr>
        <w:ind w:left="2880" w:hanging="360"/>
      </w:pPr>
    </w:lvl>
    <w:lvl w:ilvl="4" w:tplc="18D05B7E">
      <w:start w:val="1"/>
      <w:numFmt w:val="bullet"/>
      <w:lvlText w:val="○"/>
      <w:lvlJc w:val="left"/>
      <w:pPr>
        <w:ind w:left="3600" w:hanging="360"/>
      </w:pPr>
    </w:lvl>
    <w:lvl w:ilvl="5" w:tplc="84B8013E">
      <w:start w:val="1"/>
      <w:numFmt w:val="bullet"/>
      <w:lvlText w:val="■"/>
      <w:lvlJc w:val="left"/>
      <w:pPr>
        <w:ind w:left="4320" w:hanging="360"/>
      </w:pPr>
    </w:lvl>
    <w:lvl w:ilvl="6" w:tplc="EAB81AE6">
      <w:start w:val="1"/>
      <w:numFmt w:val="bullet"/>
      <w:lvlText w:val="●"/>
      <w:lvlJc w:val="left"/>
      <w:pPr>
        <w:ind w:left="5040" w:hanging="360"/>
      </w:pPr>
    </w:lvl>
    <w:lvl w:ilvl="7" w:tplc="498C0306">
      <w:start w:val="1"/>
      <w:numFmt w:val="bullet"/>
      <w:lvlText w:val="●"/>
      <w:lvlJc w:val="left"/>
      <w:pPr>
        <w:ind w:left="5760" w:hanging="360"/>
      </w:pPr>
    </w:lvl>
    <w:lvl w:ilvl="8" w:tplc="3A5EA044">
      <w:start w:val="1"/>
      <w:numFmt w:val="bullet"/>
      <w:lvlText w:val="●"/>
      <w:lvlJc w:val="left"/>
      <w:pPr>
        <w:ind w:left="6480" w:hanging="360"/>
      </w:pPr>
    </w:lvl>
  </w:abstractNum>
  <w:abstractNum w:abstractNumId="1" w15:restartNumberingAfterBreak="0">
    <w:nsid w:val="791A1A2E"/>
    <w:multiLevelType w:val="hybridMultilevel"/>
    <w:tmpl w:val="0B38C198"/>
    <w:lvl w:ilvl="0" w:tplc="87D2239C">
      <w:start w:val="1"/>
      <w:numFmt w:val="bullet"/>
      <w:lvlText w:val="•"/>
      <w:lvlJc w:val="left"/>
      <w:pPr>
        <w:ind w:left="720" w:hanging="360"/>
      </w:pPr>
    </w:lvl>
    <w:lvl w:ilvl="1" w:tplc="949488BC">
      <w:numFmt w:val="decimal"/>
      <w:lvlText w:val=""/>
      <w:lvlJc w:val="left"/>
    </w:lvl>
    <w:lvl w:ilvl="2" w:tplc="03089AB2">
      <w:numFmt w:val="decimal"/>
      <w:lvlText w:val=""/>
      <w:lvlJc w:val="left"/>
    </w:lvl>
    <w:lvl w:ilvl="3" w:tplc="2334C91E">
      <w:numFmt w:val="decimal"/>
      <w:lvlText w:val=""/>
      <w:lvlJc w:val="left"/>
    </w:lvl>
    <w:lvl w:ilvl="4" w:tplc="4280B79E">
      <w:numFmt w:val="decimal"/>
      <w:lvlText w:val=""/>
      <w:lvlJc w:val="left"/>
    </w:lvl>
    <w:lvl w:ilvl="5" w:tplc="DCB4911C">
      <w:numFmt w:val="decimal"/>
      <w:lvlText w:val=""/>
      <w:lvlJc w:val="left"/>
    </w:lvl>
    <w:lvl w:ilvl="6" w:tplc="445875B8">
      <w:numFmt w:val="decimal"/>
      <w:lvlText w:val=""/>
      <w:lvlJc w:val="left"/>
    </w:lvl>
    <w:lvl w:ilvl="7" w:tplc="B798CE40">
      <w:numFmt w:val="decimal"/>
      <w:lvlText w:val=""/>
      <w:lvlJc w:val="left"/>
    </w:lvl>
    <w:lvl w:ilvl="8" w:tplc="F69ED2A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B10"/>
    <w:rsid w:val="000566F2"/>
    <w:rsid w:val="000612A4"/>
    <w:rsid w:val="00071214"/>
    <w:rsid w:val="000741DD"/>
    <w:rsid w:val="00094006"/>
    <w:rsid w:val="000B4EF4"/>
    <w:rsid w:val="00111B34"/>
    <w:rsid w:val="00113F43"/>
    <w:rsid w:val="001408D8"/>
    <w:rsid w:val="00162A78"/>
    <w:rsid w:val="00185356"/>
    <w:rsid w:val="001904B9"/>
    <w:rsid w:val="001B6288"/>
    <w:rsid w:val="001D2A72"/>
    <w:rsid w:val="001D431D"/>
    <w:rsid w:val="00221295"/>
    <w:rsid w:val="002332E3"/>
    <w:rsid w:val="00235202"/>
    <w:rsid w:val="0025348C"/>
    <w:rsid w:val="00256022"/>
    <w:rsid w:val="0026039C"/>
    <w:rsid w:val="00264A3C"/>
    <w:rsid w:val="002A591A"/>
    <w:rsid w:val="00305B10"/>
    <w:rsid w:val="00346343"/>
    <w:rsid w:val="00372BD2"/>
    <w:rsid w:val="003A4EA8"/>
    <w:rsid w:val="003C6BB4"/>
    <w:rsid w:val="003D6F87"/>
    <w:rsid w:val="003F7AAF"/>
    <w:rsid w:val="0041796A"/>
    <w:rsid w:val="00443AE1"/>
    <w:rsid w:val="00445D8C"/>
    <w:rsid w:val="0045302D"/>
    <w:rsid w:val="00471F6E"/>
    <w:rsid w:val="004878FD"/>
    <w:rsid w:val="004A1695"/>
    <w:rsid w:val="004B4AF6"/>
    <w:rsid w:val="004E17BC"/>
    <w:rsid w:val="004E2B68"/>
    <w:rsid w:val="004E5BD8"/>
    <w:rsid w:val="00512A55"/>
    <w:rsid w:val="005B454A"/>
    <w:rsid w:val="005C1447"/>
    <w:rsid w:val="005C2F3D"/>
    <w:rsid w:val="005D5196"/>
    <w:rsid w:val="005E226C"/>
    <w:rsid w:val="005E562D"/>
    <w:rsid w:val="005F70FA"/>
    <w:rsid w:val="00600C36"/>
    <w:rsid w:val="006069A7"/>
    <w:rsid w:val="006362CF"/>
    <w:rsid w:val="00660E42"/>
    <w:rsid w:val="006B0E92"/>
    <w:rsid w:val="006B3C92"/>
    <w:rsid w:val="006B43D3"/>
    <w:rsid w:val="006D198A"/>
    <w:rsid w:val="006D2594"/>
    <w:rsid w:val="006D6C69"/>
    <w:rsid w:val="006D725F"/>
    <w:rsid w:val="007154EE"/>
    <w:rsid w:val="007461EE"/>
    <w:rsid w:val="00752F9B"/>
    <w:rsid w:val="007C4620"/>
    <w:rsid w:val="007D5CF9"/>
    <w:rsid w:val="007F5938"/>
    <w:rsid w:val="00800BF6"/>
    <w:rsid w:val="0080131B"/>
    <w:rsid w:val="00852ACC"/>
    <w:rsid w:val="00860D77"/>
    <w:rsid w:val="00862A58"/>
    <w:rsid w:val="008811A6"/>
    <w:rsid w:val="008A2A28"/>
    <w:rsid w:val="008B6873"/>
    <w:rsid w:val="008C03E9"/>
    <w:rsid w:val="008F744C"/>
    <w:rsid w:val="00907252"/>
    <w:rsid w:val="00916933"/>
    <w:rsid w:val="0093091A"/>
    <w:rsid w:val="00940865"/>
    <w:rsid w:val="00947065"/>
    <w:rsid w:val="009701CD"/>
    <w:rsid w:val="00971295"/>
    <w:rsid w:val="009C1894"/>
    <w:rsid w:val="009F13B5"/>
    <w:rsid w:val="00A03639"/>
    <w:rsid w:val="00A21495"/>
    <w:rsid w:val="00A4456C"/>
    <w:rsid w:val="00A6229A"/>
    <w:rsid w:val="00A84463"/>
    <w:rsid w:val="00A95295"/>
    <w:rsid w:val="00AA18A7"/>
    <w:rsid w:val="00AB349F"/>
    <w:rsid w:val="00AB5EC9"/>
    <w:rsid w:val="00B4793D"/>
    <w:rsid w:val="00B946C6"/>
    <w:rsid w:val="00BE7191"/>
    <w:rsid w:val="00C00646"/>
    <w:rsid w:val="00C117BF"/>
    <w:rsid w:val="00C40977"/>
    <w:rsid w:val="00C5377E"/>
    <w:rsid w:val="00C644E8"/>
    <w:rsid w:val="00C6695C"/>
    <w:rsid w:val="00C717B0"/>
    <w:rsid w:val="00CB4EB2"/>
    <w:rsid w:val="00D34103"/>
    <w:rsid w:val="00D437AB"/>
    <w:rsid w:val="00D5687C"/>
    <w:rsid w:val="00D56E65"/>
    <w:rsid w:val="00D72424"/>
    <w:rsid w:val="00D77BA1"/>
    <w:rsid w:val="00D82337"/>
    <w:rsid w:val="00D870D9"/>
    <w:rsid w:val="00DA5063"/>
    <w:rsid w:val="00DB1AA1"/>
    <w:rsid w:val="00DB3201"/>
    <w:rsid w:val="00DC0D3F"/>
    <w:rsid w:val="00DC2F97"/>
    <w:rsid w:val="00E46E9F"/>
    <w:rsid w:val="00E6248B"/>
    <w:rsid w:val="00E741F7"/>
    <w:rsid w:val="00EB5EC2"/>
    <w:rsid w:val="00EC1EAA"/>
    <w:rsid w:val="00EC4230"/>
    <w:rsid w:val="00EC47CA"/>
    <w:rsid w:val="00EF5854"/>
    <w:rsid w:val="00EF7D9A"/>
    <w:rsid w:val="00F36692"/>
    <w:rsid w:val="00F44678"/>
    <w:rsid w:val="00F655F6"/>
    <w:rsid w:val="00F768C6"/>
    <w:rsid w:val="00F90C93"/>
    <w:rsid w:val="00FE3E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8012"/>
  <w15:docId w15:val="{21095C48-0145-4DD4-B84B-5181E37B5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4E79"/>
      <w:sz w:val="30"/>
      <w:szCs w:val="30"/>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80"/>
      <w:outlineLvl w:val="2"/>
    </w:pPr>
    <w:rPr>
      <w:b/>
      <w:b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62A78"/>
    <w:rPr>
      <w:b/>
      <w:bCs/>
    </w:rPr>
  </w:style>
  <w:style w:type="character" w:customStyle="1" w:styleId="animating6ta1u10">
    <w:name w:val="_animating_6ta1u_10"/>
    <w:basedOn w:val="DefaultParagraphFont"/>
    <w:rsid w:val="000566F2"/>
  </w:style>
  <w:style w:type="table" w:styleId="PlainTable1">
    <w:name w:val="Plain Table 1"/>
    <w:basedOn w:val="TableNormal"/>
    <w:uiPriority w:val="41"/>
    <w:rsid w:val="008811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64A3C"/>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264A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21208">
      <w:bodyDiv w:val="1"/>
      <w:marLeft w:val="0"/>
      <w:marRight w:val="0"/>
      <w:marTop w:val="0"/>
      <w:marBottom w:val="0"/>
      <w:divBdr>
        <w:top w:val="none" w:sz="0" w:space="0" w:color="auto"/>
        <w:left w:val="none" w:sz="0" w:space="0" w:color="auto"/>
        <w:bottom w:val="none" w:sz="0" w:space="0" w:color="auto"/>
        <w:right w:val="none" w:sz="0" w:space="0" w:color="auto"/>
      </w:divBdr>
    </w:div>
    <w:div w:id="514728362">
      <w:bodyDiv w:val="1"/>
      <w:marLeft w:val="0"/>
      <w:marRight w:val="0"/>
      <w:marTop w:val="0"/>
      <w:marBottom w:val="0"/>
      <w:divBdr>
        <w:top w:val="none" w:sz="0" w:space="0" w:color="auto"/>
        <w:left w:val="none" w:sz="0" w:space="0" w:color="auto"/>
        <w:bottom w:val="none" w:sz="0" w:space="0" w:color="auto"/>
        <w:right w:val="none" w:sz="0" w:space="0" w:color="auto"/>
      </w:divBdr>
    </w:div>
    <w:div w:id="975138276">
      <w:bodyDiv w:val="1"/>
      <w:marLeft w:val="0"/>
      <w:marRight w:val="0"/>
      <w:marTop w:val="0"/>
      <w:marBottom w:val="0"/>
      <w:divBdr>
        <w:top w:val="none" w:sz="0" w:space="0" w:color="auto"/>
        <w:left w:val="none" w:sz="0" w:space="0" w:color="auto"/>
        <w:bottom w:val="none" w:sz="0" w:space="0" w:color="auto"/>
        <w:right w:val="none" w:sz="0" w:space="0" w:color="auto"/>
      </w:divBdr>
    </w:div>
    <w:div w:id="1088305035">
      <w:bodyDiv w:val="1"/>
      <w:marLeft w:val="0"/>
      <w:marRight w:val="0"/>
      <w:marTop w:val="0"/>
      <w:marBottom w:val="0"/>
      <w:divBdr>
        <w:top w:val="none" w:sz="0" w:space="0" w:color="auto"/>
        <w:left w:val="none" w:sz="0" w:space="0" w:color="auto"/>
        <w:bottom w:val="none" w:sz="0" w:space="0" w:color="auto"/>
        <w:right w:val="none" w:sz="0" w:space="0" w:color="auto"/>
      </w:divBdr>
    </w:div>
    <w:div w:id="1546023513">
      <w:bodyDiv w:val="1"/>
      <w:marLeft w:val="0"/>
      <w:marRight w:val="0"/>
      <w:marTop w:val="0"/>
      <w:marBottom w:val="0"/>
      <w:divBdr>
        <w:top w:val="none" w:sz="0" w:space="0" w:color="auto"/>
        <w:left w:val="none" w:sz="0" w:space="0" w:color="auto"/>
        <w:bottom w:val="none" w:sz="0" w:space="0" w:color="auto"/>
        <w:right w:val="none" w:sz="0" w:space="0" w:color="auto"/>
      </w:divBdr>
    </w:div>
    <w:div w:id="1669793548">
      <w:bodyDiv w:val="1"/>
      <w:marLeft w:val="0"/>
      <w:marRight w:val="0"/>
      <w:marTop w:val="0"/>
      <w:marBottom w:val="0"/>
      <w:divBdr>
        <w:top w:val="none" w:sz="0" w:space="0" w:color="auto"/>
        <w:left w:val="none" w:sz="0" w:space="0" w:color="auto"/>
        <w:bottom w:val="none" w:sz="0" w:space="0" w:color="auto"/>
        <w:right w:val="none" w:sz="0" w:space="0" w:color="auto"/>
      </w:divBdr>
      <w:divsChild>
        <w:div w:id="527834020">
          <w:marLeft w:val="0"/>
          <w:marRight w:val="0"/>
          <w:marTop w:val="0"/>
          <w:marBottom w:val="0"/>
          <w:divBdr>
            <w:top w:val="none" w:sz="0" w:space="0" w:color="auto"/>
            <w:left w:val="none" w:sz="0" w:space="0" w:color="auto"/>
            <w:bottom w:val="none" w:sz="0" w:space="0" w:color="auto"/>
            <w:right w:val="none" w:sz="0" w:space="0" w:color="auto"/>
          </w:divBdr>
        </w:div>
      </w:divsChild>
    </w:div>
    <w:div w:id="1900939822">
      <w:bodyDiv w:val="1"/>
      <w:marLeft w:val="0"/>
      <w:marRight w:val="0"/>
      <w:marTop w:val="0"/>
      <w:marBottom w:val="0"/>
      <w:divBdr>
        <w:top w:val="none" w:sz="0" w:space="0" w:color="auto"/>
        <w:left w:val="none" w:sz="0" w:space="0" w:color="auto"/>
        <w:bottom w:val="none" w:sz="0" w:space="0" w:color="auto"/>
        <w:right w:val="none" w:sz="0" w:space="0" w:color="auto"/>
      </w:divBdr>
      <w:divsChild>
        <w:div w:id="2058621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346410">
          <w:marLeft w:val="0"/>
          <w:marRight w:val="0"/>
          <w:marTop w:val="0"/>
          <w:marBottom w:val="0"/>
          <w:divBdr>
            <w:top w:val="none" w:sz="0" w:space="0" w:color="auto"/>
            <w:left w:val="none" w:sz="0" w:space="0" w:color="auto"/>
            <w:bottom w:val="none" w:sz="0" w:space="0" w:color="auto"/>
            <w:right w:val="none" w:sz="0" w:space="0" w:color="auto"/>
          </w:divBdr>
        </w:div>
      </w:divsChild>
    </w:div>
    <w:div w:id="2075885386">
      <w:bodyDiv w:val="1"/>
      <w:marLeft w:val="0"/>
      <w:marRight w:val="0"/>
      <w:marTop w:val="0"/>
      <w:marBottom w:val="0"/>
      <w:divBdr>
        <w:top w:val="none" w:sz="0" w:space="0" w:color="auto"/>
        <w:left w:val="none" w:sz="0" w:space="0" w:color="auto"/>
        <w:bottom w:val="none" w:sz="0" w:space="0" w:color="auto"/>
        <w:right w:val="none" w:sz="0" w:space="0" w:color="auto"/>
      </w:divBdr>
    </w:div>
    <w:div w:id="2095781863">
      <w:bodyDiv w:val="1"/>
      <w:marLeft w:val="0"/>
      <w:marRight w:val="0"/>
      <w:marTop w:val="0"/>
      <w:marBottom w:val="0"/>
      <w:divBdr>
        <w:top w:val="none" w:sz="0" w:space="0" w:color="auto"/>
        <w:left w:val="none" w:sz="0" w:space="0" w:color="auto"/>
        <w:bottom w:val="none" w:sz="0" w:space="0" w:color="auto"/>
        <w:right w:val="none" w:sz="0" w:space="0" w:color="auto"/>
      </w:divBdr>
      <w:divsChild>
        <w:div w:id="1440638773">
          <w:marLeft w:val="0"/>
          <w:marRight w:val="0"/>
          <w:marTop w:val="0"/>
          <w:marBottom w:val="0"/>
          <w:divBdr>
            <w:top w:val="none" w:sz="0" w:space="0" w:color="auto"/>
            <w:left w:val="none" w:sz="0" w:space="0" w:color="auto"/>
            <w:bottom w:val="none" w:sz="0" w:space="0" w:color="auto"/>
            <w:right w:val="none" w:sz="0" w:space="0" w:color="auto"/>
          </w:divBdr>
        </w:div>
      </w:divsChild>
    </w:div>
    <w:div w:id="2102985316">
      <w:bodyDiv w:val="1"/>
      <w:marLeft w:val="0"/>
      <w:marRight w:val="0"/>
      <w:marTop w:val="0"/>
      <w:marBottom w:val="0"/>
      <w:divBdr>
        <w:top w:val="none" w:sz="0" w:space="0" w:color="auto"/>
        <w:left w:val="none" w:sz="0" w:space="0" w:color="auto"/>
        <w:bottom w:val="none" w:sz="0" w:space="0" w:color="auto"/>
        <w:right w:val="none" w:sz="0" w:space="0" w:color="auto"/>
      </w:divBdr>
      <w:divsChild>
        <w:div w:id="13654751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1731</TotalTime>
  <Pages>27</Pages>
  <Words>8893</Words>
  <Characters>50696</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mahdi</cp:lastModifiedBy>
  <cp:revision>132</cp:revision>
  <dcterms:created xsi:type="dcterms:W3CDTF">2026-06-16T10:53:00Z</dcterms:created>
  <dcterms:modified xsi:type="dcterms:W3CDTF">2026-06-23T12:02:00Z</dcterms:modified>
</cp:coreProperties>
</file>