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CD" w:rsidRPr="000F5C24" w:rsidRDefault="00191BCD" w:rsidP="006E019D">
      <w:pPr>
        <w:pStyle w:val="Caption"/>
        <w:keepNext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637321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1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 xml:space="preserve">Dataset used in </w:t>
      </w:r>
      <w:r w:rsidR="006E019D">
        <w:rPr>
          <w:rFonts w:asciiTheme="majorBidi" w:hAnsiTheme="majorBidi" w:cstheme="majorBidi"/>
          <w:i w:val="0"/>
          <w:iCs w:val="0"/>
          <w:color w:val="auto"/>
        </w:rPr>
        <w:t xml:space="preserve">the </w:t>
      </w:r>
      <w:r>
        <w:rPr>
          <w:rFonts w:asciiTheme="majorBidi" w:hAnsiTheme="majorBidi" w:cstheme="majorBidi"/>
          <w:i w:val="0"/>
          <w:iCs w:val="0"/>
          <w:color w:val="auto"/>
        </w:rPr>
        <w:t>base period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 xml:space="preserve">. Wi, Sp, Su, Fa, Q, Pr, AT, SWL, CS, and WA stand for winter, spring, summer, fall, discharge, precipitation, air temperature, sea water </w:t>
      </w:r>
      <w:r w:rsidR="006E019D">
        <w:rPr>
          <w:rFonts w:asciiTheme="majorBidi" w:hAnsiTheme="majorBidi" w:cstheme="majorBidi"/>
          <w:i w:val="0"/>
          <w:iCs w:val="0"/>
          <w:color w:val="auto"/>
        </w:rPr>
        <w:t>level, cumulative sediment (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million ton), and water area, respectively</w:t>
      </w:r>
      <w:r>
        <w:rPr>
          <w:rFonts w:asciiTheme="majorBidi" w:hAnsiTheme="majorBidi" w:cstheme="majorBidi"/>
          <w:i w:val="0"/>
          <w:iCs w:val="0"/>
          <w:color w:val="auto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644"/>
        <w:gridCol w:w="612"/>
        <w:gridCol w:w="534"/>
        <w:gridCol w:w="554"/>
        <w:gridCol w:w="692"/>
        <w:gridCol w:w="578"/>
        <w:gridCol w:w="772"/>
        <w:gridCol w:w="644"/>
        <w:gridCol w:w="612"/>
        <w:gridCol w:w="534"/>
        <w:gridCol w:w="554"/>
        <w:gridCol w:w="692"/>
        <w:gridCol w:w="578"/>
      </w:tblGrid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637321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="00191BCD"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="00191BCD"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637321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="00191BCD"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="00191BCD"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637321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="00191BCD"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="00191BCD"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91BCD" w:rsidRPr="00191BCD" w:rsidRDefault="00637321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="00191BCD"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="00191BCD"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148.3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73.4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48.6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80.6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47.0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48.6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74.2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75.2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48.7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60.2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48.5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49.5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57.5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49.6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53.0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2020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</w:tr>
      <w:tr w:rsidR="00191BCD" w:rsidRPr="00191BCD" w:rsidTr="00DB0FA1">
        <w:trPr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1BCD" w:rsidRPr="00191BCD" w:rsidRDefault="00191BCD" w:rsidP="00191BC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</w:tbl>
    <w:p w:rsidR="00637321" w:rsidRDefault="00637321" w:rsidP="006E019D">
      <w:pPr>
        <w:pStyle w:val="Caption"/>
        <w:keepNext/>
        <w:spacing w:before="100" w:beforeAutospacing="1"/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</w:pPr>
    </w:p>
    <w:p w:rsidR="00637321" w:rsidRPr="000F5C24" w:rsidRDefault="00637321" w:rsidP="00637321">
      <w:pPr>
        <w:pStyle w:val="Caption"/>
        <w:keepNext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S2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CO</w:t>
      </w:r>
      <w:r>
        <w:rPr>
          <w:rFonts w:asciiTheme="majorBidi" w:hAnsiTheme="majorBidi" w:cstheme="majorBidi"/>
          <w:i w:val="0"/>
          <w:iCs w:val="0"/>
          <w:color w:val="auto"/>
          <w:vertAlign w:val="subscript"/>
        </w:rPr>
        <w:t>2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concentration (ppm) were used in this study for projection of Caspian Sea level under </w:t>
      </w:r>
      <w:r w:rsidRPr="00B178BC">
        <w:rPr>
          <w:rFonts w:asciiTheme="majorBidi" w:hAnsiTheme="majorBidi" w:cstheme="majorBidi"/>
          <w:i w:val="0"/>
          <w:iCs w:val="0"/>
          <w:color w:val="auto"/>
        </w:rPr>
        <w:t>SSP1-2.6, SSP2-4.5, and SSP5-8.5</w:t>
      </w:r>
      <w:r>
        <w:rPr>
          <w:rFonts w:asciiTheme="majorBidi" w:hAnsiTheme="majorBidi" w:cstheme="majorBidi"/>
          <w:i w:val="0"/>
          <w:iCs w:val="0"/>
          <w:color w:val="aut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  <w:gridCol w:w="1128"/>
        <w:gridCol w:w="1128"/>
      </w:tblGrid>
      <w:tr w:rsidR="00637321" w:rsidRPr="00B178BC" w:rsidTr="00C63ACE">
        <w:trPr>
          <w:trHeight w:val="300"/>
        </w:trPr>
        <w:tc>
          <w:tcPr>
            <w:tcW w:w="62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Year</w:t>
            </w:r>
          </w:p>
        </w:tc>
        <w:tc>
          <w:tcPr>
            <w:tcW w:w="18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CO</w:t>
            </w:r>
            <w:r w:rsidRPr="006373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fa-IR"/>
              </w:rPr>
              <w:t>2</w:t>
            </w: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 xml:space="preserve"> (ppm)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Year</w:t>
            </w:r>
          </w:p>
        </w:tc>
        <w:tc>
          <w:tcPr>
            <w:tcW w:w="18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CO</w:t>
            </w:r>
            <w:r w:rsidRPr="006373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bidi="fa-IR"/>
              </w:rPr>
              <w:t>2</w:t>
            </w: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 xml:space="preserve"> (ppm)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SSP1-2.6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SSP2-4.5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SSP5-8.5</w:t>
            </w:r>
          </w:p>
        </w:tc>
        <w:tc>
          <w:tcPr>
            <w:tcW w:w="625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SSP1-2.6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SSP2-4.5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SSP5-8.5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417.04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417.29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418.06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473.88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539.96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652.17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419.81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420.20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421.33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473.96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542.79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661.51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422.50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423.12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424.72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474.00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545.59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671.04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425.12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426.07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428.22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474.00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548.33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680.79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427.67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429.03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431.83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473.96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551.04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690.74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430.17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432.01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435.55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553.70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700.90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432.60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435.01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439.38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473.75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556.32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711.27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434.97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438.03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443.31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473.58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558.89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721.85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2029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437.29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441.08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447.36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473.36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561.43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732.65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439.56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444.14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451.51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473.11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563.92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743.66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441.78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447.23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455.78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472.81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566.38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754.89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443.93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450.33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460.16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472.46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568.77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766.32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445.99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453.43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464.68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472.04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571.08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777.93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447.97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456.54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469.33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471.56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573.31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789.72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449.87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459.65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474.11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471.02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575.47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801.69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451.68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462.77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479.02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470.41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577.54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813.85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453.43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465.90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484.07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469.75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579.54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826.19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455.09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469.03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489.25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469.02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581.46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838.73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2039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456.68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472.18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494.57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2079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468.24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583.30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851.45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458.20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475.34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500.02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467.39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585.07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864.37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459.65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478.50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505.61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466.48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586.77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877.48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461.02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481.67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511.34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465.54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588.38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890.71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462.31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484.84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517.23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464.56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589.89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903.98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463.54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488.00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523.27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463.56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591.30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917.30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464.68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491.15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529.46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462.53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592.61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930.67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465.75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494.30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535.81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461.47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593.82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944.09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466.75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497.45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542.31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460.38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594.94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957.57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467.68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500.59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548.98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459.26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595.97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971.10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468.53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503.73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555.80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458.10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596.90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984.68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469.31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506.87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562.78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456.92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597.73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998.32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470.02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510.01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569.93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455.71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598.48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1012.02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470.66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513.14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577.26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454.50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599.15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1025.74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471.25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516.23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584.78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453.32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599.78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1039.45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471.78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519.29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592.51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452.16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600.35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1053.15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472.25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522.33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600.43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451.02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600.89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1066.85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472.66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525.33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608.55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449.91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601.37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1080.53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528.31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616.87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448.81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601.80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1094.21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473.32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531.26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625.39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447.73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602.18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1107.89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2059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534.19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634.11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2099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446.67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602.51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1121.55</w:t>
            </w:r>
          </w:p>
        </w:tc>
      </w:tr>
      <w:tr w:rsidR="00637321" w:rsidRPr="00B178BC" w:rsidTr="00C63ACE">
        <w:trPr>
          <w:trHeight w:val="30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2060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473.75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537.08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643.04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445.63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602.78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B178BC" w:rsidRDefault="00637321" w:rsidP="00C6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B178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1135.21</w:t>
            </w:r>
          </w:p>
        </w:tc>
      </w:tr>
    </w:tbl>
    <w:p w:rsidR="00637321" w:rsidRPr="00637321" w:rsidRDefault="00637321" w:rsidP="00637321"/>
    <w:p w:rsidR="000F5C24" w:rsidRPr="000F5C24" w:rsidRDefault="000F5C24" w:rsidP="006E019D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 w:rsidRPr="000F5C24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3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 w:rsidR="00191BCD"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="00191BCD"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16660C">
        <w:rPr>
          <w:rFonts w:asciiTheme="majorBidi" w:hAnsiTheme="majorBidi" w:cstheme="majorBidi"/>
          <w:i w:val="0"/>
          <w:iCs w:val="0"/>
          <w:color w:val="auto"/>
        </w:rPr>
        <w:t>ataset used in scenarios S</w:t>
      </w:r>
      <w:r w:rsidR="004B70A2">
        <w:rPr>
          <w:rFonts w:asciiTheme="majorBidi" w:hAnsiTheme="majorBidi" w:cstheme="majorBidi"/>
          <w:i w:val="0"/>
          <w:iCs w:val="0"/>
          <w:color w:val="auto"/>
        </w:rPr>
        <w:t>C</w:t>
      </w:r>
      <w:r w:rsidR="0016660C">
        <w:rPr>
          <w:rFonts w:asciiTheme="majorBidi" w:hAnsiTheme="majorBidi" w:cstheme="majorBidi"/>
          <w:i w:val="0"/>
          <w:iCs w:val="0"/>
          <w:color w:val="auto"/>
        </w:rPr>
        <w:t>1</w:t>
      </w:r>
      <w:r w:rsidR="00191BCD"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(million ton)</w:t>
      </w:r>
      <w:r w:rsidR="0016660C"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72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54"/>
        <w:gridCol w:w="652"/>
        <w:gridCol w:w="683"/>
        <w:gridCol w:w="720"/>
        <w:gridCol w:w="709"/>
        <w:gridCol w:w="572"/>
        <w:gridCol w:w="496"/>
        <w:gridCol w:w="554"/>
        <w:gridCol w:w="652"/>
        <w:gridCol w:w="683"/>
      </w:tblGrid>
      <w:tr w:rsidR="00637321" w:rsidRPr="000F5C24" w:rsidTr="000F5C24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100.3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16.4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0.4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17.8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8.1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15.1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3.1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6.4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13.3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3.1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9.5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16.9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lastRenderedPageBreak/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13.9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0.5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4.1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10.3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6.8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6.8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4.7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lastRenderedPageBreak/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1.3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5.3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4.4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109.5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82.8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F5C24" w:rsidRPr="000F5C24" w:rsidTr="000F5C24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148.4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5C24" w:rsidRPr="000F5C24" w:rsidRDefault="000F5C24" w:rsidP="000F5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60.2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5C24" w:rsidRPr="000F5C24" w:rsidRDefault="000F5C24" w:rsidP="000F5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</w:pPr>
            <w:r w:rsidRPr="000F5C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4810B2" w:rsidRPr="000F5C24" w:rsidRDefault="004810B2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4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</w:t>
      </w:r>
      <w:r w:rsidR="004B70A2">
        <w:rPr>
          <w:rFonts w:asciiTheme="majorBidi" w:hAnsiTheme="majorBidi" w:cstheme="majorBidi"/>
          <w:i w:val="0"/>
          <w:iCs w:val="0"/>
          <w:color w:val="auto"/>
        </w:rPr>
        <w:t>C</w:t>
      </w:r>
      <w:r>
        <w:rPr>
          <w:rFonts w:asciiTheme="majorBidi" w:hAnsiTheme="majorBidi" w:cstheme="majorBidi"/>
          <w:i w:val="0"/>
          <w:iCs w:val="0"/>
          <w:color w:val="auto"/>
        </w:rPr>
        <w:t>2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4810B2" w:rsidTr="004810B2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4810B2" w:rsidRPr="004810B2" w:rsidTr="004810B2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10B2" w:rsidRPr="004810B2" w:rsidRDefault="004810B2" w:rsidP="004810B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10B2" w:rsidRPr="004810B2" w:rsidRDefault="004810B2" w:rsidP="004810B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810B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024AFC" w:rsidRPr="000F5C24" w:rsidRDefault="00024AFC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5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</w:t>
      </w:r>
      <w:r w:rsidR="004B70A2">
        <w:rPr>
          <w:rFonts w:asciiTheme="majorBidi" w:hAnsiTheme="majorBidi" w:cstheme="majorBidi"/>
          <w:i w:val="0"/>
          <w:iCs w:val="0"/>
          <w:color w:val="auto"/>
        </w:rPr>
        <w:t>C</w:t>
      </w:r>
      <w:r>
        <w:rPr>
          <w:rFonts w:asciiTheme="majorBidi" w:hAnsiTheme="majorBidi" w:cstheme="majorBidi"/>
          <w:i w:val="0"/>
          <w:iCs w:val="0"/>
          <w:color w:val="auto"/>
        </w:rPr>
        <w:t>3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024AFC" w:rsidTr="00024AFC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024AFC" w:rsidRPr="00024AFC" w:rsidTr="00024AF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AFC" w:rsidRPr="00024AFC" w:rsidRDefault="00024AFC" w:rsidP="00024A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AFC" w:rsidRPr="00024AFC" w:rsidRDefault="00024AFC" w:rsidP="00024A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24AF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024AFC" w:rsidRPr="00024AFC" w:rsidRDefault="00024AFC" w:rsidP="00024AFC"/>
    <w:p w:rsidR="00E83437" w:rsidRPr="000F5C24" w:rsidRDefault="00E83437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6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</w:t>
      </w:r>
      <w:r w:rsidR="004B70A2">
        <w:rPr>
          <w:rFonts w:asciiTheme="majorBidi" w:hAnsiTheme="majorBidi" w:cstheme="majorBidi"/>
          <w:i w:val="0"/>
          <w:iCs w:val="0"/>
          <w:color w:val="auto"/>
        </w:rPr>
        <w:t>C</w:t>
      </w:r>
      <w:r>
        <w:rPr>
          <w:rFonts w:asciiTheme="majorBidi" w:hAnsiTheme="majorBidi" w:cstheme="majorBidi"/>
          <w:i w:val="0"/>
          <w:iCs w:val="0"/>
          <w:color w:val="auto"/>
        </w:rPr>
        <w:t>4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E83437" w:rsidTr="00E83437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100.3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</w:tr>
      <w:tr w:rsidR="00E83437" w:rsidRPr="00E83437" w:rsidTr="00E83437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148.4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E8343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</w:tr>
    </w:tbl>
    <w:p w:rsidR="0088099E" w:rsidRPr="000F5C24" w:rsidRDefault="0088099E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7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</w:t>
      </w:r>
      <w:r w:rsidR="004B70A2">
        <w:rPr>
          <w:rFonts w:asciiTheme="majorBidi" w:hAnsiTheme="majorBidi" w:cstheme="majorBidi"/>
          <w:i w:val="0"/>
          <w:iCs w:val="0"/>
          <w:color w:val="auto"/>
        </w:rPr>
        <w:t>C</w:t>
      </w:r>
      <w:r>
        <w:rPr>
          <w:rFonts w:asciiTheme="majorBidi" w:hAnsiTheme="majorBidi" w:cstheme="majorBidi"/>
          <w:i w:val="0"/>
          <w:iCs w:val="0"/>
          <w:color w:val="auto"/>
        </w:rPr>
        <w:t>5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88099E" w:rsidTr="0088099E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</w:tr>
      <w:tr w:rsidR="0088099E" w:rsidRPr="0088099E" w:rsidTr="0088099E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99E" w:rsidRPr="0088099E" w:rsidRDefault="0088099E" w:rsidP="0088099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099E" w:rsidRPr="0088099E" w:rsidRDefault="0088099E" w:rsidP="0088099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88099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</w:tr>
    </w:tbl>
    <w:p w:rsidR="0088099E" w:rsidRDefault="0088099E" w:rsidP="0088099E"/>
    <w:p w:rsidR="0016768D" w:rsidRPr="000F5C24" w:rsidRDefault="0016768D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8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SC6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4B70A2" w:rsidTr="0016768D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</w:tr>
      <w:tr w:rsidR="004B70A2" w:rsidRPr="004B70A2" w:rsidTr="0016768D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70A2" w:rsidRPr="004B70A2" w:rsidRDefault="004B70A2" w:rsidP="004B70A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70A2" w:rsidRPr="004B70A2" w:rsidRDefault="004B70A2" w:rsidP="004B70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4B70A2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</w:tr>
    </w:tbl>
    <w:p w:rsidR="0088099E" w:rsidRDefault="0088099E" w:rsidP="0088099E"/>
    <w:p w:rsidR="0035026C" w:rsidRPr="000F5C24" w:rsidRDefault="0035026C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9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SC7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35026C" w:rsidTr="0035026C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5026C" w:rsidRPr="0035026C" w:rsidTr="0035026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026C" w:rsidRPr="0035026C" w:rsidRDefault="0035026C" w:rsidP="0035026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26C" w:rsidRPr="0035026C" w:rsidRDefault="0035026C" w:rsidP="0035026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5026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</w:tr>
    </w:tbl>
    <w:p w:rsidR="0088099E" w:rsidRDefault="0088099E" w:rsidP="0088099E"/>
    <w:p w:rsidR="002923DC" w:rsidRPr="000F5C24" w:rsidRDefault="002923DC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lastRenderedPageBreak/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10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SC8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2923DC" w:rsidTr="002923DC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2923DC" w:rsidRPr="002923DC" w:rsidTr="002923DC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23DC" w:rsidRPr="002923DC" w:rsidRDefault="002923DC" w:rsidP="002923D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23DC" w:rsidRPr="002923DC" w:rsidRDefault="002923DC" w:rsidP="002923D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2923D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35026C" w:rsidRPr="0088099E" w:rsidRDefault="0035026C" w:rsidP="0088099E"/>
    <w:p w:rsidR="001C3A43" w:rsidRPr="000F5C24" w:rsidRDefault="001C3A43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1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SC9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1C3A43" w:rsidTr="001C3A43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1C3A43" w:rsidRPr="001C3A43" w:rsidTr="001C3A43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A43" w:rsidRPr="001C3A43" w:rsidRDefault="001C3A43" w:rsidP="001C3A4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A43" w:rsidRPr="001C3A43" w:rsidRDefault="001C3A43" w:rsidP="001C3A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C3A4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A66FB3" w:rsidRPr="00A66FB3" w:rsidRDefault="00A66FB3" w:rsidP="00A66FB3"/>
    <w:p w:rsidR="00B83BBE" w:rsidRPr="000F5C24" w:rsidRDefault="00A66FB3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2</w:t>
      </w:r>
      <w:r w:rsidR="00B83BBE"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 w:rsidR="00B83BBE"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="00B83BBE"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SC10</w:t>
      </w:r>
      <w:r w:rsidR="00B83BBE"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 w:rsidR="00B83BBE"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720"/>
        <w:gridCol w:w="709"/>
        <w:gridCol w:w="572"/>
        <w:gridCol w:w="496"/>
        <w:gridCol w:w="560"/>
        <w:gridCol w:w="652"/>
        <w:gridCol w:w="683"/>
        <w:gridCol w:w="720"/>
        <w:gridCol w:w="709"/>
        <w:gridCol w:w="572"/>
        <w:gridCol w:w="496"/>
        <w:gridCol w:w="560"/>
        <w:gridCol w:w="652"/>
        <w:gridCol w:w="683"/>
      </w:tblGrid>
      <w:tr w:rsidR="00637321" w:rsidRPr="00A66FB3" w:rsidTr="00637321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165.2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164.5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157.6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141.0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136.8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141.7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167.2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139.1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</w:tr>
      <w:tr w:rsidR="00A66FB3" w:rsidRPr="00A66FB3" w:rsidTr="00637321">
        <w:trPr>
          <w:trHeight w:val="144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</w:tr>
    </w:tbl>
    <w:p w:rsidR="00A66FB3" w:rsidRDefault="00A66FB3" w:rsidP="00A83B2B">
      <w:pPr>
        <w:pStyle w:val="Caption"/>
        <w:keepNext/>
        <w:spacing w:before="100" w:beforeAutospacing="1"/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</w:pPr>
    </w:p>
    <w:p w:rsidR="00A66FB3" w:rsidRPr="000F5C24" w:rsidRDefault="00A66FB3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3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SC11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644"/>
        <w:gridCol w:w="612"/>
        <w:gridCol w:w="534"/>
        <w:gridCol w:w="554"/>
        <w:gridCol w:w="692"/>
        <w:gridCol w:w="578"/>
        <w:gridCol w:w="692"/>
        <w:gridCol w:w="644"/>
        <w:gridCol w:w="612"/>
        <w:gridCol w:w="534"/>
        <w:gridCol w:w="554"/>
        <w:gridCol w:w="692"/>
        <w:gridCol w:w="578"/>
      </w:tblGrid>
      <w:tr w:rsidR="00637321" w:rsidRPr="00A66FB3" w:rsidTr="00A66FB3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</w:tr>
      <w:tr w:rsidR="00A66FB3" w:rsidRPr="00A66FB3" w:rsidTr="00A66FB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FB3" w:rsidRPr="00A66FB3" w:rsidRDefault="00A66FB3" w:rsidP="00A66FB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6FB3" w:rsidRPr="00A66FB3" w:rsidRDefault="00A66FB3" w:rsidP="00A66FB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66FB3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</w:tr>
    </w:tbl>
    <w:p w:rsidR="00A66FB3" w:rsidRPr="00A66FB3" w:rsidRDefault="00A66FB3" w:rsidP="00A66FB3"/>
    <w:p w:rsidR="00A66FB3" w:rsidRDefault="00A66FB3" w:rsidP="00A83B2B">
      <w:pPr>
        <w:pStyle w:val="Caption"/>
        <w:keepNext/>
        <w:spacing w:before="100" w:beforeAutospacing="1"/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</w:pPr>
    </w:p>
    <w:p w:rsidR="00A83B2B" w:rsidRPr="000F5C24" w:rsidRDefault="00A66FB3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4</w:t>
      </w:r>
      <w:r w:rsidR="00A83B2B"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 w:rsidR="00A83B2B"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="00A83B2B"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SC12</w:t>
      </w:r>
      <w:r w:rsidR="00A83B2B"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 w:rsidR="00A83B2B"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644"/>
        <w:gridCol w:w="612"/>
        <w:gridCol w:w="534"/>
        <w:gridCol w:w="554"/>
        <w:gridCol w:w="692"/>
        <w:gridCol w:w="578"/>
        <w:gridCol w:w="692"/>
        <w:gridCol w:w="644"/>
        <w:gridCol w:w="612"/>
        <w:gridCol w:w="534"/>
        <w:gridCol w:w="554"/>
        <w:gridCol w:w="692"/>
        <w:gridCol w:w="578"/>
      </w:tblGrid>
      <w:tr w:rsidR="00637321" w:rsidRPr="00A83B2B" w:rsidTr="00A83B2B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</w:tr>
      <w:tr w:rsidR="00A83B2B" w:rsidRPr="00A83B2B" w:rsidTr="00A83B2B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3B2B" w:rsidRPr="00A83B2B" w:rsidRDefault="00A83B2B" w:rsidP="00A83B2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B2B" w:rsidRPr="00A83B2B" w:rsidRDefault="00A83B2B" w:rsidP="00A83B2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83B2B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</w:tr>
    </w:tbl>
    <w:p w:rsidR="00191BCD" w:rsidRDefault="00191BCD" w:rsidP="000F5C24"/>
    <w:p w:rsidR="00B84A6A" w:rsidRPr="000F5C24" w:rsidRDefault="00A66FB3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5</w:t>
      </w:r>
      <w:r w:rsidR="00B84A6A"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 w:rsidR="00B84A6A"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="00B84A6A"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 w:rsidR="00B84A6A">
        <w:rPr>
          <w:rFonts w:asciiTheme="majorBidi" w:hAnsiTheme="majorBidi" w:cstheme="majorBidi"/>
          <w:i w:val="0"/>
          <w:iCs w:val="0"/>
          <w:color w:val="auto"/>
        </w:rPr>
        <w:t>set used in scenarios SC1</w:t>
      </w:r>
      <w:r>
        <w:rPr>
          <w:rFonts w:asciiTheme="majorBidi" w:hAnsiTheme="majorBidi" w:cstheme="majorBidi"/>
          <w:i w:val="0"/>
          <w:iCs w:val="0"/>
          <w:color w:val="auto"/>
        </w:rPr>
        <w:t>3</w:t>
      </w:r>
      <w:r w:rsidR="00B84A6A"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 w:rsidR="00B84A6A"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644"/>
        <w:gridCol w:w="612"/>
        <w:gridCol w:w="534"/>
        <w:gridCol w:w="554"/>
        <w:gridCol w:w="692"/>
        <w:gridCol w:w="578"/>
        <w:gridCol w:w="692"/>
        <w:gridCol w:w="644"/>
        <w:gridCol w:w="612"/>
        <w:gridCol w:w="534"/>
        <w:gridCol w:w="554"/>
        <w:gridCol w:w="692"/>
        <w:gridCol w:w="578"/>
      </w:tblGrid>
      <w:tr w:rsidR="00637321" w:rsidRPr="00B84A6A" w:rsidTr="00B84A6A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B84A6A" w:rsidRPr="00B84A6A" w:rsidTr="00B84A6A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4A6A" w:rsidRPr="00B84A6A" w:rsidRDefault="00B84A6A" w:rsidP="00B84A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4A6A" w:rsidRPr="00B84A6A" w:rsidRDefault="00B84A6A" w:rsidP="00B84A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B84A6A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B84A6A" w:rsidRDefault="00B84A6A" w:rsidP="000F5C24"/>
    <w:p w:rsidR="003834AF" w:rsidRPr="000F5C24" w:rsidRDefault="00A66FB3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6</w:t>
      </w:r>
      <w:r w:rsidR="003834AF"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 w:rsidR="003834AF"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="003834AF"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SC14</w:t>
      </w:r>
      <w:r w:rsidR="003834AF"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 w:rsidR="003834AF"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644"/>
        <w:gridCol w:w="612"/>
        <w:gridCol w:w="534"/>
        <w:gridCol w:w="554"/>
        <w:gridCol w:w="692"/>
        <w:gridCol w:w="578"/>
        <w:gridCol w:w="692"/>
        <w:gridCol w:w="644"/>
        <w:gridCol w:w="612"/>
        <w:gridCol w:w="534"/>
        <w:gridCol w:w="554"/>
        <w:gridCol w:w="692"/>
        <w:gridCol w:w="578"/>
      </w:tblGrid>
      <w:tr w:rsidR="00637321" w:rsidRPr="003834AF" w:rsidTr="003834AF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3834AF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9C130D" w:rsidRDefault="009C130D" w:rsidP="000F5C24"/>
    <w:p w:rsidR="00762923" w:rsidRPr="000F5C24" w:rsidRDefault="00762923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7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SC15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644"/>
        <w:gridCol w:w="612"/>
        <w:gridCol w:w="534"/>
        <w:gridCol w:w="554"/>
        <w:gridCol w:w="692"/>
        <w:gridCol w:w="578"/>
        <w:gridCol w:w="692"/>
        <w:gridCol w:w="644"/>
        <w:gridCol w:w="612"/>
        <w:gridCol w:w="534"/>
        <w:gridCol w:w="554"/>
        <w:gridCol w:w="692"/>
        <w:gridCol w:w="578"/>
      </w:tblGrid>
      <w:tr w:rsidR="00637321" w:rsidRPr="003834AF" w:rsidTr="00762923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  <w:tr w:rsidR="003834AF" w:rsidRPr="003834AF" w:rsidTr="00762923">
        <w:trPr>
          <w:trHeight w:val="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4AF" w:rsidRPr="003834AF" w:rsidRDefault="003834AF" w:rsidP="003834A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-34.2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34AF" w:rsidRPr="003834AF" w:rsidRDefault="003834AF" w:rsidP="003834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3834AF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</w:tr>
    </w:tbl>
    <w:p w:rsidR="003834AF" w:rsidRDefault="003834AF" w:rsidP="000F5C24"/>
    <w:p w:rsidR="000E327E" w:rsidRPr="000F5C24" w:rsidRDefault="000E327E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8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 w:rsidR="00637321">
        <w:rPr>
          <w:rFonts w:asciiTheme="majorBidi" w:hAnsiTheme="majorBidi" w:cstheme="majorBidi"/>
          <w:i w:val="0"/>
          <w:iCs w:val="0"/>
          <w:color w:val="auto"/>
        </w:rPr>
        <w:t>ata</w:t>
      </w:r>
      <w:r>
        <w:rPr>
          <w:rFonts w:asciiTheme="majorBidi" w:hAnsiTheme="majorBidi" w:cstheme="majorBidi"/>
          <w:i w:val="0"/>
          <w:iCs w:val="0"/>
          <w:color w:val="auto"/>
        </w:rPr>
        <w:t>set used in scenarios SC16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644"/>
        <w:gridCol w:w="612"/>
        <w:gridCol w:w="534"/>
        <w:gridCol w:w="554"/>
        <w:gridCol w:w="692"/>
        <w:gridCol w:w="578"/>
        <w:gridCol w:w="692"/>
        <w:gridCol w:w="644"/>
        <w:gridCol w:w="612"/>
        <w:gridCol w:w="534"/>
        <w:gridCol w:w="554"/>
        <w:gridCol w:w="692"/>
        <w:gridCol w:w="578"/>
      </w:tblGrid>
      <w:tr w:rsidR="00637321" w:rsidRPr="000E327E" w:rsidTr="000E327E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</w:tr>
      <w:tr w:rsidR="000E327E" w:rsidRPr="000E327E" w:rsidTr="000E32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327E" w:rsidRPr="000E327E" w:rsidRDefault="000E327E" w:rsidP="000E327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0E327E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</w:tr>
    </w:tbl>
    <w:p w:rsidR="00A66FB3" w:rsidRDefault="00A66FB3" w:rsidP="000F5C24"/>
    <w:p w:rsidR="00AF6497" w:rsidRPr="000F5C24" w:rsidRDefault="00AF6497" w:rsidP="00637321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S1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9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>
        <w:rPr>
          <w:rFonts w:asciiTheme="majorBidi" w:hAnsiTheme="majorBidi" w:cstheme="majorBidi"/>
          <w:i w:val="0"/>
          <w:iCs w:val="0"/>
          <w:color w:val="auto"/>
        </w:rPr>
        <w:t>ataset used in scenarios SC17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644"/>
        <w:gridCol w:w="612"/>
        <w:gridCol w:w="534"/>
        <w:gridCol w:w="554"/>
        <w:gridCol w:w="692"/>
        <w:gridCol w:w="578"/>
        <w:gridCol w:w="692"/>
        <w:gridCol w:w="644"/>
        <w:gridCol w:w="612"/>
        <w:gridCol w:w="534"/>
        <w:gridCol w:w="554"/>
        <w:gridCol w:w="692"/>
        <w:gridCol w:w="578"/>
      </w:tblGrid>
      <w:tr w:rsidR="00637321" w:rsidRPr="00AF6497" w:rsidTr="00AF6497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3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7321" w:rsidRPr="00191BCD" w:rsidRDefault="00637321" w:rsidP="0063732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</w:t>
            </w:r>
            <w:r w:rsidRPr="00637321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vertAlign w:val="superscript"/>
                <w:lang w:bidi="fa-IR"/>
              </w:rPr>
              <w:t>2</w:t>
            </w:r>
            <w:r w:rsidRPr="00191BCD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)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34.4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</w:tr>
      <w:tr w:rsidR="00AF6497" w:rsidRPr="00AF6497" w:rsidTr="00AF649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</w:tbl>
    <w:p w:rsidR="00AF6497" w:rsidRDefault="00AF6497" w:rsidP="000F5C24"/>
    <w:p w:rsidR="00AF6497" w:rsidRPr="000F5C24" w:rsidRDefault="00AF6497" w:rsidP="00B178BC">
      <w:pPr>
        <w:pStyle w:val="Caption"/>
        <w:keepNext/>
        <w:spacing w:before="100" w:beforeAutospacing="1"/>
        <w:rPr>
          <w:rFonts w:asciiTheme="majorBidi" w:hAnsiTheme="majorBidi" w:cstheme="majorBidi"/>
          <w:i w:val="0"/>
          <w:iCs w:val="0"/>
          <w:color w:val="auto"/>
        </w:rPr>
      </w:pPr>
      <w:r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Table S</w:t>
      </w:r>
      <w:r w:rsidR="00B178BC">
        <w:rPr>
          <w:rStyle w:val="Strong"/>
          <w:rFonts w:asciiTheme="majorBidi" w:eastAsia="Calibri" w:hAnsiTheme="majorBidi" w:cstheme="majorBidi"/>
          <w:i w:val="0"/>
          <w:iCs w:val="0"/>
          <w:color w:val="0000FF"/>
        </w:rPr>
        <w:t>20</w:t>
      </w:r>
      <w:r w:rsidRPr="000F5C24">
        <w:rPr>
          <w:rStyle w:val="Strong"/>
          <w:rFonts w:eastAsia="Calibri"/>
          <w:b w:val="0"/>
          <w:bCs w:val="0"/>
          <w:color w:val="0000FF"/>
          <w:sz w:val="24"/>
          <w:szCs w:val="24"/>
        </w:rPr>
        <w:t>.</w:t>
      </w:r>
      <w:r>
        <w:rPr>
          <w:rFonts w:asciiTheme="majorBidi" w:hAnsiTheme="majorBidi" w:cstheme="majorBidi"/>
          <w:i w:val="0"/>
          <w:iCs w:val="0"/>
          <w:color w:val="auto"/>
        </w:rPr>
        <w:t xml:space="preserve"> 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D</w:t>
      </w:r>
      <w:r>
        <w:rPr>
          <w:rFonts w:asciiTheme="majorBidi" w:hAnsiTheme="majorBidi" w:cstheme="majorBidi"/>
          <w:i w:val="0"/>
          <w:iCs w:val="0"/>
          <w:color w:val="auto"/>
        </w:rPr>
        <w:t>ata set used in scenarios SC18</w:t>
      </w:r>
      <w:r w:rsidRPr="00191BCD">
        <w:rPr>
          <w:rFonts w:asciiTheme="majorBidi" w:hAnsiTheme="majorBidi" w:cstheme="majorBidi"/>
          <w:i w:val="0"/>
          <w:iCs w:val="0"/>
          <w:color w:val="auto"/>
        </w:rPr>
        <w:t>. Wi, Sp, Su, Fa, Q, Pr, AT, SWL, CS, and WA stand for winter, spring, summer, fall, discharge, precipitation, air temperature, sea water level, cumulative sediment ( million ton)</w:t>
      </w:r>
      <w:r>
        <w:rPr>
          <w:rFonts w:asciiTheme="majorBidi" w:hAnsiTheme="majorBidi" w:cstheme="majorBidi"/>
          <w:i w:val="0"/>
          <w:iCs w:val="0"/>
          <w:color w:val="auto"/>
        </w:rPr>
        <w:t>, and water area, respectively.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"/>
        <w:gridCol w:w="749"/>
        <w:gridCol w:w="612"/>
        <w:gridCol w:w="534"/>
        <w:gridCol w:w="554"/>
        <w:gridCol w:w="692"/>
        <w:gridCol w:w="683"/>
        <w:gridCol w:w="692"/>
        <w:gridCol w:w="749"/>
        <w:gridCol w:w="612"/>
        <w:gridCol w:w="534"/>
        <w:gridCol w:w="554"/>
        <w:gridCol w:w="692"/>
        <w:gridCol w:w="683"/>
      </w:tblGrid>
      <w:tr w:rsidR="00AF6497" w:rsidRPr="00AF6497" w:rsidTr="00446AA7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(m^3/s)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(km^2)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Q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(m^3/s)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Pr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AT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(°C)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SWL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CS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 xml:space="preserve"> (mton)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WA</w:t>
            </w: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br/>
              <w:t>(km^2)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Su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lastRenderedPageBreak/>
              <w:t>Sp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33.7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32.6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22.8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18.6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94.1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19.8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14.9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20.2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30.3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19.5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14.1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Wi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104.7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29.0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Sp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18.7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Su 100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12.1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64.6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Fa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-27.7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  <w:r w:rsidRPr="00AF6497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  <w:t>20.3</w:t>
            </w:r>
          </w:p>
        </w:tc>
      </w:tr>
      <w:tr w:rsidR="00AF6497" w:rsidRPr="00AF6497" w:rsidTr="00446AA7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497" w:rsidRPr="00AF6497" w:rsidRDefault="00AF6497" w:rsidP="00AF6497">
            <w:pPr>
              <w:spacing w:after="0" w:line="240" w:lineRule="auto"/>
              <w:rPr>
                <w:rFonts w:asciiTheme="majorBidi" w:eastAsia="Times New Roman" w:hAnsiTheme="majorBidi" w:cstheme="majorBidi"/>
                <w:sz w:val="16"/>
                <w:szCs w:val="16"/>
                <w:lang w:bidi="fa-IR"/>
              </w:rPr>
            </w:pPr>
          </w:p>
        </w:tc>
      </w:tr>
    </w:tbl>
    <w:p w:rsidR="00AF6497" w:rsidRDefault="00AF6497" w:rsidP="00446AA7">
      <w:pPr>
        <w:jc w:val="center"/>
      </w:pPr>
    </w:p>
    <w:p w:rsidR="00446AA7" w:rsidRPr="000F5C24" w:rsidRDefault="00446AA7" w:rsidP="00446AA7">
      <w:pPr>
        <w:jc w:val="center"/>
      </w:pPr>
      <w:bookmarkStart w:id="0" w:name="_GoBack"/>
      <w:bookmarkEnd w:id="0"/>
    </w:p>
    <w:sectPr w:rsidR="00446AA7" w:rsidRPr="000F5C24" w:rsidSect="002923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F1"/>
    <w:rsid w:val="00024AFC"/>
    <w:rsid w:val="000E327E"/>
    <w:rsid w:val="000F5C24"/>
    <w:rsid w:val="0012204A"/>
    <w:rsid w:val="0016660C"/>
    <w:rsid w:val="0016768D"/>
    <w:rsid w:val="00191BCD"/>
    <w:rsid w:val="001B0D40"/>
    <w:rsid w:val="001C3A43"/>
    <w:rsid w:val="002923DC"/>
    <w:rsid w:val="002979C9"/>
    <w:rsid w:val="0035026C"/>
    <w:rsid w:val="003834AF"/>
    <w:rsid w:val="00446AA7"/>
    <w:rsid w:val="004810B2"/>
    <w:rsid w:val="004B70A2"/>
    <w:rsid w:val="004D1027"/>
    <w:rsid w:val="00637321"/>
    <w:rsid w:val="006A3A6E"/>
    <w:rsid w:val="006E019D"/>
    <w:rsid w:val="00762923"/>
    <w:rsid w:val="007C4791"/>
    <w:rsid w:val="0088099E"/>
    <w:rsid w:val="008D7D71"/>
    <w:rsid w:val="00990277"/>
    <w:rsid w:val="009C130D"/>
    <w:rsid w:val="00A66FB3"/>
    <w:rsid w:val="00A83B2B"/>
    <w:rsid w:val="00AF6497"/>
    <w:rsid w:val="00B178BC"/>
    <w:rsid w:val="00B83BBE"/>
    <w:rsid w:val="00B84A6A"/>
    <w:rsid w:val="00C13B7D"/>
    <w:rsid w:val="00D529F1"/>
    <w:rsid w:val="00DB0FA1"/>
    <w:rsid w:val="00E83437"/>
    <w:rsid w:val="00F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1C1F"/>
  <w15:chartTrackingRefBased/>
  <w15:docId w15:val="{15888DCE-462E-4F5E-AB6B-5B24A871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27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277"/>
    <w:rPr>
      <w:color w:val="954F72"/>
      <w:u w:val="single"/>
    </w:rPr>
  </w:style>
  <w:style w:type="paragraph" w:customStyle="1" w:styleId="msonormal0">
    <w:name w:val="msonormal"/>
    <w:basedOn w:val="Normal"/>
    <w:rsid w:val="0099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font5">
    <w:name w:val="font5"/>
    <w:basedOn w:val="Normal"/>
    <w:rsid w:val="0099027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bidi="fa-IR"/>
    </w:rPr>
  </w:style>
  <w:style w:type="paragraph" w:customStyle="1" w:styleId="xl63">
    <w:name w:val="xl63"/>
    <w:basedOn w:val="Normal"/>
    <w:rsid w:val="0099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4">
    <w:name w:val="xl64"/>
    <w:basedOn w:val="Normal"/>
    <w:rsid w:val="009902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9902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9902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9902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xl67">
    <w:name w:val="xl67"/>
    <w:basedOn w:val="Normal"/>
    <w:rsid w:val="000F5C2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fa-IR"/>
    </w:rPr>
  </w:style>
  <w:style w:type="paragraph" w:customStyle="1" w:styleId="xl68">
    <w:name w:val="xl68"/>
    <w:basedOn w:val="Normal"/>
    <w:rsid w:val="000F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fa-IR"/>
    </w:rPr>
  </w:style>
  <w:style w:type="paragraph" w:customStyle="1" w:styleId="xl69">
    <w:name w:val="xl69"/>
    <w:basedOn w:val="Normal"/>
    <w:rsid w:val="000F5C2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fa-IR"/>
    </w:rPr>
  </w:style>
  <w:style w:type="character" w:styleId="Strong">
    <w:name w:val="Strong"/>
    <w:basedOn w:val="DefaultParagraphFont"/>
    <w:uiPriority w:val="22"/>
    <w:qFormat/>
    <w:rsid w:val="000F5C24"/>
    <w:rPr>
      <w:b/>
      <w:bCs/>
    </w:rPr>
  </w:style>
  <w:style w:type="paragraph" w:customStyle="1" w:styleId="xl71">
    <w:name w:val="xl71"/>
    <w:basedOn w:val="Normal"/>
    <w:rsid w:val="00191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fa-IR"/>
    </w:rPr>
  </w:style>
  <w:style w:type="paragraph" w:customStyle="1" w:styleId="xl70">
    <w:name w:val="xl70"/>
    <w:basedOn w:val="Normal"/>
    <w:rsid w:val="004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fa-IR"/>
    </w:rPr>
  </w:style>
  <w:style w:type="table" w:styleId="TableGrid">
    <w:name w:val="Table Grid"/>
    <w:basedOn w:val="TableNormal"/>
    <w:uiPriority w:val="39"/>
    <w:rsid w:val="0044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A031-5D33-47A9-9F31-D9A70C8E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46</Pages>
  <Words>33188</Words>
  <Characters>189177</Characters>
  <Application>Microsoft Office Word</Application>
  <DocSecurity>0</DocSecurity>
  <Lines>1576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10</cp:revision>
  <dcterms:created xsi:type="dcterms:W3CDTF">2023-06-23T07:59:00Z</dcterms:created>
  <dcterms:modified xsi:type="dcterms:W3CDTF">2023-11-22T13:24:00Z</dcterms:modified>
</cp:coreProperties>
</file>