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Hierarchical ReLU-LoRA Spawning for MoE Adaptation</w:t>
      </w:r>
    </w:p>
    <w:p>
      <w:pPr>
        <w:spacing w:before="0" w:after="8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Research Summary — Supervisor Review</w:t>
      </w:r>
    </w:p>
    <w:p>
      <w:pPr>
        <w:spacing w:before="0" w:after="4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Model: Phi-3.5-MoE-instruct  |  7.6B Parameters  |  Top-2 Routing  |  16 Experts/Layer</w:t>
      </w:r>
    </w:p>
    <w:p>
      <w:pPr>
        <w:pBdr>
          <w:bottom w:val="single" w:color="1F4E79" w:sz="8" w:space="1"/>
        </w:pBdr>
        <w:spacing w:before="80" w:after="24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Problem Statement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When MoE models are fine-tuned on multi-domain data (e.g. Python code + biomedical text), standard LoRA assigns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single shared low-rank adapter</w:t>
      </w:r>
      <w:r>
        <w:rPr>
          <w:rFonts w:ascii="Arial" w:cs="Arial" w:eastAsia="Arial" w:hAnsi="Arial"/>
          <w:sz w:val="22"/>
          <w:szCs w:val="22"/>
        </w:rPr>
        <w:t xml:space="preserve"> per expert. Tokens from different domains accumulate gradients in the same subspace — a problem we term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parameter entanglement</w:t>
      </w:r>
      <w:r>
        <w:rPr>
          <w:rFonts w:ascii="Arial" w:cs="Arial" w:eastAsia="Arial" w:hAnsi="Arial"/>
          <w:sz w:val="22"/>
          <w:szCs w:val="22"/>
        </w:rPr>
        <w:t xml:space="preserve">. The result is systematic negative transfer: code performance degrades as medical examples are added, and vice versa.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Pre-Experiment Diagnostic: Routing Overlap (Jaccard Analysis)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Before any training, we measured routing overlap between Python and Medical domains to understand where conflict originates.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3900"/>
      </w:tblGrid>
      <w:tr>
        <w:trPr>
          <w:tblHeader/>
        </w:trP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 Pair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Jaccard Score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3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vs Medical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0.056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0.35</w:t>
            </w:r>
          </w:p>
        </w:tc>
        <w:tc>
          <w:tcPr>
            <w:tcW w:type="dxa" w:w="3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 shared expert/layer, 8–12 fully separated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Math vs Creative Fiction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0.069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0.35</w:t>
            </w:r>
          </w:p>
        </w:tc>
        <w:tc>
          <w:tcPr>
            <w:tcW w:type="dxa" w:w="3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Near-identical separation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Finding: </w:t>
      </w:r>
      <w:r>
        <w:rPr>
          <w:rFonts w:ascii="Arial" w:cs="Arial" w:eastAsia="Arial" w:hAnsi="Arial"/>
          <w:sz w:val="22"/>
          <w:szCs w:val="22"/>
        </w:rPr>
        <w:t xml:space="preserve">The router already separates domains almost completely. This empirically falsified the naive assumption that </w:t>
      </w:r>
      <w:r>
        <w:rPr>
          <w:rFonts w:ascii="Arial" w:cs="Arial" w:eastAsia="Arial" w:hAnsi="Arial"/>
          <w:sz w:val="22"/>
          <w:szCs w:val="22"/>
        </w:rPr>
        <w:t xml:space="preserve">routing-level conflict</w:t>
      </w:r>
      <w:r>
        <w:rPr>
          <w:rFonts w:ascii="Arial" w:cs="Arial" w:eastAsia="Arial" w:hAnsi="Arial"/>
          <w:sz w:val="22"/>
          <w:szCs w:val="22"/>
        </w:rPr>
        <w:t xml:space="preserve"> drives entanglement. The reframed and more precise claim: entanglement is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gradient-space phenomenon</w:t>
      </w:r>
      <w:r>
        <w:rPr>
          <w:rFonts w:ascii="Arial" w:cs="Arial" w:eastAsia="Arial" w:hAnsi="Arial"/>
          <w:sz w:val="22"/>
          <w:szCs w:val="22"/>
        </w:rPr>
        <w:t xml:space="preserve"> — LoRA adapters accumulate incoherent gradients from both domains regardless of routing separation.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Gradient Cosine Similarity Measurement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We directly measured whether code and medical gradients are anti-aligned (destructive) or orthogonal (incoherent) in the shared LoRA adapter.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Trials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Mean cosine similarity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−0.002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Near-perfect orthogonality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Std deviation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±0.003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Consistently orthogonal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Fraction negative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75% (15/20)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meaningful at this magnitude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Finding: </w:t>
      </w:r>
      <w:r>
        <w:rPr>
          <w:rFonts w:ascii="Arial" w:cs="Arial" w:eastAsia="Arial" w:hAnsi="Arial"/>
          <w:sz w:val="22"/>
          <w:szCs w:val="22"/>
        </w:rPr>
        <w:t xml:space="preserve">Gradients are near-perfectly orthogonal, not anti-aligned. The mechanism is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capacity fragmentation</w:t>
      </w:r>
      <w:r>
        <w:rPr>
          <w:rFonts w:ascii="Arial" w:cs="Arial" w:eastAsia="Arial" w:hAnsi="Arial"/>
          <w:sz w:val="22"/>
          <w:szCs w:val="22"/>
        </w:rPr>
        <w:t xml:space="preserve">: a shared low-rank subspace cannot simultaneously converge toward two orthogonal gradient directions. This motivates architectural separation rather than simply increasing rank capacity.</w:t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Proposed Method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Hierarchical ReLU-LoRA Spawning</w:t>
      </w:r>
      <w:r>
        <w:rPr>
          <w:rFonts w:ascii="Arial" w:cs="Arial" w:eastAsia="Arial" w:hAnsi="Arial"/>
          <w:sz w:val="22"/>
          <w:szCs w:val="22"/>
        </w:rPr>
        <w:t xml:space="preserve"> dynamically spawns independent, ReLU-gated LoRA sub-adapters inside saturated experts — without modifying the frozen global router. The forward pass for a token routed to expert k becomes:</w:t>
      </w:r>
    </w:p>
    <w:p>
      <w:pPr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2E75B6"/>
          <w:sz w:val="22"/>
          <w:szCs w:val="22"/>
        </w:rPr>
        <w:t xml:space="preserve">E_k(x)  =  W_k x  +  L_{k,0}(x)  +  Σ_j  ReLU(w_{k,j}ᵀ x) · L_{k,j}(x)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Key Design Properties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Zero-loss spawn: </w:t>
      </w:r>
      <w:r>
        <w:rPr>
          <w:rFonts w:ascii="Arial" w:cs="Arial" w:eastAsia="Arial" w:hAnsi="Arial"/>
          <w:sz w:val="22"/>
          <w:szCs w:val="22"/>
        </w:rPr>
        <w:t xml:space="preserve">Zero-loss spawn: B=0 initialisation guarantees |ΔLoss| = 0.000000 at spawn time — validated experimentally.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Dead-zone escape: </w:t>
      </w:r>
      <w:r>
        <w:rPr>
          <w:rFonts w:ascii="Arial" w:cs="Arial" w:eastAsia="Arial" w:hAnsi="Arial"/>
          <w:sz w:val="22"/>
          <w:szCs w:val="22"/>
        </w:rPr>
        <w:t xml:space="preserve">Dead-zone escape: Gate gradient norm = 6.989×10⁻³ at step+2 — gates receive non-zero gradients within 2 steps.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Router untouched: </w:t>
      </w:r>
      <w:r>
        <w:rPr>
          <w:rFonts w:ascii="Arial" w:cs="Arial" w:eastAsia="Arial" w:hAnsi="Arial"/>
          <w:sz w:val="22"/>
          <w:szCs w:val="22"/>
        </w:rPr>
        <w:t xml:space="preserve">Router untouched: Sub-adapters operate entirely within experts, leaving the global Top-2 routing distribution mathematically unaffected.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Bivariate trigger: </w:t>
      </w:r>
      <w:r>
        <w:rPr>
          <w:rFonts w:ascii="Arial" w:cs="Arial" w:eastAsia="Arial" w:hAnsi="Arial"/>
          <w:sz w:val="22"/>
          <w:szCs w:val="22"/>
        </w:rPr>
        <w:t xml:space="preserve">Bivariate trigger (ConflictSaturationMonitor): Spawning fires only when (1) rank importance plateaus and (2) domain EMA divergence exceeds δ=1.0 nats. Produces ~1 spawn per 100 steps.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Gradient initialisation: </w:t>
      </w:r>
      <w:r>
        <w:rPr>
          <w:rFonts w:ascii="Arial" w:cs="Arial" w:eastAsia="Arial" w:hAnsi="Arial"/>
          <w:sz w:val="22"/>
          <w:szCs w:val="22"/>
        </w:rPr>
        <w:t xml:space="preserve">Gradient-informed initialisation: New sub-adapter A matrix is set to the top-r rows of the SVD of the residual gradient, orienting the new adapter toward directions the base LoRA was failing to learn.</w:t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Experimental Setup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Conflict-Scaling Grid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Three methods × three conflict ratios × 1500 steps each. All methods use AdamW, lr=2×10⁻⁵, base_rank=16.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2080"/>
        <w:gridCol w:w="3640"/>
        <w:gridCol w:w="2600"/>
      </w:tblGrid>
      <w:tr>
        <w:trPr>
          <w:tblHeader/>
        </w:trPr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</w:t>
            </w:r>
          </w:p>
        </w:tc>
        <w:tc>
          <w:tcPr>
            <w:tcW w:type="dxa" w:w="2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Conflict</w:t>
            </w:r>
          </w:p>
        </w:tc>
        <w:tc>
          <w:tcPr>
            <w:tcW w:type="dxa" w:w="3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2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0% (code only)</w:t>
            </w:r>
          </w:p>
        </w:tc>
        <w:tc>
          <w:tcPr>
            <w:tcW w:type="dxa" w:w="3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164 HumanEval prompts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No-conflict ceiling</w:t>
            </w:r>
          </w:p>
        </w:tc>
      </w:tr>
      <w:tr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2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20% medical</w:t>
            </w:r>
          </w:p>
        </w:tc>
        <w:tc>
          <w:tcPr>
            <w:tcW w:type="dxa" w:w="3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164 code / 310 medical (474 total)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Moderate conflict</w:t>
            </w:r>
          </w:p>
        </w:tc>
      </w:tr>
      <w:tr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2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50% medical</w:t>
            </w:r>
          </w:p>
        </w:tc>
        <w:tc>
          <w:tcPr>
            <w:tcW w:type="dxa" w:w="3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164 code / 775 medical (939 total)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Severe conflict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Methods Compared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LoRA: </w:t>
      </w:r>
      <w:r>
        <w:rPr>
          <w:rFonts w:ascii="Arial" w:cs="Arial" w:eastAsia="Arial" w:hAnsi="Arial"/>
          <w:sz w:val="22"/>
          <w:szCs w:val="22"/>
        </w:rPr>
        <w:t xml:space="preserve">LoRA: Standard fixed-rank LoRA, no spawning, no growth (baseline).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DR-LoRA: </w:t>
      </w:r>
      <w:r>
        <w:rPr>
          <w:rFonts w:ascii="Arial" w:cs="Arial" w:eastAsia="Arial" w:hAnsi="Arial"/>
          <w:sz w:val="22"/>
          <w:szCs w:val="22"/>
        </w:rPr>
        <w:t xml:space="preserve">DR-LoRA: Full saliency-based implementation — DRLoRATracker tracks routing frequency EMA (Eq. 5) and rank importance EMA (Eq. 6–8), perform_rank_growth allocates new ranks via greedy quota allocation (Eq. 9, 12). Router unfreezes at warmup step 150. 6 growth events at steps 337, 524, 711, 898, 1085, 1272.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Hierarchical: </w:t>
      </w:r>
      <w:r>
        <w:rPr>
          <w:rFonts w:ascii="Arial" w:cs="Arial" w:eastAsia="Arial" w:hAnsi="Arial"/>
          <w:sz w:val="22"/>
          <w:szCs w:val="22"/>
        </w:rPr>
        <w:t xml:space="preserve">Hierarchical Spawning: Full proposed method with ConflictSaturationMonitor (δ=1.0, τ=10⁻⁴, window=15, cap=10 sub-adapters).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Evaluation Metrics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PPL_code: </w:t>
      </w:r>
      <w:r>
        <w:rPr>
          <w:rFonts w:ascii="Arial" w:cs="Arial" w:eastAsia="Arial" w:hAnsi="Arial"/>
          <w:sz w:val="22"/>
          <w:szCs w:val="22"/>
        </w:rPr>
        <w:t xml:space="preserve">PPL_code: Mean perplexity on held-out HumanEval probe (50 examples). Primary metric — lower is better.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NegTransfer: </w:t>
      </w:r>
      <w:r>
        <w:rPr>
          <w:rFonts w:ascii="Arial" w:cs="Arial" w:eastAsia="Arial" w:hAnsi="Arial"/>
          <w:sz w:val="22"/>
          <w:szCs w:val="22"/>
        </w:rPr>
        <w:t xml:space="preserve">Negative Transfer: PPL_code(Run X) − PPL_code(Run A) for method M. Positive = forgetting.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JSD: </w:t>
      </w:r>
      <w:r>
        <w:rPr>
          <w:rFonts w:ascii="Arial" w:cs="Arial" w:eastAsia="Arial" w:hAnsi="Arial"/>
          <w:sz w:val="22"/>
          <w:szCs w:val="22"/>
        </w:rPr>
        <w:t xml:space="preserve">JSD: Jensen-Shannon Divergence between ReLU gate activation distributions P_code and P_medical. JSD ∈ [0,1]; higher = stronger domain partitioning.</w:t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Main Results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3 Conflict-Scaling 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040"/>
        <w:gridCol w:w="1560"/>
        <w:gridCol w:w="1960"/>
        <w:gridCol w:w="1560"/>
        <w:gridCol w:w="1680"/>
      </w:tblGrid>
      <w:tr>
        <w:trPr>
          <w:tblHeader/>
        </w:trP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PPL (code)</w:t>
            </w:r>
          </w:p>
        </w:tc>
        <w:tc>
          <w:tcPr>
            <w:tcW w:type="dxa" w:w="1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Neg. Transfer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Expansions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LoRA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430.60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Baseline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LoRA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747.85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7B0000"/>
                <w:sz w:val="20"/>
                <w:szCs w:val="20"/>
              </w:rPr>
              <w:t xml:space="preserve">+317.25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LoRA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1209.38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7B0000"/>
                <w:sz w:val="20"/>
                <w:szCs w:val="20"/>
              </w:rPr>
              <w:t xml:space="preserve">+778.78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DR-LoRA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461.10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Saliency growth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DR-LoRA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723.61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7B0000"/>
                <w:sz w:val="20"/>
                <w:szCs w:val="20"/>
              </w:rPr>
              <w:t xml:space="preserve">+262.51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DR-LoRA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1773.03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7B0000"/>
                <w:sz w:val="20"/>
                <w:szCs w:val="20"/>
              </w:rPr>
              <w:t xml:space="preserve">+1311.93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Worst under conflict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Hierarchical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464.92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No conflict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Hierarchical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684.52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+219.60 ✓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Best Run B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Hierarchical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1039.72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+574.79 ✓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Best Run C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✓ = lowest negative transfer for that conflict level. Green rows = Hierarchical. NegTransfer computed relative to each method's own Run A baseline.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Key Findings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Finding 1 — No-conflict baseline (Run A): all methods equivalent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LoRA 430.60, DR-LoRA 461.10, Hierarchical 464.92. All three converge to the same level without conflict, confirming that differences in Run B and C are caused by conflict handling, not underlying method quality.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Finding 2 — Moderate conflict (Run B): Hierarchical wins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Hierarchical achieves NegTransfer </w:t>
      </w: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+219.60</w:t>
      </w:r>
      <w:r>
        <w:rPr>
          <w:rFonts w:ascii="Arial" w:cs="Arial" w:eastAsia="Arial" w:hAnsi="Arial"/>
          <w:sz w:val="22"/>
          <w:szCs w:val="22"/>
        </w:rPr>
        <w:t xml:space="preserve"> vs DR-LoRA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+262.51</w:t>
      </w:r>
      <w:r>
        <w:rPr>
          <w:rFonts w:ascii="Arial" w:cs="Arial" w:eastAsia="Arial" w:hAnsi="Arial"/>
          <w:sz w:val="22"/>
          <w:szCs w:val="22"/>
        </w:rPr>
        <w:t xml:space="preserve"> vs LoRA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+317.25</w:t>
      </w:r>
      <w:r>
        <w:rPr>
          <w:rFonts w:ascii="Arial" w:cs="Arial" w:eastAsia="Arial" w:hAnsi="Arial"/>
          <w:sz w:val="22"/>
          <w:szCs w:val="22"/>
        </w:rPr>
        <w:t xml:space="preserve">. A 31% reduction in negative transfer over LoRA and 16% over DR-LoRA. Spawning fires at steps 71–389 (10 sub-adapters total).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Finding 3 — Severe conflict (Run C): Hierarchical wins decisively, DR-LoRA collapses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Hierarchical achieves NegTransfer </w:t>
      </w: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+574.79</w:t>
      </w:r>
      <w:r>
        <w:rPr>
          <w:rFonts w:ascii="Arial" w:cs="Arial" w:eastAsia="Arial" w:hAnsi="Arial"/>
          <w:sz w:val="22"/>
          <w:szCs w:val="22"/>
        </w:rPr>
        <w:t xml:space="preserve"> vs LoRA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+778.78</w:t>
      </w:r>
      <w:r>
        <w:rPr>
          <w:rFonts w:ascii="Arial" w:cs="Arial" w:eastAsia="Arial" w:hAnsi="Arial"/>
          <w:sz w:val="22"/>
          <w:szCs w:val="22"/>
        </w:rPr>
        <w:t xml:space="preserve"> vs DR-LoRA </w:t>
      </w:r>
      <w:r>
        <w:rPr>
          <w:rFonts w:ascii="Arial" w:cs="Arial" w:eastAsia="Arial" w:hAnsi="Arial"/>
          <w:b/>
          <w:bCs/>
          <w:color w:val="7B0000"/>
          <w:sz w:val="22"/>
          <w:szCs w:val="22"/>
        </w:rPr>
        <w:t xml:space="preserve">+1311.93</w:t>
      </w:r>
      <w:r>
        <w:rPr>
          <w:rFonts w:ascii="Arial" w:cs="Arial" w:eastAsia="Arial" w:hAnsi="Arial"/>
          <w:sz w:val="22"/>
          <w:szCs w:val="22"/>
        </w:rPr>
        <w:t xml:space="preserve">. DR-LoRA's full saliency pipeline performs worst under severe conflict — 2.3× worse than hierarchical. This directly supports the capacity fragmentation hypothesis: saliency-guided rank expansion into a shared subspace provides more dimensions for gradient incoherence to occupy, compounding rather than resolving the problem.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Finding 4 — ReLU gate specialisation (JSD)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Peak JSD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 JSD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B (20% conflict)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0.707 (step 100)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0.248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Strong early, stable late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C (50% conflict)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0.360 (step 300)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0.219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Moderate, stable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Gates develop strong initial specialisation immediately after spawning (JSD 0.707 at step 100 for Run B) then stabilise to a consistent equilibrium (~0.24). This confirms sub-adapters are genuinely partitioning domains, not merely accumulating capacity.</w:t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Ablation Studies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Ablation 1 — Eager Spawn (Trigger Timing)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Tested whether earlier spawning (δ=0.5) under severe conflict recovers Run C performance.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800"/>
        <w:gridCol w:w="1560"/>
        <w:gridCol w:w="160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First Spawn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Spawns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 PPL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NegTransfer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Run C (δ=1.0, cap=10)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48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1039.72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+574.79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Eager Run C (δ=0.5, cap=15)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47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973.05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+508.13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Finding: </w:t>
      </w:r>
      <w:r>
        <w:rPr>
          <w:rFonts w:ascii="Arial" w:cs="Arial" w:eastAsia="Arial" w:hAnsi="Arial"/>
          <w:sz w:val="22"/>
          <w:szCs w:val="22"/>
        </w:rPr>
        <w:t xml:space="preserve">Halving δ moved first spawn by one step (48 → 47). Final PPL improved marginally (973 vs 1040) but the difference is not meaningful.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Trigger timing is not the binding constraint.</w:t>
      </w:r>
      <w:r>
        <w:rPr>
          <w:rFonts w:ascii="Arial" w:cs="Arial" w:eastAsia="Arial" w:hAnsi="Arial"/>
          <w:sz w:val="22"/>
          <w:szCs w:val="22"/>
        </w:rPr>
        <w:t xml:space="preserve"> This isolates the cap (number of sub-adapters) as the key variable under severe conflict, motivating a conflict-ratio-aware dynamic cap as future work.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Ablation 2 — Multi-Layer Extension (Change 2)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Extended hierarchical spawning to the top-3 highest-overlap layers identified by per-layer Jaccard analysis. Selected layers: 26 (0.5513), 14 (0.5025), 9 (0.5000). Note: Layer 0 dropped to 5th place (0.3916) in this run's Jaccard diagnostic — original single-layer experiments targeted a suboptimal layer.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 PPL (code)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NegTransfer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Spawns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Single-layer (Layer 0)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684.52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+219.60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(Layer 0)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Multi-layer (Layers 9, 14, 26)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286.22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−178.70 ✓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(Layer 14 only)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Finding: </w:t>
      </w:r>
      <w:r>
        <w:rPr>
          <w:rFonts w:ascii="Arial" w:cs="Arial" w:eastAsia="Arial" w:hAnsi="Arial"/>
          <w:sz w:val="22"/>
          <w:szCs w:val="22"/>
        </w:rPr>
        <w:t xml:space="preserve">Multi-layer spawning achieves PPL 286.22 — a </w:t>
      </w: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58% reduction</w:t>
      </w:r>
      <w:r>
        <w:rPr>
          <w:rFonts w:ascii="Arial" w:cs="Arial" w:eastAsia="Arial" w:hAnsi="Arial"/>
          <w:sz w:val="22"/>
          <w:szCs w:val="22"/>
        </w:rPr>
        <w:t xml:space="preserve"> in code perplexity versus single-layer (684.52) under identical conflict conditions. The negative transfer of −178.70 means multi-layer under moderate conflict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outperforms</w:t>
      </w:r>
      <w:r>
        <w:rPr>
          <w:rFonts w:ascii="Arial" w:cs="Arial" w:eastAsia="Arial" w:hAnsi="Arial"/>
          <w:sz w:val="22"/>
          <w:szCs w:val="22"/>
        </w:rPr>
        <w:t xml:space="preserve"> single-layer no-conflict training, indicating the base LoRA corrections across 3 layers provide meaningful signal beyond just conflict mitigation.</w:t>
      </w:r>
    </w:p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Critically, all 10 spawns fired in Layer 14 only — Layers 9 and 26 were patched but never triggered. This demonstrates the ConflictSaturationMonitor correctly identifies which layers require intervention rather than spawning indiscriminately. Entanglement is distributed but concentrated: fixing the highest-overlap layers captures most of the available gain.</w:t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Summary of Contributions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Pre-experiment diagnostic </w:t>
      </w:r>
      <w:r>
        <w:rPr>
          <w:rFonts w:ascii="Arial" w:cs="Arial" w:eastAsia="Arial" w:hAnsi="Arial"/>
          <w:sz w:val="22"/>
          <w:szCs w:val="22"/>
        </w:rPr>
        <w:t xml:space="preserve">(Jaccard routing analysis + gradient cosine measurement) that empirically falsified the original routing-conflict framing and established a more precise mechanistic claim — capacity fragmentation via gradient incoherence.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Hierarchical ReLU-LoRA Spawning </w:t>
      </w:r>
      <w:r>
        <w:rPr>
          <w:rFonts w:ascii="Arial" w:cs="Arial" w:eastAsia="Arial" w:hAnsi="Arial"/>
          <w:sz w:val="22"/>
          <w:szCs w:val="22"/>
        </w:rPr>
        <w:t xml:space="preserve">with mathematically validated zero-loss spawn, dead-zone escape, and bivariate conflict trigger. Achieves lowest negative transfer under both moderate (+219.60) and severe conflict (+574.79) versus LoRA and full saliency-based DR-LoRA.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Empirical evidence that DR-LoRA's saliency mechanism fails under severe conflict </w:t>
      </w:r>
      <w:r>
        <w:rPr>
          <w:rFonts w:ascii="Arial" w:cs="Arial" w:eastAsia="Arial" w:hAnsi="Arial"/>
          <w:sz w:val="22"/>
          <w:szCs w:val="22"/>
        </w:rPr>
        <w:t xml:space="preserve">(+1311.93 NegTransfer), confirming that architectural independence — not expansion strategy — is the operative mechanism.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Multi-layer extension </w:t>
      </w:r>
      <w:r>
        <w:rPr>
          <w:rFonts w:ascii="Arial" w:cs="Arial" w:eastAsia="Arial" w:hAnsi="Arial"/>
          <w:sz w:val="22"/>
          <w:szCs w:val="22"/>
        </w:rPr>
        <w:t xml:space="preserve">demonstrating 58% PPL reduction over single-layer by targeting the three highest-Jaccard layers, with self-localising spawning that correctly concentrates activity in the highest-conflict layer.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Limitations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Metric: </w:t>
      </w:r>
      <w:r>
        <w:rPr>
          <w:rFonts w:ascii="Arial" w:cs="Arial" w:eastAsia="Arial" w:hAnsi="Arial"/>
          <w:sz w:val="22"/>
          <w:szCs w:val="22"/>
        </w:rPr>
        <w:t xml:space="preserve">Perplexity only — pass@k on functional code execution not yet measured.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Scope: </w:t>
      </w:r>
      <w:r>
        <w:rPr>
          <w:rFonts w:ascii="Arial" w:cs="Arial" w:eastAsia="Arial" w:hAnsi="Arial"/>
          <w:sz w:val="22"/>
          <w:szCs w:val="22"/>
        </w:rPr>
        <w:t xml:space="preserve">Single MoE architecture (Phi-3.5-MoE) and single domain pair (Python/Medical).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Cap sensitivity: </w:t>
      </w:r>
      <w:r>
        <w:rPr>
          <w:rFonts w:ascii="Arial" w:cs="Arial" w:eastAsia="Arial" w:hAnsi="Arial"/>
          <w:sz w:val="22"/>
          <w:szCs w:val="22"/>
        </w:rPr>
        <w:t xml:space="preserve">Sub-adapter cap is fixed — optimal cap appears conflict-ratio-dependent.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Confound: </w:t>
      </w:r>
      <w:r>
        <w:rPr>
          <w:rFonts w:ascii="Arial" w:cs="Arial" w:eastAsia="Arial" w:hAnsi="Arial"/>
          <w:sz w:val="22"/>
          <w:szCs w:val="22"/>
        </w:rPr>
        <w:t xml:space="preserve">Multi-layer results use a different random initialisation than single-layer; direct comparison requires matched seeds.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Immediate Next Steps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Pass@1 evaluation on HumanEval (requires code execution sandbox).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Conflict-ratio-aware dynamic cap: cap = round(5 + 10 × tanh(|EMA_medical − EMA_code|)).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Replicate on OLMoE-1B-7B (top-8 routing, 64 experts) to test architecture generalisation.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2026-03-22T17:27:22.710Z</dcterms:created>
  <dcterms:modified xsi:type="dcterms:W3CDTF">2026-03-22T17:27:22.711Z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