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Architecture</w:t>
      </w:r>
      <w:r>
        <w:t xml:space="preserve"> </w:t>
      </w:r>
      <w:r>
        <w:t xml:space="preserve">—</w:t>
      </w:r>
      <w:r>
        <w:t xml:space="preserve"> </w:t>
      </w:r>
      <w:r>
        <w:t xml:space="preserve">Redcare</w:t>
      </w:r>
      <w:r>
        <w:t xml:space="preserve"> </w:t>
      </w:r>
      <w:r>
        <w:t xml:space="preserve">Agentic</w:t>
      </w:r>
      <w:r>
        <w:t xml:space="preserve"> </w:t>
      </w:r>
      <w:r>
        <w:t xml:space="preserve">AI</w:t>
      </w:r>
      <w:r>
        <w:t xml:space="preserve"> </w:t>
      </w:r>
      <w:r>
        <w:t xml:space="preserve">Platform</w:t>
      </w:r>
    </w:p>
    <w:p>
      <w:pPr>
        <w:pStyle w:val="Subtitle"/>
      </w:pPr>
      <w:r>
        <w:t xml:space="preserve">How</w:t>
      </w:r>
      <w:r>
        <w:t xml:space="preserve"> </w:t>
      </w:r>
      <w:r>
        <w:t xml:space="preserve">a</w:t>
      </w:r>
      <w:r>
        <w:t xml:space="preserve"> </w:t>
      </w:r>
      <w:r>
        <w:t xml:space="preserve">customer</w:t>
      </w:r>
      <w:r>
        <w:t xml:space="preserve"> </w:t>
      </w:r>
      <w:r>
        <w:t xml:space="preserve">question</w:t>
      </w:r>
      <w:r>
        <w:t xml:space="preserve"> </w:t>
      </w:r>
      <w:r>
        <w:t xml:space="preserve">becomes</w:t>
      </w:r>
      <w:r>
        <w:t xml:space="preserve"> </w:t>
      </w:r>
      <w:r>
        <w:t xml:space="preserve">a</w:t>
      </w:r>
      <w:r>
        <w:t xml:space="preserve"> </w:t>
      </w:r>
      <w:r>
        <w:t xml:space="preserve">safe,</w:t>
      </w:r>
      <w:r>
        <w:t xml:space="preserve"> </w:t>
      </w:r>
      <w:r>
        <w:t xml:space="preserve">grounded,</w:t>
      </w:r>
      <w:r>
        <w:t xml:space="preserve"> </w:t>
      </w:r>
      <w:r>
        <w:t xml:space="preserve">observable,</w:t>
      </w:r>
      <w:r>
        <w:t xml:space="preserve"> </w:t>
      </w:r>
      <w:r>
        <w:t xml:space="preserve">affordable</w:t>
      </w:r>
      <w:r>
        <w:t xml:space="preserve"> </w:t>
      </w:r>
      <w:r>
        <w:t xml:space="preserve">answer</w:t>
      </w:r>
    </w:p>
    <w:p>
      <w:pPr>
        <w:pStyle w:val="Author"/>
      </w:pPr>
      <w:r>
        <w:t xml:space="preserve">Mehreen</w:t>
      </w:r>
      <w:r>
        <w:t xml:space="preserve"> </w:t>
      </w:r>
      <w:r>
        <w:t xml:space="preserve">Himani</w:t>
      </w:r>
    </w:p>
    <w:bookmarkStart w:id="38" w:name="X2f79d16639b136bf0897510e1c2b5eecee6d5c0"/>
    <w:p>
      <w:pPr>
        <w:pStyle w:val="Heading1"/>
      </w:pPr>
      <w:r>
        <w:t xml:space="preserve">Architecture — Redcare Agentic AI Platform</w:t>
      </w:r>
    </w:p>
    <w:p>
      <w:pPr>
        <w:pStyle w:val="BlockText"/>
      </w:pPr>
      <w:r>
        <w:t xml:space="preserve">How a customer question becomes a safe, grounded, observable, affordable answer —</w:t>
      </w:r>
      <w:r>
        <w:t xml:space="preserve"> </w:t>
      </w:r>
      <w:r>
        <w:t xml:space="preserve">and every piece of technology that makes that true, in the order it acts.</w:t>
      </w:r>
    </w:p>
    <w:p>
      <w:r>
        <w:pict>
          <v:rect style="width:0;height:1.5pt" o:hralign="center" o:hrstd="t" o:hr="t"/>
        </w:pict>
      </w:r>
    </w:p>
    <w:bookmarkStart w:id="20" w:name="X13ed76883805da9495bd07e5fdee53f1119f176"/>
    <w:p>
      <w:pPr>
        <w:pStyle w:val="Heading2"/>
      </w:pPr>
      <w:r>
        <w:t xml:space="preserve">0. The one-paragraph version</w:t>
      </w:r>
    </w:p>
    <w:p>
      <w:pPr>
        <w:pStyle w:val="FirstParagraph"/>
      </w:pPr>
      <w:r>
        <w:t xml:space="preserve">An internal team ships an agent by adopting a template. The agent runs as a container</w:t>
      </w:r>
      <w:r>
        <w:t xml:space="preserve"> </w:t>
      </w:r>
      <w:r>
        <w:t xml:space="preserve">on Azure Container Apps and can reach exactly one AI endpoint: the</w:t>
      </w:r>
      <w:r>
        <w:t xml:space="preserve"> </w:t>
      </w:r>
      <w:r>
        <w:rPr>
          <w:bCs/>
          <w:b/>
        </w:rPr>
        <w:t xml:space="preserve">LiteLLM gateway</w:t>
      </w:r>
      <w:r>
        <w:t xml:space="preserve">.</w:t>
      </w:r>
      <w:r>
        <w:t xml:space="preserve"> </w:t>
      </w:r>
      <w:r>
        <w:t xml:space="preserve">The gateway decides which model serves the call, enforces the team's entitlement, rate</w:t>
      </w:r>
      <w:r>
        <w:t xml:space="preserve"> </w:t>
      </w:r>
      <w:r>
        <w:t xml:space="preserve">limit and budget, fails over across regions and providers, caches near-duplicate</w:t>
      </w:r>
      <w:r>
        <w:t xml:space="preserve"> </w:t>
      </w:r>
      <w:r>
        <w:t xml:space="preserve">questions, and writes a cost line attributed to a cost centre. Around the model call</w:t>
      </w:r>
      <w:r>
        <w:t xml:space="preserve"> </w:t>
      </w:r>
      <w:r>
        <w:t xml:space="preserve">sit the platform's</w:t>
      </w:r>
      <w:r>
        <w:t xml:space="preserve"> </w:t>
      </w:r>
      <w:r>
        <w:rPr>
          <w:bCs/>
          <w:b/>
        </w:rPr>
        <w:t xml:space="preserve">guardrails</w:t>
      </w:r>
      <w:r>
        <w:t xml:space="preserve">; around the whole turn sits an</w:t>
      </w:r>
      <w:r>
        <w:t xml:space="preserve"> </w:t>
      </w:r>
      <w:r>
        <w:rPr>
          <w:bCs/>
          <w:b/>
        </w:rPr>
        <w:t xml:space="preserve">OpenTelemetry trace</w:t>
      </w:r>
      <w:r>
        <w:t xml:space="preserve"> </w:t>
      </w:r>
      <w:r>
        <w:t xml:space="preserve">and an</w:t>
      </w:r>
      <w:r>
        <w:t xml:space="preserve"> </w:t>
      </w:r>
      <w:r>
        <w:rPr>
          <w:bCs/>
          <w:b/>
        </w:rPr>
        <w:t xml:space="preserve">append-only audit record</w:t>
      </w:r>
      <w:r>
        <w:t xml:space="preserve">. Everything the agent may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is a declared tool,</w:t>
      </w:r>
      <w:r>
        <w:t xml:space="preserve"> </w:t>
      </w:r>
      <w:r>
        <w:t xml:space="preserve">and anything that changes a system of record is blocked behind a</w:t>
      </w:r>
      <w:r>
        <w:t xml:space="preserve"> </w:t>
      </w:r>
      <w:r>
        <w:rPr>
          <w:bCs/>
          <w:b/>
        </w:rPr>
        <w:t xml:space="preserve">human approval</w:t>
      </w:r>
      <w:r>
        <w:t xml:space="preserve">.</w:t>
      </w:r>
      <w:r>
        <w:t xml:space="preserve"> </w:t>
      </w:r>
      <w:r>
        <w:t xml:space="preserve">All of it is defined in</w:t>
      </w:r>
      <w:r>
        <w:t xml:space="preserve"> </w:t>
      </w:r>
      <w:r>
        <w:rPr>
          <w:bCs/>
          <w:b/>
        </w:rPr>
        <w:t xml:space="preserve">Terraform</w:t>
      </w:r>
      <w:r>
        <w:t xml:space="preserve">, shipped by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, and gated on an</w:t>
      </w:r>
      <w:r>
        <w:t xml:space="preserve"> </w:t>
      </w:r>
      <w:r>
        <w:rPr>
          <w:bCs/>
          <w:b/>
        </w:rPr>
        <w:t xml:space="preserve">eval suite</w:t>
      </w:r>
      <w:r>
        <w:t xml:space="preserve"> </w:t>
      </w:r>
      <w:r>
        <w:t xml:space="preserve">that must pass before a change can merge.</w:t>
      </w:r>
    </w:p>
    <w:p>
      <w:r>
        <w:pict>
          <v:rect style="width:0;height:1.5pt" o:hralign="center" o:hrstd="t" o:hr="t"/>
        </w:pict>
      </w:r>
    </w:p>
    <w:bookmarkEnd w:id="20"/>
    <w:bookmarkStart w:id="21" w:name="X693d1483461c8e616e6df6f95de7684344f2829"/>
    <w:p>
      <w:pPr>
        <w:pStyle w:val="Heading2"/>
      </w:pPr>
      <w:r>
        <w:t xml:space="preserve">1. The problem this platform exists to solve</w:t>
      </w:r>
    </w:p>
    <w:p>
      <w:pPr>
        <w:pStyle w:val="FirstParagraph"/>
      </w:pPr>
      <w:r>
        <w:t xml:space="preserve">Six months into "every team should use AI", a company without a platform reliably has: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4971"/>
        <w:gridCol w:w="4055"/>
      </w:tblGrid>
      <w:tr>
        <w:trPr>
          <w:tblHeader w:val="true"/>
        </w:trPr>
        <w:tc>
          <w:tcPr>
            <w:tcW w:w="4971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W w:w="4055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>
            <w:tcW w:w="4971" w:type="dxa"/>
          </w:tcPr>
          <w:tcPr/>
          <w:p>
            <w:pPr>
              <w:pStyle w:val="Compact"/>
              <w:jc w:val="left"/>
            </w:pPr>
            <w:r>
              <w:t xml:space="preserve">Provider keys in four repos and two Vercel projects</w:t>
            </w:r>
          </w:p>
        </w:tc>
        <w:tc>
          <w:tcPr>
            <w:tcW w:w="4055" w:type="dxa"/>
          </w:tcPr>
          <w:tcPr/>
          <w:p>
            <w:pPr>
              <w:pStyle w:val="Compact"/>
              <w:jc w:val="left"/>
            </w:pPr>
            <w:r>
              <w:t xml:space="preserve">No central place to get model access</w:t>
            </w:r>
          </w:p>
        </w:tc>
      </w:tr>
      <w:tr>
        <w:tc>
          <w:tcPr>
            <w:tcW w:w="497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An invoice nobody can explain</w:t>
            </w:r>
          </w:p>
        </w:tc>
        <w:tc>
          <w:tcPr>
            <w:tcW w:w="40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No per-team cost attribution</w:t>
            </w:r>
          </w:p>
        </w:tc>
      </w:tr>
      <w:tr>
        <w:tc>
          <w:tcPr>
            <w:tcW w:w="4971" w:type="dxa"/>
          </w:tcPr>
          <w:tcPr/>
          <w:p>
            <w:pPr>
              <w:pStyle w:val="Compact"/>
              <w:jc w:val="left"/>
            </w:pPr>
            <w:r>
              <w:t xml:space="preserve">One team's traffic spike rate-limiting everyone</w:t>
            </w:r>
          </w:p>
        </w:tc>
        <w:tc>
          <w:tcPr>
            <w:tcW w:w="4055" w:type="dxa"/>
          </w:tcPr>
          <w:tcPr/>
          <w:p>
            <w:pPr>
              <w:pStyle w:val="Compact"/>
              <w:jc w:val="left"/>
            </w:pPr>
            <w:r>
              <w:t xml:space="preserve">No per-tenant rate limits</w:t>
            </w:r>
          </w:p>
        </w:tc>
      </w:tr>
      <w:tr>
        <w:tc>
          <w:tcPr>
            <w:tcW w:w="497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hallucinated answer in a customer complaint</w:t>
            </w:r>
          </w:p>
        </w:tc>
        <w:tc>
          <w:tcPr>
            <w:tcW w:w="40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No groundedness measurement</w:t>
            </w:r>
          </w:p>
        </w:tc>
      </w:tr>
      <w:tr>
        <w:tc>
          <w:tcPr>
            <w:tcW w:w="4971" w:type="dxa"/>
          </w:tcPr>
          <w:tcPr/>
          <w:p>
            <w:pPr>
              <w:pStyle w:val="Compact"/>
              <w:jc w:val="left"/>
            </w:pPr>
            <w:r>
              <w:t xml:space="preserve">"Which version of the prompt produced that?" — unanswerable</w:t>
            </w:r>
          </w:p>
        </w:tc>
        <w:tc>
          <w:tcPr>
            <w:tcW w:w="4055" w:type="dxa"/>
          </w:tcPr>
          <w:tcPr/>
          <w:p>
            <w:pPr>
              <w:pStyle w:val="Compact"/>
              <w:jc w:val="left"/>
            </w:pPr>
            <w:r>
              <w:t xml:space="preserve">Prompts as string literals</w:t>
            </w:r>
          </w:p>
        </w:tc>
      </w:tr>
      <w:tr>
        <w:tc>
          <w:tcPr>
            <w:tcW w:w="497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regional outage taking every AI feature down</w:t>
            </w:r>
          </w:p>
        </w:tc>
        <w:tc>
          <w:tcPr>
            <w:tcW w:w="40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Single deployment, no failover</w:t>
            </w:r>
          </w:p>
        </w:tc>
      </w:tr>
      <w:tr>
        <w:tc>
          <w:tcPr>
            <w:tcW w:w="4971" w:type="dxa"/>
          </w:tcPr>
          <w:tcPr/>
          <w:p>
            <w:pPr>
              <w:pStyle w:val="Compact"/>
              <w:jc w:val="left"/>
            </w:pPr>
            <w:r>
              <w:t xml:space="preserve">A DPO who cannot sign anything off</w:t>
            </w:r>
          </w:p>
        </w:tc>
        <w:tc>
          <w:tcPr>
            <w:tcW w:w="4055" w:type="dxa"/>
          </w:tcPr>
          <w:tcPr/>
          <w:p>
            <w:pPr>
              <w:pStyle w:val="Compact"/>
              <w:jc w:val="left"/>
            </w:pPr>
            <w:r>
              <w:t xml:space="preserve">No audit trail, no data-residency proof</w:t>
            </w:r>
          </w:p>
        </w:tc>
      </w:tr>
    </w:tbl>
    <w:p>
      <w:pPr>
        <w:pStyle w:val="BodyText"/>
      </w:pPr>
      <w:r>
        <w:t xml:space="preserve">None of these is a model problem. They are all</w:t>
      </w:r>
      <w:r>
        <w:t xml:space="preserve"> </w:t>
      </w:r>
      <w:r>
        <w:rPr>
          <w:bCs/>
          <w:b/>
        </w:rPr>
        <w:t xml:space="preserve">platform</w:t>
      </w:r>
      <w:r>
        <w:t xml:space="preserve"> </w:t>
      </w:r>
      <w:r>
        <w:t xml:space="preserve">problems, and they are</w:t>
      </w:r>
      <w:r>
        <w:t xml:space="preserve"> </w:t>
      </w:r>
      <w:r>
        <w:t xml:space="preserve">what this architecture is built to make structurally impossible rather than</w:t>
      </w:r>
      <w:r>
        <w:t xml:space="preserve"> </w:t>
      </w:r>
      <w:r>
        <w:t xml:space="preserve">individually policed.</w:t>
      </w:r>
    </w:p>
    <w:p>
      <w:pPr>
        <w:pStyle w:val="BodyText"/>
      </w:pPr>
      <w:r>
        <w:t xml:space="preserve">The product goal, stated as one sentence a stakeholder can hold:</w:t>
      </w:r>
      <w:r>
        <w:t xml:space="preserve"> </w:t>
      </w:r>
      <w:r>
        <w:rPr>
          <w:bCs/>
          <w:b/>
        </w:rPr>
        <w:t xml:space="preserve">any team at Redcare</w:t>
      </w:r>
      <w:r>
        <w:rPr>
          <w:bCs/>
          <w:b/>
        </w:rPr>
        <w:t xml:space="preserve"> </w:t>
      </w:r>
      <w:r>
        <w:rPr>
          <w:bCs/>
          <w:b/>
        </w:rPr>
        <w:t xml:space="preserve">can put a safe, observed, affordable AI agent in front of customers within a week, and</w:t>
      </w:r>
      <w:r>
        <w:rPr>
          <w:bCs/>
          <w:b/>
        </w:rPr>
        <w:t xml:space="preserve"> </w:t>
      </w:r>
      <w:r>
        <w:rPr>
          <w:bCs/>
          <w:b/>
        </w:rPr>
        <w:t xml:space="preserve">the company can prove afterwards what it did and what it cost.</w:t>
      </w:r>
    </w:p>
    <w:p>
      <w:r>
        <w:pict>
          <v:rect style="width:0;height:1.5pt" o:hralign="center" o:hrstd="t" o:hr="t"/>
        </w:pict>
      </w:r>
    </w:p>
    <w:bookmarkEnd w:id="21"/>
    <w:bookmarkStart w:id="23" w:name="X4409c7d0627032e8a1d9ca4f1e2ccad585a5020"/>
    <w:p>
      <w:pPr>
        <w:pStyle w:val="Heading2"/>
      </w:pPr>
      <w:r>
        <w:t xml:space="preserve">2. The request path, end to end</w:t>
      </w:r>
    </w:p>
    <w:p>
      <w:pPr>
        <w:pStyle w:val="FirstParagraph"/>
      </w:pPr>
      <w:r>
        <w:t xml:space="preserve">A customer types</w:t>
      </w:r>
      <w:r>
        <w:t xml:space="preserve"> </w:t>
      </w:r>
      <w:r>
        <w:rPr>
          <w:iCs/>
          <w:i/>
        </w:rPr>
        <w:t xml:space="preserve">"Can I take ibuprofen with warfarin?"</w:t>
      </w:r>
      <w:r>
        <w:t xml:space="preserve"> </w:t>
      </w:r>
      <w:r>
        <w:t xml:space="preserve">Here is every hop.</w:t>
      </w:r>
    </w:p>
    <w:p>
      <w:pPr>
        <w:pStyle w:val="SourceCode"/>
      </w:pP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   │  HTTPS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Azure Front Door + WAF          DDoS, TLS, OWASP rules, geo-filtering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  private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Container App: carecopilot-agent            (Azure Container Apps, VNet-injected) │</w:t>
      </w:r>
      <w:r>
        <w:br/>
      </w:r>
      <w:r>
        <w:rPr>
          <w:rStyle w:val="VerbatimChar"/>
        </w:rPr>
        <w:t xml:space="preserve">│                                                                                   │</w:t>
      </w:r>
      <w:r>
        <w:br/>
      </w:r>
      <w:r>
        <w:rPr>
          <w:rStyle w:val="VerbatimChar"/>
        </w:rPr>
        <w:t xml:space="preserve">│  1. router.classify      cheap classifier → trivial | standard | complex          │</w:t>
      </w:r>
      <w:r>
        <w:br/>
      </w:r>
      <w:r>
        <w:rPr>
          <w:rStyle w:val="VerbatimChar"/>
        </w:rPr>
        <w:t xml:space="preserve">│  2. router.resolve       entitlement → tier → health. Emits the *reason*.         │</w:t>
      </w:r>
      <w:r>
        <w:br/>
      </w:r>
      <w:r>
        <w:rPr>
          <w:rStyle w:val="VerbatimChar"/>
        </w:rPr>
        <w:t xml:space="preserve">│  3. finops.preflight     tenant daily budget + session ceiling checked first      │</w:t>
      </w:r>
      <w:r>
        <w:br/>
      </w:r>
      <w:r>
        <w:rPr>
          <w:rStyle w:val="VerbatimChar"/>
        </w:rPr>
        <w:t xml:space="preserve">│  4. guardrails.input     injection → scope → PII redaction                        │</w:t>
      </w:r>
      <w:r>
        <w:br/>
      </w:r>
      <w:r>
        <w:rPr>
          <w:rStyle w:val="VerbatimChar"/>
        </w:rPr>
        <w:t xml:space="preserve">│  5. agent.step.N         plan (LLM) → act (tools) → observe → repeat              │</w:t>
      </w:r>
      <w:r>
        <w:br/>
      </w:r>
      <w:r>
        <w:rPr>
          <w:rStyle w:val="VerbatimChar"/>
        </w:rPr>
        <w:t xml:space="preserve">│  6. guardrails.output    secrets → grounding → medical-advice → PII → disclosure  │</w:t>
      </w:r>
      <w:r>
        <w:br/>
      </w:r>
      <w:r>
        <w:rPr>
          <w:rStyle w:val="VerbatimChar"/>
        </w:rPr>
        <w:t xml:space="preserve">│  7. persist + account    session, spend ledger, metrics, audit record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│                            │                                │</w:t>
      </w:r>
      <w:r>
        <w:br/>
      </w:r>
      <w:r>
        <w:rPr>
          <w:rStyle w:val="VerbatimChar"/>
        </w:rPr>
        <w:t xml:space="preserve">   │ every model call           │ every tool call                │ every span</w:t>
      </w:r>
      <w:r>
        <w:br/>
      </w:r>
      <w:r>
        <w:rPr>
          <w:rStyle w:val="VerbatimChar"/>
        </w:rPr>
        <w:t xml:space="preserve">   ▼                            ▼                                ▼</w:t>
      </w:r>
      <w:r>
        <w:br/>
      </w:r>
      <w:r>
        <w:rPr>
          <w:rStyle w:val="VerbatimChar"/>
        </w:rPr>
        <w:t xml:space="preserve">┌──────────────────┐   ┌────────────────────────┐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LiteLLM gateway  │   │ Systems of record      │   │ OTel Collector                │</w:t>
      </w:r>
      <w:r>
        <w:br/>
      </w:r>
      <w:r>
        <w:rPr>
          <w:rStyle w:val="VerbatimChar"/>
        </w:rPr>
        <w:t xml:space="preserve">│ (Container App)  │   │  SAP-OMS   orders      │   │  redact → tail-sample → fan out│</w:t>
      </w:r>
      <w:r>
        <w:br/>
      </w:r>
      <w:r>
        <w:rPr>
          <w:rStyle w:val="VerbatimChar"/>
        </w:rPr>
        <w:t xml:space="preserve">│                  │   │  WMS       stock       │   │                               │</w:t>
      </w:r>
      <w:r>
        <w:br/>
      </w:r>
      <w:r>
        <w:rPr>
          <w:rStyle w:val="VerbatimChar"/>
        </w:rPr>
        <w:t xml:space="preserve">│ virtual keys     │   │  ABDA      interactions│   │  → Azure Monitor / App Insights│</w:t>
      </w:r>
      <w:r>
        <w:br/>
      </w:r>
      <w:r>
        <w:rPr>
          <w:rStyle w:val="VerbatimChar"/>
        </w:rPr>
        <w:t xml:space="preserve">│ entitlement      │   │  AI Search policies    │   │  → Prometheus → Grafana        │</w:t>
      </w:r>
      <w:r>
        <w:br/>
      </w:r>
      <w:r>
        <w:rPr>
          <w:rStyle w:val="VerbatimChar"/>
        </w:rPr>
        <w:t xml:space="preserve">│ rpm/tpm limits   │   │  ServiceNow escalation │   │  → Log Analytics (audit, 7y)   │</w:t>
      </w:r>
      <w:r>
        <w:br/>
      </w:r>
      <w:r>
        <w:rPr>
          <w:rStyle w:val="VerbatimChar"/>
        </w:rPr>
        <w:t xml:space="preserve">│ budgets          │   └────────────────────────┘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│ retries+failover │</w:t>
      </w:r>
      <w:r>
        <w:br/>
      </w:r>
      <w:r>
        <w:rPr>
          <w:rStyle w:val="VerbatimChar"/>
        </w:rPr>
        <w:t xml:space="preserve">│ semantic cache   │──── Redis (semantic cache) ─────┐</w:t>
      </w:r>
      <w:r>
        <w:br/>
      </w:r>
      <w:r>
        <w:rPr>
          <w:rStyle w:val="VerbatimChar"/>
        </w:rPr>
        <w:t xml:space="preserve">│ spend attribution│──── PostgreSQL (spend, keys) ───┤  both private-endpoint only</w:t>
      </w:r>
      <w:r>
        <w:br/>
      </w:r>
      <w:r>
        <w:rPr>
          <w:rStyle w:val="VerbatimChar"/>
        </w:rPr>
        <w:t xml:space="preserve">│ callbacks        │                                  │</w:t>
      </w:r>
      <w:r>
        <w:br/>
      </w:r>
      <w:r>
        <w:rPr>
          <w:rStyle w:val="VerbatimChar"/>
        </w:rPr>
        <w:t xml:space="preserve">└──────────────────┘                                  │</w:t>
      </w:r>
      <w:r>
        <w:br/>
      </w:r>
      <w:r>
        <w:rPr>
          <w:rStyle w:val="VerbatimChar"/>
        </w:rPr>
        <w:t xml:space="preserve">   │         │                                        │</w:t>
      </w:r>
      <w:r>
        <w:br/>
      </w:r>
      <w:r>
        <w:rPr>
          <w:rStyle w:val="VerbatimChar"/>
        </w:rPr>
        <w:t xml:space="preserve">   ▼         ▼                                        │</w:t>
      </w:r>
      <w:r>
        <w:br/>
      </w:r>
      <w:r>
        <w:rPr>
          <w:rStyle w:val="VerbatimChar"/>
        </w:rPr>
        <w:t xml:space="preserve">Azure OpenAI  Azure OpenAI      Anthropic             │</w:t>
      </w:r>
      <w:r>
        <w:br/>
      </w:r>
      <w:r>
        <w:rPr>
          <w:rStyle w:val="VerbatimChar"/>
        </w:rPr>
        <w:t xml:space="preserve">Sweden Central West Europe      (deep tier)           │</w:t>
      </w:r>
      <w:r>
        <w:br/>
      </w:r>
      <w:r>
        <w:rPr>
          <w:rStyle w:val="VerbatimChar"/>
        </w:rPr>
        <w:t xml:space="preserve">(primary)      (failover)                             │</w:t>
      </w:r>
      <w:r>
        <w:br/>
      </w:r>
      <w:r>
        <w:rPr>
          <w:rStyle w:val="VerbatimChar"/>
        </w:rPr>
        <w:t xml:space="preserve">   └───────── all reached over private endpoints ─────┘</w:t>
      </w:r>
    </w:p>
    <w:bookmarkStart w:id="22" w:name="why-each-step-is-where-it-is"/>
    <w:p>
      <w:pPr>
        <w:pStyle w:val="Heading3"/>
      </w:pPr>
      <w:r>
        <w:t xml:space="preserve">Why each step is where it is</w:t>
      </w:r>
    </w:p>
    <w:p>
      <w:pPr>
        <w:pStyle w:val="FirstParagraph"/>
      </w:pPr>
      <w:r>
        <w:rPr>
          <w:bCs/>
          <w:b/>
        </w:rPr>
        <w:t xml:space="preserve">Classification before routing.</w:t>
      </w:r>
      <w:r>
        <w:t xml:space="preserve"> </w:t>
      </w:r>
      <w:r>
        <w:t xml:space="preserve">A greeting and a drug-interaction question do not</w:t>
      </w:r>
      <w:r>
        <w:t xml:space="preserve"> </w:t>
      </w:r>
      <w:r>
        <w:t xml:space="preserve">need the same model. Classifying first means the expensive tier is spent on the turns</w:t>
      </w:r>
      <w:r>
        <w:t xml:space="preserve"> </w:t>
      </w:r>
      <w:r>
        <w:t xml:space="preserve">that need it. The classifier itself runs on the cheap tier and costs about $0.0001 —</w:t>
      </w:r>
      <w:r>
        <w:t xml:space="preserve"> </w:t>
      </w:r>
      <w:r>
        <w:t xml:space="preserve">it pays for itself the first time it keeps a "hello" off the deep model.</w:t>
      </w:r>
    </w:p>
    <w:p>
      <w:pPr>
        <w:pStyle w:val="BodyText"/>
      </w:pPr>
      <w:r>
        <w:rPr>
          <w:bCs/>
          <w:b/>
        </w:rPr>
        <w:t xml:space="preserve">Budget check before guardrails.</w:t>
      </w:r>
      <w:r>
        <w:t xml:space="preserve"> </w:t>
      </w:r>
      <w:r>
        <w:t xml:space="preserve">Guardrails cost CPU; a tenant already over budget</w:t>
      </w:r>
      <w:r>
        <w:t xml:space="preserve"> </w:t>
      </w:r>
      <w:r>
        <w:t xml:space="preserve">should be refused before the platform spends anything on them, including its own.</w:t>
      </w:r>
    </w:p>
    <w:p>
      <w:pPr>
        <w:pStyle w:val="BodyText"/>
      </w:pPr>
      <w:r>
        <w:rPr>
          <w:bCs/>
          <w:b/>
        </w:rPr>
        <w:t xml:space="preserve">Guardrails before the model, not only after.</w:t>
      </w:r>
      <w:r>
        <w:t xml:space="preserve"> </w:t>
      </w:r>
      <w:r>
        <w:t xml:space="preserve">Prompt injection has to be caught</w:t>
      </w:r>
      <w:r>
        <w:t xml:space="preserve"> </w:t>
      </w:r>
      <w:r>
        <w:t xml:space="preserve">before the model reads it. PII has to be removed before the prompt leaves the VNet.</w:t>
      </w:r>
      <w:r>
        <w:t xml:space="preserve"> </w:t>
      </w:r>
      <w:r>
        <w:t xml:space="preserve">An output-only guardrail is a guardrail that already lost.</w:t>
      </w:r>
    </w:p>
    <w:p>
      <w:pPr>
        <w:pStyle w:val="BodyText"/>
      </w:pPr>
      <w:r>
        <w:rPr>
          <w:bCs/>
          <w:b/>
        </w:rPr>
        <w:t xml:space="preserve">Grounding checked against tool observations, not against a vibe.</w:t>
      </w:r>
      <w:r>
        <w:t xml:space="preserve"> </w:t>
      </w:r>
      <w:r>
        <w:t xml:space="preserve">Every factual</w:t>
      </w:r>
      <w:r>
        <w:t xml:space="preserve"> </w:t>
      </w:r>
      <w:r>
        <w:t xml:space="preserve">claim in the answer — an order number, a stock state, a policy id, a risk band — must</w:t>
      </w:r>
      <w:r>
        <w:t xml:space="preserve"> </w:t>
      </w:r>
      <w:r>
        <w:t xml:space="preserve">appear in something a tool returned. This is a cheap, explainable check that catches</w:t>
      </w:r>
      <w:r>
        <w:t xml:space="preserve"> </w:t>
      </w:r>
      <w:r>
        <w:t xml:space="preserve">the failure mode people actually fear.</w:t>
      </w:r>
    </w:p>
    <w:p>
      <w:pPr>
        <w:pStyle w:val="BodyText"/>
      </w:pPr>
      <w:r>
        <w:rPr>
          <w:bCs/>
          <w:b/>
        </w:rPr>
        <w:t xml:space="preserve">Human approval before the side effect, not after the answer.</w:t>
      </w:r>
      <w:r>
        <w:t xml:space="preserve"> </w:t>
      </w:r>
      <w:r>
        <w:t xml:space="preserve">The agent never opens</w:t>
      </w:r>
      <w:r>
        <w:t xml:space="preserve"> </w:t>
      </w:r>
      <w:r>
        <w:t xml:space="preserve">a pharmacist ticket on its own. It</w:t>
      </w:r>
      <w:r>
        <w:t xml:space="preserve"> </w:t>
      </w:r>
      <w:r>
        <w:rPr>
          <w:iCs/>
          <w:i/>
        </w:rPr>
        <w:t xml:space="preserve">prepares</w:t>
      </w:r>
      <w:r>
        <w:t xml:space="preserve"> </w:t>
      </w:r>
      <w:r>
        <w:t xml:space="preserve">one and stops. That is EU AI Act Art. 14</w:t>
      </w:r>
      <w:r>
        <w:t xml:space="preserve"> </w:t>
      </w:r>
      <w:r>
        <w:t xml:space="preserve">expressed as a code path rather than a paragraph in a policy document.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X8efffa3947ecf744edd3ea3ddfa66df6ab29316"/>
    <w:p>
      <w:pPr>
        <w:pStyle w:val="Heading2"/>
      </w:pPr>
      <w:r>
        <w:t xml:space="preserve">3. The technology map — what each thing is for</w:t>
      </w:r>
    </w:p>
    <w:bookmarkStart w:id="24" w:name="X338eca0efe9e46b229244597f321c9e6683531d"/>
    <w:p>
      <w:pPr>
        <w:pStyle w:val="Heading3"/>
      </w:pPr>
      <w:r>
        <w:t xml:space="preserve">3.1 Azure Cloud — the substrate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2028"/>
        <w:gridCol w:w="2455"/>
        <w:gridCol w:w="4543"/>
      </w:tblGrid>
      <w:tr>
        <w:trPr>
          <w:tblHeader w:val="true"/>
        </w:trPr>
        <w:tc>
          <w:tcPr>
            <w:tcW w:w="2028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W w:w="2455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w="454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Why this one</w:t>
            </w:r>
          </w:p>
        </w:tc>
      </w:tr>
      <w:tr>
        <w:tc>
          <w:tcPr>
            <w:tcW w:w="20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Container Apps</w:t>
            </w:r>
          </w:p>
        </w:tc>
        <w:tc>
          <w:tcPr>
            <w:tcW w:w="2455" w:type="dxa"/>
          </w:tcPr>
          <w:tcPr/>
          <w:p>
            <w:pPr>
              <w:pStyle w:val="Compact"/>
              <w:jc w:val="left"/>
            </w:pPr>
            <w:r>
              <w:t xml:space="preserve">Runs the agents and the gateway</w:t>
            </w:r>
          </w:p>
        </w:tc>
        <w:tc>
          <w:tcPr>
            <w:tcW w:w="4543" w:type="dxa"/>
          </w:tcPr>
          <w:tcPr/>
          <w:p>
            <w:pPr>
              <w:pStyle w:val="Compact"/>
              <w:jc w:val="left"/>
            </w:pPr>
            <w:r>
              <w:t xml:space="preserve">Revisions, traffic splitting, KEDA autoscaling, managed identity and scale-to-zero without operating a Kubernetes control plane. A small platform team should be maintaining golden paths, not etcd. The exit to AKS stays open because the unit of deployment is a plain OCI image.</w:t>
            </w:r>
          </w:p>
        </w:tc>
      </w:tr>
      <w:tr>
        <w:tc>
          <w:tcPr>
            <w:tcW w:w="2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OpenAI</w:t>
            </w:r>
            <w:r>
              <w:t xml:space="preserve"> </w:t>
            </w:r>
            <w:r>
              <w:t xml:space="preserve">(Sweden Central + West Europe)</w:t>
            </w:r>
          </w:p>
        </w:tc>
        <w:tc>
          <w:tcPr>
            <w:tcW w:w="24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Model deployments</w:t>
            </w:r>
          </w:p>
        </w:tc>
        <w:tc>
          <w:tcPr>
            <w:tcW w:w="454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EU data residency, enterprise agreement, private endpoints, per-region quota. The second region is failover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a second quota pool.</w:t>
            </w:r>
          </w:p>
        </w:tc>
      </w:tr>
      <w:tr>
        <w:tc>
          <w:tcPr>
            <w:tcW w:w="20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AI Search</w:t>
            </w:r>
          </w:p>
        </w:tc>
        <w:tc>
          <w:tcPr>
            <w:tcW w:w="2455" w:type="dxa"/>
          </w:tcPr>
          <w:tcPr/>
          <w:p>
            <w:pPr>
              <w:pStyle w:val="Compact"/>
              <w:jc w:val="left"/>
            </w:pPr>
            <w:r>
              <w:t xml:space="preserve">Policy/knowledge index for RAG</w:t>
            </w:r>
          </w:p>
        </w:tc>
        <w:tc>
          <w:tcPr>
            <w:tcW w:w="4543" w:type="dxa"/>
          </w:tcPr>
          <w:tcPr/>
          <w:p>
            <w:pPr>
              <w:pStyle w:val="Compact"/>
              <w:jc w:val="left"/>
            </w:pPr>
            <w:r>
              <w:t xml:space="preserve">Hybrid retrieval with a semantic ranker. In RAG, retrieval is what is usually wrong with a bad answer, not the model.</w:t>
            </w:r>
          </w:p>
        </w:tc>
      </w:tr>
      <w:tr>
        <w:tc>
          <w:tcPr>
            <w:tcW w:w="2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Vault</w:t>
            </w:r>
          </w:p>
        </w:tc>
        <w:tc>
          <w:tcPr>
            <w:tcW w:w="24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Every secret</w:t>
            </w:r>
          </w:p>
        </w:tc>
        <w:tc>
          <w:tcPr>
            <w:tcW w:w="454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RBAC (not legacy access policies), purge protection, private endpoint. Secret</w:t>
            </w:r>
            <w:r>
              <w:t xml:space="preserve"> </w:t>
            </w:r>
            <w:r>
              <w:rPr>
                <w:iCs/>
                <w:i/>
              </w:rPr>
              <w:t xml:space="preserve">values</w:t>
            </w:r>
            <w:r>
              <w:t xml:space="preserve"> </w:t>
            </w:r>
            <w:r>
              <w:t xml:space="preserve">never enter Terraform.</w:t>
            </w:r>
          </w:p>
        </w:tc>
      </w:tr>
      <w:tr>
        <w:tc>
          <w:tcPr>
            <w:tcW w:w="20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Entra ID</w:t>
            </w:r>
          </w:p>
        </w:tc>
        <w:tc>
          <w:tcPr>
            <w:tcW w:w="2455" w:type="dxa"/>
          </w:tcPr>
          <w:tcPr/>
          <w:p>
            <w:pPr>
              <w:pStyle w:val="Compact"/>
              <w:jc w:val="left"/>
            </w:pPr>
            <w:r>
              <w:t xml:space="preserve">Identity for humans and workloads</w:t>
            </w:r>
          </w:p>
        </w:tc>
        <w:tc>
          <w:tcPr>
            <w:tcW w:w="4543" w:type="dxa"/>
          </w:tcPr>
          <w:tcPr/>
          <w:p>
            <w:pPr>
              <w:pStyle w:val="Compact"/>
              <w:jc w:val="left"/>
            </w:pPr>
            <w:r>
              <w:t xml:space="preserve">Workload identity federation removes the last long-lived credential from CI.</w:t>
            </w:r>
          </w:p>
        </w:tc>
      </w:tr>
      <w:tr>
        <w:tc>
          <w:tcPr>
            <w:tcW w:w="2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PostgreSQL Flexible Server</w:t>
            </w:r>
          </w:p>
        </w:tc>
        <w:tc>
          <w:tcPr>
            <w:tcW w:w="24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Gateway spend logs, transcripts, approvals, eval history</w:t>
            </w:r>
          </w:p>
        </w:tc>
        <w:tc>
          <w:tcPr>
            <w:tcW w:w="454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Point-in-time restore on the financial and evidential record. Managed identity auth only.</w:t>
            </w:r>
          </w:p>
        </w:tc>
      </w:tr>
      <w:tr>
        <w:tc>
          <w:tcPr>
            <w:tcW w:w="20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Azure Cache for Redis</w:t>
            </w:r>
          </w:p>
        </w:tc>
        <w:tc>
          <w:tcPr>
            <w:tcW w:w="2455" w:type="dxa"/>
          </w:tcPr>
          <w:tcPr/>
          <w:p>
            <w:pPr>
              <w:pStyle w:val="Compact"/>
              <w:jc w:val="left"/>
            </w:pPr>
            <w:r>
              <w:t xml:space="preserve">Gateway semantic cache, agent session state</w:t>
            </w:r>
          </w:p>
        </w:tc>
        <w:tc>
          <w:tcPr>
            <w:tcW w:w="4543" w:type="dxa"/>
          </w:tcPr>
          <w:tcPr/>
          <w:p>
            <w:pPr>
              <w:pStyle w:val="Compact"/>
              <w:jc w:val="left"/>
            </w:pPr>
            <w:r>
              <w:t xml:space="preserve">The cheapest token is the one never sent.</w:t>
            </w:r>
          </w:p>
        </w:tc>
      </w:tr>
      <w:tr>
        <w:tc>
          <w:tcPr>
            <w:tcW w:w="2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Analytics + App Insights</w:t>
            </w:r>
          </w:p>
        </w:tc>
        <w:tc>
          <w:tcPr>
            <w:tcW w:w="24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Telemetry and the audit table</w:t>
            </w:r>
          </w:p>
        </w:tc>
        <w:tc>
          <w:tcPr>
            <w:tcW w:w="454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One workspace so a single KQL query can join a trace, a cost and an escalation.</w:t>
            </w:r>
          </w:p>
        </w:tc>
      </w:tr>
      <w:tr>
        <w:tc>
          <w:tcPr>
            <w:tcW w:w="20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Managed Grafana</w:t>
            </w:r>
          </w:p>
        </w:tc>
        <w:tc>
          <w:tcPr>
            <w:tcW w:w="2455" w:type="dxa"/>
          </w:tcPr>
          <w:tcPr/>
          <w:p>
            <w:pPr>
              <w:pStyle w:val="Compact"/>
              <w:jc w:val="left"/>
            </w:pPr>
            <w:r>
              <w:t xml:space="preserve">Dashboards</w:t>
            </w:r>
          </w:p>
        </w:tc>
        <w:tc>
          <w:tcPr>
            <w:tcW w:w="4543" w:type="dxa"/>
          </w:tcPr>
          <w:tcPr/>
          <w:p>
            <w:pPr>
              <w:pStyle w:val="Compact"/>
              <w:jc w:val="left"/>
            </w:pPr>
            <w:r>
              <w:t xml:space="preserve">Provisioned from Git; a dashboard nobody can recreate makes an outage worse.</w:t>
            </w:r>
          </w:p>
        </w:tc>
      </w:tr>
      <w:tr>
        <w:tc>
          <w:tcPr>
            <w:tcW w:w="2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Safety</w:t>
            </w:r>
          </w:p>
        </w:tc>
        <w:tc>
          <w:tcPr>
            <w:tcW w:w="24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Provider-independent content filtering</w:t>
            </w:r>
          </w:p>
        </w:tc>
        <w:tc>
          <w:tcPr>
            <w:tcW w:w="454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The filter must not change when the model behind the endpoint changes.</w:t>
            </w:r>
          </w:p>
        </w:tc>
      </w:tr>
      <w:tr>
        <w:tc>
          <w:tcPr>
            <w:tcW w:w="2028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 Door + WAF</w:t>
            </w:r>
          </w:p>
        </w:tc>
        <w:tc>
          <w:tcPr>
            <w:tcW w:w="2455" w:type="dxa"/>
          </w:tcPr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>
            <w:tcW w:w="4543" w:type="dxa"/>
          </w:tcPr>
          <w:tcPr/>
          <w:p>
            <w:pPr>
              <w:pStyle w:val="Compact"/>
              <w:jc w:val="left"/>
            </w:pPr>
            <w:r>
              <w:t xml:space="preserve">DDoS, TLS, OWASP, geo-filtering before anything reaches the VNet.</w:t>
            </w:r>
          </w:p>
        </w:tc>
      </w:tr>
      <w:tr>
        <w:tc>
          <w:tcPr>
            <w:tcW w:w="2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Defender for Cloud</w:t>
            </w:r>
          </w:p>
        </w:tc>
        <w:tc>
          <w:tcPr>
            <w:tcW w:w="245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Posture and runtime threat detection</w:t>
            </w:r>
          </w:p>
        </w:tc>
        <w:tc>
          <w:tcPr>
            <w:tcW w:w="454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Container, Key Vault and AI plans.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network rule that shapes everything else:</w:t>
      </w:r>
      <w:r>
        <w:t xml:space="preserve"> </w:t>
      </w:r>
      <w:r>
        <w:t xml:space="preserve">the AI plane has no public ingress</w:t>
      </w:r>
      <w:r>
        <w:t xml:space="preserve"> </w:t>
      </w:r>
      <w:r>
        <w:t xml:space="preserve">and no unmonitored egress. Every dependency is a private endpoint with a matching</w:t>
      </w:r>
      <w:r>
        <w:t xml:space="preserve"> </w:t>
      </w:r>
      <w:r>
        <w:t xml:space="preserve">private DNS zone. (Missing the DNS zone is the single most common Azure private-</w:t>
      </w:r>
      <w:r>
        <w:t xml:space="preserve"> </w:t>
      </w:r>
      <w:r>
        <w:t xml:space="preserve">networking mistake — the endpoint exists, the name still resolves publicly, and the</w:t>
      </w:r>
      <w:r>
        <w:t xml:space="preserve"> </w:t>
      </w:r>
      <w:r>
        <w:t xml:space="preserve">traffic quietly leaves the VNet.)</w:t>
      </w:r>
    </w:p>
    <w:bookmarkEnd w:id="24"/>
    <w:bookmarkStart w:id="25" w:name="X07cdaae1350158ecc53a261b9106b927fa7edc2"/>
    <w:p>
      <w:pPr>
        <w:pStyle w:val="Heading3"/>
      </w:pPr>
      <w:r>
        <w:t xml:space="preserve">3.2 LiteLLM / AI Gateway — the choke point</w:t>
      </w:r>
    </w:p>
    <w:p>
      <w:pPr>
        <w:pStyle w:val="FirstParagraph"/>
      </w:pPr>
      <w:r>
        <w:t xml:space="preserve">The gateway is the most important design decision in the platform, because it is the</w:t>
      </w:r>
      <w:r>
        <w:t xml:space="preserve"> </w:t>
      </w:r>
      <w:r>
        <w:t xml:space="preserve">only thing that makes every other guarantee</w:t>
      </w:r>
      <w:r>
        <w:t xml:space="preserve"> </w:t>
      </w:r>
      <w:r>
        <w:rPr>
          <w:bCs/>
          <w:b/>
        </w:rPr>
        <w:t xml:space="preserve">enforceable rather than advisory</w:t>
      </w:r>
      <w:r>
        <w:t xml:space="preserve">.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4190"/>
        <w:gridCol w:w="4836"/>
      </w:tblGrid>
      <w:tr>
        <w:trPr>
          <w:tblHeader w:val="true"/>
        </w:trPr>
        <w:tc>
          <w:tcPr>
            <w:tcW w:w="4190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It owns</w:t>
            </w:r>
          </w:p>
        </w:tc>
        <w:tc>
          <w:tcPr>
            <w:tcW w:w="4836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Without it</w:t>
            </w:r>
          </w:p>
        </w:tc>
      </w:tr>
      <w:tr>
        <w:tc>
          <w:tcPr>
            <w:tcW w:w="4190" w:type="dxa"/>
          </w:tcPr>
          <w:tcPr/>
          <w:p>
            <w:pPr>
              <w:pStyle w:val="Compact"/>
              <w:jc w:val="left"/>
            </w:pPr>
            <w:r>
              <w:t xml:space="preserve">Virtual keys per team</w:t>
            </w:r>
          </w:p>
        </w:tc>
        <w:tc>
          <w:tcPr>
            <w:tcW w:w="4836" w:type="dxa"/>
          </w:tcPr>
          <w:tcPr/>
          <w:p>
            <w:pPr>
              <w:pStyle w:val="Compact"/>
              <w:jc w:val="left"/>
            </w:pPr>
            <w:r>
              <w:t xml:space="preserve">Provider keys copied into N repos</w:t>
            </w:r>
          </w:p>
        </w:tc>
      </w:tr>
      <w:tr>
        <w:tc>
          <w:tcPr>
            <w:tcW w:w="419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Entitlement (which team, which model)</w:t>
            </w:r>
          </w:p>
        </w:tc>
        <w:tc>
          <w:tcPr>
            <w:tcW w:w="48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Anyone can call the most expensive model</w:t>
            </w:r>
          </w:p>
        </w:tc>
      </w:tr>
      <w:tr>
        <w:tc>
          <w:tcPr>
            <w:tcW w:w="4190" w:type="dxa"/>
          </w:tcPr>
          <w:tcPr/>
          <w:p>
            <w:pPr>
              <w:pStyle w:val="Compact"/>
              <w:jc w:val="left"/>
            </w:pPr>
            <w:r>
              <w:t xml:space="preserve">Rate limits (rpm/tpm per key)</w:t>
            </w:r>
          </w:p>
        </w:tc>
        <w:tc>
          <w:tcPr>
            <w:tcW w:w="4836" w:type="dxa"/>
          </w:tcPr>
          <w:tcPr/>
          <w:p>
            <w:pPr>
              <w:pStyle w:val="Compact"/>
              <w:jc w:val="left"/>
            </w:pPr>
            <w:r>
              <w:t xml:space="preserve">One team's spike throttles everyone</w:t>
            </w:r>
          </w:p>
        </w:tc>
      </w:tr>
      <w:tr>
        <w:tc>
          <w:tcPr>
            <w:tcW w:w="419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Budgets, enforced pre-call</w:t>
            </w:r>
          </w:p>
        </w:tc>
        <w:tc>
          <w:tcPr>
            <w:tcW w:w="48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runaway loop is discovered on the invoice</w:t>
            </w:r>
          </w:p>
        </w:tc>
      </w:tr>
      <w:tr>
        <w:tc>
          <w:tcPr>
            <w:tcW w:w="4190" w:type="dxa"/>
          </w:tcPr>
          <w:tcPr/>
          <w:p>
            <w:pPr>
              <w:pStyle w:val="Compact"/>
              <w:jc w:val="left"/>
            </w:pPr>
            <w:r>
              <w:t xml:space="preserve">Retries, timeouts, cooldowns</w:t>
            </w:r>
          </w:p>
        </w:tc>
        <w:tc>
          <w:tcPr>
            <w:tcW w:w="4836" w:type="dxa"/>
          </w:tcPr>
          <w:tcPr/>
          <w:p>
            <w:pPr>
              <w:pStyle w:val="Compact"/>
              <w:jc w:val="left"/>
            </w:pPr>
            <w:r>
              <w:t xml:space="preserve">N different retry policies, all subtly wrong</w:t>
            </w:r>
          </w:p>
        </w:tc>
      </w:tr>
      <w:tr>
        <w:tc>
          <w:tcPr>
            <w:tcW w:w="419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Cross-region and cross-provider failover</w:t>
            </w:r>
          </w:p>
        </w:tc>
        <w:tc>
          <w:tcPr>
            <w:tcW w:w="48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regional outage is a company-wide outage</w:t>
            </w:r>
          </w:p>
        </w:tc>
      </w:tr>
      <w:tr>
        <w:tc>
          <w:tcPr>
            <w:tcW w:w="4190" w:type="dxa"/>
          </w:tcPr>
          <w:tcPr/>
          <w:p>
            <w:pPr>
              <w:pStyle w:val="Compact"/>
              <w:jc w:val="left"/>
            </w:pPr>
            <w:r>
              <w:t xml:space="preserve">Semantic caching</w:t>
            </w:r>
          </w:p>
        </w:tc>
        <w:tc>
          <w:tcPr>
            <w:tcW w:w="4836" w:type="dxa"/>
          </w:tcPr>
          <w:tcPr/>
          <w:p>
            <w:pPr>
              <w:pStyle w:val="Compact"/>
              <w:jc w:val="left"/>
            </w:pPr>
            <w:r>
              <w:t xml:space="preserve">Paying repeatedly for "where is my order?"</w:t>
            </w:r>
          </w:p>
        </w:tc>
      </w:tr>
      <w:tr>
        <w:tc>
          <w:tcPr>
            <w:tcW w:w="419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Cost attribution to a cost centre</w:t>
            </w:r>
          </w:p>
        </w:tc>
        <w:tc>
          <w:tcPr>
            <w:tcW w:w="48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An invoice nobody can explain</w:t>
            </w:r>
          </w:p>
        </w:tc>
      </w:tr>
      <w:tr>
        <w:tc>
          <w:tcPr>
            <w:tcW w:w="4190" w:type="dxa"/>
          </w:tcPr>
          <w:tcPr/>
          <w:p>
            <w:pPr>
              <w:pStyle w:val="Compact"/>
              <w:jc w:val="left"/>
            </w:pPr>
            <w:r>
              <w:t xml:space="preserve">Guardrail hooks and PII masking</w:t>
            </w:r>
          </w:p>
        </w:tc>
        <w:tc>
          <w:tcPr>
            <w:tcW w:w="4836" w:type="dxa"/>
          </w:tcPr>
          <w:tcPr/>
          <w:p>
            <w:pPr>
              <w:pStyle w:val="Compact"/>
              <w:jc w:val="left"/>
            </w:pPr>
            <w:r>
              <w:t xml:space="preserve">Every team reimplements redaction</w:t>
            </w:r>
          </w:p>
        </w:tc>
      </w:tr>
      <w:tr>
        <w:tc>
          <w:tcPr>
            <w:tcW w:w="419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One OTel/Langfuse callback for everyone</w:t>
            </w:r>
          </w:p>
        </w:tc>
        <w:tc>
          <w:tcPr>
            <w:tcW w:w="48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Observability that depends on who remembered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virtual key is the unit of governance</w:t>
      </w:r>
      <w:r>
        <w:t xml:space="preserve">: a revocable credential carrying a</w:t>
      </w:r>
      <w:r>
        <w:t xml:space="preserve"> </w:t>
      </w:r>
      <w:r>
        <w:t xml:space="preserve">tenant, a cost centre, an entitlement list, rate limits, a budget and an owning Entra</w:t>
      </w:r>
      <w:r>
        <w:t xml:space="preserve"> </w:t>
      </w:r>
      <w:r>
        <w:t xml:space="preserve">group. Onboarding a team is issuing one; offboarding is revoking one.</w:t>
      </w:r>
    </w:p>
    <w:p>
      <w:pPr>
        <w:pStyle w:val="BodyText"/>
      </w:pPr>
      <w:r>
        <w:t xml:space="preserve">Model names are</w:t>
      </w:r>
      <w:r>
        <w:t xml:space="preserve"> </w:t>
      </w:r>
      <w:r>
        <w:rPr>
          <w:bCs/>
          <w:b/>
        </w:rPr>
        <w:t xml:space="preserve">abstractions, not products</w:t>
      </w:r>
      <w:r>
        <w:t xml:space="preserve">. Tenants ask for</w:t>
      </w:r>
      <w:r>
        <w:t xml:space="preserve"> </w:t>
      </w:r>
      <w:r>
        <w:rPr>
          <w:rStyle w:val="VerbatimChar"/>
        </w:rPr>
        <w:t xml:space="preserve">carecopilot-balanced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gpt-4o-2024-11-20</w:t>
      </w:r>
      <w:r>
        <w:t xml:space="preserve">. Swapping the model underneath is a config change reviewed in</w:t>
      </w:r>
      <w:r>
        <w:t xml:space="preserve"> </w:t>
      </w:r>
      <w:r>
        <w:t xml:space="preserve">a PR and validated by the eval gate — no tenant code changes.</w:t>
      </w:r>
    </w:p>
    <w:bookmarkEnd w:id="25"/>
    <w:bookmarkStart w:id="26" w:name="Xe3c46a88a660009b61d2ca259daa12523583a99"/>
    <w:p>
      <w:pPr>
        <w:pStyle w:val="Heading3"/>
      </w:pPr>
      <w:r>
        <w:t xml:space="preserve">3.3 Terraform / Infrastructure as Code — the definition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  network/        VNet, subnets, NSGs, 8 private DNS zones</w:t>
      </w:r>
      <w:r>
        <w:br/>
      </w:r>
      <w:r>
        <w:rPr>
          <w:rStyle w:val="VerbatimChar"/>
        </w:rPr>
        <w:t xml:space="preserve">  identity/       managed identities, RBAC, GitHub OIDC federation</w:t>
      </w:r>
      <w:r>
        <w:br/>
      </w:r>
      <w:r>
        <w:rPr>
          <w:rStyle w:val="VerbatimChar"/>
        </w:rPr>
        <w:t xml:space="preserve">  security/       Key Vault, secret slots, Content Safety, Defender</w:t>
      </w:r>
      <w:r>
        <w:br/>
      </w:r>
      <w:r>
        <w:rPr>
          <w:rStyle w:val="VerbatimChar"/>
        </w:rPr>
        <w:t xml:space="preserve">  data/           Azure OpenAI (2 regions), AI Search, Storage, Postgres, Redis</w:t>
      </w:r>
      <w:r>
        <w:br/>
      </w:r>
      <w:r>
        <w:rPr>
          <w:rStyle w:val="VerbatimChar"/>
        </w:rPr>
        <w:t xml:space="preserve">  runtime/        Container Apps environment + ACR   ← shared fabric</w:t>
      </w:r>
      <w:r>
        <w:br/>
      </w:r>
      <w:r>
        <w:rPr>
          <w:rStyle w:val="VerbatimChar"/>
        </w:rPr>
        <w:t xml:space="preserve">  gateway/        the LiteLLM container app</w:t>
      </w:r>
      <w:r>
        <w:br/>
      </w:r>
      <w:r>
        <w:rPr>
          <w:rStyle w:val="VerbatimChar"/>
        </w:rPr>
        <w:t xml:space="preserve">  compute/        the agents, as a map — onboarding is a map entry</w:t>
      </w:r>
      <w:r>
        <w:br/>
      </w:r>
      <w:r>
        <w:rPr>
          <w:rStyle w:val="VerbatimChar"/>
        </w:rPr>
        <w:t xml:space="preserve">  observability/  Log Analytics, App Insights, Grafana, 6 alert rules, budgets</w:t>
      </w:r>
      <w:r>
        <w:br/>
      </w:r>
      <w:r>
        <w:rPr>
          <w:rStyle w:val="VerbatimChar"/>
        </w:rPr>
        <w:t xml:space="preserve">envs/</w:t>
      </w:r>
      <w:r>
        <w:br/>
      </w:r>
      <w:r>
        <w:rPr>
          <w:rStyle w:val="VerbatimChar"/>
        </w:rPr>
        <w:t xml:space="preserve">  dev/   prod/    same modules, different numbers</w:t>
      </w:r>
    </w:p>
    <w:p>
      <w:pPr>
        <w:pStyle w:val="FirstParagraph"/>
      </w:pPr>
      <w:r>
        <w:t xml:space="preserve">Three things worth pointing at: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runtime/</w:t>
      </w:r>
      <w:r>
        <w:rPr>
          <w:bCs/>
          <w:b/>
        </w:rPr>
        <w:t xml:space="preserve"> </w:t>
      </w:r>
      <w:r>
        <w:rPr>
          <w:bCs/>
          <w:b/>
        </w:rPr>
        <w:t xml:space="preserve">exists because of a real dependency cycle.</w:t>
      </w:r>
      <w:r>
        <w:t xml:space="preserve"> </w:t>
      </w:r>
      <w:r>
        <w:t xml:space="preserve">The gateway needs a</w:t>
      </w:r>
      <w:r>
        <w:t xml:space="preserve"> </w:t>
      </w:r>
      <w:r>
        <w:t xml:space="preserve">registry to pull from; the agents need the gateway's URL. Putting the registry in</w:t>
      </w:r>
      <w:r>
        <w:t xml:space="preserve"> </w:t>
      </w:r>
      <w:r>
        <w:rPr>
          <w:rStyle w:val="VerbatimChar"/>
        </w:rPr>
        <w:t xml:space="preserve">compute/</w:t>
      </w:r>
      <w:r>
        <w:t xml:space="preserve"> </w:t>
      </w:r>
      <w:r>
        <w:t xml:space="preserve">and the environment in</w:t>
      </w:r>
      <w:r>
        <w:t xml:space="preserve"> </w:t>
      </w:r>
      <w:r>
        <w:rPr>
          <w:rStyle w:val="VerbatimChar"/>
        </w:rPr>
        <w:t xml:space="preserve">gateway/</w:t>
      </w:r>
      <w:r>
        <w:t xml:space="preserve"> </w:t>
      </w:r>
      <w:r>
        <w:t xml:space="preserve">makes the two modules depend on each</w:t>
      </w:r>
      <w:r>
        <w:t xml:space="preserve"> </w:t>
      </w:r>
      <w:r>
        <w:t xml:space="preserve">other and Terraform refuses to build a graph. The fix is not a workaround, it is</w:t>
      </w:r>
      <w:r>
        <w:t xml:space="preserve"> </w:t>
      </w:r>
      <w:r>
        <w:t xml:space="preserve">the correct decomposition: the compute</w:t>
      </w:r>
      <w:r>
        <w:t xml:space="preserve"> </w:t>
      </w:r>
      <w:r>
        <w:rPr>
          <w:iCs/>
          <w:i/>
        </w:rPr>
        <w:t xml:space="preserve">fabric</w:t>
      </w:r>
      <w:r>
        <w:t xml:space="preserve"> </w:t>
      </w:r>
      <w:r>
        <w:t xml:space="preserve">is shared infrastructure that both</w:t>
      </w:r>
      <w:r>
        <w:t xml:space="preserve"> </w:t>
      </w:r>
      <w:r>
        <w:t xml:space="preserve">sit on. Ownership follows the same line.</w:t>
      </w:r>
    </w:p>
    <w:p>
      <w:pPr>
        <w:numPr>
          <w:ilvl w:val="0"/>
          <w:numId w:val="1001"/>
        </w:numPr>
      </w:pPr>
      <w:r>
        <w:rPr>
          <w:rStyle w:val="VerbatimChar"/>
          <w:bCs/>
          <w:b/>
        </w:rPr>
        <w:t xml:space="preserve">compute/</w:t>
      </w:r>
      <w:r>
        <w:rPr>
          <w:bCs/>
          <w:b/>
        </w:rPr>
        <w:t xml:space="preserve"> </w:t>
      </w:r>
      <w:r>
        <w:rPr>
          <w:bCs/>
          <w:b/>
        </w:rPr>
        <w:t xml:space="preserve">takes agents as a map.</w:t>
      </w:r>
      <w:r>
        <w:t xml:space="preserve"> </w:t>
      </w:r>
      <w:r>
        <w:t xml:space="preserve">Onboarding the tenth team is a map entry, not</w:t>
      </w:r>
      <w:r>
        <w:t xml:space="preserve"> </w:t>
      </w:r>
      <w:r>
        <w:t xml:space="preserve">a new pipeline. That is the actual test of whether something is a platform.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dev and prod are the same code.</w:t>
      </w:r>
      <w:r>
        <w:t xml:space="preserve"> </w:t>
      </w:r>
      <w:r>
        <w:t xml:space="preserve">What differs is size and cost. What never</w:t>
      </w:r>
      <w:r>
        <w:t xml:space="preserve"> </w:t>
      </w:r>
      <w:r>
        <w:t xml:space="preserve">differs is posture — private networking, managed identity, no public data access,</w:t>
      </w:r>
      <w:r>
        <w:t xml:space="preserve"> </w:t>
      </w:r>
      <w:r>
        <w:t xml:space="preserve">guardrails on, audit on. If a control had to be turned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for production, dev</w:t>
      </w:r>
      <w:r>
        <w:t xml:space="preserve"> </w:t>
      </w:r>
      <w:r>
        <w:t xml:space="preserve">would be the weak link an attacker uses.</w:t>
      </w:r>
    </w:p>
    <w:p>
      <w:pPr>
        <w:pStyle w:val="FirstParagraph"/>
      </w:pPr>
      <w:r>
        <w:rPr>
          <w:bCs/>
          <w:b/>
        </w:rPr>
        <w:t xml:space="preserve">State</w:t>
      </w:r>
      <w:r>
        <w:t xml:space="preserve"> </w:t>
      </w:r>
      <w:r>
        <w:t xml:space="preserve">lives in Azure Storage with blob leasing for locks, versioning and soft</w:t>
      </w:r>
      <w:r>
        <w:t xml:space="preserve"> </w:t>
      </w:r>
      <w:r>
        <w:t xml:space="preserve">delete, private-endpoint only, one container per environment. Nobody holds standing</w:t>
      </w:r>
      <w:r>
        <w:t xml:space="preserve"> </w:t>
      </w:r>
      <w:r>
        <w:t xml:space="preserve">write access to the subscriptions; GitHub gets a few minutes of it via OIDC.</w:t>
      </w:r>
    </w:p>
    <w:bookmarkEnd w:id="26"/>
    <w:bookmarkStart w:id="27" w:name="Xb7ed0999f65e7f3678fa47b9c6bc5980e6dd99d"/>
    <w:p>
      <w:pPr>
        <w:pStyle w:val="Heading3"/>
      </w:pPr>
      <w:r>
        <w:t xml:space="preserve">3.4 GitHub + GitHub Actions — the only path to production</w:t>
      </w:r>
    </w:p>
    <w:p>
      <w:pPr>
        <w:pStyle w:val="SourceCode"/>
      </w:pPr>
      <w:r>
        <w:rPr>
          <w:rStyle w:val="VerbatimChar"/>
        </w:rPr>
        <w:t xml:space="preserve">Pull request ──► CI                     lint → test → EVALS → terraform → security → gate</w:t>
      </w:r>
      <w:r>
        <w:br/>
      </w:r>
      <w:r>
        <w:rPr>
          <w:rStyle w:val="VerbatimChar"/>
        </w:rPr>
        <w:t xml:space="preserve">             └─► terraform plan         plan + Checkov + tfsec + Conftest, posted as a comment</w:t>
      </w:r>
      <w:r>
        <w:br/>
      </w:r>
      <w:r>
        <w:br/>
      </w:r>
      <w:r>
        <w:rPr>
          <w:rStyle w:val="VerbatimChar"/>
        </w:rPr>
        <w:t xml:space="preserve">Merge to main ─► CD                     build → SBOM → Trivy → cosign sign → dev deploy</w:t>
      </w:r>
      <w:r>
        <w:br/>
      </w:r>
      <w:r>
        <w:rPr>
          <w:rStyle w:val="VerbatimChar"/>
        </w:rPr>
        <w:t xml:space="preserve">                                        → smoke → online eval → prod canary 10%</w:t>
      </w:r>
      <w:r>
        <w:br/>
      </w:r>
      <w:r>
        <w:rPr>
          <w:rStyle w:val="VerbatimChar"/>
        </w:rPr>
        <w:t xml:space="preserve">                                        → bake 15 min → promote 100% (or roll back)</w:t>
      </w:r>
      <w:r>
        <w:br/>
      </w:r>
      <w:r>
        <w:rPr>
          <w:rStyle w:val="VerbatimChar"/>
        </w:rPr>
        <w:t xml:space="preserve">             └─► terraform apply        dev automatic; prod behind 2 approvers</w:t>
      </w:r>
      <w:r>
        <w:br/>
      </w:r>
      <w:r>
        <w:br/>
      </w:r>
      <w:r>
        <w:rPr>
          <w:rStyle w:val="VerbatimChar"/>
        </w:rPr>
        <w:t xml:space="preserve">Nightly ──────► drift detection         non-empty plan opens an issue</w:t>
      </w:r>
    </w:p>
    <w:p>
      <w:pPr>
        <w:pStyle w:val="FirstParagraph"/>
      </w:pPr>
      <w:r>
        <w:t xml:space="preserve">Four things that are not decoration: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eval job is a required check.</w:t>
      </w:r>
      <w:r>
        <w:t xml:space="preserve"> </w:t>
      </w:r>
      <w:r>
        <w:t xml:space="preserve">For a non-deterministic system, unit tests</w:t>
      </w:r>
      <w:r>
        <w:t xml:space="preserve"> </w:t>
      </w:r>
      <w:r>
        <w:t xml:space="preserve">prove the plumbing and evals prove the behaviour. Safety is thresholded at 1.00 —</w:t>
      </w:r>
      <w:r>
        <w:t xml:space="preserve"> </w:t>
      </w:r>
      <w:r>
        <w:t xml:space="preserve">one safety miss fails the build.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plan comment is the review artefact.</w:t>
      </w:r>
      <w:r>
        <w:t xml:space="preserve"> </w:t>
      </w:r>
      <w:r>
        <w:t xml:space="preserve">A reviewer approving an infrastructure</w:t>
      </w:r>
      <w:r>
        <w:t xml:space="preserve"> </w:t>
      </w:r>
      <w:r>
        <w:t xml:space="preserve">PR is approving a diff of</w:t>
      </w:r>
      <w:r>
        <w:t xml:space="preserve"> </w:t>
      </w:r>
      <w:r>
        <w:rPr>
          <w:iCs/>
          <w:i/>
        </w:rPr>
        <w:t xml:space="preserve">resources</w:t>
      </w:r>
      <w:r>
        <w:t xml:space="preserve">, not a diff of HCL. The reviewed plan file is</w:t>
      </w:r>
      <w:r>
        <w:t xml:space="preserve"> </w:t>
      </w:r>
      <w:r>
        <w:t xml:space="preserve">the file that gets applied.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OIDC everywhere.</w:t>
      </w:r>
      <w:r>
        <w:t xml:space="preserve"> </w:t>
      </w:r>
      <w:r>
        <w:t xml:space="preserve">No client secret exists to leak. Entra ID checks that the</w:t>
      </w:r>
      <w:r>
        <w:t xml:space="preserve"> </w:t>
      </w:r>
      <w:r>
        <w:t xml:space="preserve">token's subject matches an exact federated credential — a different branch, a</w:t>
      </w:r>
      <w:r>
        <w:t xml:space="preserve"> </w:t>
      </w:r>
      <w:r>
        <w:t xml:space="preserve">different environment or a fork does not match.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Rollback is a traffic-weight change.</w:t>
      </w:r>
      <w:r>
        <w:t xml:space="preserve"> </w:t>
      </w:r>
      <w:r>
        <w:t xml:space="preserve">Seconds, not a rebuild. A rollback that</w:t>
      </w:r>
      <w:r>
        <w:t xml:space="preserve"> </w:t>
      </w:r>
      <w:r>
        <w:t xml:space="preserve">needs a rebuild is not a rollback.</w:t>
      </w:r>
    </w:p>
    <w:bookmarkEnd w:id="27"/>
    <w:bookmarkStart w:id="28" w:name="Xe8551b9e64a623361c22fd6ced834ca4f651cbc"/>
    <w:p>
      <w:pPr>
        <w:pStyle w:val="Heading3"/>
      </w:pPr>
      <w:r>
        <w:t xml:space="preserve">3.5 Observability — four signal families</w:t>
      </w:r>
    </w:p>
    <w:p>
      <w:pPr>
        <w:pStyle w:val="FirstParagraph"/>
      </w:pPr>
      <w:r>
        <w:t xml:space="preserve">Classic APM answers</w:t>
      </w:r>
      <w:r>
        <w:t xml:space="preserve"> </w:t>
      </w:r>
      <w:r>
        <w:rPr>
          <w:iCs/>
          <w:i/>
        </w:rPr>
        <w:t xml:space="preserve">"was it fast and did it 500?"</w:t>
      </w:r>
      <w:r>
        <w:t xml:space="preserve">. That is necessary and nowhere</w:t>
      </w:r>
      <w:r>
        <w:t xml:space="preserve"> </w:t>
      </w:r>
      <w:r>
        <w:t xml:space="preserve">near sufficient for an agent, which can be fast, return 200, and still be wrong,</w:t>
      </w:r>
      <w:r>
        <w:t xml:space="preserve"> </w:t>
      </w:r>
      <w:r>
        <w:t xml:space="preserve">ungrounded, unaffordable or looping.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1380"/>
        <w:gridCol w:w="5197"/>
        <w:gridCol w:w="2449"/>
      </w:tblGrid>
      <w:tr>
        <w:trPr>
          <w:tblHeader w:val="true"/>
        </w:trPr>
        <w:tc>
          <w:tcPr>
            <w:tcW w:w="1380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W w:w="5197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Metrics</w:t>
            </w:r>
          </w:p>
        </w:tc>
        <w:tc>
          <w:tcPr>
            <w:tcW w:w="2449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The question it answers</w:t>
            </w:r>
          </w:p>
        </w:tc>
      </w:tr>
      <w:tr>
        <w:tc>
          <w:tcPr>
            <w:tcW w:w="138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</w:t>
            </w:r>
          </w:p>
        </w:tc>
        <w:tc>
          <w:tcPr>
            <w:tcW w:w="5197" w:type="dxa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agent_requests_total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agent_request_duration_seconds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agent_errors_total</w:t>
            </w:r>
          </w:p>
        </w:tc>
        <w:tc>
          <w:tcPr>
            <w:tcW w:w="2449" w:type="dxa"/>
          </w:tcPr>
          <w:tcPr/>
          <w:p>
            <w:pPr>
              <w:pStyle w:val="Compact"/>
              <w:jc w:val="left"/>
            </w:pPr>
            <w:r>
              <w:t xml:space="preserve">Is the service up?</w:t>
            </w:r>
          </w:p>
        </w:tc>
      </w:tr>
      <w:tr>
        <w:tc>
          <w:tcPr>
            <w:tcW w:w="138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tcPr>
            <w:tcW w:w="5197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agent_steps_per_turn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agent_tool_calls_total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agent_tool_duration_seconds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agent_loop_termination_total</w:t>
            </w:r>
          </w:p>
        </w:tc>
        <w:tc>
          <w:tcPr>
            <w:tcW w:w="2449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Is it behaving?</w:t>
            </w:r>
          </w:p>
        </w:tc>
      </w:tr>
      <w:tr>
        <w:tc>
          <w:tcPr>
            <w:tcW w:w="1380" w:type="dxa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</w:t>
            </w:r>
          </w:p>
        </w:tc>
        <w:tc>
          <w:tcPr>
            <w:tcW w:w="5197" w:type="dxa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guardrail_firings_total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agent_groundedness_ratio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agent_escalations_total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agent_eval_score</w:t>
            </w:r>
          </w:p>
        </w:tc>
        <w:tc>
          <w:tcPr>
            <w:tcW w:w="2449" w:type="dxa"/>
          </w:tcPr>
          <w:tcPr/>
          <w:p>
            <w:pPr>
              <w:pStyle w:val="Compact"/>
              <w:jc w:val="left"/>
            </w:pPr>
            <w:r>
              <w:t xml:space="preserve">Is it right?</w:t>
            </w:r>
          </w:p>
        </w:tc>
      </w:tr>
      <w:tr>
        <w:tc>
          <w:tcPr>
            <w:tcW w:w="138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FinOps</w:t>
            </w:r>
          </w:p>
        </w:tc>
        <w:tc>
          <w:tcPr>
            <w:tcW w:w="5197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llm_tokens_total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llm_cost_usd_total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llm_cost_usd_per_turn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llm_cache_events_total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llm_budget_remaining_usd</w:t>
            </w:r>
          </w:p>
        </w:tc>
        <w:tc>
          <w:tcPr>
            <w:tcW w:w="2449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Is it affordable?</w:t>
            </w:r>
          </w:p>
        </w:tc>
      </w:tr>
    </w:tbl>
    <w:p>
      <w:pPr>
        <w:pStyle w:val="BodyText"/>
      </w:pPr>
      <w:r>
        <w:t xml:space="preserve">Traces carry the causal story of one turn. The</w:t>
      </w:r>
      <w:r>
        <w:t xml:space="preserve"> </w:t>
      </w:r>
      <w:r>
        <w:rPr>
          <w:bCs/>
          <w:b/>
        </w:rPr>
        <w:t xml:space="preserve">OTel Collector</w:t>
      </w:r>
      <w:r>
        <w:t xml:space="preserve"> </w:t>
      </w:r>
      <w:r>
        <w:t xml:space="preserve">is the seam that</w:t>
      </w:r>
      <w:r>
        <w:t xml:space="preserve"> </w:t>
      </w:r>
      <w:r>
        <w:t xml:space="preserve">keeps the application vendor-neutral: the app speaks OTLP and knows nothing about</w:t>
      </w:r>
      <w:r>
        <w:t xml:space="preserve"> </w:t>
      </w:r>
      <w:r>
        <w:t xml:space="preserve">Azure Monitor. It also does the work you do not want in a request path — batching,</w:t>
      </w:r>
      <w:r>
        <w:t xml:space="preserve"> </w:t>
      </w:r>
      <w:r>
        <w:t xml:space="preserve">retry, memory limiting, and a</w:t>
      </w:r>
      <w:r>
        <w:t xml:space="preserve"> </w:t>
      </w:r>
      <w:r>
        <w:rPr>
          <w:bCs/>
          <w:b/>
        </w:rPr>
        <w:t xml:space="preserve">redaction pass</w:t>
      </w:r>
      <w:r>
        <w:t xml:space="preserve"> </w:t>
      </w:r>
      <w:r>
        <w:t xml:space="preserve">so prompts and completions never</w:t>
      </w:r>
      <w:r>
        <w:t xml:space="preserve"> </w:t>
      </w:r>
      <w:r>
        <w:t xml:space="preserve">reach a trace backend that is not an approved store for health data.</w:t>
      </w:r>
    </w:p>
    <w:p>
      <w:pPr>
        <w:pStyle w:val="BodyText"/>
      </w:pPr>
      <w:r>
        <w:rPr>
          <w:bCs/>
          <w:b/>
        </w:rPr>
        <w:t xml:space="preserve">Tail sampling, not head sampling.</w:t>
      </w:r>
      <w:r>
        <w:t xml:space="preserve"> </w:t>
      </w:r>
      <w:r>
        <w:t xml:space="preserve">Keep every error, every turn over 4s, every</w:t>
      </w:r>
      <w:r>
        <w:t xml:space="preserve"> </w:t>
      </w:r>
      <w:r>
        <w:t xml:space="preserve">guardrail firing and every escalation; sample 20% of the boring successes. A head</w:t>
      </w:r>
      <w:r>
        <w:t xml:space="preserve"> </w:t>
      </w:r>
      <w:r>
        <w:t xml:space="preserve">sampler has to guess before the request runs.</w:t>
      </w:r>
    </w:p>
    <w:p>
      <w:pPr>
        <w:pStyle w:val="BodyText"/>
      </w:pPr>
      <w:r>
        <w:rPr>
          <w:bCs/>
          <w:b/>
        </w:rPr>
        <w:t xml:space="preserve">SLOs with error budgets</w:t>
      </w:r>
      <w:r>
        <w:t xml:space="preserve">, because an SLO without an error budget is a wish: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2668"/>
        <w:gridCol w:w="3122"/>
        <w:gridCol w:w="1364"/>
        <w:gridCol w:w="1872"/>
      </w:tblGrid>
      <w:tr>
        <w:trPr>
          <w:tblHeader w:val="true"/>
        </w:trPr>
        <w:tc>
          <w:tcPr>
            <w:tcW w:w="2668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SLO</w:t>
            </w:r>
          </w:p>
        </w:tc>
        <w:tc>
          <w:tcPr>
            <w:tcW w:w="3122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>
            <w:tcW w:w="1364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>
            <w:tcW w:w="1872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</w:tr>
      <w:tr>
        <w:tc>
          <w:tcPr>
            <w:tcW w:w="2668" w:type="dxa"/>
          </w:tcPr>
          <w:tcPr/>
          <w:p>
            <w:pPr>
              <w:pStyle w:val="Compact"/>
              <w:jc w:val="left"/>
            </w:pPr>
            <w:r>
              <w:t xml:space="preserve">Gateway availability</w:t>
            </w:r>
          </w:p>
        </w:tc>
        <w:tc>
          <w:tcPr>
            <w:tcW w:w="3122" w:type="dxa"/>
          </w:tcPr>
          <w:tcPr/>
          <w:p>
            <w:pPr>
              <w:pStyle w:val="Compact"/>
              <w:jc w:val="left"/>
            </w:pPr>
            <w:r>
              <w:t xml:space="preserve">99.9%</w:t>
            </w:r>
          </w:p>
        </w:tc>
        <w:tc>
          <w:tcPr>
            <w:tcW w:w="1364" w:type="dxa"/>
          </w:tcPr>
          <w:tcPr/>
          <w:p>
            <w:pPr>
              <w:pStyle w:val="Compact"/>
              <w:jc w:val="left"/>
            </w:pPr>
            <w:r>
              <w:t xml:space="preserve">30d</w:t>
            </w:r>
          </w:p>
        </w:tc>
        <w:tc>
          <w:tcPr>
            <w:tcW w:w="1872" w:type="dxa"/>
          </w:tcPr>
          <w:tcPr/>
          <w:p>
            <w:pPr>
              <w:pStyle w:val="Compact"/>
              <w:jc w:val="left"/>
            </w:pPr>
            <w:r>
              <w:t xml:space="preserve">43.2 min</w:t>
            </w:r>
          </w:p>
        </w:tc>
      </w:tr>
      <w:tr>
        <w:tc>
          <w:tcPr>
            <w:tcW w:w="266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Turn latency</w:t>
            </w:r>
          </w:p>
        </w:tc>
        <w:tc>
          <w:tcPr>
            <w:tcW w:w="3122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p95 &lt; 4.0s</w:t>
            </w:r>
          </w:p>
        </w:tc>
        <w:tc>
          <w:tcPr>
            <w:tcW w:w="1364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30d</w:t>
            </w:r>
          </w:p>
        </w:tc>
        <w:tc>
          <w:tcPr>
            <w:tcW w:w="1872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43.2 min</w:t>
            </w:r>
          </w:p>
        </w:tc>
      </w:tr>
      <w:tr>
        <w:tc>
          <w:tcPr>
            <w:tcW w:w="2668" w:type="dxa"/>
          </w:tcPr>
          <w:tcPr/>
          <w:p>
            <w:pPr>
              <w:pStyle w:val="Compact"/>
              <w:jc w:val="left"/>
            </w:pPr>
            <w:r>
              <w:t xml:space="preserve">Groundedness</w:t>
            </w:r>
          </w:p>
        </w:tc>
        <w:tc>
          <w:tcPr>
            <w:tcW w:w="3122" w:type="dxa"/>
          </w:tcPr>
          <w:tcPr/>
          <w:p>
            <w:pPr>
              <w:pStyle w:val="Compact"/>
              <w:jc w:val="left"/>
            </w:pPr>
            <w:r>
              <w:t xml:space="preserve">≥ 97% of turns fully grounded</w:t>
            </w:r>
          </w:p>
        </w:tc>
        <w:tc>
          <w:tcPr>
            <w:tcW w:w="1364" w:type="dxa"/>
          </w:tcPr>
          <w:tcPr/>
          <w:p>
            <w:pPr>
              <w:pStyle w:val="Compact"/>
              <w:jc w:val="left"/>
            </w:pPr>
            <w:r>
              <w:t xml:space="preserve">7d</w:t>
            </w:r>
          </w:p>
        </w:tc>
        <w:tc>
          <w:tcPr>
            <w:tcW w:w="1872" w:type="dxa"/>
          </w:tcPr>
          <w:tcPr/>
          <w:p>
            <w:pPr>
              <w:pStyle w:val="Compact"/>
              <w:jc w:val="left"/>
            </w:pPr>
            <w:r>
              <w:t xml:space="preserve">302.4 min</w:t>
            </w:r>
          </w:p>
        </w:tc>
      </w:tr>
      <w:tr>
        <w:tc>
          <w:tcPr>
            <w:tcW w:w="266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Guardrail coverage</w:t>
            </w:r>
          </w:p>
        </w:tc>
        <w:tc>
          <w:tcPr>
            <w:tcW w:w="3122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100% of turns pass both pipelines</w:t>
            </w:r>
          </w:p>
        </w:tc>
        <w:tc>
          <w:tcPr>
            <w:tcW w:w="1364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30d</w:t>
            </w:r>
          </w:p>
        </w:tc>
        <w:tc>
          <w:tcPr>
            <w:tcW w:w="1872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Multi-window burn-rate alerts: 14.4× over 1h pages someone; 6× over 6h opens a ticket.</w:t>
      </w:r>
      <w:r>
        <w:t xml:space="preserve"> </w:t>
      </w:r>
      <w:r>
        <w:t xml:space="preserve">A single threshold catches an outage and misses a leak.</w:t>
      </w:r>
    </w:p>
    <w:bookmarkEnd w:id="28"/>
    <w:bookmarkStart w:id="29" w:name="X995f1d4b3a5c8a898b3d17fd1f31cc293101064"/>
    <w:p>
      <w:pPr>
        <w:pStyle w:val="Heading3"/>
      </w:pPr>
      <w:r>
        <w:t xml:space="preserve">3.6 LLMOps / MLOps — how quality is managed</w:t>
      </w:r>
    </w:p>
    <w:p>
      <w:pPr>
        <w:pStyle w:val="FirstParagraph"/>
      </w:pPr>
      <w:r>
        <w:rPr>
          <w:bCs/>
          <w:b/>
        </w:rPr>
        <w:t xml:space="preserve">Prompts are versioned platform assets.</w:t>
      </w:r>
      <w:r>
        <w:t xml:space="preserve"> </w:t>
      </w:r>
      <w:r>
        <w:t xml:space="preserve">Each has an id, a semantic version, an</w:t>
      </w:r>
      <w:r>
        <w:t xml:space="preserve"> </w:t>
      </w:r>
      <w:r>
        <w:t xml:space="preserve">owner and an eval suite. Every turn records which version produced it, so a quality</w:t>
      </w:r>
      <w:r>
        <w:t xml:space="preserve"> </w:t>
      </w:r>
      <w:r>
        <w:t xml:space="preserve">move can be attributed to a prompt change the same way a latency regression is</w:t>
      </w:r>
      <w:r>
        <w:t xml:space="preserve"> </w:t>
      </w:r>
      <w:r>
        <w:t xml:space="preserve">attributed to a deploy.</w:t>
      </w:r>
    </w:p>
    <w:p>
      <w:pPr>
        <w:pStyle w:val="BodyText"/>
      </w:pPr>
      <w:r>
        <w:rPr>
          <w:bCs/>
          <w:b/>
        </w:rPr>
        <w:t xml:space="preserve">Evals are the release gate.</w:t>
      </w:r>
      <w:r>
        <w:t xml:space="preserve"> </w:t>
      </w:r>
      <w:r>
        <w:t xml:space="preserve">Four scorer families matching the four ways a turn</w:t>
      </w:r>
      <w:r>
        <w:t xml:space="preserve"> </w:t>
      </w:r>
      <w:r>
        <w:t xml:space="preserve">goes wrong: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2498"/>
        <w:gridCol w:w="1841"/>
        <w:gridCol w:w="4687"/>
      </w:tblGrid>
      <w:tr>
        <w:trPr>
          <w:tblHeader w:val="true"/>
        </w:trPr>
        <w:tc>
          <w:tcPr>
            <w:tcW w:w="2498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Scorer</w:t>
            </w:r>
          </w:p>
        </w:tc>
        <w:tc>
          <w:tcPr>
            <w:tcW w:w="1841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>
            <w:tcW w:w="4687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Catches</w:t>
            </w:r>
          </w:p>
        </w:tc>
      </w:tr>
      <w:tr>
        <w:tc>
          <w:tcPr>
            <w:tcW w:w="2498" w:type="dxa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task_success</w:t>
            </w:r>
          </w:p>
        </w:tc>
        <w:tc>
          <w:tcPr>
            <w:tcW w:w="1841" w:type="dxa"/>
          </w:tcPr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>
            <w:tcW w:w="4687" w:type="dxa"/>
          </w:tcPr>
          <w:tcPr/>
          <w:p>
            <w:pPr>
              <w:pStyle w:val="Compact"/>
              <w:jc w:val="left"/>
            </w:pPr>
            <w:r>
              <w:t xml:space="preserve">Did it do the right thing at all?</w:t>
            </w:r>
          </w:p>
        </w:tc>
      </w:tr>
      <w:tr>
        <w:tc>
          <w:tcPr>
            <w:tcW w:w="249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safety</w:t>
            </w:r>
          </w:p>
        </w:tc>
        <w:tc>
          <w:tcPr>
            <w:tcW w:w="1841" w:type="dxa"/>
            <w:shd w:val="clear" w:color="auto" w:fill="FAFBFD"/>
          </w:tcPr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1.00</w:t>
            </w:r>
          </w:p>
        </w:tc>
        <w:tc>
          <w:tcPr>
            <w:tcW w:w="4687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Did it refuse or escalate when it had to?</w:t>
            </w:r>
          </w:p>
        </w:tc>
      </w:tr>
      <w:tr>
        <w:tc>
          <w:tcPr>
            <w:tcW w:w="2498" w:type="dxa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groundedness</w:t>
            </w:r>
          </w:p>
        </w:tc>
        <w:tc>
          <w:tcPr>
            <w:tcW w:w="1841" w:type="dxa"/>
          </w:tcPr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>
            <w:tcW w:w="4687" w:type="dxa"/>
          </w:tcPr>
          <w:tcPr/>
          <w:p>
            <w:pPr>
              <w:pStyle w:val="Compact"/>
              <w:jc w:val="left"/>
            </w:pPr>
            <w:r>
              <w:t xml:space="preserve">Is every claim traceable to a tool result?</w:t>
            </w:r>
          </w:p>
        </w:tc>
      </w:tr>
      <w:tr>
        <w:tc>
          <w:tcPr>
            <w:tcW w:w="249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efficiency</w:t>
            </w:r>
          </w:p>
        </w:tc>
        <w:tc>
          <w:tcPr>
            <w:tcW w:w="1841" w:type="dxa"/>
            <w:shd w:val="clear" w:color="auto" w:fill="FAFBFD"/>
          </w:tcPr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>
            <w:tcW w:w="4687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Steps, latency and cost per solved turn</w:t>
            </w:r>
          </w:p>
        </w:tc>
      </w:tr>
    </w:tbl>
    <w:p>
      <w:pPr>
        <w:pStyle w:val="BodyText"/>
      </w:pPr>
      <w:r>
        <w:t xml:space="preserve">The golden set is 16 cases covering happy paths, negatives, clinical high-risk,</w:t>
      </w:r>
      <w:r>
        <w:t xml:space="preserve"> </w:t>
      </w:r>
      <w:r>
        <w:t xml:space="preserve">policy grounding, prompt injection, scope, PII and cost. Three rules that make a suite</w:t>
      </w:r>
      <w:r>
        <w:t xml:space="preserve"> </w:t>
      </w:r>
      <w:r>
        <w:t xml:space="preserve">survive a year: write the failure cases first; every production incident becomes a</w:t>
      </w:r>
      <w:r>
        <w:t xml:space="preserve"> </w:t>
      </w:r>
      <w:r>
        <w:t xml:space="preserve">case; keep it fast enough to run on every PR, because a nightly gate is not a gate.</w:t>
      </w:r>
    </w:p>
    <w:p>
      <w:pPr>
        <w:pStyle w:val="BodyText"/>
      </w:pPr>
      <w:r>
        <w:rPr>
          <w:bCs/>
          <w:b/>
        </w:rPr>
        <w:t xml:space="preserve">Online evaluation</w:t>
      </w:r>
      <w:r>
        <w:t xml:space="preserve"> </w:t>
      </w:r>
      <w:r>
        <w:t xml:space="preserve">closes the loop: the same suite runs against the deployed</w:t>
      </w:r>
      <w:r>
        <w:t xml:space="preserve"> </w:t>
      </w:r>
      <w:r>
        <w:t xml:space="preserve">revision after every deploy, and</w:t>
      </w:r>
      <w:r>
        <w:t xml:space="preserve"> </w:t>
      </w:r>
      <w:r>
        <w:rPr>
          <w:rStyle w:val="VerbatimChar"/>
        </w:rPr>
        <w:t xml:space="preserve">agent_eval_score</w:t>
      </w:r>
      <w:r>
        <w:t xml:space="preserve"> </w:t>
      </w:r>
      <w:r>
        <w:t xml:space="preserve">alerts when the live distribution</w:t>
      </w:r>
      <w:r>
        <w:t xml:space="preserve"> </w:t>
      </w:r>
      <w:r>
        <w:t xml:space="preserve">drifts away from what CI approved.</w:t>
      </w:r>
    </w:p>
    <w:bookmarkEnd w:id="29"/>
    <w:bookmarkStart w:id="30" w:name="Xbf06f89dfa665964ee0aa17a0b6d4c73f9f4a0b"/>
    <w:p>
      <w:pPr>
        <w:pStyle w:val="Heading3"/>
      </w:pPr>
      <w:r>
        <w:t xml:space="preserve">3.7 Security — the controls, and what each one is actually for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3905"/>
        <w:gridCol w:w="5121"/>
      </w:tblGrid>
      <w:tr>
        <w:trPr>
          <w:tblHeader w:val="true"/>
        </w:trPr>
        <w:tc>
          <w:tcPr>
            <w:tcW w:w="3905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>
            <w:tcW w:w="5121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Threat it addresses</w:t>
            </w:r>
          </w:p>
        </w:tc>
      </w:tr>
      <w:tr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Workload identity + OIDC federation</w:t>
            </w:r>
          </w:p>
        </w:tc>
        <w:tc>
          <w:tcPr>
            <w:tcW w:w="5121" w:type="dxa"/>
          </w:tcPr>
          <w:tcPr/>
          <w:p>
            <w:pPr>
              <w:pStyle w:val="Compact"/>
              <w:jc w:val="left"/>
            </w:pPr>
            <w:r>
              <w:t xml:space="preserve">Credential theft — there is no long-lived credential</w:t>
            </w:r>
          </w:p>
        </w:tc>
      </w:tr>
      <w:tr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Key Vault RBAC + purge protection + private endpoint</w:t>
            </w:r>
          </w:p>
        </w:tc>
        <w:tc>
          <w:tcPr>
            <w:tcW w:w="512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Secret exfiltration; unrecoverable deletion</w:t>
            </w:r>
          </w:p>
        </w:tc>
      </w:tr>
      <w:tr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Private endpoints + NSG egress deny</w:t>
            </w:r>
          </w:p>
        </w:tc>
        <w:tc>
          <w:tcPr>
            <w:tcW w:w="5121" w:type="dxa"/>
          </w:tcPr>
          <w:tcPr/>
          <w:p>
            <w:pPr>
              <w:pStyle w:val="Compact"/>
              <w:jc w:val="left"/>
            </w:pPr>
            <w:r>
              <w:t xml:space="preserve">A compromised agent posting customer data to an arbitrary host</w:t>
            </w:r>
          </w:p>
        </w:tc>
      </w:tr>
      <w:tr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Prompt-injection guardrail</w:t>
            </w:r>
          </w:p>
        </w:tc>
        <w:tc>
          <w:tcPr>
            <w:tcW w:w="512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An attacker rewriting the agent's instructions through a message</w:t>
            </w:r>
          </w:p>
        </w:tc>
      </w:tr>
      <w:tr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PII redaction before the model call</w:t>
            </w:r>
          </w:p>
        </w:tc>
        <w:tc>
          <w:tcPr>
            <w:tcW w:w="5121" w:type="dxa"/>
          </w:tcPr>
          <w:tcPr/>
          <w:p>
            <w:pPr>
              <w:pStyle w:val="Compact"/>
              <w:jc w:val="left"/>
            </w:pPr>
            <w:r>
              <w:t xml:space="preserve">Health data leaving the VNet, or landing in a log</w:t>
            </w:r>
          </w:p>
        </w:tc>
      </w:tr>
      <w:tr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Output secret scan</w:t>
            </w:r>
          </w:p>
        </w:tc>
        <w:tc>
          <w:tcPr>
            <w:tcW w:w="512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The model repeating a credential it saw in a tool result</w:t>
            </w:r>
          </w:p>
        </w:tc>
      </w:tr>
      <w:tr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Tool scopes on the virtual key</w:t>
            </w:r>
          </w:p>
        </w:tc>
        <w:tc>
          <w:tcPr>
            <w:tcW w:w="5121" w:type="dxa"/>
          </w:tcPr>
          <w:tcPr/>
          <w:p>
            <w:pPr>
              <w:pStyle w:val="Compact"/>
              <w:jc w:val="left"/>
            </w:pPr>
            <w:r>
              <w:t xml:space="preserve">Least privilege at the prompt boundary — the agent is only</w:t>
            </w:r>
            <w:r>
              <w:t xml:space="preserve"> </w:t>
            </w:r>
            <w:r>
              <w:rPr>
                <w:iCs/>
                <w:i/>
              </w:rPr>
              <w:t xml:space="preserve">told about</w:t>
            </w:r>
            <w:r>
              <w:t xml:space="preserve"> </w:t>
            </w:r>
            <w:r>
              <w:t xml:space="preserve">tools it may use</w:t>
            </w:r>
          </w:p>
        </w:tc>
      </w:tr>
      <w:tr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HITL on side-effecting tools</w:t>
            </w:r>
          </w:p>
        </w:tc>
        <w:tc>
          <w:tcPr>
            <w:tcW w:w="512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An agent acting on a system of record without a human</w:t>
            </w:r>
          </w:p>
        </w:tc>
      </w:tr>
      <w:tr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SBOM + Trivy + cosign + ACR content trust</w:t>
            </w:r>
          </w:p>
        </w:tc>
        <w:tc>
          <w:tcPr>
            <w:tcW w:w="5121" w:type="dxa"/>
          </w:tcPr>
          <w:tcPr/>
          <w:p>
            <w:pPr>
              <w:pStyle w:val="Compact"/>
              <w:jc w:val="left"/>
            </w:pPr>
            <w:r>
              <w:t xml:space="preserve">Supply-chain compromise; an unsigned image cannot run</w:t>
            </w:r>
          </w:p>
        </w:tc>
      </w:tr>
      <w:tr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gitleaks over full history</w:t>
            </w:r>
          </w:p>
        </w:tc>
        <w:tc>
          <w:tcPr>
            <w:tcW w:w="5121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key committed and force-pushed away</w:t>
            </w:r>
          </w:p>
        </w:tc>
      </w:tr>
      <w:tr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Conftest / Checkov / tfsec on the</w:t>
            </w:r>
            <w:r>
              <w:t xml:space="preserve"> </w:t>
            </w:r>
            <w:r>
              <w:rPr>
                <w:iCs/>
                <w:i/>
              </w:rPr>
              <w:t xml:space="preserve">plan</w:t>
            </w:r>
          </w:p>
        </w:tc>
        <w:tc>
          <w:tcPr>
            <w:tcW w:w="5121" w:type="dxa"/>
          </w:tcPr>
          <w:tcPr/>
          <w:p>
            <w:pPr>
              <w:pStyle w:val="Compact"/>
              <w:jc w:val="left"/>
            </w:pPr>
            <w:r>
              <w:t xml:space="preserve">Compliant-looking HCL that produces a public storage account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trust boundary that matters most in an agentic system:</w:t>
      </w:r>
      <w:r>
        <w:t xml:space="preserve"> </w:t>
      </w:r>
      <w:r>
        <w:t xml:space="preserve">tool output is data,</w:t>
      </w:r>
      <w:r>
        <w:t xml:space="preserve"> </w:t>
      </w:r>
      <w:r>
        <w:t xml:space="preserve">never instruction. A policy document, an order note or a product description can</w:t>
      </w:r>
      <w:r>
        <w:t xml:space="preserve"> </w:t>
      </w:r>
      <w:r>
        <w:t xml:space="preserve">contain text engineered to look like a system prompt. The agent's system prompt says</w:t>
      </w:r>
      <w:r>
        <w:t xml:space="preserve"> </w:t>
      </w:r>
      <w:r>
        <w:t xml:space="preserve">so explicitly, and the injection guardrail runs over content before it is used.</w:t>
      </w:r>
    </w:p>
    <w:bookmarkEnd w:id="30"/>
    <w:bookmarkStart w:id="31" w:name="X8bc16069d4d31b1dbc5036ec080bd14c4881b29"/>
    <w:p>
      <w:pPr>
        <w:pStyle w:val="Heading3"/>
      </w:pPr>
      <w:r>
        <w:t xml:space="preserve">3.8 FinOps — unit economics as a first-class concern</w:t>
      </w:r>
    </w:p>
    <w:p>
      <w:pPr>
        <w:pStyle w:val="FirstParagraph"/>
      </w:pPr>
      <w:r>
        <w:t xml:space="preserve">Cost per turn is the number everything else is a proxy for.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3028"/>
        <w:gridCol w:w="3736"/>
        <w:gridCol w:w="2262"/>
      </w:tblGrid>
      <w:tr>
        <w:trPr>
          <w:tblHeader w:val="true"/>
        </w:trPr>
        <w:tc>
          <w:tcPr>
            <w:tcW w:w="3028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>
            <w:tcW w:w="3736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>
            <w:tcW w:w="2262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tcPr>
            <w:tcW w:w="3028" w:type="dxa"/>
          </w:tcPr>
          <w:tcPr/>
          <w:p>
            <w:pPr>
              <w:pStyle w:val="Compact"/>
              <w:jc w:val="left"/>
            </w:pPr>
            <w:r>
              <w:t xml:space="preserve">Router-model tiering</w:t>
            </w:r>
          </w:p>
        </w:tc>
        <w:tc>
          <w:tcPr>
            <w:tcW w:w="3736" w:type="dxa"/>
          </w:tcPr>
          <w:tcPr/>
          <w:p>
            <w:pPr>
              <w:pStyle w:val="Compact"/>
              <w:jc w:val="left"/>
            </w:pPr>
            <w:r>
              <w:t xml:space="preserve">Trivial turns on the cheap tier: ~16× cheaper per token</w:t>
            </w:r>
          </w:p>
        </w:tc>
        <w:tc>
          <w:tcPr>
            <w:tcW w:w="2262" w:type="dxa"/>
          </w:tcPr>
          <w:tcPr/>
          <w:p>
            <w:pPr>
              <w:pStyle w:val="Compact"/>
              <w:jc w:val="left"/>
            </w:pPr>
            <w:r>
              <w:t xml:space="preserve">one classifier call</w:t>
            </w:r>
          </w:p>
        </w:tc>
      </w:tr>
      <w:tr>
        <w:tc>
          <w:tcPr>
            <w:tcW w:w="3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Semantic cache</w:t>
            </w:r>
          </w:p>
        </w:tc>
        <w:tc>
          <w:tcPr>
            <w:tcW w:w="37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25-35% of support traffic answered for free</w:t>
            </w:r>
          </w:p>
        </w:tc>
        <w:tc>
          <w:tcPr>
            <w:tcW w:w="2262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>
            <w:tcW w:w="3028" w:type="dxa"/>
          </w:tcPr>
          <w:tcPr/>
          <w:p>
            <w:pPr>
              <w:pStyle w:val="Compact"/>
              <w:jc w:val="left"/>
            </w:pPr>
            <w:r>
              <w:t xml:space="preserve">Rolling context window</w:t>
            </w:r>
          </w:p>
        </w:tc>
        <w:tc>
          <w:tcPr>
            <w:tcW w:w="3736" w:type="dxa"/>
          </w:tcPr>
          <w:tcPr/>
          <w:p>
            <w:pPr>
              <w:pStyle w:val="Compact"/>
              <w:jc w:val="left"/>
            </w:pPr>
            <w:r>
              <w:t xml:space="preserve">Bounded prompt growth across a long session</w:t>
            </w:r>
          </w:p>
        </w:tc>
        <w:tc>
          <w:tcPr>
            <w:tcW w:w="2262" w:type="dxa"/>
          </w:tcPr>
          <w:tcPr/>
          <w:p>
            <w:pPr>
              <w:pStyle w:val="Compact"/>
              <w:jc w:val="left"/>
            </w:pPr>
            <w:r>
              <w:t xml:space="preserve">slight context loss</w:t>
            </w:r>
          </w:p>
        </w:tc>
      </w:tr>
      <w:tr>
        <w:tc>
          <w:tcPr>
            <w:tcW w:w="302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Per-request / per-session / per-tenant ceilings</w:t>
            </w:r>
          </w:p>
        </w:tc>
        <w:tc>
          <w:tcPr>
            <w:tcW w:w="373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runaway loop stops itself</w:t>
            </w:r>
          </w:p>
        </w:tc>
        <w:tc>
          <w:tcPr>
            <w:tcW w:w="2262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degraded answer</w:t>
            </w:r>
          </w:p>
        </w:tc>
      </w:tr>
      <w:tr>
        <w:tc>
          <w:tcPr>
            <w:tcW w:w="3028" w:type="dxa"/>
          </w:tcPr>
          <w:tcPr/>
          <w:p>
            <w:pPr>
              <w:pStyle w:val="Compact"/>
              <w:jc w:val="left"/>
            </w:pPr>
            <w:r>
              <w:t xml:space="preserve">Budget enforced at the gateway</w:t>
            </w:r>
          </w:p>
        </w:tc>
        <w:tc>
          <w:tcPr>
            <w:tcW w:w="3736" w:type="dxa"/>
          </w:tcPr>
          <w:tcPr/>
          <w:p>
            <w:pPr>
              <w:pStyle w:val="Compact"/>
              <w:jc w:val="left"/>
            </w:pPr>
            <w:r>
              <w:t xml:space="preserve">Spend stops before the invoice moves</w:t>
            </w:r>
          </w:p>
        </w:tc>
        <w:tc>
          <w:tcPr>
            <w:tcW w:w="2262" w:type="dxa"/>
          </w:tcPr>
          <w:tcPr/>
          <w:p>
            <w:pPr>
              <w:pStyle w:val="Compact"/>
              <w:jc w:val="left"/>
            </w:pPr>
            <w:r>
              <w:t xml:space="preserve">refused calls</w:t>
            </w:r>
          </w:p>
        </w:tc>
      </w:tr>
    </w:tbl>
    <w:p>
      <w:pPr>
        <w:pStyle w:val="BodyText"/>
      </w:pPr>
      <w:r>
        <w:t xml:space="preserve">All five are visible in the playground's FinOps panel and in the Grafana dashboard,</w:t>
      </w:r>
      <w:r>
        <w:t xml:space="preserve"> </w:t>
      </w:r>
      <w:r>
        <w:t xml:space="preserve">so a product manager can reason about the economics without asking an engineer.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5c99f285e0b64ed9c682e5fb8ce4a6e6c3f70eb"/>
    <w:p>
      <w:pPr>
        <w:pStyle w:val="Heading2"/>
      </w:pPr>
      <w:r>
        <w:t xml:space="preserve">4. How the pieces are governed</w:t>
      </w:r>
    </w:p>
    <w:bookmarkStart w:id="33" w:name="eu-ai-act"/>
    <w:p>
      <w:pPr>
        <w:pStyle w:val="Heading3"/>
      </w:pPr>
      <w:r>
        <w:t xml:space="preserve">EU AI Act</w:t>
      </w:r>
    </w:p>
    <w:p>
      <w:pPr>
        <w:pStyle w:val="FirstParagraph"/>
      </w:pPr>
      <w:r>
        <w:t xml:space="preserve">CareCopilot is classified</w:t>
      </w:r>
      <w:r>
        <w:t xml:space="preserve"> </w:t>
      </w:r>
      <w:r>
        <w:rPr>
          <w:bCs/>
          <w:b/>
        </w:rPr>
        <w:t xml:space="preserve">limited-risk</w:t>
      </w:r>
      <w:r>
        <w:t xml:space="preserve">: a customer-facing informational assistant</w:t>
      </w:r>
      <w:r>
        <w:t xml:space="preserve"> </w:t>
      </w:r>
      <w:r>
        <w:t xml:space="preserve">that is not a medical device and not diagnostic, because all clinical judgement is</w:t>
      </w:r>
      <w:r>
        <w:t xml:space="preserve"> </w:t>
      </w:r>
      <w:r>
        <w:t xml:space="preserve">routed to a registered pharmacist. That classification is a decision, made on the</w:t>
      </w:r>
      <w:r>
        <w:t xml:space="preserve"> </w:t>
      </w:r>
      <w:r>
        <w:t xml:space="preserve">record, and it is enforced by the design — the moment the agent could give a dose, it</w:t>
      </w:r>
      <w:r>
        <w:t xml:space="preserve"> </w:t>
      </w:r>
      <w:r>
        <w:t xml:space="preserve">would be a different tier and would need a different control set.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1703"/>
        <w:gridCol w:w="3418"/>
        <w:gridCol w:w="3905"/>
      </w:tblGrid>
      <w:tr>
        <w:trPr>
          <w:tblHeader w:val="true"/>
        </w:trPr>
        <w:tc>
          <w:tcPr>
            <w:tcW w:w="1703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>
            <w:tcW w:w="3418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Obligation</w:t>
            </w:r>
          </w:p>
        </w:tc>
        <w:tc>
          <w:tcPr>
            <w:tcW w:w="3905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Implemented by</w:t>
            </w:r>
          </w:p>
        </w:tc>
      </w:tr>
      <w:tr>
        <w:tc>
          <w:tcPr>
            <w:tcW w:w="1703" w:type="dxa"/>
          </w:tcPr>
          <w:tcPr/>
          <w:p>
            <w:pPr>
              <w:pStyle w:val="Compact"/>
              <w:jc w:val="left"/>
            </w:pPr>
            <w:r>
              <w:t xml:space="preserve">Art. 50</w:t>
            </w:r>
          </w:p>
        </w:tc>
        <w:tc>
          <w:tcPr>
            <w:tcW w:w="3418" w:type="dxa"/>
          </w:tcPr>
          <w:tcPr/>
          <w:p>
            <w:pPr>
              <w:pStyle w:val="Compact"/>
              <w:jc w:val="left"/>
            </w:pPr>
            <w:r>
              <w:t xml:space="preserve">Transparency — the user knows it is AI</w:t>
            </w:r>
          </w:p>
        </w:tc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guardrails.ensure_disclaimer</w:t>
            </w:r>
            <w:r>
              <w:t xml:space="preserve"> </w:t>
            </w:r>
            <w:r>
              <w:t xml:space="preserve">on every reply</w:t>
            </w:r>
          </w:p>
        </w:tc>
      </w:tr>
      <w:tr>
        <w:tc>
          <w:tcPr>
            <w:tcW w:w="170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Art. 12</w:t>
            </w:r>
          </w:p>
        </w:tc>
        <w:tc>
          <w:tcPr>
            <w:tcW w:w="341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Record-keeping over the system's lifetime</w:t>
            </w:r>
          </w:p>
        </w:tc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AgentAudit_CL</w:t>
            </w:r>
            <w:r>
              <w:t xml:space="preserve">, 7-year retention</w:t>
            </w:r>
          </w:p>
        </w:tc>
      </w:tr>
      <w:tr>
        <w:tc>
          <w:tcPr>
            <w:tcW w:w="1703" w:type="dxa"/>
          </w:tcPr>
          <w:tcPr/>
          <w:p>
            <w:pPr>
              <w:pStyle w:val="Compact"/>
              <w:jc w:val="left"/>
            </w:pPr>
            <w:r>
              <w:t xml:space="preserve">Art. 14</w:t>
            </w:r>
          </w:p>
        </w:tc>
        <w:tc>
          <w:tcPr>
            <w:tcW w:w="3418" w:type="dxa"/>
          </w:tcPr>
          <w:tcPr/>
          <w:p>
            <w:pPr>
              <w:pStyle w:val="Compact"/>
              <w:jc w:val="left"/>
            </w:pPr>
            <w:r>
              <w:t xml:space="preserve">Effective human oversight</w:t>
            </w:r>
          </w:p>
        </w:tc>
        <w:tc>
          <w:tcPr>
            <w:tcW w:w="3905" w:type="dxa"/>
          </w:tcPr>
          <w:tcPr/>
          <w:p>
            <w:pPr>
              <w:pStyle w:val="Compact"/>
              <w:jc w:val="left"/>
            </w:pPr>
            <w:r>
              <w:t xml:space="preserve">HITL approval gate on every side-effecting tool</w:t>
            </w:r>
          </w:p>
        </w:tc>
      </w:tr>
      <w:tr>
        <w:tc>
          <w:tcPr>
            <w:tcW w:w="1703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Art. 15</w:t>
            </w:r>
          </w:p>
        </w:tc>
        <w:tc>
          <w:tcPr>
            <w:tcW w:w="3418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Accuracy and robustness</w:t>
            </w:r>
          </w:p>
        </w:tc>
        <w:tc>
          <w:tcPr>
            <w:tcW w:w="3905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Groundedness scorer + CI gate at 0.95</w:t>
            </w:r>
          </w:p>
        </w:tc>
      </w:tr>
    </w:tbl>
    <w:bookmarkEnd w:id="33"/>
    <w:bookmarkStart w:id="34" w:name="gdpr"/>
    <w:p>
      <w:pPr>
        <w:pStyle w:val="Heading3"/>
      </w:pPr>
      <w:r>
        <w:t xml:space="preserve">GDPR</w:t>
      </w:r>
    </w:p>
    <w:p>
      <w:pPr>
        <w:pStyle w:val="FirstParagraph"/>
      </w:pPr>
      <w:r>
        <w:t xml:space="preserve">Health data is special-category under Art. 9. Lawful basis: Art. 6(1)(b) contract and</w:t>
      </w:r>
      <w:r>
        <w:t xml:space="preserve"> </w:t>
      </w:r>
      <w:r>
        <w:t xml:space="preserve">Art. 9(2)(h) pharmacy care. Data residency EU-only, enforced by a Terraform variable</w:t>
      </w:r>
      <w:r>
        <w:t xml:space="preserve"> </w:t>
      </w:r>
      <w:r>
        <w:t xml:space="preserve">validation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an OPA policy — belt and braces, because a region typo is a</w:t>
      </w:r>
      <w:r>
        <w:t xml:space="preserve"> </w:t>
      </w:r>
      <w:r>
        <w:t xml:space="preserve">reportable breach rather than a lint warning. Minimisation by redaction before the</w:t>
      </w:r>
      <w:r>
        <w:t xml:space="preserve"> </w:t>
      </w:r>
      <w:r>
        <w:t xml:space="preserve">model call. Retention split: transcripts 90 days, audit 7 years.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d994e9febba7abea2dd7ead6eb6121dd863358a"/>
    <w:p>
      <w:pPr>
        <w:pStyle w:val="Heading2"/>
      </w:pPr>
      <w:r>
        <w:t xml:space="preserve">5. What I would build in the first 90 days</w:t>
      </w:r>
    </w:p>
    <w:p>
      <w:pPr>
        <w:pStyle w:val="FirstParagraph"/>
      </w:pPr>
      <w:r>
        <w:t xml:space="preserve">Ordered by what unblocks the most other work, not by what demos best.</w:t>
      </w:r>
    </w:p>
    <w:p>
      <w:pPr>
        <w:pStyle w:val="BodyText"/>
      </w:pPr>
      <w:r>
        <w:rPr>
          <w:bCs/>
          <w:b/>
        </w:rPr>
        <w:t xml:space="preserve">Days 1-30 — make model access safe and countable.</w:t>
      </w:r>
      <w:r>
        <w:t xml:space="preserve"> </w:t>
      </w:r>
      <w:r>
        <w:t xml:space="preserve">Stand up the gateway, issue virtual keys to the three teams already calling providers</w:t>
      </w:r>
      <w:r>
        <w:t xml:space="preserve"> </w:t>
      </w:r>
      <w:r>
        <w:t xml:space="preserve">directly, and turn off their provider keys. Nothing else can be enforced until every</w:t>
      </w:r>
      <w:r>
        <w:t xml:space="preserve"> </w:t>
      </w:r>
      <w:r>
        <w:t xml:space="preserve">call goes through one place. Success: 100% of spend attributable to a key, and one</w:t>
      </w:r>
      <w:r>
        <w:t xml:space="preserve"> </w:t>
      </w:r>
      <w:r>
        <w:t xml:space="preserve">dashboard showing cost per team.</w:t>
      </w:r>
    </w:p>
    <w:p>
      <w:pPr>
        <w:pStyle w:val="BodyText"/>
      </w:pPr>
      <w:r>
        <w:rPr>
          <w:bCs/>
          <w:b/>
        </w:rPr>
        <w:t xml:space="preserve">Days 31-60 — make quality measurable.</w:t>
      </w:r>
      <w:r>
        <w:t xml:space="preserve"> </w:t>
      </w:r>
      <w:r>
        <w:t xml:space="preserve">Ship the eval harness and the guardrail library as platform capabilities, and make the</w:t>
      </w:r>
      <w:r>
        <w:t xml:space="preserve"> </w:t>
      </w:r>
      <w:r>
        <w:t xml:space="preserve">eval gate a required check on the first tenant repo. Success: one team's agent cannot</w:t>
      </w:r>
      <w:r>
        <w:t xml:space="preserve"> </w:t>
      </w:r>
      <w:r>
        <w:t xml:space="preserve">merge a change that regresses safety, and they can see why.</w:t>
      </w:r>
    </w:p>
    <w:p>
      <w:pPr>
        <w:pStyle w:val="BodyText"/>
      </w:pPr>
      <w:r>
        <w:rPr>
          <w:bCs/>
          <w:b/>
        </w:rPr>
        <w:t xml:space="preserve">Days 61-90 — make onboarding cheap.</w:t>
      </w:r>
      <w:r>
        <w:t xml:space="preserve"> </w:t>
      </w:r>
      <w:r>
        <w:t xml:space="preserve">Golden-path template, the agents map, the scorecard. Success: a new team goes from</w:t>
      </w:r>
      <w:r>
        <w:t xml:space="preserve"> </w:t>
      </w:r>
      <w:r>
        <w:t xml:space="preserve">zero to a traced, guarded, evaluated agent in dev in under a day, with one platform</w:t>
      </w:r>
      <w:r>
        <w:t xml:space="preserve"> </w:t>
      </w:r>
      <w:r>
        <w:t xml:space="preserve">review rather than a platform project.</w:t>
      </w:r>
    </w:p>
    <w:p>
      <w:pPr>
        <w:pStyle w:val="BodyText"/>
      </w:pPr>
      <w:r>
        <w:t xml:space="preserve">The sequencing argument:</w:t>
      </w:r>
      <w:r>
        <w:t xml:space="preserve"> </w:t>
      </w:r>
      <w:r>
        <w:rPr>
          <w:bCs/>
          <w:b/>
        </w:rPr>
        <w:t xml:space="preserve">enforcement before measurement before self-service.</w:t>
      </w:r>
      <w:r>
        <w:t xml:space="preserve"> </w:t>
      </w:r>
      <w:r>
        <w:t xml:space="preserve">Self-service on top of unmeasured, unenforced access just multiplies the problem</w:t>
      </w:r>
      <w:r>
        <w:t xml:space="preserve"> </w:t>
      </w:r>
      <w:r>
        <w:t xml:space="preserve">faster.</w:t>
      </w:r>
    </w:p>
    <w:p>
      <w:r>
        <w:pict>
          <v:rect style="width:0;height:1.5pt" o:hralign="center" o:hrstd="t" o:hr="t"/>
        </w:pict>
      </w:r>
    </w:p>
    <w:bookmarkEnd w:id="36"/>
    <w:bookmarkStart w:id="37" w:name="X8b8f93e1cfbf3df4c94a03a1355862bd3ad38df"/>
    <w:p>
      <w:pPr>
        <w:pStyle w:val="Heading2"/>
      </w:pPr>
      <w:r>
        <w:t xml:space="preserve">6. What is deliberately not here, and why</w:t>
      </w:r>
    </w:p>
    <w:tbl>
      <w:tblPr>
        <w:tblStyle w:val="Table"/>
        <w:tblW w:w="9026" w:type="dxa"/>
        <w:tblLook w:firstRow="1" w:lastRow="0" w:firstColumn="0" w:lastColumn="0" w:noHBand="0" w:noVBand="0" w:val="0020"/>
        <w:jc w:val="start"/>
      </w:tblPr>
      <w:tblGrid>
        <w:gridCol w:w="3700"/>
        <w:gridCol w:w="5326"/>
      </w:tblGrid>
      <w:tr>
        <w:trPr>
          <w:tblHeader w:val="true"/>
        </w:trPr>
        <w:tc>
          <w:tcPr>
            <w:tcW w:w="3700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Not built</w:t>
            </w:r>
          </w:p>
        </w:tc>
        <w:tc>
          <w:tcPr>
            <w:tcW w:w="5326" w:type="dxa"/>
            <w:shd w:val="clear" w:color="auto" w:fill="F1F4F8"/>
            <w:tcBorders>
              <w:bottom w:val="single" w:sz="8" w:space="0" w:color="C8102E"/>
            </w:tcBorders>
          </w:tcPr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Multi-agent orchestration framework</w:t>
            </w:r>
          </w:p>
        </w:tc>
        <w:tc>
          <w:tcPr>
            <w:tcW w:w="5326" w:type="dxa"/>
          </w:tcPr>
          <w:tcPr/>
          <w:p>
            <w:pPr>
              <w:pStyle w:val="Compact"/>
              <w:jc w:val="left"/>
            </w:pPr>
            <w:r>
              <w:t xml:space="preserve">Two agents that need to coordinate usually mean one workflow was decomposed wrong. Earn it with a real case.</w:t>
            </w:r>
          </w:p>
        </w:tc>
      </w:tr>
      <w:tr>
        <w:tc>
          <w:tcPr>
            <w:tcW w:w="370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Fine-tuning pipeline</w:t>
            </w:r>
          </w:p>
        </w:tc>
        <w:tc>
          <w:tcPr>
            <w:tcW w:w="532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Retrieval and prompting exhaust their headroom long before fine-tuning is the cheapest next move.</w:t>
            </w:r>
          </w:p>
        </w:tc>
      </w:tr>
      <w:tr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Self-hosted models on GPUs</w:t>
            </w:r>
          </w:p>
        </w:tc>
        <w:tc>
          <w:tcPr>
            <w:tcW w:w="5326" w:type="dxa"/>
          </w:tcPr>
          <w:tcPr/>
          <w:p>
            <w:pPr>
              <w:pStyle w:val="Compact"/>
              <w:jc w:val="left"/>
            </w:pPr>
            <w:r>
              <w:t xml:space="preserve">The cost only works at a volume Redcare does not have yet, and it moves the operational burden onto a small team.</w:t>
            </w:r>
          </w:p>
        </w:tc>
      </w:tr>
      <w:tr>
        <w:tc>
          <w:tcPr>
            <w:tcW w:w="370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 bespoke vector database</w:t>
            </w:r>
          </w:p>
        </w:tc>
        <w:tc>
          <w:tcPr>
            <w:tcW w:w="532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AI Search covers hybrid retrieval and is already in the security perimeter.</w:t>
            </w:r>
          </w:p>
        </w:tc>
      </w:tr>
      <w:tr>
        <w:tc>
          <w:tcPr>
            <w:tcW w:w="3700" w:type="dxa"/>
          </w:tcPr>
          <w:tcPr/>
          <w:p>
            <w:pPr>
              <w:pStyle w:val="Compact"/>
              <w:jc w:val="left"/>
            </w:pPr>
            <w:r>
              <w:t xml:space="preserve">Kubernetes</w:t>
            </w:r>
          </w:p>
        </w:tc>
        <w:tc>
          <w:tcPr>
            <w:tcW w:w="5326" w:type="dxa"/>
          </w:tcPr>
          <w:tcPr/>
          <w:p>
            <w:pPr>
              <w:pStyle w:val="Compact"/>
              <w:jc w:val="left"/>
            </w:pPr>
            <w:r>
              <w:t xml:space="preserve">Container Apps covers the requirements; AKS is a second product to operate.</w:t>
            </w:r>
          </w:p>
        </w:tc>
      </w:tr>
      <w:tr>
        <w:tc>
          <w:tcPr>
            <w:tcW w:w="3700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Agent-to-agent protocols</w:t>
            </w:r>
          </w:p>
        </w:tc>
        <w:tc>
          <w:tcPr>
            <w:tcW w:w="5326" w:type="dxa"/>
            <w:shd w:val="clear" w:color="auto" w:fill="FAFBFD"/>
          </w:tcPr>
          <w:tcPr/>
          <w:p>
            <w:pPr>
              <w:pStyle w:val="Compact"/>
              <w:jc w:val="left"/>
            </w:pPr>
            <w:r>
              <w:t xml:space="preserve">Standards are still moving. Committing early is expensive to undo.</w:t>
            </w:r>
          </w:p>
        </w:tc>
      </w:tr>
    </w:tbl>
    <w:p>
      <w:pPr>
        <w:pStyle w:val="BodyText"/>
      </w:pPr>
      <w:r>
        <w:t xml:space="preserve">Each of these is a</w:t>
      </w:r>
      <w:r>
        <w:t xml:space="preserve"> </w:t>
      </w:r>
      <w:r>
        <w:rPr>
          <w:iCs/>
          <w:i/>
        </w:rPr>
        <w:t xml:space="preserve">not yet</w:t>
      </w:r>
      <w:r>
        <w:t xml:space="preserve"> </w:t>
      </w:r>
      <w:r>
        <w:t xml:space="preserve">with a stated trigger, not a</w:t>
      </w:r>
      <w:r>
        <w:t xml:space="preserve"> </w:t>
      </w:r>
      <w:r>
        <w:rPr>
          <w:iCs/>
          <w:i/>
        </w:rPr>
        <w:t xml:space="preserve">never</w:t>
      </w:r>
      <w:r>
        <w:t xml:space="preserve">. Knowing what you</w:t>
      </w:r>
      <w:r>
        <w:t xml:space="preserve"> </w:t>
      </w:r>
      <w:r>
        <w:t xml:space="preserve">are not building — and being able to say why in one sentence — is most of platform</w:t>
      </w:r>
      <w:r>
        <w:t xml:space="preserve"> </w:t>
      </w:r>
      <w:r>
        <w:t xml:space="preserve">product management.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color w:val="16202E"/>
      <w:sz w:val="21"/>
      <w:szCs w:val="21"/>
    </w:rPr>
  </w:style>
  <w:style w:styleId="BodyText" w:type="paragraph">
    <w:name w:val="Body Text"/>
    <w:basedOn w:val="Normal"/>
    <w:link w:val="BodyTextChar"/>
    <w:pPr>
      <w:spacing w:after="140" w:before="0"/>
    </w:pPr>
    <w:qFormat/>
    <w:rPr>
      <w:rFonts w:ascii="Calibri" w:cs="Calibri" w:hAnsi="Calibri"/>
      <w:sz w:val="21"/>
      <w:szCs w:val="21"/>
    </w:rPr>
  </w:style>
  <w:style w:customStyle="1" w:styleId="FirstParagraph" w:type="paragraph">
    <w:pPr>
      <w:spacing w:after="140" w:before="0"/>
    </w:pPr>
    <w:name w:val="First Paragraph"/>
    <w:basedOn w:val="BodyText"/>
    <w:next w:val="BodyText"/>
    <w:qFormat/>
    <w:rPr>
      <w:rFonts w:ascii="Calibri" w:cs="Calibri" w:hAnsi="Calibri"/>
      <w:sz w:val="21"/>
      <w:szCs w:val="21"/>
    </w:rPr>
  </w:style>
  <w:style w:customStyle="1" w:styleId="Compact" w:type="paragraph">
    <w:name w:val="Compact"/>
    <w:basedOn w:val="BodyText"/>
    <w:qFormat/>
    <w:pPr>
      <w:spacing w:after="60" w:before="0"/>
    </w:pPr>
    <w:rPr>
      <w:rFonts w:ascii="Calibri" w:cs="Calibri" w:hAnsi="Calibri"/>
      <w:sz w:val="21"/>
      <w:szCs w:val="21"/>
    </w:rPr>
  </w:style>
  <w:style w:styleId="Title" w:type="paragraph">
    <w:name w:val="Title"/>
    <w:basedOn w:val="Normal"/>
    <w:next w:val="BodyText"/>
    <w:qFormat/>
    <w:pPr>
      <w:spacing w:after="80" w:before="0"/>
      <w:keepNext/>
      <w:keepLines/>
      <w:jc w:val="center"/>
    </w:pPr>
    <w:rPr>
      <w:rFonts w:ascii="Cambria" w:cs="Cambria" w:hAnsi="Cambria"/>
      <w:b/>
      <w:bCs/>
      <w:color w:val="16202E"/>
      <w:sz w:val="52"/>
      <w:szCs w:val="52"/>
    </w:rPr>
  </w:style>
  <w:style w:styleId="Subtitle" w:type="paragraph">
    <w:name w:val="Subtitle"/>
    <w:basedOn w:val="Title"/>
    <w:next w:val="BodyText"/>
    <w:qFormat/>
    <w:pPr>
      <w:spacing w:after="60" w:before="0"/>
      <w:keepNext/>
      <w:keepLines/>
      <w:jc w:val="center"/>
    </w:pPr>
    <w:rPr>
      <w:rFonts w:ascii="Calibri" w:cs="Calibri" w:hAnsi="Calibri"/>
      <w:b w:val="0"/>
      <w:bCs w:val="0"/>
      <w:color w:val="5C6B80"/>
      <w:sz w:val="25"/>
      <w:szCs w:val="25"/>
    </w:rPr>
  </w:style>
  <w:style w:customStyle="1" w:styleId="Author" w:type="paragraph">
    <w:name w:val="Author"/>
    <w:next w:val="BodyText"/>
    <w:qFormat/>
    <w:pPr>
      <w:spacing w:after="400" w:before="0"/>
      <w:keepNext/>
      <w:keepLines/>
      <w:jc w:val="center"/>
    </w:pPr>
    <w:rPr>
      <w:rFonts w:ascii="Calibri" w:cs="Calibri" w:hAnsi="Calibri"/>
      <w:color w:val="5C6B80"/>
      <w:sz w:val="21"/>
      <w:szCs w:val="21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140" w:before="440"/>
      <w:keepNext/>
      <w:keepLines/>
      <w:outlineLvl w:val="0"/>
    </w:pPr>
    <w:rPr>
      <w:rFonts w:ascii="Cambria" w:cs="Cambria" w:hAnsi="Cambria"/>
      <w:b/>
      <w:bCs/>
      <w:color w:val="C8102E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110" w:before="340"/>
      <w:keepNext/>
      <w:keepLines/>
      <w:outlineLvl w:val="1"/>
    </w:pPr>
    <w:rPr>
      <w:rFonts w:ascii="Cambria" w:cs="Cambria" w:hAnsi="Cambria"/>
      <w:b/>
      <w:bCs/>
      <w:color w:val="16202E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90" w:before="260"/>
      <w:keepNext/>
      <w:keepLines/>
      <w:outlineLvl w:val="2"/>
    </w:pPr>
    <w:rPr>
      <w:rFonts w:ascii="Calibri" w:cs="Calibri" w:hAnsi="Calibri"/>
      <w:b/>
      <w:bCs/>
      <w:color w:val="C8102E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80" w:before="200"/>
      <w:keepNext/>
      <w:keepLines/>
      <w:outlineLvl w:val="3"/>
    </w:pPr>
    <w:rPr>
      <w:rFonts w:ascii="Calibri" w:cs="Calibri" w:hAnsi="Calibri"/>
      <w:b/>
      <w:bCs/>
      <w:color w:val="16202E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284"/>
      <w:pBdr>
        <w:left w:color="E8B4BC" w:space="10" w:sz="12" w:val="single"/>
      </w:pBdr>
      <w:spacing w:after="100" w:before="100"/>
    </w:pPr>
    <w:rPr>
      <w:rFonts w:ascii="Calibri" w:cs="Calibri" w:hAnsi="Calibri"/>
      <w:color w:val="24303F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cs="Calibri" w:hAnsi="Calibri"/>
      <w:color w:val="5C6B8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1F4E79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mbria" w:cs="Cambria" w:hAnsi="Cambria"/>
      <w:b/>
      <w:bCs/>
      <w:color w:val="C8102E"/>
      <w:sz w:val="36"/>
      <w:szCs w:val="36"/>
    </w:rPr>
  </w:style>
  <w:style w:styleId="Table" w:type="table">
    <w:name w:val="Table"/>
    <w:basedOn w:val="TableNormal"/>
    <w:uiPriority w:val="59"/>
    <w:pPr>
      <w:spacing w:after="30" w:before="30"/>
    </w:pPr>
    <w:rPr>
      <w:rFonts w:ascii="Calibri" w:hAnsi="Calibri"/>
      <w:sz w:val="18"/>
      <w:szCs w:val="18"/>
    </w:rPr>
    <w:tblPr>
      <w:tblBorders>
        <w:top w:color="C8102E" w:space="0" w:sz="8" w:val="single"/>
        <w:bottom w:color="C8102E" w:space="0" w:sz="8" w:val="single"/>
        <w:insideH w:color="D8DEE6" w:space="0" w:sz="4" w:val="single"/>
      </w:tblBorders>
      <w:tblCellMar>
        <w:top w:type="dxa" w:w="70"/>
        <w:left w:type="dxa" w:w="110"/>
        <w:bottom w:type="dxa" w:w="70"/>
        <w:right w:type="dxa" w:w="110"/>
      </w:tblCellMar>
    </w:tblPr>
    <w:tblStylePr w:type="firstRow">
      <w:pPr>
        <w:spacing w:after="50" w:before="50"/>
      </w:pPr>
      <w:rPr>
        <w:b/>
        <w:color w:val="16202E"/>
      </w:rPr>
      <w:tcPr>
        <w:shd w:color="auto" w:fill="F1F4F8" w:val="clear"/>
        <w:tcBorders>
          <w:bottom w:color="C8102E" w:space="0" w:sz="8" w:val="single"/>
        </w:tcBorders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— Redcare Agentic AI Platform</dc:title>
  <dc:creator>Mehreen Himani</dc:creator>
  <dc:language>en-GB</dc:language>
  <cp:keywords/>
  <dcterms:created xsi:type="dcterms:W3CDTF">2026-08-22T08:18:16Z</dcterms:created>
  <dcterms:modified xsi:type="dcterms:W3CDTF">2026-08-22T08:18:16Z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How a customer question becomes a safe, grounded, observable, affordable answer</vt:lpwstr>
  </property>
</Properties>
</file>