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6DA4"/>
          <w:sz w:val="24"/>
          <w:szCs w:val="24"/>
        </w:rPr>
        <w:t xml:space="preserve">STRATEGY DOCUMENT</w:t>
      </w:r>
    </w:p>
    <w:p>
      <w:pPr>
        <w:spacing w:after="120" w:before="0"/>
        <w:jc w:val="center"/>
      </w:pPr>
      <w:r>
        <w:rPr>
          <w:rFonts w:ascii="Arial" w:cs="Arial" w:eastAsia="Arial" w:hAnsi="Arial"/>
          <w:b/>
          <w:bCs/>
          <w:color w:val="1E3A5F"/>
          <w:sz w:val="52"/>
          <w:szCs w:val="52"/>
        </w:rPr>
        <w:t xml:space="preserve">AI Adoption Playbook</w:t>
      </w:r>
    </w:p>
    <w:p>
      <w:pPr>
        <w:spacing w:after="300" w:before="0"/>
        <w:jc w:val="center"/>
      </w:pPr>
      <w:r>
        <w:rPr>
          <w:rFonts w:ascii="Arial" w:cs="Arial" w:eastAsia="Arial" w:hAnsi="Arial"/>
          <w:color w:val="2E6DA4"/>
          <w:sz w:val="28"/>
          <w:szCs w:val="28"/>
        </w:rPr>
        <w:t xml:space="preserve">From Skepticism to Scale in Enterprise Governance Teams</w:t>
      </w:r>
    </w:p>
    <w:p>
      <w:pPr>
        <w:pBdr>
          <w:top w:val="single" w:color="CCCCCC" w:sz="4"/>
          <w:bottom w:val="single" w:color="CCCCCC" w:sz="4"/>
        </w:pBdr>
        <w:spacing w:after="200" w:before="200"/>
        <w:jc w:val="center"/>
      </w:pPr>
      <w:r>
        <w:rPr>
          <w:rFonts w:ascii="Arial" w:cs="Arial" w:eastAsia="Arial" w:hAnsi="Arial"/>
          <w:i/>
          <w:iCs/>
          <w:color w:val="555555"/>
          <w:sz w:val="22"/>
          <w:szCs w:val="22"/>
        </w:rPr>
        <w:t xml:space="preserve">How to Move AI from Pilot to Production in Regulated, Risk-Averse Organisations</w:t>
      </w:r>
    </w:p>
    <w:p>
      <w:pPr>
        <w:spacing w:after="80" w:before="80"/>
      </w:pPr>
      <w:r>
        <w:t xml:space="preserve"/>
      </w:r>
    </w:p>
    <w:p>
      <w:pPr>
        <w:spacing w:after="80" w:before="200"/>
        <w:jc w:val="center"/>
      </w:pPr>
      <w:r>
        <w:rPr>
          <w:rFonts w:ascii="Arial" w:cs="Arial" w:eastAsia="Arial" w:hAnsi="Arial"/>
          <w:b/>
          <w:bCs/>
          <w:color w:val="1E3A5F"/>
          <w:sz w:val="26"/>
          <w:szCs w:val="26"/>
        </w:rPr>
        <w:t xml:space="preserve">Mehreen Himani</w:t>
      </w:r>
    </w:p>
    <w:p>
      <w:pPr>
        <w:spacing w:after="80" w:before="0"/>
        <w:jc w:val="center"/>
      </w:pPr>
      <w:r>
        <w:rPr>
          <w:rFonts w:ascii="Arial" w:cs="Arial" w:eastAsia="Arial" w:hAnsi="Arial"/>
          <w:color w:val="555555"/>
          <w:sz w:val="22"/>
          <w:szCs w:val="22"/>
        </w:rPr>
        <w:t xml:space="preserve">Senior PM | Capgemini | Ex-UBS | Ex-Credit Suisse | Ex-Standard Chartered</w:t>
      </w:r>
    </w:p>
    <w:p>
      <w:pPr>
        <w:spacing w:after="0" w:before="80"/>
        <w:jc w:val="center"/>
      </w:pPr>
      <w:r>
        <w:rPr>
          <w:rFonts w:ascii="Arial" w:cs="Arial" w:eastAsia="Arial" w:hAnsi="Arial"/>
          <w:color w:val="777777"/>
          <w:sz w:val="22"/>
          <w:szCs w:val="22"/>
        </w:rPr>
        <w:t xml:space="preserve">May 2026</w:t>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Executive Summary</w:t>
      </w:r>
    </w:p>
    <w:p>
      <w:pPr>
        <w:spacing w:after="80" w:before="80"/>
      </w:pPr>
      <w:r>
        <w:rPr>
          <w:rFonts w:ascii="Arial" w:cs="Arial" w:eastAsia="Arial" w:hAnsi="Arial"/>
          <w:sz w:val="22"/>
          <w:szCs w:val="22"/>
        </w:rPr>
        <w:t xml:space="preserve">Enterprise AI adoption fails most often not because the technology is wrong but because the change management is absent. In regulated industries — banking, insurance, legal, compliance — the barriers to AI adoption are not primarily technical. They are cultural, governance-related, and rooted in rational risk aversion.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Key Outcome</w:t>
            </w:r>
          </w:p>
          <w:p>
            <w:pPr>
              <w:spacing w:before="60"/>
            </w:pPr>
            <w:r>
              <w:rPr>
                <w:rFonts w:ascii="Arial" w:cs="Arial" w:eastAsia="Arial" w:hAnsi="Arial"/>
                <w:i/>
                <w:iCs/>
                <w:sz w:val="22"/>
                <w:szCs w:val="22"/>
              </w:rPr>
              <w:t xml:space="preserve">At Capgemini, I drove AI adoption across governance teams that had never used AI tools, achieving a 35% efficiency improvement within 6 months. This playbook documents the exact approach that worked.</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1. Why Enterprise AI Adoption Fails</w:t>
      </w:r>
    </w:p>
    <w:p>
      <w:pPr>
        <w:pStyle w:val="Heading2"/>
        <w:spacing w:after="120" w:before="240"/>
      </w:pPr>
      <w:r>
        <w:rPr>
          <w:rFonts w:ascii="Arial" w:cs="Arial" w:eastAsia="Arial" w:hAnsi="Arial"/>
          <w:b/>
          <w:bCs/>
          <w:color w:val="2E6DA4"/>
          <w:sz w:val="26"/>
          <w:szCs w:val="26"/>
        </w:rPr>
        <w:t xml:space="preserve">1.1 The Three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Failure Mode</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What It Looks Like</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Root Cause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Technology-first adoption</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Tool deployed without workflow integration. Adoption is 10%. Team reverts to old process after 3 months.</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PM built what was technically possible, not what was operationally necessary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Top-down mandate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Leadership announces AI initiative. Teams feel threatened. Passive resistance. Usage metrics are gamed.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No co-design with end users. No trust built before deployment.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Pilot without pathway</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Successful pilot with 5 enthusiastic users. No plan to scale. Pilot dies when the champion leaves.</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Success criteria were not defined upfront. No governance model for scaling.</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1.2 The Regulated Industry Multiplier</w:t>
      </w:r>
    </w:p>
    <w:p>
      <w:pPr>
        <w:spacing w:after="80" w:before="80"/>
      </w:pPr>
      <w:r>
        <w:rPr>
          <w:rFonts w:ascii="Arial" w:cs="Arial" w:eastAsia="Arial" w:hAnsi="Arial"/>
          <w:sz w:val="22"/>
          <w:szCs w:val="22"/>
        </w:rPr>
        <w:t xml:space="preserve">In regulated industries, every failure mode is amplified by three additional factors:</w:t>
      </w:r>
    </w:p>
    <w:p>
      <w:pPr>
        <w:pStyle w:val="ListParagraph"/>
        <w:numPr>
          <w:ilvl w:val="0"/>
          <w:numId w:val="2"/>
        </w:numPr>
        <w:spacing w:after="60" w:before="60"/>
      </w:pPr>
      <w:r>
        <w:rPr>
          <w:rFonts w:ascii="Arial" w:cs="Arial" w:eastAsia="Arial" w:hAnsi="Arial"/>
          <w:sz w:val="22"/>
          <w:szCs w:val="22"/>
        </w:rPr>
        <w:t xml:space="preserve">Regulatory accountability: Employees in compliance, legal, and governance roles are personally accountable for the decisions they make. AI assistance feels like a liability transfer, not a productivity gain, unless explainability is built in from the start</w:t>
      </w:r>
    </w:p>
    <w:p>
      <w:pPr>
        <w:pStyle w:val="ListParagraph"/>
        <w:numPr>
          <w:ilvl w:val="0"/>
          <w:numId w:val="2"/>
        </w:numPr>
        <w:spacing w:after="60" w:before="60"/>
      </w:pPr>
      <w:r>
        <w:rPr>
          <w:rFonts w:ascii="Arial" w:cs="Arial" w:eastAsia="Arial" w:hAnsi="Arial"/>
          <w:sz w:val="22"/>
          <w:szCs w:val="22"/>
        </w:rPr>
        <w:t xml:space="preserve">Audit trail requirements: Any AI-assisted decision must be documented and defensible. If the AI tool does not produce an audit trail, compliance teams will not use it regardless of how good the output is</w:t>
      </w:r>
    </w:p>
    <w:p>
      <w:pPr>
        <w:pStyle w:val="ListParagraph"/>
        <w:numPr>
          <w:ilvl w:val="0"/>
          <w:numId w:val="2"/>
        </w:numPr>
        <w:spacing w:after="60" w:before="60"/>
      </w:pPr>
      <w:r>
        <w:rPr>
          <w:rFonts w:ascii="Arial" w:cs="Arial" w:eastAsia="Arial" w:hAnsi="Arial"/>
          <w:sz w:val="22"/>
          <w:szCs w:val="22"/>
        </w:rPr>
        <w:t xml:space="preserve">Risk aversion as a professional identity: People who have built careers on careful, methodical risk assessment do not adopt new tools quickly. They need proof before they trust</w:t>
      </w:r>
    </w:p>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2. The Adoption Playbook — 5 Phases</w:t>
      </w:r>
    </w:p>
    <w:p>
      <w:pPr>
        <w:pStyle w:val="Heading2"/>
        <w:spacing w:after="120" w:before="240"/>
      </w:pPr>
      <w:r>
        <w:rPr>
          <w:rFonts w:ascii="Arial" w:cs="Arial" w:eastAsia="Arial" w:hAnsi="Arial"/>
          <w:b/>
          <w:bCs/>
          <w:color w:val="2E6DA4"/>
          <w:sz w:val="26"/>
          <w:szCs w:val="26"/>
        </w:rPr>
        <w:t xml:space="preserve">Phase 1: Discovery Before Deployment (Weeks 1-3)</w:t>
      </w:r>
    </w:p>
    <w:p>
      <w:pPr>
        <w:spacing w:after="80" w:before="80"/>
      </w:pPr>
      <w:r>
        <w:rPr>
          <w:rFonts w:ascii="Arial" w:cs="Arial" w:eastAsia="Arial" w:hAnsi="Arial"/>
          <w:sz w:val="22"/>
          <w:szCs w:val="22"/>
        </w:rPr>
        <w:t xml:space="preserve">The single most common adoption mistake is building before understanding. Before any tool is designed, deployed, or even selected, spend 3 weeks doing structured discovery with the target users.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Shadow sessions: Sit with 3-5 target users for a full working day each. Observe what they actually do, not what they say they do. Note where they switch between tools, where they copy-paste, where they wait</w:t>
      </w:r>
    </w:p>
    <w:p>
      <w:pPr>
        <w:pStyle w:val="ListParagraph"/>
        <w:numPr>
          <w:ilvl w:val="0"/>
          <w:numId w:val="2"/>
        </w:numPr>
        <w:spacing w:after="60" w:before="60"/>
      </w:pPr>
      <w:r>
        <w:rPr>
          <w:rFonts w:ascii="Arial" w:cs="Arial" w:eastAsia="Arial" w:hAnsi="Arial"/>
          <w:sz w:val="22"/>
          <w:szCs w:val="22"/>
        </w:rPr>
        <w:t xml:space="preserve">Pain point mapping: Document every friction point with a frequency and severity score. Prioritise AI intervention at the highest-frequency, highest-severity intersections</w:t>
      </w:r>
    </w:p>
    <w:p>
      <w:pPr>
        <w:pStyle w:val="ListParagraph"/>
        <w:numPr>
          <w:ilvl w:val="0"/>
          <w:numId w:val="2"/>
        </w:numPr>
        <w:spacing w:after="60" w:before="60"/>
      </w:pPr>
      <w:r>
        <w:rPr>
          <w:rFonts w:ascii="Arial" w:cs="Arial" w:eastAsia="Arial" w:hAnsi="Arial"/>
          <w:sz w:val="22"/>
          <w:szCs w:val="22"/>
        </w:rPr>
        <w:t xml:space="preserve">Fear inventory: Explicitly ask: What worries you about AI assistance in your role? Document every answer. These fears are design requirements, not objections to overcome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Capgemini Application</w:t>
            </w:r>
          </w:p>
          <w:p>
            <w:pPr>
              <w:spacing w:before="60"/>
            </w:pPr>
            <w:r>
              <w:rPr>
                <w:rFonts w:ascii="Arial" w:cs="Arial" w:eastAsia="Arial" w:hAnsi="Arial"/>
                <w:i/>
                <w:iCs/>
                <w:sz w:val="22"/>
                <w:szCs w:val="22"/>
              </w:rPr>
              <w:t xml:space="preserve">Discovery at Capgemini revealed that compliance analysts spent 40% of their time reformatting and cross-referencing documents — a task AI could automate. It also revealed their primary fear: that AI errors would be undetectable. This fear became the explainability requirement that shaped the entire product design.</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Phase 2: Co-Design With Champions (Weeks 4-6)</w:t>
      </w:r>
    </w:p>
    <w:p>
      <w:pPr>
        <w:spacing w:after="80" w:before="80"/>
      </w:pPr>
      <w:r>
        <w:rPr>
          <w:rFonts w:ascii="Arial" w:cs="Arial" w:eastAsia="Arial" w:hAnsi="Arial"/>
          <w:sz w:val="22"/>
          <w:szCs w:val="22"/>
        </w:rPr>
        <w:t xml:space="preserve">Identify 2-3 early adopters from the target team — not the most senior, but the most curious and most respected by peers. Involve them in the design process as active contributors, not as reviewers.</w:t>
      </w:r>
    </w:p>
    <w:p>
      <w:pPr>
        <w:pStyle w:val="ListParagraph"/>
        <w:numPr>
          <w:ilvl w:val="0"/>
          <w:numId w:val="2"/>
        </w:numPr>
        <w:spacing w:after="60" w:before="60"/>
      </w:pPr>
      <w:r>
        <w:rPr>
          <w:rFonts w:ascii="Arial" w:cs="Arial" w:eastAsia="Arial" w:hAnsi="Arial"/>
          <w:sz w:val="22"/>
          <w:szCs w:val="22"/>
        </w:rPr>
        <w:t xml:space="preserve">Weekly co-design sessions: 60 minutes per week with champions reviewing prototypes and providing structured feedback</w:t>
      </w:r>
    </w:p>
    <w:p>
      <w:pPr>
        <w:pStyle w:val="ListParagraph"/>
        <w:numPr>
          <w:ilvl w:val="0"/>
          <w:numId w:val="2"/>
        </w:numPr>
        <w:spacing w:after="60" w:before="60"/>
      </w:pPr>
      <w:r>
        <w:rPr>
          <w:rFonts w:ascii="Arial" w:cs="Arial" w:eastAsia="Arial" w:hAnsi="Arial"/>
          <w:sz w:val="22"/>
          <w:szCs w:val="22"/>
        </w:rPr>
        <w:t xml:space="preserve">Veto power on UX decisions: Champions can veto any design choice that creates risk in their workflow. This builds ownership and surfaces real constraints early</w:t>
      </w:r>
    </w:p>
    <w:p>
      <w:pPr>
        <w:pStyle w:val="ListParagraph"/>
        <w:numPr>
          <w:ilvl w:val="0"/>
          <w:numId w:val="2"/>
        </w:numPr>
        <w:spacing w:after="60" w:before="60"/>
      </w:pPr>
      <w:r>
        <w:rPr>
          <w:rFonts w:ascii="Arial" w:cs="Arial" w:eastAsia="Arial" w:hAnsi="Arial"/>
          <w:sz w:val="22"/>
          <w:szCs w:val="22"/>
        </w:rPr>
        <w:t xml:space="preserve">Success definition: Champions define what success looks like for them personally. These become the user-level KPIs that matter more than any executive dashboard metric</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Phase 3: Controlled Pilot With Guardrails (Weeks 7-12)</w:t>
      </w:r>
    </w:p>
    <w:p>
      <w:pPr>
        <w:spacing w:after="80" w:before="80"/>
      </w:pPr>
      <w:r>
        <w:rPr>
          <w:rFonts w:ascii="Arial" w:cs="Arial" w:eastAsia="Arial" w:hAnsi="Arial"/>
          <w:sz w:val="22"/>
          <w:szCs w:val="22"/>
        </w:rPr>
        <w:t xml:space="preserve">The pilot phase is not a test of the technology. It is a test of the adoption model. Run it with the explicit goal of learning what needs to change before scaling.</w:t>
      </w:r>
    </w:p>
    <w:p>
      <w:pPr>
        <w:pStyle w:val="ListParagraph"/>
        <w:numPr>
          <w:ilvl w:val="0"/>
          <w:numId w:val="2"/>
        </w:numPr>
        <w:spacing w:after="60" w:before="60"/>
      </w:pPr>
      <w:r>
        <w:rPr>
          <w:rFonts w:ascii="Arial" w:cs="Arial" w:eastAsia="Arial" w:hAnsi="Arial"/>
          <w:sz w:val="22"/>
          <w:szCs w:val="22"/>
        </w:rPr>
        <w:t xml:space="preserve">Scope: 5-10 users maximum. Enough to surface real issues, small enough to fix them fast</w:t>
      </w:r>
    </w:p>
    <w:p>
      <w:pPr>
        <w:pStyle w:val="ListParagraph"/>
        <w:numPr>
          <w:ilvl w:val="0"/>
          <w:numId w:val="2"/>
        </w:numPr>
        <w:spacing w:after="60" w:before="60"/>
      </w:pPr>
      <w:r>
        <w:rPr>
          <w:rFonts w:ascii="Arial" w:cs="Arial" w:eastAsia="Arial" w:hAnsi="Arial"/>
          <w:sz w:val="22"/>
          <w:szCs w:val="22"/>
        </w:rPr>
        <w:t xml:space="preserve">Guardrails visible: Every AI output is clearly labelled as AI-generated. Every output has a one-click feedback mechanism. Every decision still requires human sign-off</w:t>
      </w:r>
    </w:p>
    <w:p>
      <w:pPr>
        <w:pStyle w:val="ListParagraph"/>
        <w:numPr>
          <w:ilvl w:val="0"/>
          <w:numId w:val="2"/>
        </w:numPr>
        <w:spacing w:after="60" w:before="60"/>
      </w:pPr>
      <w:r>
        <w:rPr>
          <w:rFonts w:ascii="Arial" w:cs="Arial" w:eastAsia="Arial" w:hAnsi="Arial"/>
          <w:sz w:val="22"/>
          <w:szCs w:val="22"/>
        </w:rPr>
        <w:t xml:space="preserve">Weekly retrospectives: 30-minute sessions with pilot users to surface what is working, what is not, and what they wish the tool did differently</w:t>
      </w:r>
    </w:p>
    <w:p>
      <w:pPr>
        <w:pStyle w:val="ListParagraph"/>
        <w:numPr>
          <w:ilvl w:val="0"/>
          <w:numId w:val="2"/>
        </w:numPr>
        <w:spacing w:after="60" w:before="60"/>
      </w:pPr>
      <w:r>
        <w:rPr>
          <w:rFonts w:ascii="Arial" w:cs="Arial" w:eastAsia="Arial" w:hAnsi="Arial"/>
          <w:sz w:val="22"/>
          <w:szCs w:val="22"/>
        </w:rPr>
        <w:t xml:space="preserve">Failure documentation: Every error the AI makes during the pilot is documented publicly within the pilot group. Transparency about failures builds more trust than hiding them</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Phase 4: Evidence-Based Scale Decision (Week 13)</w:t>
      </w:r>
    </w:p>
    <w:p>
      <w:pPr>
        <w:spacing w:after="80" w:before="80"/>
      </w:pPr>
      <w:r>
        <w:rPr>
          <w:rFonts w:ascii="Arial" w:cs="Arial" w:eastAsia="Arial" w:hAnsi="Arial"/>
          <w:sz w:val="22"/>
          <w:szCs w:val="22"/>
        </w:rPr>
        <w:t xml:space="preserve">Before scaling, produce a scale readiness report covering: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Dimension</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Scale Readiness Criteria</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User satisfaction</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&gt; 70% of pilot users rate tool as net positive for their workflow</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Accuracy validation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Error rate below agreed threshold from evaluation framework</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Audit compliance</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100% of AI-assisted decisions traceable and documentable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Change management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Champions trained and ready to support peer adoption</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Governance model</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Clear ownership of model updates, error escalation, and version control</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Phase 5: Scaled Rollout With Community (Weeks 14-24)</w:t>
      </w:r>
    </w:p>
    <w:p>
      <w:pPr>
        <w:spacing w:after="80" w:before="80"/>
      </w:pPr>
      <w:r>
        <w:rPr>
          <w:rFonts w:ascii="Arial" w:cs="Arial" w:eastAsia="Arial" w:hAnsi="Arial"/>
          <w:sz w:val="22"/>
          <w:szCs w:val="22"/>
        </w:rPr>
        <w:t xml:space="preserve">Scale is not a deployment event. It is a community-building process.</w:t>
      </w:r>
    </w:p>
    <w:p>
      <w:pPr>
        <w:pStyle w:val="ListParagraph"/>
        <w:numPr>
          <w:ilvl w:val="0"/>
          <w:numId w:val="2"/>
        </w:numPr>
        <w:spacing w:after="60" w:before="60"/>
      </w:pPr>
      <w:r>
        <w:rPr>
          <w:rFonts w:ascii="Arial" w:cs="Arial" w:eastAsia="Arial" w:hAnsi="Arial"/>
          <w:sz w:val="22"/>
          <w:szCs w:val="22"/>
        </w:rPr>
        <w:t xml:space="preserve">Champion network: Pilot users become internal advocates. They onboard new users peer-to-peer, which is 3x more effective than top-down training</w:t>
      </w:r>
    </w:p>
    <w:p>
      <w:pPr>
        <w:pStyle w:val="ListParagraph"/>
        <w:numPr>
          <w:ilvl w:val="0"/>
          <w:numId w:val="2"/>
        </w:numPr>
        <w:spacing w:after="60" w:before="60"/>
      </w:pPr>
      <w:r>
        <w:rPr>
          <w:rFonts w:ascii="Arial" w:cs="Arial" w:eastAsia="Arial" w:hAnsi="Arial"/>
          <w:sz w:val="22"/>
          <w:szCs w:val="22"/>
        </w:rPr>
        <w:t xml:space="preserve">Public feedback channel: A Slack channel or equivalent where users share good outputs, bad outputs, and suggestions. This surfaces improvement opportunities faster than any ticket system</w:t>
      </w:r>
    </w:p>
    <w:p>
      <w:pPr>
        <w:pStyle w:val="ListParagraph"/>
        <w:numPr>
          <w:ilvl w:val="0"/>
          <w:numId w:val="2"/>
        </w:numPr>
        <w:spacing w:after="60" w:before="60"/>
      </w:pPr>
      <w:r>
        <w:rPr>
          <w:rFonts w:ascii="Arial" w:cs="Arial" w:eastAsia="Arial" w:hAnsi="Arial"/>
          <w:sz w:val="22"/>
          <w:szCs w:val="22"/>
        </w:rPr>
        <w:t xml:space="preserve">Monthly model review: Monthly review of error patterns, user feedback, and performance metrics. Publish results to all users. Transparency compounds trust</w:t>
      </w:r>
    </w:p>
    <w:p>
      <w:pPr>
        <w:spacing w:after="80" w:before="80"/>
      </w:pPr>
      <w: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3. The Capgemini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Phase</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What Happened at Capgemini</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Discovery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3 weeks of shadow sessions with compliance and governance analysts. Identified document reformatting (40% of time) as primary automation opportunity. Documented 7 specific fears about AI adoption.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Co-Design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 champions co-designed the explainability layer — the feature that made adoption possible. Without their input, we would have shipped without it.</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Pilot</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8-week pilot with 6 users. 4 critical design changes made during pilot based on user feedback. Error rate reduced from 12% to 4% through prompt engineering.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Scale Decision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Scale readiness report approved by stakeholders. 83% pilot user satisfaction. All audit requirements met.</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Scale</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Rolled out to 40 users over 10 weeks. 35% efficiency improvement measured at 6-month mark. Zero regulatory findings related to AI-assisted decisions.</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4. 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Lesson 1: The fear inventory is your product backlog.</w:t>
            </w:r>
          </w:p>
          <w:p>
            <w:pPr>
              <w:spacing w:before="60"/>
            </w:pPr>
            <w:r>
              <w:rPr>
                <w:rFonts w:ascii="Arial" w:cs="Arial" w:eastAsia="Arial" w:hAnsi="Arial"/>
                <w:i/>
                <w:iCs/>
                <w:sz w:val="22"/>
                <w:szCs w:val="22"/>
              </w:rPr>
              <w:t xml:space="preserve">Every fear a user expresses about AI is a feature request in disguise. 'What if it makes an error I can't detect?' becomes an explainability requirement. 'What if it changes how my work is evaluated?' becomes a change management workstream. Address the fears first. The adoption follows.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Lesson 2: Transparency about failures is your fastest trust-builder.</w:t>
            </w:r>
          </w:p>
          <w:p>
            <w:pPr>
              <w:spacing w:before="60"/>
            </w:pPr>
            <w:r>
              <w:rPr>
                <w:rFonts w:ascii="Arial" w:cs="Arial" w:eastAsia="Arial" w:hAnsi="Arial"/>
                <w:i/>
                <w:iCs/>
                <w:sz w:val="22"/>
                <w:szCs w:val="22"/>
              </w:rPr>
              <w:t xml:space="preserve">In the Capgemini pilot, I made every AI error public within the pilot group. Counterintuitively, this increased trust. Users saw that errors were surfaced, discussed, and fixed — not hidden. That visibility gave them confidence that the system was under human control.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Lesson 3: The audit trail is not compliance overhead — it is the adoption mechanism.</w:t>
            </w:r>
          </w:p>
          <w:p>
            <w:pPr>
              <w:spacing w:before="60"/>
            </w:pPr>
            <w:r>
              <w:rPr>
                <w:rFonts w:ascii="Arial" w:cs="Arial" w:eastAsia="Arial" w:hAnsi="Arial"/>
                <w:i/>
                <w:iCs/>
                <w:sz w:val="22"/>
                <w:szCs w:val="22"/>
              </w:rPr>
              <w:t xml:space="preserve">In regulated environments, the audit trail is what makes AI use professionally safe for the individual employee. Design it first. Make it visible. Make it easy to reference. When an employee can show their manager exactly what the AI said and exactly what decision they made based on it, AI stops being a risk and becomes a shield.</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5. Applicability to Target Roles</w:t>
      </w:r>
    </w:p>
    <w:p>
      <w:pPr>
        <w:spacing w:after="80" w:before="80"/>
      </w:pPr>
      <w:r>
        <w:rPr>
          <w:rFonts w:ascii="Arial" w:cs="Arial" w:eastAsia="Arial" w:hAnsi="Arial"/>
          <w:sz w:val="22"/>
          <w:szCs w:val="22"/>
        </w:rPr>
        <w:t xml:space="preserve">This playbook is directly applicable to any Senior AI PM role at a company deploying AI in a regulated or risk-averse environment. The specific phases and timelines are calibrated to enterprise governance contexts but adapt readily to fintech, healthcare, legal, and any domain where professional accountability shapes technology adoption.</w:t>
      </w:r>
    </w:p>
    <w:p>
      <w:pPr>
        <w:spacing w:after="80" w:before="80"/>
      </w:pPr>
      <w:r>
        <w:t xml:space="preserve"/>
      </w:r>
    </w:p>
    <w:p>
      <w:pPr>
        <w:spacing w:after="80" w:before="80"/>
      </w:pPr>
      <w:r>
        <w:rPr>
          <w:rFonts w:ascii="Arial" w:cs="Arial" w:eastAsia="Arial" w:hAnsi="Arial"/>
          <w:i/>
          <w:iCs/>
          <w:color w:val="777777"/>
          <w:sz w:val="22"/>
          <w:szCs w:val="22"/>
        </w:rPr>
        <w:t xml:space="preserve">Built from Capgemini implementation, May 2026 | Mehreen Himani | github.com/mehreenhimani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2026-05-08T09:31:40.283Z</dcterms:created>
  <dcterms:modified xsi:type="dcterms:W3CDTF">2026-05-08T09:31:40.283Z</dcterms:modified>
</cp:coreProperties>
</file>

<file path=docProps/custom.xml><?xml version="1.0" encoding="utf-8"?>
<Properties xmlns="http://schemas.openxmlformats.org/officeDocument/2006/custom-properties" xmlns:vt="http://schemas.openxmlformats.org/officeDocument/2006/docPropsVTypes"/>
</file>