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6DA4"/>
          <w:sz w:val="24"/>
          <w:szCs w:val="24"/>
        </w:rPr>
        <w:t xml:space="preserve">STRATEGY DOCUMENT</w:t>
      </w:r>
    </w:p>
    <w:p>
      <w:pPr>
        <w:spacing w:after="120" w:before="0"/>
        <w:jc w:val="center"/>
      </w:pPr>
      <w:r>
        <w:rPr>
          <w:rFonts w:ascii="Arial" w:cs="Arial" w:eastAsia="Arial" w:hAnsi="Arial"/>
          <w:b/>
          <w:bCs/>
          <w:color w:val="1E3A5F"/>
          <w:sz w:val="52"/>
          <w:szCs w:val="52"/>
        </w:rPr>
        <w:t xml:space="preserve">AI Credit Scoring Fairness Audit</w:t>
      </w:r>
    </w:p>
    <w:p>
      <w:pPr>
        <w:spacing w:after="300" w:before="0"/>
        <w:jc w:val="center"/>
      </w:pPr>
      <w:r>
        <w:rPr>
          <w:rFonts w:ascii="Arial" w:cs="Arial" w:eastAsia="Arial" w:hAnsi="Arial"/>
          <w:color w:val="2E6DA4"/>
          <w:sz w:val="28"/>
          <w:szCs w:val="28"/>
        </w:rPr>
        <w:t xml:space="preserve">Experiment Design for EU AI Act Compliance in AI-Based Lending</w:t>
      </w:r>
    </w:p>
    <w:p>
      <w:pPr>
        <w:pBdr>
          <w:top w:val="single" w:color="CCCCCC" w:sz="4"/>
          <w:bottom w:val="single" w:color="CCCCCC" w:sz="4"/>
        </w:pBdr>
        <w:spacing w:after="200" w:before="200"/>
        <w:jc w:val="center"/>
      </w:pPr>
      <w:r>
        <w:rPr>
          <w:rFonts w:ascii="Arial" w:cs="Arial" w:eastAsia="Arial" w:hAnsi="Arial"/>
          <w:i/>
          <w:iCs/>
          <w:color w:val="555555"/>
          <w:sz w:val="22"/>
          <w:szCs w:val="22"/>
        </w:rPr>
        <w:t xml:space="preserve">A Product Manager's Framework for Testing, Documenting, and Governing Algorithmic Fairness in High-Risk AI</w:t>
      </w:r>
    </w:p>
    <w:p>
      <w:pPr>
        <w:spacing w:after="80" w:before="80"/>
      </w:pPr>
      <w:r>
        <w:t xml:space="preserve"/>
      </w:r>
    </w:p>
    <w:p>
      <w:pPr>
        <w:spacing w:after="80" w:before="200"/>
        <w:jc w:val="center"/>
      </w:pPr>
      <w:r>
        <w:rPr>
          <w:rFonts w:ascii="Arial" w:cs="Arial" w:eastAsia="Arial" w:hAnsi="Arial"/>
          <w:b/>
          <w:bCs/>
          <w:color w:val="1E3A5F"/>
          <w:sz w:val="26"/>
          <w:szCs w:val="26"/>
        </w:rPr>
        <w:t xml:space="preserve">Mehreen Himani</w:t>
      </w:r>
    </w:p>
    <w:p>
      <w:pPr>
        <w:spacing w:after="80" w:before="0"/>
        <w:jc w:val="center"/>
      </w:pPr>
      <w:r>
        <w:rPr>
          <w:rFonts w:ascii="Arial" w:cs="Arial" w:eastAsia="Arial" w:hAnsi="Arial"/>
          <w:color w:val="555555"/>
          <w:sz w:val="22"/>
          <w:szCs w:val="22"/>
        </w:rPr>
        <w:t xml:space="preserve">Senior PM | Capgemini | Ex-UBS | Ex-Credit Suisse | Ex-Standard Chartered</w:t>
      </w:r>
    </w:p>
    <w:p>
      <w:pPr>
        <w:spacing w:after="0" w:before="80"/>
        <w:jc w:val="center"/>
      </w:pPr>
      <w:r>
        <w:rPr>
          <w:rFonts w:ascii="Arial" w:cs="Arial" w:eastAsia="Arial" w:hAnsi="Arial"/>
          <w:color w:val="777777"/>
          <w:sz w:val="22"/>
          <w:szCs w:val="22"/>
        </w:rPr>
        <w:t xml:space="preserve">May 2026</w:t>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sz w:val="22"/>
          <w:szCs w:val="22"/>
        </w:rPr>
        <w:t xml:space="preserve">AI-based credit scoring is classified as high-risk AI under the EU AI Act (Annex III, Section 5b). This classification imposes specific obligations on providers and deployers: accuracy documentation, bias testing, human oversight, audit trails, and ongoing monitoring. For any fintech or bank deploying AI in lending decisions, these are not optional compliance exercises. They are product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Why This Matters Now</w:t>
            </w:r>
          </w:p>
          <w:p>
            <w:pPr>
              <w:spacing w:before="60"/>
            </w:pPr>
            <w:r>
              <w:rPr>
                <w:rFonts w:ascii="Arial" w:cs="Arial" w:eastAsia="Arial" w:hAnsi="Arial"/>
                <w:i/>
                <w:iCs/>
                <w:sz w:val="22"/>
                <w:szCs w:val="22"/>
              </w:rPr>
              <w:t xml:space="preserve">The EU AI Act is in force from August 2024 with a 12-month transition period for high-risk AI systems. Financial institutions deploying AI-based credit scoring that have not completed a fairness audit and compliance documentation are already behind. The product question is not whether to do this audit — it is how to build it into the product development lifecycle from the start.</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1. Regulatory Context</w:t>
      </w:r>
    </w:p>
    <w:p>
      <w:pPr>
        <w:pStyle w:val="Heading2"/>
        <w:spacing w:after="120" w:before="240"/>
      </w:pPr>
      <w:r>
        <w:rPr>
          <w:rFonts w:ascii="Arial" w:cs="Arial" w:eastAsia="Arial" w:hAnsi="Arial"/>
          <w:b/>
          <w:bCs/>
          <w:color w:val="2E6DA4"/>
          <w:sz w:val="26"/>
          <w:szCs w:val="26"/>
        </w:rPr>
        <w:t xml:space="preserve">1.1 EU AI Act Requirements for High-Risk AI in 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EU AI Act Requirement</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What It Means for Credit Scoring PM</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Article 9 — Risk Management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Ongoing risk identification and mitigation throughout the AI system lifecycle. Must document known and foreseeable risks before deployment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Article 10 — Data Governance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Training, validation, and testing data must be relevant, representative, and free from errors. Demographic gaps in training data must be documented and addressed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Article 13 — Transparency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AI system outputs must be interpretable by the deployer. For credit scoring, this means applicants must receive meaningful explanations for adverse decisions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Article 14 — Human Oversight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Humans must be able to override automated credit decisions. Override capability must be genuine, not nominal</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Article 15 — Accuracy &amp; Robustness</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System accuracy must be documented across demographic groups. Performance degradation must be monitored and reported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GDPR Article 22</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Individuals have the right not to be subject to solely automated decisions with significant effects. Credit denial is a significant effect. Human review must be genuinely available</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2. The Fairness Audit Framework</w:t>
      </w:r>
    </w:p>
    <w:p>
      <w:pPr>
        <w:pStyle w:val="Heading2"/>
        <w:spacing w:after="120" w:before="240"/>
      </w:pPr>
      <w:r>
        <w:rPr>
          <w:rFonts w:ascii="Arial" w:cs="Arial" w:eastAsia="Arial" w:hAnsi="Arial"/>
          <w:b/>
          <w:bCs/>
          <w:color w:val="2E6DA4"/>
          <w:sz w:val="26"/>
          <w:szCs w:val="26"/>
        </w:rPr>
        <w:t xml:space="preserve">2.1 What a Fairness Audit Is</w:t>
      </w:r>
    </w:p>
    <w:p>
      <w:pPr>
        <w:spacing w:after="80" w:before="80"/>
      </w:pPr>
      <w:r>
        <w:rPr>
          <w:rFonts w:ascii="Arial" w:cs="Arial" w:eastAsia="Arial" w:hAnsi="Arial"/>
          <w:sz w:val="22"/>
          <w:szCs w:val="22"/>
        </w:rPr>
        <w:t xml:space="preserve">A fairness audit for AI credit scoring is a structured investigation of whether the model produces systematically different outcomes for different demographic groups — and whether those differences are justified by legitimate credit risk factors or are the product of historical bias in training data.</w:t>
      </w:r>
    </w:p>
    <w:p>
      <w:pPr>
        <w:spacing w:after="80" w:before="80"/>
      </w:pPr>
      <w:r>
        <w:t xml:space="preserve"/>
      </w:r>
    </w:p>
    <w:p>
      <w:pPr>
        <w:spacing w:after="80" w:before="80"/>
      </w:pPr>
      <w:r>
        <w:rPr>
          <w:rFonts w:ascii="Arial" w:cs="Arial" w:eastAsia="Arial" w:hAnsi="Arial"/>
          <w:sz w:val="22"/>
          <w:szCs w:val="22"/>
        </w:rPr>
        <w:t xml:space="preserve">The audit has four components:</w:t>
      </w:r>
    </w:p>
    <w:p>
      <w:pPr>
        <w:pStyle w:val="ListParagraph"/>
        <w:numPr>
          <w:ilvl w:val="0"/>
          <w:numId w:val="2"/>
        </w:numPr>
        <w:spacing w:after="60" w:before="60"/>
      </w:pPr>
      <w:r>
        <w:rPr>
          <w:rFonts w:ascii="Arial" w:cs="Arial" w:eastAsia="Arial" w:hAnsi="Arial"/>
          <w:b/>
          <w:bCs/>
          <w:sz w:val="22"/>
          <w:szCs w:val="22"/>
        </w:rPr>
        <w:t xml:space="preserve">Disparate impact: </w:t>
      </w:r>
      <w:r>
        <w:rPr>
          <w:rFonts w:ascii="Arial" w:cs="Arial" w:eastAsia="Arial" w:hAnsi="Arial"/>
          <w:sz w:val="22"/>
          <w:szCs w:val="22"/>
        </w:rPr>
        <w:t xml:space="preserve">Disparate impact analysis: Do applicants from different demographic groups receive adverse decisions at different rates, controlling for creditworthiness indicators?</w:t>
      </w:r>
    </w:p>
    <w:p>
      <w:pPr>
        <w:pStyle w:val="ListParagraph"/>
        <w:numPr>
          <w:ilvl w:val="0"/>
          <w:numId w:val="2"/>
        </w:numPr>
        <w:spacing w:after="60" w:before="60"/>
      </w:pPr>
      <w:r>
        <w:rPr>
          <w:rFonts w:ascii="Arial" w:cs="Arial" w:eastAsia="Arial" w:hAnsi="Arial"/>
          <w:b/>
          <w:bCs/>
          <w:sz w:val="22"/>
          <w:szCs w:val="22"/>
        </w:rPr>
        <w:t xml:space="preserve">Feature attribution: </w:t>
      </w:r>
      <w:r>
        <w:rPr>
          <w:rFonts w:ascii="Arial" w:cs="Arial" w:eastAsia="Arial" w:hAnsi="Arial"/>
          <w:sz w:val="22"/>
          <w:szCs w:val="22"/>
        </w:rPr>
        <w:t xml:space="preserve">Feature attribution analysis: Which features drive credit decisions most heavily? Are any of those features proxies for protected characteristics?</w:t>
      </w:r>
    </w:p>
    <w:p>
      <w:pPr>
        <w:pStyle w:val="ListParagraph"/>
        <w:numPr>
          <w:ilvl w:val="0"/>
          <w:numId w:val="2"/>
        </w:numPr>
        <w:spacing w:after="60" w:before="60"/>
      </w:pPr>
      <w:r>
        <w:rPr>
          <w:rFonts w:ascii="Arial" w:cs="Arial" w:eastAsia="Arial" w:hAnsi="Arial"/>
          <w:b/>
          <w:bCs/>
          <w:sz w:val="22"/>
          <w:szCs w:val="22"/>
        </w:rPr>
        <w:t xml:space="preserve">Counterfactual testing: </w:t>
      </w:r>
      <w:r>
        <w:rPr>
          <w:rFonts w:ascii="Arial" w:cs="Arial" w:eastAsia="Arial" w:hAnsi="Arial"/>
          <w:sz w:val="22"/>
          <w:szCs w:val="22"/>
        </w:rPr>
        <w:t xml:space="preserve">Counterfactual testing: If a protected characteristic were changed while all other factors remained constant, would the credit decision change?</w:t>
      </w:r>
    </w:p>
    <w:p>
      <w:pPr>
        <w:pStyle w:val="ListParagraph"/>
        <w:numPr>
          <w:ilvl w:val="0"/>
          <w:numId w:val="2"/>
        </w:numPr>
        <w:spacing w:after="60" w:before="60"/>
      </w:pPr>
      <w:r>
        <w:rPr>
          <w:rFonts w:ascii="Arial" w:cs="Arial" w:eastAsia="Arial" w:hAnsi="Arial"/>
          <w:b/>
          <w:bCs/>
          <w:sz w:val="22"/>
          <w:szCs w:val="22"/>
        </w:rPr>
        <w:t xml:space="preserve">Historical bias tracing: </w:t>
      </w:r>
      <w:r>
        <w:rPr>
          <w:rFonts w:ascii="Arial" w:cs="Arial" w:eastAsia="Arial" w:hAnsi="Arial"/>
          <w:sz w:val="22"/>
          <w:szCs w:val="22"/>
        </w:rPr>
        <w:t xml:space="preserve">Historical bias tracing: Does the training data reflect historical lending patterns that were themselves discriminatory? If so, has the model inherited that discrimination?</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2.2 Experiment Design</w:t>
      </w:r>
    </w:p>
    <w:p>
      <w:pPr>
        <w:spacing w:after="80" w:before="80"/>
      </w:pPr>
      <w:r>
        <w:rPr>
          <w:rFonts w:ascii="Arial" w:cs="Arial" w:eastAsia="Arial" w:hAnsi="Arial"/>
          <w:sz w:val="22"/>
          <w:szCs w:val="22"/>
        </w:rPr>
        <w:t xml:space="preserve">The fairness audit is structured as a controlled experiment with the following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Experiment Component</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Design</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Output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Control group</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Identical applicant profiles varying only in protected characteristics (gender, age, nationality)</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Disparate impact rate by characteristic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Feature importance 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SHAP values or LIME explanations for 500 randomly sampled decisions across demographic groups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Feature attribution heatmap by demographic</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Counterfactual test</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For each adverse decision, generate minimum-change counterfactual that results in approval. Measure distance by demographic group.</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Counterfactual distance distribution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Historical comparison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Compare model approval rates to historical human decision rates for same applicant profiles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Bias inheritance score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Threshold sensitivity</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Test how approval rates change by demographic group as decision threshold varies from 0.3 to 0.7</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Threshold fairness curve</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2.3 Fairness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Definition &amp; Threshold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Demographic Parity Difference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Difference in approval rates between groups. Acceptable threshold: &lt; 10 percentage points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Equalised Odds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Difference in true positive and false positive rates between groups. Acceptable: &lt; 5 percentage points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Predictive Parity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Difference in precision (positive predictive value) between groups. Acceptable: &lt; 5 percentage points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Individual Fairness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Similar applicants receive similar decisions regardless of group membership. Measured via counterfactual distance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Calibration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Model confidence scores reflect actual default probabilities equally across groups</w:t>
            </w:r>
          </w:p>
        </w:tc>
      </w:tr>
    </w:tbl>
    <w:p>
      <w:pPr>
        <w:spacing w:after="80" w:before="80"/>
      </w:pPr>
      <w: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3. The Product PM's Role in Fairness</w:t>
      </w:r>
    </w:p>
    <w:p>
      <w:pPr>
        <w:pStyle w:val="Heading2"/>
        <w:spacing w:after="120" w:before="240"/>
      </w:pPr>
      <w:r>
        <w:rPr>
          <w:rFonts w:ascii="Arial" w:cs="Arial" w:eastAsia="Arial" w:hAnsi="Arial"/>
          <w:b/>
          <w:bCs/>
          <w:color w:val="2E6DA4"/>
          <w:sz w:val="26"/>
          <w:szCs w:val="26"/>
        </w:rPr>
        <w:t xml:space="preserve">3.1 Fairness is a Product Decision, Not Just a Data Science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The Core Insight</w:t>
            </w:r>
          </w:p>
          <w:p>
            <w:pPr>
              <w:spacing w:before="60"/>
            </w:pPr>
            <w:r>
              <w:rPr>
                <w:rFonts w:ascii="Arial" w:cs="Arial" w:eastAsia="Arial" w:hAnsi="Arial"/>
                <w:i/>
                <w:iCs/>
                <w:sz w:val="22"/>
                <w:szCs w:val="22"/>
              </w:rPr>
              <w:t xml:space="preserve">Data scientists can measure fairness. Only a PM can decide which fairness metric to optimise for, what the acceptable trade-offs are, and what the consequences of a fairness failure are for the business and the customer. These are product decisions that require domain expertise, regulatory knowledge, and stakeholder alignment.</w:t>
            </w:r>
          </w:p>
        </w:tc>
      </w:tr>
    </w:tbl>
    <w:p>
      <w:pPr>
        <w:spacing w:after="80" w:before="80"/>
      </w:pPr>
      <w:r>
        <w:t xml:space="preserve"/>
      </w:r>
    </w:p>
    <w:p>
      <w:pPr>
        <w:spacing w:after="80" w:before="80"/>
      </w:pPr>
      <w:r>
        <w:rPr>
          <w:rFonts w:ascii="Arial" w:cs="Arial" w:eastAsia="Arial" w:hAnsi="Arial"/>
          <w:sz w:val="22"/>
          <w:szCs w:val="22"/>
        </w:rPr>
        <w:t xml:space="preserve">The three key product decisions in a fairness audit:</w:t>
      </w:r>
    </w:p>
    <w:p>
      <w:pPr>
        <w:pStyle w:val="ListParagraph"/>
        <w:numPr>
          <w:ilvl w:val="0"/>
          <w:numId w:val="2"/>
        </w:numPr>
        <w:spacing w:after="60" w:before="60"/>
      </w:pPr>
      <w:r>
        <w:rPr>
          <w:rFonts w:ascii="Arial" w:cs="Arial" w:eastAsia="Arial" w:hAnsi="Arial"/>
          <w:sz w:val="22"/>
          <w:szCs w:val="22"/>
        </w:rPr>
        <w:t xml:space="preserve">Which fairness metric to prioritise: Demographic parity and equalised odds are mathematically incompatible in most real-world datasets. The PM must decide which metric reflects the product's values and regulatory obligations, not which is easiest to achieve</w:t>
      </w:r>
    </w:p>
    <w:p>
      <w:pPr>
        <w:pStyle w:val="ListParagraph"/>
        <w:numPr>
          <w:ilvl w:val="0"/>
          <w:numId w:val="2"/>
        </w:numPr>
        <w:spacing w:after="60" w:before="60"/>
      </w:pPr>
      <w:r>
        <w:rPr>
          <w:rFonts w:ascii="Arial" w:cs="Arial" w:eastAsia="Arial" w:hAnsi="Arial"/>
          <w:sz w:val="22"/>
          <w:szCs w:val="22"/>
        </w:rPr>
        <w:t xml:space="preserve">What the acceptable disparity threshold is: Is a 7% approval rate difference between groups acceptable? That depends on the business context, the regulatory environment, and the customer impact. It is a product decision with legal consequences</w:t>
      </w:r>
    </w:p>
    <w:p>
      <w:pPr>
        <w:pStyle w:val="ListParagraph"/>
        <w:numPr>
          <w:ilvl w:val="0"/>
          <w:numId w:val="2"/>
        </w:numPr>
        <w:spacing w:after="60" w:before="60"/>
      </w:pPr>
      <w:r>
        <w:rPr>
          <w:rFonts w:ascii="Arial" w:cs="Arial" w:eastAsia="Arial" w:hAnsi="Arial"/>
          <w:sz w:val="22"/>
          <w:szCs w:val="22"/>
        </w:rPr>
        <w:t xml:space="preserve">What happens when a bias is found: Is the model retrained? Is deployment delayed? Is the affected demographic excluded from automated decisions? Each option has product, regulatory, and commercial implications that only a PM can properly evaluate</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3.2 Building Fairness Into the Product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Stage</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Fairness Action Required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Discovery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Map protected characteristics relevant to lending in target jurisdiction. Document regulatory obligations by market.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preparation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Audit training data for historical bias. Document demographic representation. Flag underrepresented groups.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Model development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Run fairness metrics at every model version. Make fairness a release gate, not a post-launch audit.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Pre-launch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Complete formal fairness audit. Document all findings. Obtain sign-off from legal, compliance, and risk.</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Post-launch monitoring</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Monitor fairness metrics monthly. Set automated alerts for disparate impact drift. Publish internal fairness report quarterly.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Adverse action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Ensure every credit denial includes a human-reviewable explanation. Audit explanation quality quarterly.</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4. Human Oversight Design</w:t>
      </w:r>
    </w:p>
    <w:p>
      <w:pPr>
        <w:spacing w:after="80" w:before="80"/>
      </w:pPr>
      <w:r>
        <w:rPr>
          <w:rFonts w:ascii="Arial" w:cs="Arial" w:eastAsia="Arial" w:hAnsi="Arial"/>
          <w:sz w:val="22"/>
          <w:szCs w:val="22"/>
        </w:rPr>
        <w:t xml:space="preserve">EU AI Act Article 14 requires genuine human oversight — not nominal. For credit scoring, this means:</w:t>
      </w:r>
    </w:p>
    <w:p>
      <w:pPr>
        <w:pStyle w:val="ListParagraph"/>
        <w:numPr>
          <w:ilvl w:val="0"/>
          <w:numId w:val="2"/>
        </w:numPr>
        <w:spacing w:after="60" w:before="60"/>
      </w:pPr>
      <w:r>
        <w:rPr>
          <w:rFonts w:ascii="Arial" w:cs="Arial" w:eastAsia="Arial" w:hAnsi="Arial"/>
          <w:sz w:val="22"/>
          <w:szCs w:val="22"/>
        </w:rPr>
        <w:t xml:space="preserve">Override mechanism: Any automated credit decision must be reviewable by a human underwriter within a defined SLA (recommend: 5 business days for high-value applications)</w:t>
      </w:r>
    </w:p>
    <w:p>
      <w:pPr>
        <w:pStyle w:val="ListParagraph"/>
        <w:numPr>
          <w:ilvl w:val="0"/>
          <w:numId w:val="2"/>
        </w:numPr>
        <w:spacing w:after="60" w:before="60"/>
      </w:pPr>
      <w:r>
        <w:rPr>
          <w:rFonts w:ascii="Arial" w:cs="Arial" w:eastAsia="Arial" w:hAnsi="Arial"/>
          <w:sz w:val="22"/>
          <w:szCs w:val="22"/>
        </w:rPr>
        <w:t xml:space="preserve">Override tracking: Every human override — approval of an automated denial, or denial of an automated approval — must be logged with reasoning. This data is essential for model improvement and regulatory audit</w:t>
      </w:r>
    </w:p>
    <w:p>
      <w:pPr>
        <w:pStyle w:val="ListParagraph"/>
        <w:numPr>
          <w:ilvl w:val="0"/>
          <w:numId w:val="2"/>
        </w:numPr>
        <w:spacing w:after="60" w:before="60"/>
      </w:pPr>
      <w:r>
        <w:rPr>
          <w:rFonts w:ascii="Arial" w:cs="Arial" w:eastAsia="Arial" w:hAnsi="Arial"/>
          <w:sz w:val="22"/>
          <w:szCs w:val="22"/>
        </w:rPr>
        <w:t xml:space="preserve">Override analysis: Monthly analysis of override patterns. If human underwriters are systematically overriding automated decisions for specific demographic groups, that is a model bias signal that requires investigation</w:t>
      </w:r>
    </w:p>
    <w:p>
      <w:pPr>
        <w:pStyle w:val="ListParagraph"/>
        <w:numPr>
          <w:ilvl w:val="0"/>
          <w:numId w:val="2"/>
        </w:numPr>
        <w:spacing w:after="60" w:before="60"/>
      </w:pPr>
      <w:r>
        <w:rPr>
          <w:rFonts w:ascii="Arial" w:cs="Arial" w:eastAsia="Arial" w:hAnsi="Arial"/>
          <w:sz w:val="22"/>
          <w:szCs w:val="22"/>
        </w:rPr>
        <w:t xml:space="preserve">Applicant recourse: Every declined applicant must receive clear information about how to request human review. The process must be accessible, not buried in fine print</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5. Documentation for EU AI Act Compliance</w:t>
      </w:r>
    </w:p>
    <w:p>
      <w:pPr>
        <w:spacing w:after="80" w:before="80"/>
      </w:pPr>
      <w:r>
        <w:rPr>
          <w:rFonts w:ascii="Arial" w:cs="Arial" w:eastAsia="Arial" w:hAnsi="Arial"/>
          <w:sz w:val="22"/>
          <w:szCs w:val="22"/>
        </w:rPr>
        <w:t xml:space="preserve">The EU AI Act requires specific documentation for high-risk AI. For credit scoring, the minimum viable compliance documentation package includes:</w:t>
      </w:r>
    </w:p>
    <w:p>
      <w:pPr>
        <w:pStyle w:val="ListParagraph"/>
        <w:numPr>
          <w:ilvl w:val="0"/>
          <w:numId w:val="2"/>
        </w:numPr>
        <w:spacing w:after="60" w:before="60"/>
      </w:pPr>
      <w:r>
        <w:rPr>
          <w:rFonts w:ascii="Arial" w:cs="Arial" w:eastAsia="Arial" w:hAnsi="Arial"/>
          <w:sz w:val="22"/>
          <w:szCs w:val="22"/>
        </w:rPr>
        <w:t xml:space="preserve">Technical documentation (Article 11): Model architecture, training data description, performance metrics by demographic group, known limitations</w:t>
      </w:r>
    </w:p>
    <w:p>
      <w:pPr>
        <w:pStyle w:val="ListParagraph"/>
        <w:numPr>
          <w:ilvl w:val="0"/>
          <w:numId w:val="2"/>
        </w:numPr>
        <w:spacing w:after="60" w:before="60"/>
      </w:pPr>
      <w:r>
        <w:rPr>
          <w:rFonts w:ascii="Arial" w:cs="Arial" w:eastAsia="Arial" w:hAnsi="Arial"/>
          <w:sz w:val="22"/>
          <w:szCs w:val="22"/>
        </w:rPr>
        <w:t xml:space="preserve">Conformity assessment (Article 43): For credit scoring deployed by financial institutions, this requires third-party audit in most cases</w:t>
      </w:r>
    </w:p>
    <w:p>
      <w:pPr>
        <w:pStyle w:val="ListParagraph"/>
        <w:numPr>
          <w:ilvl w:val="0"/>
          <w:numId w:val="2"/>
        </w:numPr>
        <w:spacing w:after="60" w:before="60"/>
      </w:pPr>
      <w:r>
        <w:rPr>
          <w:rFonts w:ascii="Arial" w:cs="Arial" w:eastAsia="Arial" w:hAnsi="Arial"/>
          <w:sz w:val="22"/>
          <w:szCs w:val="22"/>
        </w:rPr>
        <w:t xml:space="preserve">EU Declaration of Conformity (Article 47): Formal declaration that the system meets EU AI Act requirements</w:t>
      </w:r>
    </w:p>
    <w:p>
      <w:pPr>
        <w:pStyle w:val="ListParagraph"/>
        <w:numPr>
          <w:ilvl w:val="0"/>
          <w:numId w:val="2"/>
        </w:numPr>
        <w:spacing w:after="60" w:before="60"/>
      </w:pPr>
      <w:r>
        <w:rPr>
          <w:rFonts w:ascii="Arial" w:cs="Arial" w:eastAsia="Arial" w:hAnsi="Arial"/>
          <w:sz w:val="22"/>
          <w:szCs w:val="22"/>
        </w:rPr>
        <w:t xml:space="preserve">Logs and monitoring plan (Article 12): Specification of what is logged, retention periods, and monitoring frequency</w:t>
      </w:r>
    </w:p>
    <w:p>
      <w:pPr>
        <w:pStyle w:val="ListParagraph"/>
        <w:numPr>
          <w:ilvl w:val="0"/>
          <w:numId w:val="2"/>
        </w:numPr>
        <w:spacing w:after="60" w:before="60"/>
      </w:pPr>
      <w:r>
        <w:rPr>
          <w:rFonts w:ascii="Arial" w:cs="Arial" w:eastAsia="Arial" w:hAnsi="Arial"/>
          <w:sz w:val="22"/>
          <w:szCs w:val="22"/>
        </w:rPr>
        <w:t xml:space="preserve">Human oversight procedures (Article 14): Written procedures for human review, including SLAs, escalation paths, and training requirements for reviewers</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6. What I Would Build as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The Product Vision</w:t>
            </w:r>
          </w:p>
          <w:p>
            <w:pPr>
              <w:spacing w:before="60"/>
            </w:pPr>
            <w:r>
              <w:rPr>
                <w:rFonts w:ascii="Arial" w:cs="Arial" w:eastAsia="Arial" w:hAnsi="Arial"/>
                <w:i/>
                <w:iCs/>
                <w:sz w:val="22"/>
                <w:szCs w:val="22"/>
              </w:rPr>
              <w:t xml:space="preserve">A credit scoring system that is not just fair but demonstrably fair — where every applicant, every regulator, and every internal stakeholder can see the evidence. Fairness as a feature, not as a constraint.</w:t>
            </w:r>
          </w:p>
        </w:tc>
      </w:tr>
    </w:tbl>
    <w:p>
      <w:pPr>
        <w:spacing w:after="80" w:before="80"/>
      </w:pPr>
      <w:r>
        <w:t xml:space="preserve"/>
      </w:r>
    </w:p>
    <w:p>
      <w:pPr>
        <w:spacing w:after="80" w:before="80"/>
      </w:pPr>
      <w:r>
        <w:rPr>
          <w:rFonts w:ascii="Arial" w:cs="Arial" w:eastAsia="Arial" w:hAnsi="Arial"/>
          <w:sz w:val="22"/>
          <w:szCs w:val="22"/>
        </w:rPr>
        <w:t xml:space="preserve">Specifically, I would build:</w:t>
      </w:r>
    </w:p>
    <w:p>
      <w:pPr>
        <w:pStyle w:val="ListParagraph"/>
        <w:numPr>
          <w:ilvl w:val="0"/>
          <w:numId w:val="2"/>
        </w:numPr>
        <w:spacing w:after="60" w:before="60"/>
      </w:pPr>
      <w:r>
        <w:rPr>
          <w:rFonts w:ascii="Arial" w:cs="Arial" w:eastAsia="Arial" w:hAnsi="Arial"/>
          <w:sz w:val="22"/>
          <w:szCs w:val="22"/>
        </w:rPr>
        <w:t xml:space="preserve">A real-time fairness dashboard visible to the credit risk team — showing approval rate parity, feature attribution drift, and override patterns updated daily</w:t>
      </w:r>
    </w:p>
    <w:p>
      <w:pPr>
        <w:pStyle w:val="ListParagraph"/>
        <w:numPr>
          <w:ilvl w:val="0"/>
          <w:numId w:val="2"/>
        </w:numPr>
        <w:spacing w:after="60" w:before="60"/>
      </w:pPr>
      <w:r>
        <w:rPr>
          <w:rFonts w:ascii="Arial" w:cs="Arial" w:eastAsia="Arial" w:hAnsi="Arial"/>
          <w:sz w:val="22"/>
          <w:szCs w:val="22"/>
        </w:rPr>
        <w:t xml:space="preserve">An applicant-facing explanation interface — plain language explanation of every credit decision with the top 3 factors, and a one-click pathway to request human review</w:t>
      </w:r>
    </w:p>
    <w:p>
      <w:pPr>
        <w:pStyle w:val="ListParagraph"/>
        <w:numPr>
          <w:ilvl w:val="0"/>
          <w:numId w:val="2"/>
        </w:numPr>
        <w:spacing w:after="60" w:before="60"/>
      </w:pPr>
      <w:r>
        <w:rPr>
          <w:rFonts w:ascii="Arial" w:cs="Arial" w:eastAsia="Arial" w:hAnsi="Arial"/>
          <w:sz w:val="22"/>
          <w:szCs w:val="22"/>
        </w:rPr>
        <w:t xml:space="preserve">A fairness regression test in the model deployment pipeline — every model version must pass fairness thresholds before it can be deployed to production</w:t>
      </w:r>
    </w:p>
    <w:p>
      <w:pPr>
        <w:pStyle w:val="ListParagraph"/>
        <w:numPr>
          <w:ilvl w:val="0"/>
          <w:numId w:val="2"/>
        </w:numPr>
        <w:spacing w:after="60" w:before="60"/>
      </w:pPr>
      <w:r>
        <w:rPr>
          <w:rFonts w:ascii="Arial" w:cs="Arial" w:eastAsia="Arial" w:hAnsi="Arial"/>
          <w:sz w:val="22"/>
          <w:szCs w:val="22"/>
        </w:rPr>
        <w:t xml:space="preserve">A quarterly fairness report published to the board — normalising fairness as a business metric alongside revenue and loss rates</w:t>
      </w:r>
    </w:p>
    <w:p>
      <w:pPr>
        <w:spacing w:after="80" w:before="80"/>
      </w:pPr>
      <w:r>
        <w:t xml:space="preserve"/>
      </w:r>
    </w:p>
    <w:p>
      <w:pPr>
        <w:spacing w:after="80" w:before="80"/>
      </w:pPr>
      <w:r>
        <w:rPr>
          <w:rFonts w:ascii="Arial" w:cs="Arial" w:eastAsia="Arial" w:hAnsi="Arial"/>
          <w:i/>
          <w:iCs/>
          <w:color w:val="777777"/>
          <w:sz w:val="22"/>
          <w:szCs w:val="22"/>
        </w:rPr>
        <w:t xml:space="preserve">Experiment design document, May 2026 | Mehreen Himani | github.com/mehreenhimani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2026-05-08T09:31:40.307Z</dcterms:created>
  <dcterms:modified xsi:type="dcterms:W3CDTF">2026-05-08T09:31:40.307Z</dcterms:modified>
</cp:coreProperties>
</file>

<file path=docProps/custom.xml><?xml version="1.0" encoding="utf-8"?>
<Properties xmlns="http://schemas.openxmlformats.org/officeDocument/2006/custom-properties" xmlns:vt="http://schemas.openxmlformats.org/officeDocument/2006/docPropsVTypes"/>
</file>