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6DA4"/>
          <w:sz w:val="24"/>
          <w:szCs w:val="24"/>
        </w:rPr>
        <w:t xml:space="preserve">STRATEGY DOCUMENT</w:t>
      </w:r>
    </w:p>
    <w:p>
      <w:pPr>
        <w:spacing w:after="120" w:before="0"/>
        <w:jc w:val="center"/>
      </w:pPr>
      <w:r>
        <w:rPr>
          <w:rFonts w:ascii="Arial" w:cs="Arial" w:eastAsia="Arial" w:hAnsi="Arial"/>
          <w:b/>
          <w:bCs/>
          <w:color w:val="1E3A5F"/>
          <w:sz w:val="52"/>
          <w:szCs w:val="52"/>
        </w:rPr>
        <w:t xml:space="preserve">AI Evaluation Framework</w:t>
      </w:r>
    </w:p>
    <w:p>
      <w:pPr>
        <w:spacing w:after="300" w:before="0"/>
        <w:jc w:val="center"/>
      </w:pPr>
      <w:r>
        <w:rPr>
          <w:rFonts w:ascii="Arial" w:cs="Arial" w:eastAsia="Arial" w:hAnsi="Arial"/>
          <w:color w:val="2E6DA4"/>
          <w:sz w:val="28"/>
          <w:szCs w:val="28"/>
        </w:rPr>
        <w:t xml:space="preserve">How I Built an LLM Quality Framework at Capgemini</w:t>
      </w:r>
    </w:p>
    <w:p>
      <w:pPr>
        <w:pBdr>
          <w:top w:val="single" w:color="CCCCCC" w:sz="4"/>
          <w:bottom w:val="single" w:color="CCCCCC" w:sz="4"/>
        </w:pBdr>
        <w:spacing w:after="200" w:before="200"/>
        <w:jc w:val="center"/>
      </w:pPr>
      <w:r>
        <w:rPr>
          <w:rFonts w:ascii="Arial" w:cs="Arial" w:eastAsia="Arial" w:hAnsi="Arial"/>
          <w:i/>
          <w:iCs/>
          <w:color w:val="555555"/>
          <w:sz w:val="22"/>
          <w:szCs w:val="22"/>
        </w:rPr>
        <w:t xml:space="preserve">Accuracy, Consistency, Safety, Latency, Cost — A Practitioner's Guide to Evaluating AI Systems in Enterprise</w:t>
      </w:r>
    </w:p>
    <w:p>
      <w:pPr>
        <w:spacing w:after="80" w:before="80"/>
      </w:pPr>
      <w:r>
        <w:t xml:space="preserve"/>
      </w:r>
    </w:p>
    <w:p>
      <w:pPr>
        <w:spacing w:after="80" w:before="200"/>
        <w:jc w:val="center"/>
      </w:pPr>
      <w:r>
        <w:rPr>
          <w:rFonts w:ascii="Arial" w:cs="Arial" w:eastAsia="Arial" w:hAnsi="Arial"/>
          <w:b/>
          <w:bCs/>
          <w:color w:val="1E3A5F"/>
          <w:sz w:val="26"/>
          <w:szCs w:val="26"/>
        </w:rPr>
        <w:t xml:space="preserve">Mehreen Himani</w:t>
      </w:r>
    </w:p>
    <w:p>
      <w:pPr>
        <w:spacing w:after="80" w:before="0"/>
        <w:jc w:val="center"/>
      </w:pPr>
      <w:r>
        <w:rPr>
          <w:rFonts w:ascii="Arial" w:cs="Arial" w:eastAsia="Arial" w:hAnsi="Arial"/>
          <w:color w:val="555555"/>
          <w:sz w:val="22"/>
          <w:szCs w:val="22"/>
        </w:rPr>
        <w:t xml:space="preserve">Senior PM | Capgemini | Ex-UBS | Ex-Credit Suisse | Ex-Standard Chartered</w:t>
      </w:r>
    </w:p>
    <w:p>
      <w:pPr>
        <w:spacing w:after="0" w:before="80"/>
        <w:jc w:val="center"/>
      </w:pPr>
      <w:r>
        <w:rPr>
          <w:rFonts w:ascii="Arial" w:cs="Arial" w:eastAsia="Arial" w:hAnsi="Arial"/>
          <w:color w:val="777777"/>
          <w:sz w:val="22"/>
          <w:szCs w:val="22"/>
        </w:rPr>
        <w:t xml:space="preserve">May 2026</w:t>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Executive Summary</w:t>
      </w:r>
    </w:p>
    <w:p>
      <w:pPr>
        <w:spacing w:after="80" w:before="80"/>
      </w:pPr>
      <w:r>
        <w:rPr>
          <w:rFonts w:ascii="Arial" w:cs="Arial" w:eastAsia="Arial" w:hAnsi="Arial"/>
          <w:sz w:val="22"/>
          <w:szCs w:val="22"/>
        </w:rPr>
        <w:t xml:space="preserve">In 2024, I led the design and implementation of a multi-agent LLM workflow at Capgemini that achieved a 35% efficiency improvement across compliance and governance processes. The most critical — and most underestimated — part of that project was not the model selection or the prompt engineering. It was building a rigorous evaluation framework that gave stakeholders the confidence to move from pilot to production.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Key Outcome</w:t>
            </w:r>
          </w:p>
          <w:p>
            <w:pPr>
              <w:spacing w:before="60"/>
            </w:pPr>
            <w:r>
              <w:rPr>
                <w:rFonts w:ascii="Arial" w:cs="Arial" w:eastAsia="Arial" w:hAnsi="Arial"/>
                <w:i/>
                <w:iCs/>
                <w:sz w:val="22"/>
                <w:szCs w:val="22"/>
              </w:rPr>
              <w:t xml:space="preserve">35% efficiency improvement in compliance workflows • Framework adopted across 3 internal Capgemini AI projects • 5-dimension evaluation covering accuracy, consistency, safety, latency, and cost</w:t>
            </w:r>
          </w:p>
        </w:tc>
      </w:tr>
    </w:tbl>
    <w:p>
      <w:pPr>
        <w:spacing w:after="80" w:before="80"/>
      </w:pPr>
      <w:r>
        <w:t xml:space="preserve"/>
      </w:r>
    </w:p>
    <w:p>
      <w:pPr>
        <w:spacing w:after="80" w:before="80"/>
      </w:pPr>
      <w:r>
        <w:rPr>
          <w:rFonts w:ascii="Arial" w:cs="Arial" w:eastAsia="Arial" w:hAnsi="Arial"/>
          <w:sz w:val="22"/>
          <w:szCs w:val="22"/>
        </w:rPr>
        <w:t xml:space="preserve">This document captures the evaluation framework I built, the trade-offs I navigated, and what I would do differently in a production environment.</w:t>
      </w:r>
    </w:p>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1. Why Evaluation Is a Product Problem</w:t>
      </w:r>
    </w:p>
    <w:p>
      <w:pPr>
        <w:pStyle w:val="Heading2"/>
        <w:spacing w:after="120" w:before="240"/>
      </w:pPr>
      <w:r>
        <w:rPr>
          <w:rFonts w:ascii="Arial" w:cs="Arial" w:eastAsia="Arial" w:hAnsi="Arial"/>
          <w:b/>
          <w:bCs/>
          <w:color w:val="2E6DA4"/>
          <w:sz w:val="26"/>
          <w:szCs w:val="26"/>
        </w:rPr>
        <w:t xml:space="preserve">1.1 The Gap Most Teams Fall Into</w:t>
      </w:r>
    </w:p>
    <w:p>
      <w:pPr>
        <w:spacing w:after="80" w:before="80"/>
      </w:pPr>
      <w:r>
        <w:rPr>
          <w:rFonts w:ascii="Arial" w:cs="Arial" w:eastAsia="Arial" w:hAnsi="Arial"/>
          <w:sz w:val="22"/>
          <w:szCs w:val="22"/>
        </w:rPr>
        <w:t xml:space="preserve">Most enterprise AI projects fail not at the model level but at the trust level. A model that performs well in demos fails in production because stakeholders have no systematic evidence of reliability. The evaluation framework is what bridges the gap between a promising prototype and a production system that an organisation is willing to stake its reputation on.</w:t>
      </w:r>
    </w:p>
    <w:p>
      <w:pPr>
        <w:spacing w:after="80" w:before="80"/>
      </w:pPr>
      <w:r>
        <w:t xml:space="preserve"/>
      </w:r>
    </w:p>
    <w:p>
      <w:pPr>
        <w:spacing w:after="80" w:before="80"/>
      </w:pPr>
      <w:r>
        <w:rPr>
          <w:rFonts w:ascii="Arial" w:cs="Arial" w:eastAsia="Arial" w:hAnsi="Arial"/>
          <w:sz w:val="22"/>
          <w:szCs w:val="22"/>
        </w:rPr>
        <w:t xml:space="preserve">At Capgemini, I observed three failure patterns that an evaluation framework prevents:</w:t>
      </w:r>
    </w:p>
    <w:p>
      <w:pPr>
        <w:pStyle w:val="ListParagraph"/>
        <w:numPr>
          <w:ilvl w:val="0"/>
          <w:numId w:val="2"/>
        </w:numPr>
        <w:spacing w:after="60" w:before="60"/>
      </w:pPr>
      <w:r>
        <w:rPr>
          <w:rFonts w:ascii="Arial" w:cs="Arial" w:eastAsia="Arial" w:hAnsi="Arial"/>
          <w:b/>
          <w:bCs/>
          <w:sz w:val="22"/>
          <w:szCs w:val="22"/>
        </w:rPr>
        <w:t xml:space="preserve">Vibe-based assessment: </w:t>
      </w:r>
      <w:r>
        <w:rPr>
          <w:rFonts w:ascii="Arial" w:cs="Arial" w:eastAsia="Arial" w:hAnsi="Arial"/>
          <w:sz w:val="22"/>
          <w:szCs w:val="22"/>
        </w:rPr>
        <w:t xml:space="preserve">Vibe-based assessment: Teams demo the best outputs and ignore edge cases. Stakeholders approve. Production reveals the edge cases.</w:t>
      </w:r>
    </w:p>
    <w:p>
      <w:pPr>
        <w:pStyle w:val="ListParagraph"/>
        <w:numPr>
          <w:ilvl w:val="0"/>
          <w:numId w:val="2"/>
        </w:numPr>
        <w:spacing w:after="60" w:before="60"/>
      </w:pPr>
      <w:r>
        <w:rPr>
          <w:rFonts w:ascii="Arial" w:cs="Arial" w:eastAsia="Arial" w:hAnsi="Arial"/>
          <w:b/>
          <w:bCs/>
          <w:sz w:val="22"/>
          <w:szCs w:val="22"/>
        </w:rPr>
        <w:t xml:space="preserve">Single-metric optimisation: </w:t>
      </w:r>
      <w:r>
        <w:rPr>
          <w:rFonts w:ascii="Arial" w:cs="Arial" w:eastAsia="Arial" w:hAnsi="Arial"/>
          <w:sz w:val="22"/>
          <w:szCs w:val="22"/>
        </w:rPr>
        <w:t xml:space="preserve">Single-metric optimisation: Accuracy is measured. Safety, latency, and cost are not. The deployed system is accurate but too slow, too expensive, or unsafe for specific query types.</w:t>
      </w:r>
    </w:p>
    <w:p>
      <w:pPr>
        <w:pStyle w:val="ListParagraph"/>
        <w:numPr>
          <w:ilvl w:val="0"/>
          <w:numId w:val="2"/>
        </w:numPr>
        <w:spacing w:after="60" w:before="60"/>
      </w:pPr>
      <w:r>
        <w:rPr>
          <w:rFonts w:ascii="Arial" w:cs="Arial" w:eastAsia="Arial" w:hAnsi="Arial"/>
          <w:b/>
          <w:bCs/>
          <w:sz w:val="22"/>
          <w:szCs w:val="22"/>
        </w:rPr>
        <w:t xml:space="preserve">No regression tracking: </w:t>
      </w:r>
      <w:r>
        <w:rPr>
          <w:rFonts w:ascii="Arial" w:cs="Arial" w:eastAsia="Arial" w:hAnsi="Arial"/>
          <w:sz w:val="22"/>
          <w:szCs w:val="22"/>
        </w:rPr>
        <w:t xml:space="preserve">No regression tracking: A prompt change improves one output and degrades ten others. Nobody notices until a production incident.</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1.2 Evaluation as a PM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The Core Principle</w:t>
            </w:r>
          </w:p>
          <w:p>
            <w:pPr>
              <w:spacing w:before="60"/>
            </w:pPr>
            <w:r>
              <w:rPr>
                <w:rFonts w:ascii="Arial" w:cs="Arial" w:eastAsia="Arial" w:hAnsi="Arial"/>
                <w:i/>
                <w:iCs/>
                <w:sz w:val="22"/>
                <w:szCs w:val="22"/>
              </w:rPr>
              <w:t xml:space="preserve">The evaluation framework is not an engineering deliverable. It is a product requirement. The PM owns the definition of what good looks like, what the acceptable thresholds are, and what the consequences of failure are for the business.</w:t>
            </w:r>
          </w:p>
        </w:tc>
      </w:tr>
    </w:tbl>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2. The 5-Dimension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Dimension</w:t>
            </w:r>
          </w:p>
        </w:tc>
        <w:tc>
          <w:tcPr>
            <w:tcW w:type="dxa" w:w="624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Definition &amp; Why It Matters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1. Accuracy</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Does the model produce factually correct, contextually appropriate outputs? Measured against a manually labelled golden dataset. Most critical for compliance and regulatory use cases where incorrect outputs create legal risk</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2. Consistency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Does the model produce the same quality output for semantically equivalent inputs? Measured by running paraphrased versions of the same query and comparing outputs. Inconsistency erodes user trust faster than occasional inaccuracy</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3. Safety</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Does the model avoid harmful, biased, or policy-violating outputs? Measured by red-teaming with adversarial inputs, edge cases, and boundary conditions. Non-negotiable for enterprise deployment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4. Latency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How long does the model take to respond? Measured as P50, P90, and P99 response times under realistic load. Latency thresholds are user-experience requirements, not engineering preferences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5. Cost</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What is the per-query cost, and what is the projected monthly cost at scale? Measured in tokens consumed per query type. Cost evaluation gates the business case for production deployment</w:t>
            </w:r>
          </w:p>
        </w:tc>
      </w:tr>
    </w:tbl>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3. Implementation at Capgemini</w:t>
      </w:r>
    </w:p>
    <w:p>
      <w:pPr>
        <w:pStyle w:val="Heading2"/>
        <w:spacing w:after="120" w:before="240"/>
      </w:pPr>
      <w:r>
        <w:rPr>
          <w:rFonts w:ascii="Arial" w:cs="Arial" w:eastAsia="Arial" w:hAnsi="Arial"/>
          <w:b/>
          <w:bCs/>
          <w:color w:val="2E6DA4"/>
          <w:sz w:val="26"/>
          <w:szCs w:val="26"/>
        </w:rPr>
        <w:t xml:space="preserve">3.1 Golden Dataset Construction</w:t>
      </w:r>
    </w:p>
    <w:p>
      <w:pPr>
        <w:spacing w:after="80" w:before="80"/>
      </w:pPr>
      <w:r>
        <w:rPr>
          <w:rFonts w:ascii="Arial" w:cs="Arial" w:eastAsia="Arial" w:hAnsi="Arial"/>
          <w:sz w:val="22"/>
          <w:szCs w:val="22"/>
        </w:rPr>
        <w:t xml:space="preserve">The foundation of the evaluation framework was a 50-item golden dataset — manually constructed, covering all major query categories the system would encounter in production. Each item included: the input query, the expected output characteristics (not exact text), the acceptable range of outputs, and explicit failure criteria.</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Query distribution: 60% routine compliance queries, 25% edge cases, 15% adversarial inputs designed to probe safety boundaries</w:t>
      </w:r>
    </w:p>
    <w:p>
      <w:pPr>
        <w:pStyle w:val="ListParagraph"/>
        <w:numPr>
          <w:ilvl w:val="0"/>
          <w:numId w:val="2"/>
        </w:numPr>
        <w:spacing w:after="60" w:before="60"/>
      </w:pPr>
      <w:r>
        <w:rPr>
          <w:rFonts w:ascii="Arial" w:cs="Arial" w:eastAsia="Arial" w:hAnsi="Arial"/>
          <w:sz w:val="22"/>
          <w:szCs w:val="22"/>
        </w:rPr>
        <w:t xml:space="preserve">Labelling process: Each item reviewed by two domain experts (compliance SMEs) and one PM. Disagreements resolved through structured discussion, not voting</w:t>
      </w:r>
    </w:p>
    <w:p>
      <w:pPr>
        <w:pStyle w:val="ListParagraph"/>
        <w:numPr>
          <w:ilvl w:val="0"/>
          <w:numId w:val="2"/>
        </w:numPr>
        <w:spacing w:after="60" w:before="60"/>
      </w:pPr>
      <w:r>
        <w:rPr>
          <w:rFonts w:ascii="Arial" w:cs="Arial" w:eastAsia="Arial" w:hAnsi="Arial"/>
          <w:sz w:val="22"/>
          <w:szCs w:val="22"/>
        </w:rPr>
        <w:t xml:space="preserve">Refresh cadence: Golden dataset reviewed and updated quarterly as new query types emerged in production</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3.2 Accuracy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Query Type</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Accuracy Method</w:t>
            </w:r>
          </w:p>
        </w:tc>
        <w:tc>
          <w:tcPr>
            <w:tcW w:type="dxa" w:w="32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2"/>
                <w:szCs w:val="22"/>
              </w:rPr>
              <w:t xml:space="preserve">Threshold</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Factual regulatory queries</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Exact match against primary source citations</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&gt; 90%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Summarisation tasks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ROUGE-L score + human review for key point coverage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&gt; 0.65 ROUGE-L</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Classification tasks</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F1 score against labelled test set</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&gt; 85% F1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Generation tasks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Human evaluation rubric (relevance, completeness, clarity)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&gt; 4.0 / 5.0</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3.3 Consistency Testing</w:t>
      </w:r>
    </w:p>
    <w:p>
      <w:pPr>
        <w:spacing w:after="80" w:before="80"/>
      </w:pPr>
      <w:r>
        <w:rPr>
          <w:rFonts w:ascii="Arial" w:cs="Arial" w:eastAsia="Arial" w:hAnsi="Arial"/>
          <w:sz w:val="22"/>
          <w:szCs w:val="22"/>
        </w:rPr>
        <w:t xml:space="preserve">For each golden dataset item, I created 3 paraphrased variants of the same query. The model was expected to produce outputs within an acceptable similarity range across all 4 versions. Consistency score = percentage of query sets where all variants received acceptable ratings.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thick" w:color="1E3A5F" w:sz="12"/>
              <w:bottom w:val="single" w:color="2E6DA4" w:sz="4"/>
              <w:right w:val="single" w:color="2E6DA4" w:sz="4"/>
            </w:tcBorders>
            <w:shd w:fill="EBF3FB" w:val="clear"/>
            <w:tcMar>
              <w:top w:type="dxa" w:w="120"/>
              <w:left w:type="dxa" w:w="200"/>
              <w:bottom w:type="dxa" w:w="120"/>
              <w:right w:type="dxa" w:w="200"/>
            </w:tcMar>
          </w:tcPr>
          <w:p>
            <w:r>
              <w:rPr>
                <w:rFonts w:ascii="Arial" w:cs="Arial" w:eastAsia="Arial" w:hAnsi="Arial"/>
                <w:b/>
                <w:bCs/>
                <w:color w:val="1E3A5F"/>
                <w:sz w:val="22"/>
                <w:szCs w:val="22"/>
              </w:rPr>
              <w:t xml:space="preserve">Result</w:t>
            </w:r>
          </w:p>
          <w:p>
            <w:pPr>
              <w:spacing w:before="60"/>
            </w:pPr>
            <w:r>
              <w:rPr>
                <w:rFonts w:ascii="Arial" w:cs="Arial" w:eastAsia="Arial" w:hAnsi="Arial"/>
                <w:i/>
                <w:iCs/>
                <w:sz w:val="22"/>
                <w:szCs w:val="22"/>
              </w:rPr>
              <w:t xml:space="preserve">Initial consistency score: 71%. After prompt engineering and system prompt refinement: 89%. The 18-point improvement came entirely from clearer constraint specification in the system prompt, not from model changes.</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3.4 Safety Red-Teaming</w:t>
      </w:r>
    </w:p>
    <w:p>
      <w:pPr>
        <w:spacing w:after="80" w:before="80"/>
      </w:pPr>
      <w:r>
        <w:rPr>
          <w:rFonts w:ascii="Arial" w:cs="Arial" w:eastAsia="Arial" w:hAnsi="Arial"/>
          <w:sz w:val="22"/>
          <w:szCs w:val="22"/>
        </w:rPr>
        <w:t xml:space="preserve">Safety evaluation used three categories of adversarial inputs:</w:t>
      </w:r>
    </w:p>
    <w:p>
      <w:pPr>
        <w:pStyle w:val="ListParagraph"/>
        <w:numPr>
          <w:ilvl w:val="0"/>
          <w:numId w:val="2"/>
        </w:numPr>
        <w:spacing w:after="60" w:before="60"/>
      </w:pPr>
      <w:r>
        <w:rPr>
          <w:rFonts w:ascii="Arial" w:cs="Arial" w:eastAsia="Arial" w:hAnsi="Arial"/>
          <w:sz w:val="22"/>
          <w:szCs w:val="22"/>
        </w:rPr>
        <w:t xml:space="preserve">Boundary probing: Queries that push the edges of the system's intended scope (e.g., asking a compliance assistant about personal legal advice)</w:t>
      </w:r>
    </w:p>
    <w:p>
      <w:pPr>
        <w:pStyle w:val="ListParagraph"/>
        <w:numPr>
          <w:ilvl w:val="0"/>
          <w:numId w:val="2"/>
        </w:numPr>
        <w:spacing w:after="60" w:before="60"/>
      </w:pPr>
      <w:r>
        <w:rPr>
          <w:rFonts w:ascii="Arial" w:cs="Arial" w:eastAsia="Arial" w:hAnsi="Arial"/>
          <w:sz w:val="22"/>
          <w:szCs w:val="22"/>
        </w:rPr>
        <w:t xml:space="preserve">Jailbreak attempts: Inputs designed to bypass the system prompt constraints using common prompt injection patterns</w:t>
      </w:r>
    </w:p>
    <w:p>
      <w:pPr>
        <w:pStyle w:val="ListParagraph"/>
        <w:numPr>
          <w:ilvl w:val="0"/>
          <w:numId w:val="2"/>
        </w:numPr>
        <w:spacing w:after="60" w:before="60"/>
      </w:pPr>
      <w:r>
        <w:rPr>
          <w:rFonts w:ascii="Arial" w:cs="Arial" w:eastAsia="Arial" w:hAnsi="Arial"/>
          <w:sz w:val="22"/>
          <w:szCs w:val="22"/>
        </w:rPr>
        <w:t xml:space="preserve">Bias testing: Queries containing demographic information to test for discriminatory output patterns</w:t>
      </w:r>
    </w:p>
    <w:p>
      <w:pPr>
        <w:spacing w:after="80" w:before="80"/>
      </w:pPr>
      <w:r>
        <w:t xml:space="preserve"/>
      </w:r>
    </w:p>
    <w:p>
      <w:pPr>
        <w:spacing w:after="80" w:before="80"/>
      </w:pPr>
      <w:r>
        <w:rPr>
          <w:rFonts w:ascii="Arial" w:cs="Arial" w:eastAsia="Arial" w:hAnsi="Arial"/>
          <w:sz w:val="22"/>
          <w:szCs w:val="22"/>
        </w:rPr>
        <w:t xml:space="preserve">Every safety failure was classified by severity (Critical/High/Medium/Low) and required a mitigation before production sign-off. Critical failures blocked deployment entirely.</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3.5 Latency &amp; Cost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Metric</w:t>
            </w:r>
          </w:p>
        </w:tc>
        <w:tc>
          <w:tcPr>
            <w:tcW w:type="dxa" w:w="624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Capgemini Implementation</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P50 latency target</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&lt; 3 seconds for standard queries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P90 latency target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&lt; 8 seconds for complex multi-step queries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P99 latency target</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&lt; 15 seconds (maximum acceptable for any query)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Cost per query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Tracked in tokens; budget set at &lt; EUR 0.02 per standard query</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Monthly cost projection</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Modelled at 3 volume scenarios: conservative, expected, peak</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Cost optimisation levers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Prompt compression, caching for frequent queries, model tier selection</w:t>
            </w:r>
          </w:p>
        </w:tc>
      </w:tr>
    </w:tbl>
    <w:p>
      <w:pPr>
        <w:spacing w:after="80" w:before="80"/>
      </w:pPr>
      <w:r>
        <w:t xml:space="preserve"/>
      </w:r>
    </w:p>
    <w:p>
      <w:r>
        <w:br w:type="page"/>
      </w:r>
    </w:p>
    <w:p>
      <w:pPr>
        <w:pStyle w:val="Heading1"/>
        <w:pBdr>
          <w:bottom w:val="single" w:color="1E3A5F" w:sz="6" w:space="4"/>
        </w:pBdr>
        <w:spacing w:after="160" w:before="360"/>
      </w:pPr>
      <w:r>
        <w:rPr>
          <w:rFonts w:ascii="Arial" w:cs="Arial" w:eastAsia="Arial" w:hAnsi="Arial"/>
          <w:b/>
          <w:bCs/>
          <w:color w:val="1E3A5F"/>
          <w:sz w:val="32"/>
          <w:szCs w:val="32"/>
        </w:rPr>
        <w:t xml:space="preserve">4. Evaluation Scorecard</w:t>
      </w:r>
    </w:p>
    <w:p>
      <w:pPr>
        <w:spacing w:after="80" w:before="80"/>
      </w:pPr>
      <w:r>
        <w:rPr>
          <w:rFonts w:ascii="Arial" w:cs="Arial" w:eastAsia="Arial" w:hAnsi="Arial"/>
          <w:sz w:val="22"/>
          <w:szCs w:val="22"/>
        </w:rPr>
        <w:t xml:space="preserve">Each evaluation run produced a scorecard that was shared with stakeholders as the primary go/no-go decision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Dimension</w:t>
            </w:r>
          </w:p>
        </w:tc>
        <w:tc>
          <w:tcPr>
            <w:tcW w:type="dxa" w:w="6240"/>
            <w:tcBorders>
              <w:top w:val="single" w:color="1E3A5F" w:sz="1"/>
              <w:left w:val="single" w:color="1E3A5F" w:sz="1"/>
              <w:bottom w:val="single" w:color="1E3A5F" w:sz="1"/>
              <w:right w:val="single" w:color="1E3A5F" w:sz="1"/>
            </w:tcBorders>
            <w:shd w:fill="2E6DA4" w:val="clear"/>
            <w:tcMar>
              <w:top w:type="dxa" w:w="100"/>
              <w:left w:type="dxa" w:w="150"/>
              <w:bottom w:type="dxa" w:w="100"/>
              <w:right w:type="dxa" w:w="150"/>
            </w:tcMar>
          </w:tcPr>
          <w:p>
            <w:r>
              <w:rPr>
                <w:rFonts w:ascii="Arial" w:cs="Arial" w:eastAsia="Arial" w:hAnsi="Arial"/>
                <w:b/>
                <w:bCs/>
                <w:color w:val="FFFFFF"/>
                <w:sz w:val="22"/>
                <w:szCs w:val="22"/>
              </w:rPr>
              <w:t xml:space="preserve">Pre-Optimisation | Post-Optimisation | Threshold | Status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Accuracy</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76% | 91% | &gt; 90% | PASS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Consistency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71% | 89% | &gt; 85% | PASS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Safety</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2 Critical failures | 0 Critical failures | 0 Critical | PASS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P90 Latency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11.2s | 6.8s | &lt; 8s | PASS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Cost/query</w:t>
            </w:r>
          </w:p>
        </w:tc>
        <w:tc>
          <w:tcPr>
            <w:tcW w:type="dxa" w:w="624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r>
              <w:rPr>
                <w:rFonts w:ascii="Arial" w:cs="Arial" w:eastAsia="Arial" w:hAnsi="Arial"/>
                <w:sz w:val="22"/>
                <w:szCs w:val="22"/>
              </w:rPr>
              <w:t xml:space="preserve">EUR 0.031 | EUR 0.018 | &lt; EUR 0.02 | PASS</w:t>
            </w:r>
          </w:p>
        </w:tc>
      </w:tr>
    </w:tbl>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5. What I Would Do Differently</w:t>
      </w:r>
    </w:p>
    <w:p>
      <w:pPr>
        <w:pStyle w:val="ListParagraph"/>
        <w:numPr>
          <w:ilvl w:val="0"/>
          <w:numId w:val="2"/>
        </w:numPr>
        <w:spacing w:after="60" w:before="60"/>
      </w:pPr>
      <w:r>
        <w:rPr>
          <w:rFonts w:ascii="Arial" w:cs="Arial" w:eastAsia="Arial" w:hAnsi="Arial"/>
          <w:sz w:val="22"/>
          <w:szCs w:val="22"/>
        </w:rPr>
        <w:t xml:space="preserve">Build the evaluation framework before the first prototype, not after. The golden dataset construction forced important clarification about what good actually meant — that clarity should inform the system design, not validate it retrospectively</w:t>
      </w:r>
    </w:p>
    <w:p>
      <w:pPr>
        <w:pStyle w:val="ListParagraph"/>
        <w:numPr>
          <w:ilvl w:val="0"/>
          <w:numId w:val="2"/>
        </w:numPr>
        <w:spacing w:after="60" w:before="60"/>
      </w:pPr>
      <w:r>
        <w:rPr>
          <w:rFonts w:ascii="Arial" w:cs="Arial" w:eastAsia="Arial" w:hAnsi="Arial"/>
          <w:sz w:val="22"/>
          <w:szCs w:val="22"/>
        </w:rPr>
        <w:t xml:space="preserve">Automate regression testing from day one. Manual evaluation at 50 items is sustainable for a pilot. At 500 items across multiple model versions, it requires a CI/CD-style evaluation pipeline</w:t>
      </w:r>
    </w:p>
    <w:p>
      <w:pPr>
        <w:pStyle w:val="ListParagraph"/>
        <w:numPr>
          <w:ilvl w:val="0"/>
          <w:numId w:val="2"/>
        </w:numPr>
        <w:spacing w:after="60" w:before="60"/>
      </w:pPr>
      <w:r>
        <w:rPr>
          <w:rFonts w:ascii="Arial" w:cs="Arial" w:eastAsia="Arial" w:hAnsi="Arial"/>
          <w:sz w:val="22"/>
          <w:szCs w:val="22"/>
        </w:rPr>
        <w:t xml:space="preserve">Add user satisfaction as a 6th dimension. Technical metrics measure what the model does. User satisfaction measures whether it does what users need. These are not the same thing</w:t>
      </w:r>
    </w:p>
    <w:p>
      <w:pPr>
        <w:pStyle w:val="ListParagraph"/>
        <w:numPr>
          <w:ilvl w:val="0"/>
          <w:numId w:val="2"/>
        </w:numPr>
        <w:spacing w:after="60" w:before="60"/>
      </w:pPr>
      <w:r>
        <w:rPr>
          <w:rFonts w:ascii="Arial" w:cs="Arial" w:eastAsia="Arial" w:hAnsi="Arial"/>
          <w:sz w:val="22"/>
          <w:szCs w:val="22"/>
        </w:rPr>
        <w:t xml:space="preserve">Document evaluation methodology in the product spec, not just the engineering spec. Stakeholders need to understand what the thresholds mean and why they were set, not just whether the system passed</w:t>
      </w:r>
    </w:p>
    <w:p>
      <w:pPr>
        <w:spacing w:after="80" w:before="80"/>
      </w:pPr>
      <w:r>
        <w:t xml:space="preserve"/>
      </w:r>
    </w:p>
    <w:p>
      <w:pPr>
        <w:pStyle w:val="Heading1"/>
        <w:pBdr>
          <w:bottom w:val="single" w:color="1E3A5F" w:sz="6" w:space="4"/>
        </w:pBdr>
        <w:spacing w:after="160" w:before="360"/>
      </w:pPr>
      <w:r>
        <w:rPr>
          <w:rFonts w:ascii="Arial" w:cs="Arial" w:eastAsia="Arial" w:hAnsi="Arial"/>
          <w:b/>
          <w:bCs/>
          <w:color w:val="1E3A5F"/>
          <w:sz w:val="32"/>
          <w:szCs w:val="32"/>
        </w:rPr>
        <w:t xml:space="preserve">6. Relevance to AI PM Roles</w:t>
      </w:r>
    </w:p>
    <w:p>
      <w:pPr>
        <w:spacing w:after="80" w:before="80"/>
      </w:pPr>
      <w:r>
        <w:rPr>
          <w:rFonts w:ascii="Arial" w:cs="Arial" w:eastAsia="Arial" w:hAnsi="Arial"/>
          <w:sz w:val="22"/>
          <w:szCs w:val="22"/>
        </w:rPr>
        <w:t xml:space="preserve">This framework is directly applicable to any organisation building or deploying LLM-powered products. The 5 dimensions are universal; only the thresholds change by use case. For high-stakes domains (compliance, healthcare, legal), accuracy and safety thresholds are higher. For consumer products, latency and consistency thresholds drive adoption more than accuracy.</w:t>
      </w:r>
    </w:p>
    <w:p>
      <w:pPr>
        <w:spacing w:after="80" w:before="80"/>
      </w:pPr>
      <w:r>
        <w:t xml:space="preserve"/>
      </w:r>
    </w:p>
    <w:p>
      <w:pPr>
        <w:spacing w:after="80" w:before="80"/>
      </w:pPr>
      <w:r>
        <w:rPr>
          <w:rFonts w:ascii="Arial" w:cs="Arial" w:eastAsia="Arial" w:hAnsi="Arial"/>
          <w:i/>
          <w:iCs/>
          <w:color w:val="777777"/>
          <w:sz w:val="22"/>
          <w:szCs w:val="22"/>
        </w:rPr>
        <w:t xml:space="preserve">Built and validated at Capgemini, May 2026 | Mehreen Himani | github.com/mehreenhimani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2026-05-08T09:31:40.235Z</dcterms:created>
  <dcterms:modified xsi:type="dcterms:W3CDTF">2026-05-08T09:31:40.252Z</dcterms:modified>
</cp:coreProperties>
</file>

<file path=docProps/custom.xml><?xml version="1.0" encoding="utf-8"?>
<Properties xmlns="http://schemas.openxmlformats.org/officeDocument/2006/custom-properties" xmlns:vt="http://schemas.openxmlformats.org/officeDocument/2006/docPropsVTypes"/>
</file>