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8" w:lineRule="auto"/>
        <w:jc w:val="center"/>
      </w:pPr>
      <w:r>
        <w:rPr>
          <w:rFonts w:ascii="Arial" w:hAnsi="Arial"/>
          <w:b/>
          <w:color w:val="000000"/>
          <w:sz w:val="38"/>
          <w:spacing w:val="130"/>
        </w:rPr>
        <w:t>MEHREEN HIMANI</w:t>
      </w:r>
    </w:p>
    <w:p>
      <w:pPr>
        <w:spacing w:before="0" w:after="40" w:line="278" w:lineRule="auto"/>
        <w:jc w:val="center"/>
        <w:pBdr>
          <w:top w:val="single" w:sz="12" w:space="2" w:color="000000"/>
        </w:pBdr>
      </w:pPr>
      <w:r>
        <w:rPr>
          <w:rFonts w:ascii="Arial" w:hAnsi="Arial"/>
          <w:b/>
          <w:color w:val="2E2E33"/>
          <w:sz w:val="17"/>
          <w:spacing w:val="70"/>
        </w:rPr>
        <w:t>SENIOR SOLUTION MANAGER · AI PRODUCT &amp; SOLUTION MANAGEMENT · CORE BANKING, AGENTIC AI &amp; SAP</w:t>
      </w:r>
    </w:p>
    <w:p>
      <w:pPr>
        <w:spacing w:before="0" w:after="120" w:line="278" w:lineRule="auto"/>
        <w:jc w:val="center"/>
        <w:pBdr>
          <w:top w:val="single" w:sz="4" w:space="2" w:color="000000"/>
        </w:pBdr>
      </w:pPr>
      <w:r>
        <w:rPr>
          <w:rFonts w:ascii="Georgia" w:hAnsi="Georgia"/>
          <w:b w:val="0"/>
          <w:i w:val="0"/>
          <w:color w:val="3A3A40"/>
          <w:sz w:val="17"/>
        </w:rPr>
        <w:t xml:space="preserve"> Stuttgart, Germany </w:t>
      </w:r>
      <w:r>
        <w:rPr>
          <w:rFonts w:ascii="Georgia" w:hAnsi="Georgia"/>
          <w:b w:val="0"/>
          <w:i w:val="0"/>
          <w:color w:val="3A3A40"/>
          <w:sz w:val="17"/>
        </w:rPr>
        <w:t>|</w:t>
      </w:r>
      <w:r>
        <w:rPr>
          <w:rFonts w:ascii="Georgia" w:hAnsi="Georgia"/>
          <w:b w:val="0"/>
          <w:i w:val="0"/>
          <w:color w:val="3A3A40"/>
          <w:sz w:val="17"/>
        </w:rPr>
        <w:t xml:space="preserve"> </w:t>
      </w:r>
      <w:r>
        <w:rPr>
          <w:rFonts w:ascii="Georgia" w:hAnsi="Georgia"/>
          <w:b w:val="0"/>
          <w:i w:val="0"/>
          <w:color w:val="3A3A40"/>
          <w:sz w:val="17"/>
        </w:rPr>
        <w:t xml:space="preserve"> </w:t>
      </w:r>
      <w:hyperlink r:id="rId9">
        <w:r>
          <w:rPr>
            <w:rFonts w:ascii="Georgia" w:hAnsi="Georgia"/>
            <w:b w:val="0"/>
            <w:i w:val="0"/>
            <w:color w:val="3A3A40"/>
            <w:sz w:val="17"/>
            <w:u w:val="single"/>
          </w:rPr>
          <w:t>himanimehreen@gmail.com</w:t>
        </w:r>
      </w:hyperlink>
      <w:r>
        <w:rPr>
          <w:rFonts w:ascii="Georgia" w:hAnsi="Georgia"/>
          <w:b w:val="0"/>
          <w:i w:val="0"/>
          <w:color w:val="3A3A40"/>
          <w:sz w:val="17"/>
        </w:rPr>
        <w:t xml:space="preserve"> </w:t>
      </w:r>
      <w:r>
        <w:rPr>
          <w:rFonts w:ascii="Georgia" w:hAnsi="Georgia"/>
          <w:b w:val="0"/>
          <w:i w:val="0"/>
          <w:color w:val="3A3A40"/>
          <w:sz w:val="17"/>
        </w:rPr>
        <w:t>|</w:t>
      </w:r>
      <w:r>
        <w:rPr>
          <w:rFonts w:ascii="Georgia" w:hAnsi="Georgia"/>
          <w:b w:val="0"/>
          <w:i w:val="0"/>
          <w:color w:val="3A3A40"/>
          <w:sz w:val="17"/>
        </w:rPr>
        <w:t xml:space="preserve"> </w:t>
      </w:r>
      <w:hyperlink r:id="rId10">
        <w:r>
          <w:rPr>
            <w:rFonts w:ascii="Georgia" w:hAnsi="Georgia"/>
            <w:b w:val="0"/>
            <w:i w:val="0"/>
            <w:color w:val="3A3A40"/>
            <w:sz w:val="17"/>
            <w:u w:val="single"/>
          </w:rPr>
          <w:t>linkedin.com/in/mehreenhimani</w:t>
        </w:r>
      </w:hyperlink>
      <w:r>
        <w:rPr>
          <w:rFonts w:ascii="Georgia" w:hAnsi="Georgia"/>
          <w:b w:val="0"/>
          <w:i w:val="0"/>
          <w:color w:val="3A3A40"/>
          <w:sz w:val="17"/>
        </w:rPr>
        <w:t xml:space="preserve"> </w:t>
      </w:r>
      <w:r>
        <w:rPr>
          <w:rFonts w:ascii="Georgia" w:hAnsi="Georgia"/>
          <w:b w:val="0"/>
          <w:i w:val="0"/>
          <w:color w:val="3A3A40"/>
          <w:sz w:val="17"/>
        </w:rPr>
        <w:t>|</w:t>
      </w:r>
      <w:r>
        <w:rPr>
          <w:rFonts w:ascii="Georgia" w:hAnsi="Georgia"/>
          <w:b w:val="0"/>
          <w:i w:val="0"/>
          <w:color w:val="3A3A40"/>
          <w:sz w:val="17"/>
        </w:rPr>
        <w:t xml:space="preserve"> </w:t>
      </w:r>
      <w:hyperlink r:id="rId11">
        <w:r>
          <w:rPr>
            <w:rFonts w:ascii="Georgia" w:hAnsi="Georgia"/>
            <w:b w:val="0"/>
            <w:i w:val="0"/>
            <w:color w:val="3A3A40"/>
            <w:sz w:val="17"/>
            <w:u w:val="single"/>
          </w:rPr>
          <w:t>github.com/mehreenhimani</w:t>
        </w:r>
      </w:hyperlink>
      <w:r>
        <w:rPr>
          <w:rFonts w:ascii="Georgia" w:hAnsi="Georgia"/>
          <w:b w:val="0"/>
          <w:i w:val="0"/>
          <w:color w:val="3A3A40"/>
          <w:sz w:val="17"/>
        </w:rPr>
        <w:t xml:space="preserve"> </w:t>
      </w:r>
      <w:r>
        <w:rPr>
          <w:rFonts w:ascii="Georgia" w:hAnsi="Georgia"/>
          <w:b w:val="0"/>
          <w:i w:val="0"/>
          <w:color w:val="3A3A40"/>
          <w:sz w:val="17"/>
        </w:rPr>
        <w:t>|</w:t>
      </w:r>
      <w:r>
        <w:rPr>
          <w:rFonts w:ascii="Georgia" w:hAnsi="Georgia"/>
          <w:b w:val="0"/>
          <w:i w:val="0"/>
          <w:color w:val="3A3A40"/>
          <w:sz w:val="17"/>
        </w:rPr>
        <w:t xml:space="preserve"> </w:t>
      </w:r>
      <w:hyperlink r:id="rId12">
        <w:r>
          <w:rPr>
            <w:rFonts w:ascii="Georgia" w:hAnsi="Georgia"/>
            <w:b w:val="0"/>
            <w:i w:val="0"/>
            <w:color w:val="3A3A40"/>
            <w:sz w:val="17"/>
            <w:u w:val="single"/>
          </w:rPr>
          <w:t>Portfolio</w:t>
        </w:r>
      </w:hyperlink>
      <w:r>
        <w:rPr>
          <w:rFonts w:ascii="Georgia" w:hAnsi="Georgia"/>
          <w:b w:val="0"/>
          <w:i w:val="0"/>
          <w:color w:val="3A3A40"/>
          <w:sz w:val="17"/>
        </w:rPr>
        <w:t xml:space="preserve"> </w:t>
      </w:r>
      <w:r>
        <w:rPr>
          <w:rFonts w:ascii="Georgia" w:hAnsi="Georgia"/>
          <w:b w:val="0"/>
          <w:i w:val="0"/>
          <w:color w:val="3A3A40"/>
          <w:sz w:val="17"/>
        </w:rPr>
        <w:t>|</w:t>
      </w:r>
      <w:r>
        <w:rPr>
          <w:rFonts w:ascii="Georgia" w:hAnsi="Georgia"/>
          <w:b w:val="0"/>
          <w:i w:val="0"/>
          <w:color w:val="3A3A40"/>
          <w:sz w:val="17"/>
        </w:rPr>
        <w:t xml:space="preserve"> English C1 </w:t>
      </w:r>
      <w:r>
        <w:rPr>
          <w:rFonts w:ascii="Georgia" w:hAnsi="Georgia"/>
          <w:b w:val="0"/>
          <w:i w:val="0"/>
          <w:color w:val="3A3A40"/>
          <w:sz w:val="17"/>
        </w:rPr>
        <w:t>·</w:t>
      </w:r>
      <w:r>
        <w:rPr>
          <w:rFonts w:ascii="Georgia" w:hAnsi="Georgia"/>
          <w:b w:val="0"/>
          <w:i w:val="0"/>
          <w:color w:val="3A3A40"/>
          <w:sz w:val="17"/>
        </w:rPr>
        <w:t xml:space="preserve"> German B1 </w:t>
      </w:r>
    </w:p>
    <w:p>
      <w:pPr>
        <w:spacing w:before="140" w:after="60" w:line="278" w:lineRule="auto"/>
        <w:pBdr>
          <w:bottom w:val="single" w:sz="8" w:space="2" w:color="000000"/>
        </w:pBdr>
      </w:pPr>
      <w:r>
        <w:rPr>
          <w:rFonts w:ascii="Arial" w:hAnsi="Arial"/>
          <w:b/>
          <w:caps/>
          <w:color w:val="000000"/>
          <w:sz w:val="17"/>
          <w:spacing w:val="95"/>
        </w:rPr>
        <w:t>PROFILE</w:t>
      </w:r>
    </w:p>
    <w:p>
      <w:pPr>
        <w:spacing w:before="0" w:after="60" w:line="278" w:lineRule="auto"/>
        <w:jc w:val="both"/>
      </w:pPr>
      <w:r>
        <w:rPr>
          <w:rFonts w:ascii="Georgia" w:hAnsi="Georgia"/>
          <w:b w:val="0"/>
          <w:i w:val="0"/>
          <w:sz w:val="18"/>
        </w:rPr>
        <w:t>Product &amp; Solution Manager with 13+ years in regulated financial services and 8+ years in hybrid business–technology roles (Solution Manager, Product Owner, Business Technology Analyst), working at the intersection of banking business and AI technology. Deep core banking process expertise across accounts, deposits, lending, payments, post-trade and financial crime, built at UBS, Standard Chartered, Credit Suisse and Capgemini. Hands-on with agentic AI — multi-agent orchestration, prompt and context engineering, model configuration, RAG and LLM evaluation — with seven production AI products shipped in the last 12 months. Identifies opportunities with business and sales stakeholders, derives and structures requirements, translates them into technical solution designs with AI engineers and architects, and builds the prototypes and demos that prove business value. Working knowledge of SAP landscapes and S/4HANA across test management, knowledge management and migration delivery. English C1, German B1.</w:t>
      </w:r>
    </w:p>
    <w:p>
      <w:pPr>
        <w:spacing w:before="140" w:after="60" w:line="278" w:lineRule="auto"/>
        <w:pBdr>
          <w:bottom w:val="single" w:sz="8" w:space="2" w:color="000000"/>
        </w:pBdr>
      </w:pPr>
      <w:r>
        <w:rPr>
          <w:rFonts w:ascii="Arial" w:hAnsi="Arial"/>
          <w:b/>
          <w:caps/>
          <w:color w:val="000000"/>
          <w:sz w:val="17"/>
          <w:spacing w:val="95"/>
        </w:rPr>
        <w:t>CORE COMPETENCIES</w:t>
      </w:r>
    </w:p>
    <w:p>
      <w:pPr>
        <w:spacing w:before="0" w:after="40" w:line="278" w:lineRule="auto"/>
        <w:jc w:val="both"/>
      </w:pPr>
      <w:r>
        <w:rPr>
          <w:rFonts w:ascii="Arial" w:hAnsi="Arial"/>
          <w:b/>
          <w:i w:val="0"/>
          <w:color w:val="000000"/>
          <w:sz w:val="16"/>
        </w:rPr>
        <w:t>AI &amp; Agentic Solutioning</w:t>
      </w:r>
      <w:r>
        <w:rPr>
          <w:rFonts w:ascii="Georgia" w:hAnsi="Georgia"/>
          <w:b w:val="0"/>
          <w:i w:val="0"/>
          <w:sz w:val="17"/>
        </w:rPr>
        <w:t xml:space="preserve"> </w:t>
      </w:r>
      <w:r>
        <w:rPr>
          <w:rFonts w:ascii="Georgia" w:hAnsi="Georgia"/>
          <w:b w:val="0"/>
          <w:i w:val="0"/>
          <w:sz w:val="17"/>
        </w:rPr>
        <w:t>— Agentic AI &amp; multi-agent orchestration · Prompt &amp; context engineering · AI model configuration · RAG &amp; retrieval design · LLM evaluation, guardrails &amp; safety · Human-in-the-loop design · Rapid AI prototyping</w:t>
      </w:r>
    </w:p>
    <w:p>
      <w:pPr>
        <w:spacing w:before="0" w:after="40" w:line="278" w:lineRule="auto"/>
        <w:jc w:val="both"/>
      </w:pPr>
      <w:r>
        <w:rPr>
          <w:rFonts w:ascii="Arial" w:hAnsi="Arial"/>
          <w:b/>
          <w:i w:val="0"/>
          <w:color w:val="000000"/>
          <w:sz w:val="16"/>
        </w:rPr>
        <w:t>Core Banking &amp; Financial Services</w:t>
      </w:r>
      <w:r>
        <w:rPr>
          <w:rFonts w:ascii="Georgia" w:hAnsi="Georgia"/>
          <w:b w:val="0"/>
          <w:i w:val="0"/>
          <w:sz w:val="17"/>
        </w:rPr>
        <w:t xml:space="preserve"> </w:t>
      </w:r>
      <w:r>
        <w:rPr>
          <w:rFonts w:ascii="Georgia" w:hAnsi="Georgia"/>
          <w:b w:val="0"/>
          <w:i w:val="0"/>
          <w:sz w:val="17"/>
        </w:rPr>
        <w:t>— Accounts &amp; deposits · Lending, credit risk &amp; stress testing · Payments, fraud &amp; settlement · KYC / AML &amp; financial crime · Post-trade operations · Basel III, ECB FINREP · EU AI Act, DORA, GDPR</w:t>
      </w:r>
    </w:p>
    <w:p>
      <w:pPr>
        <w:spacing w:before="0" w:after="40" w:line="278" w:lineRule="auto"/>
        <w:jc w:val="both"/>
      </w:pPr>
      <w:r>
        <w:rPr>
          <w:rFonts w:ascii="Arial" w:hAnsi="Arial"/>
          <w:b/>
          <w:i w:val="0"/>
          <w:color w:val="000000"/>
          <w:sz w:val="16"/>
        </w:rPr>
        <w:t>Solution &amp; Business Management</w:t>
      </w:r>
      <w:r>
        <w:rPr>
          <w:rFonts w:ascii="Georgia" w:hAnsi="Georgia"/>
          <w:b w:val="0"/>
          <w:i w:val="0"/>
          <w:sz w:val="17"/>
        </w:rPr>
        <w:t xml:space="preserve"> </w:t>
      </w:r>
      <w:r>
        <w:rPr>
          <w:rFonts w:ascii="Georgia" w:hAnsi="Georgia"/>
          <w:b w:val="0"/>
          <w:i w:val="0"/>
          <w:sz w:val="17"/>
        </w:rPr>
        <w:t>— Opportunity identification &amp; pre-sales support · Business and technical requirements engineering · Business-to-technical design · Solution demos &amp; prototypes · Workshop facilitation · Senior stakeholder management</w:t>
      </w:r>
    </w:p>
    <w:p>
      <w:pPr>
        <w:spacing w:before="0" w:after="40" w:line="278" w:lineRule="auto"/>
        <w:jc w:val="both"/>
      </w:pPr>
      <w:r>
        <w:rPr>
          <w:rFonts w:ascii="Arial" w:hAnsi="Arial"/>
          <w:b/>
          <w:i w:val="0"/>
          <w:color w:val="000000"/>
          <w:sz w:val="16"/>
        </w:rPr>
        <w:t>Enterprise Architecture &amp; SAP</w:t>
      </w:r>
      <w:r>
        <w:rPr>
          <w:rFonts w:ascii="Georgia" w:hAnsi="Georgia"/>
          <w:b w:val="0"/>
          <w:i w:val="0"/>
          <w:sz w:val="17"/>
        </w:rPr>
        <w:t xml:space="preserve"> </w:t>
      </w:r>
      <w:r>
        <w:rPr>
          <w:rFonts w:ascii="Georgia" w:hAnsi="Georgia"/>
          <w:b w:val="0"/>
          <w:i w:val="0"/>
          <w:sz w:val="17"/>
        </w:rPr>
        <w:t>— SAP S/4HANA migration delivery · SAP test strategy &amp; test management · SAP knowledge management · Banking system landscapes &amp; integration · API / data-flow understanding · CI/CD &amp; shift-left quality</w:t>
      </w:r>
    </w:p>
    <w:p>
      <w:pPr>
        <w:spacing w:before="140" w:after="60" w:line="278" w:lineRule="auto"/>
        <w:pBdr>
          <w:bottom w:val="single" w:sz="8" w:space="2" w:color="000000"/>
        </w:pBdr>
      </w:pPr>
      <w:r>
        <w:rPr>
          <w:rFonts w:ascii="Arial" w:hAnsi="Arial"/>
          <w:b/>
          <w:caps/>
          <w:color w:val="000000"/>
          <w:sz w:val="17"/>
          <w:spacing w:val="95"/>
        </w:rPr>
        <w:t>PROFESSIONAL EXPERIENCE</w:t>
      </w:r>
    </w:p>
    <w:p>
      <w:pPr>
        <w:tabs>
          <w:tab w:pos="10766" w:val="right"/>
        </w:tabs>
        <w:spacing w:before="100" w:after="20" w:line="278" w:lineRule="auto"/>
      </w:pPr>
      <w:r>
        <w:rPr>
          <w:rFonts w:ascii="Arial" w:hAnsi="Arial"/>
          <w:b/>
          <w:color w:val="000000"/>
          <w:sz w:val="19"/>
        </w:rPr>
        <w:t>AI Product &amp; Solution Manager — Capgemini, Stuttgart, Germany</w:t>
      </w:r>
      <w:r>
        <w:rPr>
          <w:rFonts w:ascii="Arial" w:hAnsi="Arial"/>
          <w:b/>
          <w:color w:val="3A3A40"/>
          <w:sz w:val="16"/>
          <w:spacing w:val="25"/>
        </w:rPr>
        <w:tab/>
        <w:t>APR 2023 – PRESENT</w:t>
      </w:r>
    </w:p>
    <w:p>
      <w:pPr>
        <w:spacing w:before="0" w:after="40" w:line="278" w:lineRule="auto"/>
      </w:pPr>
      <w:r>
        <w:rPr>
          <w:i/>
          <w:color w:val="3A3A40"/>
          <w:sz w:val="17"/>
        </w:rPr>
        <w:t>Business–AI solutioning across banking, capital markets and SAP-enabled enterprise landscapes — from opportunity identification with sales, through requirements and solution design, to hands-on agentic AI prototypes and production rollout.</w:t>
      </w:r>
    </w:p>
    <w:p>
      <w:pPr>
        <w:pStyle w:val="ListBullet"/>
        <w:spacing w:before="0" w:after="40" w:line="278" w:lineRule="auto"/>
        <w:ind w:left="283"/>
        <w:jc w:val="both"/>
      </w:pPr>
      <w:r>
        <w:rPr>
          <w:rFonts w:ascii="Georgia" w:hAnsi="Georgia"/>
          <w:b/>
          <w:i w:val="0"/>
          <w:color w:val="000000"/>
          <w:sz w:val="18"/>
        </w:rPr>
        <w:t>Opportunity identification &amp; business development:</w:t>
      </w:r>
      <w:r>
        <w:rPr>
          <w:rFonts w:ascii="Georgia" w:hAnsi="Georgia"/>
          <w:b w:val="0"/>
          <w:i w:val="0"/>
          <w:sz w:val="18"/>
        </w:rPr>
        <w:t xml:space="preserve"> work alongside sales, pre-sales and account leadership to identify and qualify AI-based innovation opportunities across banking clients and internal business units — shaped 12+ AI use cases spanning accounts, lending, payments and compliance operations, quantified $600K+ in annual savings potential, and drove a 3x increase in AI pilot proposals within three months.</w:t>
      </w:r>
    </w:p>
    <w:p>
      <w:pPr>
        <w:pStyle w:val="ListBullet"/>
        <w:spacing w:before="0" w:after="40" w:line="278" w:lineRule="auto"/>
        <w:ind w:left="283"/>
        <w:jc w:val="both"/>
      </w:pPr>
      <w:r>
        <w:rPr>
          <w:rFonts w:ascii="Georgia" w:hAnsi="Georgia"/>
          <w:b/>
          <w:i w:val="0"/>
          <w:color w:val="000000"/>
          <w:sz w:val="18"/>
        </w:rPr>
        <w:t>QA Radar, built with the sales team:</w:t>
      </w:r>
      <w:r>
        <w:rPr>
          <w:rFonts w:ascii="Georgia" w:hAnsi="Georgia"/>
          <w:b w:val="0"/>
          <w:i w:val="0"/>
          <w:sz w:val="18"/>
        </w:rPr>
        <w:t xml:space="preserve"> co-created an opportunity-intelligence product that turns delivery and quality data into an evidence-based asset for account planning, client positioning and bid support — converting delivery insight into a repeatable pipeline generator.</w:t>
      </w:r>
    </w:p>
    <w:p>
      <w:pPr>
        <w:pStyle w:val="ListBullet"/>
        <w:spacing w:before="0" w:after="40" w:line="278" w:lineRule="auto"/>
        <w:ind w:left="283"/>
        <w:jc w:val="both"/>
      </w:pPr>
      <w:r>
        <w:rPr>
          <w:rFonts w:ascii="Georgia" w:hAnsi="Georgia"/>
          <w:b/>
          <w:i w:val="0"/>
          <w:color w:val="000000"/>
          <w:sz w:val="18"/>
        </w:rPr>
        <w:t>Requirements to solution design:</w:t>
      </w:r>
      <w:r>
        <w:rPr>
          <w:rFonts w:ascii="Georgia" w:hAnsi="Georgia"/>
          <w:b w:val="0"/>
          <w:i w:val="0"/>
          <w:sz w:val="18"/>
        </w:rPr>
        <w:t xml:space="preserve"> lead discovery and cross-functional workshops with senior business and product stakeholders; gather, structure and prioritise business and technical requirements against customer value and operational feasibility, then translate business goals into solution designs with AI engineers, architects, developers and core banking / SAP teams — 85% stakeholder alignment in the first sprint cycle.</w:t>
      </w:r>
    </w:p>
    <w:p>
      <w:pPr>
        <w:pStyle w:val="ListBullet"/>
        <w:spacing w:before="0" w:after="40" w:line="278" w:lineRule="auto"/>
        <w:ind w:left="283"/>
        <w:jc w:val="both"/>
      </w:pPr>
      <w:r>
        <w:rPr>
          <w:rFonts w:ascii="Georgia" w:hAnsi="Georgia"/>
          <w:b/>
          <w:i w:val="0"/>
          <w:color w:val="000000"/>
          <w:sz w:val="18"/>
        </w:rPr>
        <w:t>Hands-on agentic AI and prototyping:</w:t>
      </w:r>
      <w:r>
        <w:rPr>
          <w:rFonts w:ascii="Georgia" w:hAnsi="Georgia"/>
          <w:b w:val="0"/>
          <w:i w:val="0"/>
          <w:sz w:val="18"/>
        </w:rPr>
        <w:t xml:space="preserve"> design and configure multi-agent workflows (planner → reviewer → summarizer) with tool use, retrieval grounding and layered guardrails, handling prompt engineering, context engineering, model configuration and data interaction personally; run executive solution demos and advance working prototypes into standard enhancements — adopted across 4 business units and 40+ users, with a 5-phase AI adoption playbook that became the organisational standard.</w:t>
      </w:r>
    </w:p>
    <w:p>
      <w:pPr>
        <w:pStyle w:val="ListBullet"/>
        <w:spacing w:before="0" w:after="40" w:line="278" w:lineRule="auto"/>
        <w:ind w:left="283"/>
        <w:jc w:val="both"/>
      </w:pPr>
      <w:r>
        <w:rPr>
          <w:rFonts w:ascii="Georgia" w:hAnsi="Georgia"/>
          <w:b/>
          <w:i w:val="0"/>
          <w:color w:val="000000"/>
          <w:sz w:val="18"/>
        </w:rPr>
        <w:t>AI evaluation and governance:</w:t>
      </w:r>
      <w:r>
        <w:rPr>
          <w:rFonts w:ascii="Georgia" w:hAnsi="Georgia"/>
          <w:b w:val="0"/>
          <w:i w:val="0"/>
          <w:sz w:val="18"/>
        </w:rPr>
        <w:t xml:space="preserve"> built a lightweight LLM evaluation framework covering accuracy, consistency, safety, latency and cost, and embedded EU AI Act and DORA controls into agent reasoning and audit trails — +25% answer consistency, −40% hallucination rate, −30% model failure rate and a 35% efficiency improvement in targeted processes.</w:t>
      </w:r>
    </w:p>
    <w:p>
      <w:pPr>
        <w:pStyle w:val="ListBullet"/>
        <w:spacing w:before="0" w:after="40" w:line="278" w:lineRule="auto"/>
        <w:ind w:left="283"/>
        <w:jc w:val="both"/>
      </w:pPr>
      <w:r>
        <w:rPr>
          <w:rFonts w:ascii="Georgia" w:hAnsi="Georgia"/>
          <w:b/>
          <w:i w:val="0"/>
          <w:color w:val="000000"/>
          <w:sz w:val="18"/>
        </w:rPr>
        <w:t>SAP S/4HANA test and knowledge management:</w:t>
      </w:r>
      <w:r>
        <w:rPr>
          <w:rFonts w:ascii="Georgia" w:hAnsi="Georgia"/>
          <w:b w:val="0"/>
          <w:i w:val="0"/>
          <w:sz w:val="18"/>
        </w:rPr>
        <w:t xml:space="preserve"> own test strategy and test management for SAP S/4HANA migration programmes — risk-based scoping, requirement-to-test traceability, defect governance and release readiness with business process owners; established the SAP knowledge management practice behind them and extended it with AI-assisted retrieval for citation-grounded answers from process and test artefacts.</w:t>
      </w:r>
    </w:p>
    <w:p>
      <w:pPr>
        <w:tabs>
          <w:tab w:pos="10766" w:val="right"/>
        </w:tabs>
        <w:spacing w:before="60" w:after="40" w:line="278" w:lineRule="auto"/>
      </w:pPr>
      <w:r>
        <w:rPr>
          <w:i/>
          <w:color w:val="3A3A40"/>
          <w:sz w:val="17"/>
        </w:rPr>
        <w:t>Parental Leave (Elternzeit)</w:t>
      </w:r>
      <w:r>
        <w:rPr>
          <w:i/>
          <w:color w:val="3A3A40"/>
          <w:sz w:val="17"/>
        </w:rPr>
        <w:tab/>
        <w:t>Oct 2022 – Mar 2023</w:t>
      </w:r>
    </w:p>
    <w:p>
      <w:pPr>
        <w:tabs>
          <w:tab w:pos="10766" w:val="right"/>
        </w:tabs>
        <w:spacing w:before="100" w:after="20" w:line="278" w:lineRule="auto"/>
      </w:pPr>
      <w:r>
        <w:rPr>
          <w:rFonts w:ascii="Arial" w:hAnsi="Arial"/>
          <w:b/>
          <w:color w:val="000000"/>
          <w:sz w:val="19"/>
        </w:rPr>
        <w:t>Senior Product Manager — Standard Chartered Bank, Warsaw, Poland</w:t>
      </w:r>
      <w:r>
        <w:rPr>
          <w:rFonts w:ascii="Arial" w:hAnsi="Arial"/>
          <w:b/>
          <w:color w:val="3A3A40"/>
          <w:sz w:val="16"/>
          <w:spacing w:val="25"/>
        </w:rPr>
        <w:tab/>
        <w:t>MAR 2022 – SEP 2022</w:t>
      </w:r>
    </w:p>
    <w:p>
      <w:pPr>
        <w:spacing w:before="0" w:after="40" w:line="278" w:lineRule="auto"/>
      </w:pPr>
      <w:r>
        <w:rPr>
          <w:i/>
          <w:color w:val="3A3A40"/>
          <w:sz w:val="17"/>
        </w:rPr>
        <w:t>Reduced audit risk 40% with integrated governance framework.</w:t>
      </w:r>
    </w:p>
    <w:p>
      <w:pPr>
        <w:pStyle w:val="ListBullet"/>
        <w:spacing w:before="0" w:after="40" w:line="278" w:lineRule="auto"/>
        <w:ind w:left="283"/>
        <w:jc w:val="both"/>
      </w:pPr>
      <w:r>
        <w:rPr>
          <w:rFonts w:ascii="Georgia" w:hAnsi="Georgia"/>
          <w:b w:val="0"/>
          <w:i w:val="0"/>
          <w:sz w:val="18"/>
        </w:rPr>
        <w:t>Owned product vision and roadmap for the Credit Risk Analytics Platform serving 50+ stakeholders (Risk, Finance, Compliance) — architected Basel III stress-testing and ECB FINREP reporting workflows; reduced forecast cycle from 5 days to 8 hours (73% faster).</w:t>
      </w:r>
    </w:p>
    <w:p>
      <w:pPr>
        <w:pStyle w:val="ListBullet"/>
        <w:spacing w:before="0" w:after="40" w:line="278" w:lineRule="auto"/>
        <w:ind w:left="283"/>
        <w:jc w:val="both"/>
      </w:pPr>
      <w:r>
        <w:rPr>
          <w:rFonts w:ascii="Georgia" w:hAnsi="Georgia"/>
          <w:b w:val="0"/>
          <w:i w:val="0"/>
          <w:sz w:val="18"/>
        </w:rPr>
        <w:t>Prioritised 150+ credit risk features (RICE); implemented shift-left testing with BDD scenarios and 50+ automated validation checks — cut calculation errors 85% and audit findings 60%.</w:t>
      </w:r>
    </w:p>
    <w:p>
      <w:pPr>
        <w:pStyle w:val="ListBullet"/>
        <w:spacing w:before="0" w:after="40" w:line="278" w:lineRule="auto"/>
        <w:ind w:left="283"/>
        <w:jc w:val="both"/>
      </w:pPr>
      <w:r>
        <w:rPr>
          <w:rFonts w:ascii="Georgia" w:hAnsi="Georgia"/>
          <w:b w:val="0"/>
          <w:i w:val="0"/>
          <w:sz w:val="18"/>
        </w:rPr>
        <w:t>Managed cross-functional delivery across 4 time zones (Warsaw, London, Mumbai, Singapore); escalation point for CRO/CFO on regulatory deadlines and capital planning.</w:t>
      </w:r>
    </w:p>
    <w:p>
      <w:pPr>
        <w:tabs>
          <w:tab w:pos="10766" w:val="right"/>
        </w:tabs>
        <w:spacing w:before="100" w:after="20" w:line="278" w:lineRule="auto"/>
      </w:pPr>
      <w:r>
        <w:rPr>
          <w:rFonts w:ascii="Arial" w:hAnsi="Arial"/>
          <w:b/>
          <w:color w:val="000000"/>
          <w:sz w:val="19"/>
        </w:rPr>
        <w:t>Product Manager — UBS, Wroclaw, Poland</w:t>
      </w:r>
      <w:r>
        <w:rPr>
          <w:rFonts w:ascii="Arial" w:hAnsi="Arial"/>
          <w:b/>
          <w:color w:val="3A3A40"/>
          <w:sz w:val="16"/>
          <w:spacing w:val="25"/>
        </w:rPr>
        <w:tab/>
        <w:t>DEC 2020 – FEB 2022</w:t>
      </w:r>
    </w:p>
    <w:p>
      <w:pPr>
        <w:spacing w:before="0" w:after="40" w:line="278" w:lineRule="auto"/>
      </w:pPr>
      <w:r>
        <w:rPr>
          <w:i/>
          <w:color w:val="3A3A40"/>
          <w:sz w:val="17"/>
        </w:rPr>
        <w:t>Cut AML false positives 45% through Actimize integration.</w:t>
      </w:r>
    </w:p>
    <w:p>
      <w:pPr>
        <w:pStyle w:val="ListBullet"/>
        <w:spacing w:before="0" w:after="40" w:line="278" w:lineRule="auto"/>
        <w:ind w:left="283"/>
        <w:jc w:val="both"/>
      </w:pPr>
      <w:r>
        <w:rPr>
          <w:rFonts w:ascii="Georgia" w:hAnsi="Georgia"/>
          <w:b w:val="0"/>
          <w:i w:val="0"/>
          <w:sz w:val="18"/>
        </w:rPr>
        <w:t>Redesigned alert prioritisation logic in NICE Actimize — cut AML false positives 45%, saved 2,000+ analyst hours annually, and improved suspicious-activity detection 30%.</w:t>
      </w:r>
    </w:p>
    <w:p>
      <w:pPr>
        <w:pStyle w:val="ListBullet"/>
        <w:spacing w:before="0" w:after="40" w:line="278" w:lineRule="auto"/>
        <w:ind w:left="283"/>
        <w:jc w:val="both"/>
      </w:pPr>
      <w:r>
        <w:rPr>
          <w:rFonts w:ascii="Georgia" w:hAnsi="Georgia"/>
          <w:b w:val="0"/>
          <w:i w:val="0"/>
          <w:sz w:val="18"/>
        </w:rPr>
        <w:t>Facilitated PI planning across 3 agile teams; improved sprint throughput 25% and cut cycle time from 4 weeks to 2.5 weeks.</w:t>
      </w:r>
    </w:p>
    <w:p>
      <w:pPr>
        <w:pStyle w:val="ListBullet"/>
        <w:spacing w:before="0" w:after="40" w:line="278" w:lineRule="auto"/>
        <w:ind w:left="283"/>
        <w:jc w:val="both"/>
      </w:pPr>
      <w:r>
        <w:rPr>
          <w:rFonts w:ascii="Georgia" w:hAnsi="Georgia"/>
          <w:b w:val="0"/>
          <w:i w:val="0"/>
          <w:sz w:val="18"/>
        </w:rPr>
        <w:t>Coordinated cross-functional delivery across the USA and Germany — 4 major releases on time, 95% stakeholder satisfaction.</w:t>
      </w:r>
    </w:p>
    <w:p>
      <w:pPr>
        <w:tabs>
          <w:tab w:pos="10766" w:val="right"/>
        </w:tabs>
        <w:spacing w:before="60" w:after="40" w:line="278" w:lineRule="auto"/>
      </w:pPr>
      <w:r>
        <w:rPr>
          <w:i/>
          <w:color w:val="3A3A40"/>
          <w:sz w:val="17"/>
        </w:rPr>
        <w:t>Parental Leave (Elternzeit)</w:t>
      </w:r>
      <w:r>
        <w:rPr>
          <w:i/>
          <w:color w:val="3A3A40"/>
          <w:sz w:val="17"/>
        </w:rPr>
        <w:tab/>
        <w:t>Jun 2019 – Nov 2020</w:t>
      </w:r>
    </w:p>
    <w:p>
      <w:pPr>
        <w:tabs>
          <w:tab w:pos="10766" w:val="right"/>
        </w:tabs>
        <w:spacing w:before="100" w:after="20" w:line="278" w:lineRule="auto"/>
      </w:pPr>
      <w:r>
        <w:rPr>
          <w:rFonts w:ascii="Arial" w:hAnsi="Arial"/>
          <w:b/>
          <w:color w:val="000000"/>
          <w:sz w:val="19"/>
        </w:rPr>
        <w:t>Senior Product Owner — Credit Suisse, Wroclaw, Poland</w:t>
      </w:r>
      <w:r>
        <w:rPr>
          <w:rFonts w:ascii="Arial" w:hAnsi="Arial"/>
          <w:b/>
          <w:color w:val="3A3A40"/>
          <w:sz w:val="16"/>
          <w:spacing w:val="25"/>
        </w:rPr>
        <w:tab/>
        <w:t>JUL 2018 – MAY 2019</w:t>
      </w:r>
    </w:p>
    <w:p>
      <w:pPr>
        <w:spacing w:before="0" w:after="40" w:line="278" w:lineRule="auto"/>
      </w:pPr>
      <w:r>
        <w:rPr>
          <w:i/>
          <w:color w:val="3A3A40"/>
          <w:sz w:val="17"/>
        </w:rPr>
        <w:t>Improved Loan Stress Testing UX, driving 30% faster release cycles.</w:t>
      </w:r>
    </w:p>
    <w:p>
      <w:pPr>
        <w:pStyle w:val="ListBullet"/>
        <w:spacing w:before="0" w:after="40" w:line="278" w:lineRule="auto"/>
        <w:ind w:left="283"/>
        <w:jc w:val="both"/>
      </w:pPr>
      <w:r>
        <w:rPr>
          <w:rFonts w:ascii="Georgia" w:hAnsi="Georgia"/>
          <w:b w:val="0"/>
          <w:i w:val="0"/>
          <w:sz w:val="18"/>
        </w:rPr>
        <w:t>Redesigned the Loan Stress Testing experience; created a UX index predicting optimal update timing — reduced P&amp;L forecasting errors 20%.</w:t>
      </w:r>
    </w:p>
    <w:p>
      <w:pPr>
        <w:pStyle w:val="ListBullet"/>
        <w:spacing w:before="0" w:after="40" w:line="278" w:lineRule="auto"/>
        <w:ind w:left="283"/>
        <w:jc w:val="both"/>
      </w:pPr>
      <w:r>
        <w:rPr>
          <w:rFonts w:ascii="Georgia" w:hAnsi="Georgia"/>
          <w:b w:val="0"/>
          <w:i w:val="0"/>
          <w:sz w:val="18"/>
        </w:rPr>
        <w:t>Owned backlog and PI planning for 2 scrum teams — delivered 30+ features over 4 PIs with 90% on-time delivery.</w:t>
      </w:r>
    </w:p>
    <w:p>
      <w:pPr>
        <w:tabs>
          <w:tab w:pos="10766" w:val="right"/>
        </w:tabs>
        <w:spacing w:before="100" w:after="20" w:line="278" w:lineRule="auto"/>
      </w:pPr>
      <w:r>
        <w:rPr>
          <w:rFonts w:ascii="Arial" w:hAnsi="Arial"/>
          <w:b/>
          <w:color w:val="000000"/>
          <w:sz w:val="19"/>
        </w:rPr>
        <w:t>Product Owner — Credit Suisse, London, UK</w:t>
      </w:r>
      <w:r>
        <w:rPr>
          <w:rFonts w:ascii="Arial" w:hAnsi="Arial"/>
          <w:b/>
          <w:color w:val="3A3A40"/>
          <w:sz w:val="16"/>
          <w:spacing w:val="25"/>
        </w:rPr>
        <w:tab/>
        <w:t>MAY 2017 – JUN 2018</w:t>
      </w:r>
    </w:p>
    <w:p>
      <w:pPr>
        <w:spacing w:before="0" w:after="40" w:line="278" w:lineRule="auto"/>
      </w:pPr>
      <w:r>
        <w:rPr>
          <w:i/>
          <w:color w:val="3A3A40"/>
          <w:sz w:val="17"/>
        </w:rPr>
        <w:t>Managed $400K P&amp;L for post-trade settlement automation.</w:t>
      </w:r>
    </w:p>
    <w:p>
      <w:pPr>
        <w:pStyle w:val="ListBullet"/>
        <w:spacing w:before="0" w:after="40" w:line="278" w:lineRule="auto"/>
        <w:ind w:left="283"/>
        <w:jc w:val="both"/>
      </w:pPr>
      <w:r>
        <w:rPr>
          <w:rFonts w:ascii="Georgia" w:hAnsi="Georgia"/>
          <w:b w:val="0"/>
          <w:i w:val="0"/>
          <w:sz w:val="18"/>
        </w:rPr>
        <w:t>Owned $400K P&amp;L for post-trade settlement automation; introduced CI/CD, reducing regression testing time 60% and settlement failures 25%.</w:t>
      </w:r>
    </w:p>
    <w:p>
      <w:pPr>
        <w:pStyle w:val="ListBullet"/>
        <w:spacing w:before="0" w:after="40" w:line="278" w:lineRule="auto"/>
        <w:ind w:left="283"/>
        <w:jc w:val="both"/>
      </w:pPr>
      <w:r>
        <w:rPr>
          <w:rFonts w:ascii="Georgia" w:hAnsi="Georgia"/>
          <w:b w:val="0"/>
          <w:i w:val="0"/>
          <w:sz w:val="18"/>
        </w:rPr>
        <w:t>Led a 23-member offshore team across equity, stock borrow/loan, asset servicing and clearing — 97% SLA adherence, 35% defect leakage reduction.</w:t>
      </w:r>
    </w:p>
    <w:p>
      <w:pPr>
        <w:tabs>
          <w:tab w:pos="10766" w:val="right"/>
        </w:tabs>
        <w:spacing w:before="100" w:after="20" w:line="278" w:lineRule="auto"/>
      </w:pPr>
      <w:r>
        <w:rPr>
          <w:rFonts w:ascii="Arial" w:hAnsi="Arial"/>
          <w:b/>
          <w:color w:val="000000"/>
          <w:sz w:val="19"/>
        </w:rPr>
        <w:t>Associate Product Manager — Wipro Technologies, Pune, India</w:t>
      </w:r>
      <w:r>
        <w:rPr>
          <w:rFonts w:ascii="Arial" w:hAnsi="Arial"/>
          <w:b/>
          <w:color w:val="3A3A40"/>
          <w:sz w:val="16"/>
          <w:spacing w:val="25"/>
        </w:rPr>
        <w:tab/>
        <w:t>JAN 2013 – APR 2017</w:t>
      </w:r>
    </w:p>
    <w:p>
      <w:pPr>
        <w:spacing w:before="0" w:after="40" w:line="278" w:lineRule="auto"/>
      </w:pPr>
      <w:r>
        <w:rPr>
          <w:i/>
          <w:color w:val="3A3A40"/>
          <w:sz w:val="17"/>
        </w:rPr>
        <w:t>Built internal tool “Kandoo” saving $205K annually.</w:t>
      </w:r>
    </w:p>
    <w:p>
      <w:pPr>
        <w:pStyle w:val="ListBullet"/>
        <w:spacing w:before="0" w:after="40" w:line="278" w:lineRule="auto"/>
        <w:ind w:left="283"/>
        <w:jc w:val="both"/>
      </w:pPr>
      <w:r>
        <w:rPr>
          <w:rFonts w:ascii="Georgia" w:hAnsi="Georgia"/>
          <w:b w:val="0"/>
          <w:i w:val="0"/>
          <w:sz w:val="18"/>
        </w:rPr>
        <w:t>Built “Kandoo,” an internal automation tool adopted by PMs, POs and QA — saved $205K annually, cut end-to-end trade testing time 50%.</w:t>
      </w:r>
    </w:p>
    <w:p>
      <w:pPr>
        <w:pStyle w:val="ListBullet"/>
        <w:spacing w:before="0" w:after="40" w:line="278" w:lineRule="auto"/>
        <w:ind w:left="283"/>
        <w:jc w:val="both"/>
      </w:pPr>
      <w:r>
        <w:rPr>
          <w:rFonts w:ascii="Georgia" w:hAnsi="Georgia"/>
          <w:b w:val="0"/>
          <w:i w:val="0"/>
          <w:sz w:val="18"/>
        </w:rPr>
        <w:t>Coordinated front-to-back testing across 6 agile teams — 99.2% test coverage, zero production-critical defects for 8 consecutive releases.</w:t>
      </w:r>
    </w:p>
    <w:p>
      <w:pPr>
        <w:spacing w:before="140" w:after="60" w:line="278" w:lineRule="auto"/>
        <w:pBdr>
          <w:bottom w:val="single" w:sz="8" w:space="2" w:color="000000"/>
        </w:pBdr>
      </w:pPr>
      <w:r>
        <w:rPr>
          <w:rFonts w:ascii="Arial" w:hAnsi="Arial"/>
          <w:b/>
          <w:caps/>
          <w:color w:val="000000"/>
          <w:sz w:val="17"/>
          <w:spacing w:val="95"/>
        </w:rPr>
        <w:t>AI SOLUTIONS — BUILT &amp; SHIPPED</w:t>
      </w:r>
    </w:p>
    <w:p>
      <w:pPr>
        <w:tabs>
          <w:tab w:pos="10766" w:val="right"/>
        </w:tabs>
        <w:spacing w:before="60" w:after="0" w:line="278" w:lineRule="auto"/>
      </w:pPr>
      <w:r>
        <w:rPr>
          <w:rFonts w:ascii="Arial" w:hAnsi="Arial"/>
          <w:b/>
          <w:color w:val="000000"/>
          <w:sz w:val="18"/>
        </w:rPr>
        <w:t>BankFlow AI — Agentic Core Banking Platform</w:t>
      </w:r>
      <w:r>
        <w:rPr>
          <w:sz w:val="16"/>
        </w:rPr>
        <w:t xml:space="preserve">  </w:t>
      </w:r>
      <w:hyperlink r:id="rId13">
        <w:r>
          <w:rPr>
            <w:rFonts w:ascii="Arial" w:hAnsi="Arial"/>
            <w:b/>
            <w:color w:val="000000"/>
            <w:sz w:val="15"/>
            <w:u w:val="single"/>
          </w:rPr>
          <w:t>Live Demo</w:t>
        </w:r>
      </w:hyperlink>
      <w:r>
        <w:rPr>
          <w:sz w:val="16"/>
        </w:rPr>
        <w:t xml:space="preserve">  </w:t>
      </w:r>
      <w:hyperlink r:id="rId14">
        <w:r>
          <w:rPr>
            <w:rFonts w:ascii="Arial" w:hAnsi="Arial"/>
            <w:b/>
            <w:color w:val="000000"/>
            <w:sz w:val="15"/>
            <w:u w:val="single"/>
          </w:rPr>
          <w:t>GitHub</w:t>
        </w:r>
      </w:hyperlink>
      <w:r>
        <w:rPr>
          <w:rFonts w:ascii="Arial" w:hAnsi="Arial"/>
          <w:b/>
          <w:color w:val="3A3A40"/>
          <w:sz w:val="16"/>
        </w:rPr>
        <w:tab/>
        <w:t>Jun 2026</w:t>
      </w:r>
    </w:p>
    <w:p>
      <w:pPr>
        <w:spacing w:before="0" w:after="40" w:line="278" w:lineRule="auto"/>
        <w:jc w:val="both"/>
      </w:pPr>
      <w:r>
        <w:rPr>
          <w:rFonts w:ascii="Georgia" w:hAnsi="Georgia"/>
          <w:b w:val="0"/>
          <w:i w:val="0"/>
          <w:sz w:val="18"/>
        </w:rPr>
        <w:t>Multi-agent orchestration across 8 tools with a 3-layer guardrail pipeline and LLM-as-judge evaluation suite; EU AI Act, AML and DORA controls built into agent reasoning, tool use and audit trail.</w:t>
      </w:r>
    </w:p>
    <w:p>
      <w:pPr>
        <w:tabs>
          <w:tab w:pos="10766" w:val="right"/>
        </w:tabs>
        <w:spacing w:before="60" w:after="0" w:line="278" w:lineRule="auto"/>
      </w:pPr>
      <w:r>
        <w:rPr>
          <w:rFonts w:ascii="Arial" w:hAnsi="Arial"/>
          <w:b/>
          <w:color w:val="000000"/>
          <w:sz w:val="18"/>
        </w:rPr>
        <w:t>PayClear AI — Zero-Trust Payment Integrity Engine</w:t>
      </w:r>
      <w:r>
        <w:rPr>
          <w:sz w:val="16"/>
        </w:rPr>
        <w:t xml:space="preserve">  </w:t>
      </w:r>
      <w:hyperlink r:id="rId15">
        <w:r>
          <w:rPr>
            <w:rFonts w:ascii="Arial" w:hAnsi="Arial"/>
            <w:b/>
            <w:color w:val="000000"/>
            <w:sz w:val="15"/>
            <w:u w:val="single"/>
          </w:rPr>
          <w:t>GitHub</w:t>
        </w:r>
      </w:hyperlink>
      <w:r>
        <w:rPr>
          <w:rFonts w:ascii="Arial" w:hAnsi="Arial"/>
          <w:b/>
          <w:color w:val="3A3A40"/>
          <w:sz w:val="16"/>
        </w:rPr>
        <w:tab/>
        <w:t>Jun 2026</w:t>
      </w:r>
    </w:p>
    <w:p>
      <w:pPr>
        <w:spacing w:before="0" w:after="40" w:line="278" w:lineRule="auto"/>
        <w:jc w:val="both"/>
      </w:pPr>
      <w:r>
        <w:rPr>
          <w:rFonts w:ascii="Georgia" w:hAnsi="Georgia"/>
          <w:b w:val="0"/>
          <w:i w:val="0"/>
          <w:sz w:val="18"/>
        </w:rPr>
        <w:t>Pre-execution invoice interception, IBAN verification and visual spoofing detection with composite Trust Index scoring applied before capital moves.</w:t>
      </w:r>
    </w:p>
    <w:p>
      <w:pPr>
        <w:tabs>
          <w:tab w:pos="10766" w:val="right"/>
        </w:tabs>
        <w:spacing w:before="60" w:after="0" w:line="278" w:lineRule="auto"/>
      </w:pPr>
      <w:r>
        <w:rPr>
          <w:rFonts w:ascii="Arial" w:hAnsi="Arial"/>
          <w:b/>
          <w:color w:val="000000"/>
          <w:sz w:val="18"/>
        </w:rPr>
        <w:t>OnboardIQ — Explainable KYC Onboarding Triage</w:t>
      </w:r>
      <w:r>
        <w:rPr>
          <w:sz w:val="16"/>
        </w:rPr>
        <w:t xml:space="preserve">  </w:t>
      </w:r>
      <w:hyperlink r:id="rId16">
        <w:r>
          <w:rPr>
            <w:rFonts w:ascii="Arial" w:hAnsi="Arial"/>
            <w:b/>
            <w:color w:val="000000"/>
            <w:sz w:val="15"/>
            <w:u w:val="single"/>
          </w:rPr>
          <w:t>Live Demo</w:t>
        </w:r>
      </w:hyperlink>
      <w:r>
        <w:rPr>
          <w:sz w:val="16"/>
        </w:rPr>
        <w:t xml:space="preserve">  </w:t>
      </w:r>
      <w:hyperlink r:id="rId17">
        <w:r>
          <w:rPr>
            <w:rFonts w:ascii="Arial" w:hAnsi="Arial"/>
            <w:b/>
            <w:color w:val="000000"/>
            <w:sz w:val="15"/>
            <w:u w:val="single"/>
          </w:rPr>
          <w:t>GitHub</w:t>
        </w:r>
      </w:hyperlink>
      <w:r>
        <w:rPr>
          <w:rFonts w:ascii="Arial" w:hAnsi="Arial"/>
          <w:b/>
          <w:color w:val="3A3A40"/>
          <w:sz w:val="16"/>
        </w:rPr>
        <w:tab/>
        <w:t>Jun 2026</w:t>
      </w:r>
    </w:p>
    <w:p>
      <w:pPr>
        <w:spacing w:before="0" w:after="40" w:line="278" w:lineRule="auto"/>
        <w:jc w:val="both"/>
      </w:pPr>
      <w:r>
        <w:rPr>
          <w:rFonts w:ascii="Georgia" w:hAnsi="Georgia"/>
          <w:b w:val="0"/>
          <w:i w:val="0"/>
          <w:sz w:val="18"/>
        </w:rPr>
        <w:t>Risk triage routing applicants to auto-approve, fast-track or manual review with full decision traceability, explainable agent reasoning and onboarding funnel analytics.</w:t>
      </w:r>
    </w:p>
    <w:p>
      <w:pPr>
        <w:tabs>
          <w:tab w:pos="10766" w:val="right"/>
        </w:tabs>
        <w:spacing w:before="60" w:after="0" w:line="278" w:lineRule="auto"/>
      </w:pPr>
      <w:r>
        <w:rPr>
          <w:rFonts w:ascii="Arial" w:hAnsi="Arial"/>
          <w:b/>
          <w:color w:val="000000"/>
          <w:sz w:val="18"/>
        </w:rPr>
        <w:t>PayGuard AI — Real-Time Payments Fraud Detection</w:t>
      </w:r>
      <w:r>
        <w:rPr>
          <w:sz w:val="16"/>
        </w:rPr>
        <w:t xml:space="preserve">  </w:t>
      </w:r>
      <w:hyperlink r:id="rId18">
        <w:r>
          <w:rPr>
            <w:rFonts w:ascii="Arial" w:hAnsi="Arial"/>
            <w:b/>
            <w:color w:val="000000"/>
            <w:sz w:val="15"/>
            <w:u w:val="single"/>
          </w:rPr>
          <w:t>Live Demo</w:t>
        </w:r>
      </w:hyperlink>
      <w:r>
        <w:rPr>
          <w:sz w:val="16"/>
        </w:rPr>
        <w:t xml:space="preserve">  </w:t>
      </w:r>
      <w:hyperlink r:id="rId19">
        <w:r>
          <w:rPr>
            <w:rFonts w:ascii="Arial" w:hAnsi="Arial"/>
            <w:b/>
            <w:color w:val="000000"/>
            <w:sz w:val="15"/>
            <w:u w:val="single"/>
          </w:rPr>
          <w:t>GitHub</w:t>
        </w:r>
      </w:hyperlink>
      <w:r>
        <w:rPr>
          <w:rFonts w:ascii="Arial" w:hAnsi="Arial"/>
          <w:b/>
          <w:color w:val="3A3A40"/>
          <w:sz w:val="16"/>
        </w:rPr>
        <w:tab/>
        <w:t>Jun 2026</w:t>
      </w:r>
    </w:p>
    <w:p>
      <w:pPr>
        <w:spacing w:before="0" w:after="40" w:line="278" w:lineRule="auto"/>
        <w:jc w:val="both"/>
      </w:pPr>
      <w:r>
        <w:rPr>
          <w:rFonts w:ascii="Georgia" w:hAnsi="Georgia"/>
          <w:b w:val="0"/>
          <w:i w:val="0"/>
          <w:sz w:val="18"/>
        </w:rPr>
        <w:t>Real-time transaction fraud scoring with AI-generated explanations, an analyst review queue and built-in EU AI Act compliance scoring (87/100).</w:t>
      </w:r>
    </w:p>
    <w:p>
      <w:pPr>
        <w:tabs>
          <w:tab w:pos="10766" w:val="right"/>
        </w:tabs>
        <w:spacing w:before="60" w:after="0" w:line="278" w:lineRule="auto"/>
      </w:pPr>
      <w:r>
        <w:rPr>
          <w:rFonts w:ascii="Arial" w:hAnsi="Arial"/>
          <w:b/>
          <w:color w:val="000000"/>
          <w:sz w:val="18"/>
        </w:rPr>
        <w:t>PulseAI — Multi-Agent Product Intelligence System</w:t>
      </w:r>
      <w:r>
        <w:rPr>
          <w:sz w:val="16"/>
        </w:rPr>
        <w:t xml:space="preserve">  </w:t>
      </w:r>
      <w:hyperlink r:id="rId20">
        <w:r>
          <w:rPr>
            <w:rFonts w:ascii="Arial" w:hAnsi="Arial"/>
            <w:b/>
            <w:color w:val="000000"/>
            <w:sz w:val="15"/>
            <w:u w:val="single"/>
          </w:rPr>
          <w:t>Live Demo</w:t>
        </w:r>
      </w:hyperlink>
      <w:r>
        <w:rPr>
          <w:sz w:val="16"/>
        </w:rPr>
        <w:t xml:space="preserve">  </w:t>
      </w:r>
      <w:hyperlink r:id="rId21">
        <w:r>
          <w:rPr>
            <w:rFonts w:ascii="Arial" w:hAnsi="Arial"/>
            <w:b/>
            <w:color w:val="000000"/>
            <w:sz w:val="15"/>
            <w:u w:val="single"/>
          </w:rPr>
          <w:t>GitHub</w:t>
        </w:r>
      </w:hyperlink>
      <w:r>
        <w:rPr>
          <w:rFonts w:ascii="Arial" w:hAnsi="Arial"/>
          <w:b/>
          <w:color w:val="3A3A40"/>
          <w:sz w:val="16"/>
        </w:rPr>
        <w:tab/>
        <w:t>Apr 2026</w:t>
      </w:r>
    </w:p>
    <w:p>
      <w:pPr>
        <w:spacing w:before="0" w:after="40" w:line="278" w:lineRule="auto"/>
        <w:jc w:val="both"/>
      </w:pPr>
      <w:r>
        <w:rPr>
          <w:rFonts w:ascii="Georgia" w:hAnsi="Georgia"/>
          <w:b w:val="0"/>
          <w:i w:val="0"/>
          <w:sz w:val="18"/>
        </w:rPr>
        <w:t>4-agent autonomous pipeline (Feedback Harvester → Signal Analyst → Priority Engine → PRD Writer) on n8n and the Claude API with HuggingFace NLP — reduces manual feedback analysis ~80%.</w:t>
      </w:r>
    </w:p>
    <w:p>
      <w:pPr>
        <w:tabs>
          <w:tab w:pos="10766" w:val="right"/>
        </w:tabs>
        <w:spacing w:before="60" w:after="0" w:line="278" w:lineRule="auto"/>
      </w:pPr>
      <w:r>
        <w:rPr>
          <w:rFonts w:ascii="Arial" w:hAnsi="Arial"/>
          <w:b/>
          <w:color w:val="000000"/>
          <w:sz w:val="18"/>
        </w:rPr>
        <w:t>ComplianceIQ — AI Compliance Alert Triage</w:t>
      </w:r>
      <w:r>
        <w:rPr>
          <w:sz w:val="16"/>
        </w:rPr>
        <w:t xml:space="preserve">  </w:t>
      </w:r>
      <w:hyperlink r:id="rId22">
        <w:r>
          <w:rPr>
            <w:rFonts w:ascii="Arial" w:hAnsi="Arial"/>
            <w:b/>
            <w:color w:val="000000"/>
            <w:sz w:val="15"/>
            <w:u w:val="single"/>
          </w:rPr>
          <w:t>Live Demo</w:t>
        </w:r>
      </w:hyperlink>
      <w:r>
        <w:rPr>
          <w:rFonts w:ascii="Arial" w:hAnsi="Arial"/>
          <w:b/>
          <w:color w:val="3A3A40"/>
          <w:sz w:val="16"/>
        </w:rPr>
        <w:tab/>
        <w:t>Mar 2026</w:t>
      </w:r>
    </w:p>
    <w:p>
      <w:pPr>
        <w:spacing w:before="0" w:after="40" w:line="278" w:lineRule="auto"/>
        <w:jc w:val="both"/>
      </w:pPr>
      <w:r>
        <w:rPr>
          <w:rFonts w:ascii="Georgia" w:hAnsi="Georgia"/>
          <w:b w:val="0"/>
          <w:i w:val="0"/>
          <w:sz w:val="18"/>
        </w:rPr>
        <w:t>AI risk scoring across 6 alert categories with confidence scores and plain-language reasoning per alert — simulated false positives 45% → 22%, resolution time 8.4h → 4.2h, 2,100 analyst hours saved annually.</w:t>
      </w:r>
    </w:p>
    <w:p>
      <w:pPr>
        <w:tabs>
          <w:tab w:pos="10766" w:val="right"/>
        </w:tabs>
        <w:spacing w:before="60" w:after="0" w:line="278" w:lineRule="auto"/>
      </w:pPr>
      <w:r>
        <w:rPr>
          <w:rFonts w:ascii="Arial" w:hAnsi="Arial"/>
          <w:b/>
          <w:color w:val="000000"/>
          <w:sz w:val="18"/>
        </w:rPr>
        <w:t>RegCopilot — RAG Copilot for EU Regulatory Compliance</w:t>
      </w:r>
      <w:r>
        <w:rPr>
          <w:sz w:val="16"/>
        </w:rPr>
        <w:t xml:space="preserve">  </w:t>
      </w:r>
      <w:hyperlink r:id="rId23">
        <w:r>
          <w:rPr>
            <w:rFonts w:ascii="Arial" w:hAnsi="Arial"/>
            <w:b/>
            <w:color w:val="000000"/>
            <w:sz w:val="15"/>
            <w:u w:val="single"/>
          </w:rPr>
          <w:t>Live Demo</w:t>
        </w:r>
      </w:hyperlink>
      <w:r>
        <w:rPr>
          <w:sz w:val="16"/>
        </w:rPr>
        <w:t xml:space="preserve">  </w:t>
      </w:r>
      <w:hyperlink r:id="rId24">
        <w:r>
          <w:rPr>
            <w:rFonts w:ascii="Arial" w:hAnsi="Arial"/>
            <w:b/>
            <w:color w:val="000000"/>
            <w:sz w:val="15"/>
            <w:u w:val="single"/>
          </w:rPr>
          <w:t>GitHub</w:t>
        </w:r>
      </w:hyperlink>
      <w:r>
        <w:rPr>
          <w:rFonts w:ascii="Arial" w:hAnsi="Arial"/>
          <w:b/>
          <w:color w:val="3A3A40"/>
          <w:sz w:val="16"/>
        </w:rPr>
        <w:tab/>
        <w:t>Feb 2026</w:t>
      </w:r>
    </w:p>
    <w:p>
      <w:pPr>
        <w:spacing w:before="0" w:after="40" w:line="278" w:lineRule="auto"/>
        <w:jc w:val="both"/>
      </w:pPr>
      <w:r>
        <w:rPr>
          <w:rFonts w:ascii="Georgia" w:hAnsi="Georgia"/>
          <w:b w:val="0"/>
          <w:i w:val="0"/>
          <w:sz w:val="18"/>
        </w:rPr>
        <w:t>RAG pipeline over 33,536 regulation chunks (EU AI Act, DORA, AMLD6, GDPR) on Supabase pgvector — 82% accuracy, citation-grounded answers only, immutable audit trail, human review flagging.</w:t>
      </w:r>
    </w:p>
    <w:p>
      <w:pPr>
        <w:spacing w:before="140" w:after="60" w:line="278" w:lineRule="auto"/>
        <w:pBdr>
          <w:bottom w:val="single" w:sz="8" w:space="2" w:color="000000"/>
        </w:pBdr>
      </w:pPr>
      <w:r>
        <w:rPr>
          <w:rFonts w:ascii="Arial" w:hAnsi="Arial"/>
          <w:b/>
          <w:caps/>
          <w:color w:val="000000"/>
          <w:sz w:val="17"/>
          <w:spacing w:val="95"/>
        </w:rPr>
        <w:t>EDUCATION</w:t>
      </w:r>
    </w:p>
    <w:p>
      <w:pPr>
        <w:tabs>
          <w:tab w:pos="10766" w:val="right"/>
        </w:tabs>
        <w:spacing w:before="0" w:after="40" w:line="278" w:lineRule="auto"/>
      </w:pPr>
      <w:r>
        <w:rPr>
          <w:rFonts w:ascii="Georgia" w:hAnsi="Georgia"/>
          <w:b/>
          <w:i w:val="0"/>
          <w:color w:val="000000"/>
          <w:sz w:val="18"/>
        </w:rPr>
        <w:t>Vellore Institute of Technology</w:t>
      </w:r>
      <w:r>
        <w:rPr>
          <w:rFonts w:ascii="Georgia" w:hAnsi="Georgia"/>
          <w:b w:val="0"/>
          <w:i w:val="0"/>
          <w:sz w:val="18"/>
        </w:rPr>
        <w:t xml:space="preserve"> — M.Sc. Information Technology</w:t>
      </w:r>
      <w:r>
        <w:rPr>
          <w:color w:val="3A3A40"/>
          <w:sz w:val="17"/>
        </w:rPr>
        <w:tab/>
        <w:t>Pune, IN · Jan 2013 – Jun 2017</w:t>
      </w:r>
    </w:p>
    <w:p>
      <w:pPr>
        <w:tabs>
          <w:tab w:pos="10766" w:val="right"/>
        </w:tabs>
        <w:spacing w:before="0" w:after="40" w:line="278" w:lineRule="auto"/>
      </w:pPr>
      <w:r>
        <w:rPr>
          <w:rFonts w:ascii="Georgia" w:hAnsi="Georgia"/>
          <w:b/>
          <w:i w:val="0"/>
          <w:color w:val="000000"/>
          <w:sz w:val="18"/>
        </w:rPr>
        <w:t>Bangalore University</w:t>
      </w:r>
      <w:r>
        <w:rPr>
          <w:rFonts w:ascii="Georgia" w:hAnsi="Georgia"/>
          <w:b w:val="0"/>
          <w:i w:val="0"/>
          <w:sz w:val="18"/>
        </w:rPr>
        <w:t xml:space="preserve"> — M.Sc. Biotechnology</w:t>
      </w:r>
      <w:r>
        <w:rPr>
          <w:color w:val="3A3A40"/>
          <w:sz w:val="17"/>
        </w:rPr>
        <w:tab/>
        <w:t>Bangalore, IN · Jun 2010 – Nov 2012</w:t>
      </w:r>
    </w:p>
    <w:p>
      <w:pPr>
        <w:spacing w:before="140" w:after="60" w:line="278" w:lineRule="auto"/>
        <w:pBdr>
          <w:bottom w:val="single" w:sz="8" w:space="2" w:color="000000"/>
        </w:pBdr>
      </w:pPr>
      <w:r>
        <w:rPr>
          <w:rFonts w:ascii="Arial" w:hAnsi="Arial"/>
          <w:b/>
          <w:caps/>
          <w:color w:val="000000"/>
          <w:sz w:val="17"/>
          <w:spacing w:val="95"/>
        </w:rPr>
        <w:t>SKILLS, TOOLS &amp; CERTIFICATIONS</w:t>
      </w:r>
    </w:p>
    <w:p>
      <w:pPr>
        <w:spacing w:before="0" w:after="40" w:line="278" w:lineRule="auto"/>
        <w:jc w:val="both"/>
      </w:pPr>
      <w:r>
        <w:rPr>
          <w:rFonts w:ascii="Arial" w:hAnsi="Arial"/>
          <w:b/>
          <w:i w:val="0"/>
          <w:color w:val="000000"/>
          <w:sz w:val="16"/>
        </w:rPr>
        <w:t>AI &amp; Technology</w:t>
      </w:r>
      <w:r>
        <w:rPr>
          <w:rFonts w:ascii="Georgia" w:hAnsi="Georgia"/>
          <w:b w:val="0"/>
          <w:i w:val="0"/>
          <w:sz w:val="17"/>
        </w:rPr>
        <w:t xml:space="preserve"> — GenAI, LLMs, Agentic &amp; Multi-Agent Systems, RAG, Prompt Engineering, Context Engineering, AI Evaluation Frameworks, Guardrails &amp; Safety, Human-in-the-Loop Design, AI Workflow Automation, Claude API, HuggingFace, n8n, Supabase (pgvector), Cursor, Lovable, Python, SQL, PostgreSQL, CI/CD, APIs.</w:t>
      </w:r>
    </w:p>
    <w:p>
      <w:pPr>
        <w:spacing w:before="0" w:after="40" w:line="278" w:lineRule="auto"/>
        <w:jc w:val="both"/>
      </w:pPr>
      <w:r>
        <w:rPr>
          <w:rFonts w:ascii="Arial" w:hAnsi="Arial"/>
          <w:b/>
          <w:i w:val="0"/>
          <w:color w:val="000000"/>
          <w:sz w:val="16"/>
        </w:rPr>
        <w:t>Enterprise &amp; SAP</w:t>
      </w:r>
      <w:r>
        <w:rPr>
          <w:rFonts w:ascii="Georgia" w:hAnsi="Georgia"/>
          <w:b w:val="0"/>
          <w:i w:val="0"/>
          <w:sz w:val="17"/>
        </w:rPr>
        <w:t xml:space="preserve"> — SAP S/4HANA migration, SAP test management &amp; test strategy, SAP knowledge management, banking system landscapes, solution architecture fundamentals, requirement traceability, release governance.</w:t>
      </w:r>
    </w:p>
    <w:p>
      <w:pPr>
        <w:spacing w:before="0" w:after="40" w:line="278" w:lineRule="auto"/>
        <w:jc w:val="both"/>
      </w:pPr>
      <w:r>
        <w:rPr>
          <w:rFonts w:ascii="Arial" w:hAnsi="Arial"/>
          <w:b/>
          <w:i w:val="0"/>
          <w:color w:val="000000"/>
          <w:sz w:val="16"/>
        </w:rPr>
        <w:t>Banking &amp; Regulatory</w:t>
      </w:r>
      <w:r>
        <w:rPr>
          <w:rFonts w:ascii="Georgia" w:hAnsi="Georgia"/>
          <w:b w:val="0"/>
          <w:i w:val="0"/>
          <w:sz w:val="17"/>
        </w:rPr>
        <w:t xml:space="preserve"> — Accounts &amp; deposits, Lending &amp; credit risk, Payments &amp; fraud, Post-trade settlement, AML/CFT (NICE Actimize), KYC, Basel III, ECB FINREP, EU AI Act, DORA, GDPR.</w:t>
      </w:r>
    </w:p>
    <w:p>
      <w:pPr>
        <w:spacing w:before="0" w:after="40" w:line="278" w:lineRule="auto"/>
        <w:jc w:val="both"/>
      </w:pPr>
      <w:r>
        <w:rPr>
          <w:rFonts w:ascii="Arial" w:hAnsi="Arial"/>
          <w:b/>
          <w:i w:val="0"/>
          <w:color w:val="000000"/>
          <w:sz w:val="16"/>
        </w:rPr>
        <w:t>Product, Delivery &amp; Leadership</w:t>
      </w:r>
      <w:r>
        <w:rPr>
          <w:rFonts w:ascii="Georgia" w:hAnsi="Georgia"/>
          <w:b w:val="0"/>
          <w:i w:val="0"/>
          <w:sz w:val="17"/>
        </w:rPr>
        <w:t xml:space="preserve"> — Solution design, Requirements engineering, Roadmapping, OKRs &amp; KPIs, RICE, Agile / Scrum / SAFe PI Planning, A/B testing, GTM strategy, UX &amp; usability testing, Senior stakeholder management, Cross-functional international team leadership, Workshop facilitation, Mentorship.</w:t>
      </w:r>
    </w:p>
    <w:p>
      <w:pPr>
        <w:spacing w:before="0" w:after="40" w:line="278" w:lineRule="auto"/>
        <w:jc w:val="both"/>
      </w:pPr>
      <w:r>
        <w:rPr>
          <w:rFonts w:ascii="Arial" w:hAnsi="Arial"/>
          <w:b/>
          <w:i w:val="0"/>
          <w:color w:val="000000"/>
          <w:sz w:val="16"/>
        </w:rPr>
        <w:t>Certifications</w:t>
      </w:r>
      <w:r>
        <w:rPr>
          <w:rFonts w:ascii="Georgia" w:hAnsi="Georgia"/>
          <w:b w:val="0"/>
          <w:i w:val="0"/>
          <w:sz w:val="17"/>
        </w:rPr>
        <w:t xml:space="preserve"> — AI Agents Certified PM, Product School (Feb 2026) · LLM Foundations Certified PM, Product School (Feb 2026) · Certified Scrum Product Owner® (CSPO®), Scrum Alliance (Dec 2022). </w:t>
      </w:r>
      <w:r>
        <w:rPr>
          <w:rFonts w:ascii="Arial" w:hAnsi="Arial"/>
          <w:b/>
          <w:i w:val="0"/>
          <w:color w:val="000000"/>
          <w:sz w:val="16"/>
        </w:rPr>
        <w:t>Languages</w:t>
      </w:r>
      <w:r>
        <w:rPr>
          <w:rFonts w:ascii="Georgia" w:hAnsi="Georgia"/>
          <w:b w:val="0"/>
          <w:i w:val="0"/>
          <w:sz w:val="17"/>
        </w:rPr>
        <w:t xml:space="preserve"> — English (C1, fluent) · German (B1, actively advancing).</w:t>
      </w:r>
    </w:p>
    <w:sectPr w:rsidR="00FC693F" w:rsidRPr="0006063C" w:rsidSect="00034616">
      <w:pgSz w:w="12240" w:h="15840"/>
      <w:pgMar w:top="624" w:right="737" w:bottom="567"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eorgia" w:hAnsi="Georgia"/>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himanimehreen@gmail.com" TargetMode="External"/><Relationship Id="rId10" Type="http://schemas.openxmlformats.org/officeDocument/2006/relationships/hyperlink" Target="https://www.linkedin.com/in/mehreenhimani" TargetMode="External"/><Relationship Id="rId11" Type="http://schemas.openxmlformats.org/officeDocument/2006/relationships/hyperlink" Target="https://github.com/mehreenhimani" TargetMode="External"/><Relationship Id="rId12" Type="http://schemas.openxmlformats.org/officeDocument/2006/relationships/hyperlink" Target="https://mehreens-ai-story.lovable.app" TargetMode="External"/><Relationship Id="rId13" Type="http://schemas.openxmlformats.org/officeDocument/2006/relationships/hyperlink" Target="https://bankflow-ai-app-deve-ox70.bolt.host/" TargetMode="External"/><Relationship Id="rId14" Type="http://schemas.openxmlformats.org/officeDocument/2006/relationships/hyperlink" Target="https://github.com/mehreenhimani/bankflow-ai" TargetMode="External"/><Relationship Id="rId15" Type="http://schemas.openxmlformats.org/officeDocument/2006/relationships/hyperlink" Target="https://github.com/mehreenhimani/payclear-AI" TargetMode="External"/><Relationship Id="rId16" Type="http://schemas.openxmlformats.org/officeDocument/2006/relationships/hyperlink" Target="https://kyc-onboarding-sigma.vercel.app" TargetMode="External"/><Relationship Id="rId17" Type="http://schemas.openxmlformats.org/officeDocument/2006/relationships/hyperlink" Target="https://github.com/mehreenhimani/KYC-Onboarding" TargetMode="External"/><Relationship Id="rId18" Type="http://schemas.openxmlformats.org/officeDocument/2006/relationships/hyperlink" Target="https://payguard-ai-sigma.vercel.app" TargetMode="External"/><Relationship Id="rId19" Type="http://schemas.openxmlformats.org/officeDocument/2006/relationships/hyperlink" Target="https://github.com/mehreenhimani/payguard-ai" TargetMode="External"/><Relationship Id="rId20" Type="http://schemas.openxmlformats.org/officeDocument/2006/relationships/hyperlink" Target="https://pulseai-kohl.vercel.app" TargetMode="External"/><Relationship Id="rId21" Type="http://schemas.openxmlformats.org/officeDocument/2006/relationships/hyperlink" Target="https://github.com/mehreenhimani/pulseai" TargetMode="External"/><Relationship Id="rId22" Type="http://schemas.openxmlformats.org/officeDocument/2006/relationships/hyperlink" Target="https://complianceiq-aml-triage.vercel.app" TargetMode="External"/><Relationship Id="rId23" Type="http://schemas.openxmlformats.org/officeDocument/2006/relationships/hyperlink" Target="https://regcopilot.lovable.app" TargetMode="External"/><Relationship Id="rId24" Type="http://schemas.openxmlformats.org/officeDocument/2006/relationships/hyperlink" Target="https://github.com/mehreenhimani/regcopil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