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4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2"/>
        </w:rPr>
        <w:t>НОМИНАЦИЯ «ИСКУССТВЕННЫЙ ИНТЕЛЛЕКТ И ПРОГРАММИРОВАНИЕ»</w:t>
      </w:r>
    </w:p>
    <w:p>
      <w:pPr>
        <w:spacing w:after="4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52"/>
        </w:rPr>
        <w:t>АКТ ВНЕДРЕНИЯ</w:t>
      </w:r>
    </w:p>
    <w:p>
      <w:pPr>
        <w:spacing w:after="280" w:line="276" w:lineRule="auto"/>
        <w:jc w:val="center"/>
      </w:pPr>
      <w:r>
        <w:rPr>
          <w:rFonts w:ascii="Times New Roman" w:hAnsi="Times New Roman" w:cs="Times New Roman" w:eastAsia="Times New Roman"/>
          <w:b w:val="0"/>
          <w:i/>
          <w:sz w:val="28"/>
        </w:rPr>
        <w:t>с показом экономической эффективности</w:t>
      </w:r>
    </w:p>
    <w:p>
      <w:pPr>
        <w:spacing w:after="2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Проект «Miraj AI» — персональный ИИ-помощник для психологического благополучия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Название проекта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Miraj AI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Тип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Мобильное приложение для iOS и Android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Языки приложения и ИИ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Таджикский, русский, английский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Автор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[Фамилия, имя, место учёбы или работы — заполняет автор]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Сайт проекта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https://miraj-ai.vercel.app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Скачивание Android (подписанный APK)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https://miraj-ai.vercel.app/downloads/miraj-ai-1.0.apk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Статус версий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Android: подписанный APK доступен на сайте. iOS: отправлена на проверку в App Store; тестовая сборка в TestFlight.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Дата подготовки документа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21.10.2026</w:t>
            </w:r>
          </w:p>
        </w:tc>
      </w:tr>
    </w:tbl>
    <w:p/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1. Краткое резюме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Miraj AI даёт человеку психологическую поддержку с помощью ИИ в любое время и на родном языке и связывает его с настоящими психологами. Для пользователей Центральной Азии приложение предлагается бесплатно.</w:t>
      </w:r>
    </w:p>
    <w:p>
      <w:pPr>
        <w:spacing w:after="60" w:line="276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Главные достижения и преимущества: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1 место среди участников из Центральной Азии на SwapUp Astana Leadership Program (Astana Hub, Астана, сентябрь 2026).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Оценка проекта жюри SwapUp: US$ 20 000.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MOST Ventures проявили интерес к проекту.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Приложение работает на двух платформах (iOS, Android) и трёх языках (таджикский, русский, английский).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Комплексное решение: ИИ-чат, умная диагностика и 90-дневный план, ИИ-коуч, планер из переписки, 25 упражнений, дневник и контроль, запись к психологу, кабинет специалиста.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Безопасность данных: явное согласие пользователя перед отправкой данных ИИ, хранение чатов на устройстве, удаление аккаунта из приложения.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Экономическая эффективность: в прогнозном сценарии на 12 месяцев чистая прибыль ≈ 13 429 с. (ROI ≈ 47%, окупаемость ≈ 8,1 мес.).</w:t>
      </w:r>
    </w:p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2. Актуальность проблемы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Людей, которым нужна психологическая поддержка, намного больше, чем доступной помощи. Главные барьеры: цена, стыд, расстояние и язык.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В 2019 году около 970 млн человек (13% населения мира) жили с психическими расстройствами; самые частые — тревожные и депрессивные (ВОЗ).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Формальную медицинскую помощь получает лишь один из трёх больных депрессией (ВОЗ).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В первый год пандемии распространённость тревоги и депрессии выросла примерно на 25% (ВОЗ).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Ежегодные потери производительности от депрессии и тревоги в мире около US$ 1 трлн (ВОЗ).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Таджикистан: оценка ВОЗ-AIMS (2009) отмечала, что психиатрическая помощь в основном стационарная, а служб при поселениях нет. Данные старые; свежая статистика Минздрава и соцзащиты населения: [добавить].</w:t>
      </w:r>
    </w:p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3. Решение: Miraj AI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041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Функция</w:t>
            </w:r>
          </w:p>
        </w:tc>
        <w:tc>
          <w:tcPr>
            <w:tcW w:type="dxa" w:w="4535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Что даёт</w:t>
            </w:r>
          </w:p>
        </w:tc>
        <w:tc>
          <w:tcPr>
            <w:tcW w:type="dxa" w:w="3061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Роль ИИ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ИИ-чат Miraj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Разговор текстом или голосом на своём языке в любое время.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Языковая модель с контекстом профиля и диагностики.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Умная диагностика и план на 90 дней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Личный план по словам и целям самого пользователя.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Генерация плана по ответам опроса.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ИИ-коуч и план дня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Короткие советы, расписание дня, напоминания.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Генерация расписания с учётом событий пользователя.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Планер из переписки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Если сказать «завтра у меня олимпиада», событие само попадёт в план, и ИИ его запомнит.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Выделение дат и событий из текста на трёх языках.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25 упражнений в 4 категориях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Отношения, стресс, мотивация, самооценка — управляемые сессии.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ИИ ведёт упражнение в диалоге.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Дневник, благодарность, неделя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Отслеживание настроения и привычек с очками, уровнями и «огнём», который горит ярче с выполнением целей.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Оценка прогресса по данным.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Поиск людей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Общение с людьми со схожими целями.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ИИ-модерация сообщений.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Запись к психологу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Профили проверенных специалистов, выбор дня и времени, отзывы. Оплата напрямую специалисту, офлайн.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Кабинет психолога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Регистрация, проверка администратором, записи пациентов и рейтинг.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—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/>
          <w:sz w:val="22"/>
        </w:rPr>
        <w:t>Важно: ИИ в приложении — поддержка и самопомощь, не медицинский диагноз и не замена врача; приложение направляет к живым специалистам.</w:t>
      </w:r>
    </w:p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4. Новизна и технологическая зрелость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154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Область</w:t>
            </w:r>
          </w:p>
        </w:tc>
        <w:tc>
          <w:tcPr>
            <w:tcW w:type="dxa" w:w="7483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Приложения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iOS (SwiftUI) и Android (Kotlin, Jetpack Compose) с одинаковым дизайном и общей базой данных.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Сервер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Firebase Authentication и Cloud Firestore; защищённый сервер: ключ ИИ не хранится в приложении.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ИИ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Модель Claude (Anthropic) через защищённый сервер; авторизация по токену пользователя; ответ ИИ выводится потоком (слово за словом).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Языки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Таджикский (кириллица), русский, английский. Голосовой ввод — с запасным русским, если в системе нет распознавания таджикского.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Данные на устройстве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Все чаты хранятся в локальной базе SQLite и работают без сети.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Конфиденциальность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Явное согласие перед отправкой данных ИИ; политика конфиденциальности; удаление аккаунта и данных.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Безопасность сообщества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ИИ-модерация сообщений в чатах между людьми.</w:t>
            </w:r>
          </w:p>
        </w:tc>
      </w:tr>
      <w:tr>
        <w:trPr>
          <w:cantSplit w:val="true"/>
        </w:trPr>
        <w:tc>
          <w:tcPr>
            <w:tcW w:type="dxa" w:w="215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Специалисты</w:t>
            </w:r>
          </w:p>
        </w:tc>
        <w:tc>
          <w:tcPr>
            <w:tcW w:type="dxa" w:w="748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Регистрация → проверка администратором → публикация профиля.</w:t>
            </w:r>
          </w:p>
        </w:tc>
      </w:tr>
    </w:tbl>
    <w:p>
      <w:pPr>
        <w:spacing w:after="40"/>
      </w:pPr>
    </w:p>
    <w:p>
      <w:pPr>
        <w:keepNext/>
        <w:spacing w:before="160" w:after="120"/>
      </w:pPr>
      <w:r>
        <w:rPr>
          <w:rFonts w:ascii="Times New Roman" w:hAnsi="Times New Roman" w:cs="Times New Roman" w:eastAsia="Times New Roman"/>
          <w:b/>
          <w:color w:val="1F3A8A"/>
          <w:sz w:val="24"/>
        </w:rPr>
        <w:t>4.1. Как мы используем ИИ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Miraj AI не обучает и не дообучает модель (без fine-tuning). Мы берём готовую передовую языковую модель и делаем её полезной для конкретного человека с помощью контекста, сценариев (промптов) и защитных правил.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 w:val="true"/>
        </w:trPr>
        <w:tc>
          <w:tcPr>
            <w:tcW w:type="dxa" w:w="283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Без дообучения (no fine-tuning)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Используется готовая модель Claude (Anthropic) через API. Мы не меняем её веса и не запускаем собственное обучение.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Персонализация через контекст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В каждый запрос добавляются данные именно этого пользователя: профиль, диагностика, настроение, благодарности, события планера, последние сообщения.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Данные пользователей не обучают модель</w:t>
            </w:r>
          </w:p>
        </w:tc>
        <w:tc>
          <w:tcPr>
            <w:tcW w:type="dxa" w:w="68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Разговоры не используются для обучения. Модель сама вас не «запоминает»: память — это ваши данные, которые мы передаём в запрос.</w:t>
            </w:r>
          </w:p>
        </w:tc>
      </w:tr>
    </w:tbl>
    <w:p>
      <w:pPr>
        <w:spacing w:after="40"/>
      </w:pPr>
    </w:p>
    <w:p>
      <w:pPr>
        <w:keepNext/>
        <w:spacing w:before="160" w:after="120"/>
      </w:pPr>
      <w:r>
        <w:rPr>
          <w:rFonts w:ascii="Times New Roman" w:hAnsi="Times New Roman" w:cs="Times New Roman" w:eastAsia="Times New Roman"/>
          <w:b/>
          <w:color w:val="1F3A8A"/>
          <w:sz w:val="24"/>
        </w:rPr>
        <w:t>4.2. Путь одного сообщения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Сообщение (текст или голос)  →  Контекст (профиль, события)  →  Сервер (токен и лимит)  →  Claude (готовая модель)  →  Ответ потоком (слово за словом)  →  На устройстве (чат в SQLite)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/>
          <w:sz w:val="22"/>
        </w:rPr>
        <w:t>Параллельно отдельный лёгкий запрос выделяет из текста события для планера. В чатах между людьми сообщения проверяет ИИ-модерация.</w:t>
      </w:r>
    </w:p>
    <w:p>
      <w:pPr>
        <w:keepNext/>
        <w:spacing w:before="160" w:after="120"/>
      </w:pPr>
      <w:r>
        <w:rPr>
          <w:rFonts w:ascii="Times New Roman" w:hAnsi="Times New Roman" w:cs="Times New Roman" w:eastAsia="Times New Roman"/>
          <w:b/>
          <w:color w:val="1F3A8A"/>
          <w:sz w:val="24"/>
        </w:rPr>
        <w:t>4.3. Что используется и чего нет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Используется</w:t>
            </w:r>
          </w:p>
        </w:tc>
        <w:tc>
          <w:tcPr>
            <w:tcW w:type="dxa" w:w="4819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Не используется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Готовая языковая модель (Claude Sonnet) через API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Дообучение модели (fine-tuning)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Наши сценарии: 25 упражнений, 4 ИИ-психолога, правила безопасности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Собственные датасеты переписок или медицинские датасеты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Данные пользователя из его аккаунта (с согласия)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Парсинг сайтов и покупные базы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Открытая статистика ВОЗ — только для обоснования проблемы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Обучение на разговорах пользователей</w:t>
            </w:r>
          </w:p>
        </w:tc>
      </w:tr>
    </w:tbl>
    <w:p>
      <w:pPr>
        <w:spacing w:after="40"/>
      </w:pPr>
    </w:p>
    <w:p>
      <w:pPr>
        <w:keepNext/>
        <w:spacing w:before="160" w:after="120"/>
      </w:pPr>
      <w:r>
        <w:rPr>
          <w:rFonts w:ascii="Times New Roman" w:hAnsi="Times New Roman" w:cs="Times New Roman" w:eastAsia="Times New Roman"/>
          <w:b/>
          <w:color w:val="1F3A8A"/>
          <w:sz w:val="24"/>
        </w:rPr>
        <w:t>4.4. Почему ИИ становится полезнее при использовании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Сама модель не учится на ваших разговорах. Полезнее становится приложение, потому что накапливается ваш контекст и улучшаются наши сценарии: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Глубже персонализация: чем больше диагностики, настроения, благодарностей и целей, тем точнее советы и план дня.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Память о планах: события из чата сохраняются, и ИИ напоминает о них и помогает подготовиться.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Обратная связь: отзывы и результаты тестов помогают нам улучшать сценарии и проверять качество на таджикском.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Обновления без новой версии приложения: защищённый сервер позволяет подключить более сильную модель, и все получают улучшение сразу.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/>
          <w:sz w:val="22"/>
        </w:rPr>
        <w:t>Ограничение: улучшения лежат в контексте и сценариях, а не в самообучении модели; мы не обещаем, что ответы станут «умнее» сами по себе.</w:t>
      </w:r>
    </w:p>
    <w:p>
      <w:pPr>
        <w:keepNext/>
        <w:spacing w:before="160" w:after="120"/>
      </w:pPr>
      <w:r>
        <w:rPr>
          <w:rFonts w:ascii="Times New Roman" w:hAnsi="Times New Roman" w:cs="Times New Roman" w:eastAsia="Times New Roman"/>
          <w:b/>
          <w:color w:val="1F3A8A"/>
          <w:sz w:val="24"/>
        </w:rPr>
        <w:t>4.5. Источники данных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175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Данные</w:t>
            </w:r>
          </w:p>
        </w:tc>
        <w:tc>
          <w:tcPr>
            <w:tcW w:type="dxa" w:w="3061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Где хранятся</w:t>
            </w:r>
          </w:p>
        </w:tc>
        <w:tc>
          <w:tcPr>
            <w:tcW w:type="dxa" w:w="3402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Для чего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Ответы диагностики и 90-дневный план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Firestore (аккаунт пользователя)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Составление плана, контекст чата и коуча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Расписание дня и события планера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Firestore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План дня, напоминания, память ИИ о планах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Настроение и благодарности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На устройстве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Контекст чата и коуча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История чатов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SQLite на устройстве (+ история аккаунта в Firestore)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Последние сообщения как контекст; чтение без сети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Сценарии упражнений и ИИ-психологов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В коде приложения (наши тексты)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Ведение 25 упражнений и 4 персон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Очки, уровни, серия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Firestore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Мотивация и прогресс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Статистика ВОЗ</w:t>
            </w:r>
          </w:p>
        </w:tc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Открытые источники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Только обоснование проблемы, не обучение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5. Достижения и внешнее признание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381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Достижение</w:t>
            </w:r>
          </w:p>
        </w:tc>
        <w:tc>
          <w:tcPr>
            <w:tcW w:type="dxa" w:w="4762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Подробности</w:t>
            </w:r>
          </w:p>
        </w:tc>
        <w:tc>
          <w:tcPr>
            <w:tcW w:type="dxa" w:w="2494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Подтверждение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 место в Центральной Азии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SwapUp Astana Leadership Program, Astana Hub, Астана, сентябрь 2026.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Приложение 1 (сертификат/диплом)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Оценка проекта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Жюри SwapUp оценило проект в US$ 20 000.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Приложение 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Интерес инвесторов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MOST Ventures проявили интерес к проекту.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Приложение 1 (письмо/переписка)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/>
          <w:sz w:val="22"/>
        </w:rPr>
        <w:t>Подтверждающие документы прилагаются в Приложении 1.</w:t>
      </w:r>
    </w:p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6. Соответствие требованиям номинации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402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Требование</w:t>
            </w:r>
          </w:p>
        </w:tc>
        <w:tc>
          <w:tcPr>
            <w:tcW w:type="dxa" w:w="6236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Как выполнено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Применение технологий ИИ в жизни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ИИ-чат, коуч, планер и диагностика на таджикском, русском и английском.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Создание новых и полезных приложений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Мобильное приложение для iOS и Android; 25 упражнений; запись к психологу.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Решение социальных и экономических задач средствами IT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Доступ к психологической помощи, снижение барьеров (цена, стыд, расстояние, язык), новый канал клиентов для психологов.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Исследование новых алгоритмов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Выделение дат и событий из переписки; личный план; ИИ на таджикской кириллице с буквами ӣ, ӯ, қ, ғ, ҳ, ҷ; «огонь недели» по выполненным целям.</w:t>
            </w:r>
          </w:p>
        </w:tc>
      </w:tr>
    </w:tbl>
    <w:p>
      <w:pPr>
        <w:spacing w:after="40"/>
      </w:pPr>
    </w:p>
    <w:p>
      <w:pPr>
        <w:spacing w:after="60" w:line="276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Требования к Акту внедрения и где они выполнены в документе: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Содержание — результаты применения проекта на практике: разделы 3, 5 и 10.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Эффективность — расчёт экономической выгоды: раздел 7.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Подтверждение — организацией, внедрившей проект: раздел 10 (протокольная форма).</w:t>
      </w:r>
    </w:p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7. Экономическая эффективность (прогнозный сценарий на 12 месяцев)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4D6"/>
          </w:tcPr>
          <w:p>
            <w:pPr>
              <w:spacing w:after="60" w:before="60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Внимание: это сценарий, а не фактический результат. Число загрузок и цена — допущения автора; после запуска их нужно заменить фактическими данными из App Store Connect и Google Play Console. Все суммы считаны в единой единице.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При указанных допущениях проект даёт около 13 429 с. чистой прибыли за год после всех расходов (с учётом труда автора).</w:t>
      </w:r>
    </w:p>
    <w:p>
      <w:pPr>
        <w:keepNext/>
        <w:spacing w:before="160" w:after="120"/>
      </w:pPr>
      <w:r>
        <w:rPr>
          <w:rFonts w:ascii="Times New Roman" w:hAnsi="Times New Roman" w:cs="Times New Roman" w:eastAsia="Times New Roman"/>
          <w:b/>
          <w:color w:val="1F3A8A"/>
          <w:sz w:val="24"/>
        </w:rPr>
        <w:t>7.1. Допущения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4762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Показатель</w:t>
            </w:r>
          </w:p>
        </w:tc>
        <w:tc>
          <w:tcPr>
            <w:tcW w:type="dxa" w:w="2494"/>
            <w:shd w:val="clear" w:color="auto" w:fill="1F3A8A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Значение</w:t>
            </w:r>
          </w:p>
        </w:tc>
        <w:tc>
          <w:tcPr>
            <w:tcW w:type="dxa" w:w="2381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Источник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Платные загрузки iOS (США, Европа, Азия)</w:t>
            </w:r>
          </w:p>
        </w:tc>
        <w:tc>
          <w:tcPr>
            <w:tcW w:type="dxa" w:w="249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9 837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допущение автора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Цена приложения</w:t>
            </w:r>
          </w:p>
        </w:tc>
        <w:tc>
          <w:tcPr>
            <w:tcW w:type="dxa" w:w="249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5,00 с.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допущение автора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Бесплатные загрузки Android</w:t>
            </w:r>
          </w:p>
        </w:tc>
        <w:tc>
          <w:tcPr>
            <w:tcW w:type="dxa" w:w="249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19 872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допущение автора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iOS в Центральной Азии</w:t>
            </w:r>
          </w:p>
        </w:tc>
        <w:tc>
          <w:tcPr>
            <w:tcW w:type="dxa" w:w="249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бесплатно, дохода нет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политика проекта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Комиссия Apple (в чувствительности — 30%)</w:t>
            </w:r>
          </w:p>
        </w:tc>
        <w:tc>
          <w:tcPr>
            <w:tcW w:type="dxa" w:w="249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15% / 30%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правила Apple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Активная аудитория в месяц (25% от загрузок)</w:t>
            </w:r>
          </w:p>
        </w:tc>
        <w:tc>
          <w:tcPr>
            <w:tcW w:type="dxa" w:w="249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7 427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оценка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ИИ-обращений на активного пользователя в месяц</w:t>
            </w:r>
          </w:p>
        </w:tc>
        <w:tc>
          <w:tcPr>
            <w:tcW w:type="dxa" w:w="249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оценка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Стоимость одного ИИ-обращения</w:t>
            </w:r>
          </w:p>
        </w:tc>
        <w:tc>
          <w:tcPr>
            <w:tcW w:type="dxa" w:w="249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0,01455 с.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оценка</w:t>
            </w:r>
          </w:p>
        </w:tc>
      </w:tr>
    </w:tbl>
    <w:p>
      <w:pPr>
        <w:spacing w:after="40"/>
      </w:pPr>
    </w:p>
    <w:p>
      <w:pPr>
        <w:keepNext/>
        <w:spacing w:before="160" w:after="120"/>
      </w:pPr>
      <w:r>
        <w:rPr>
          <w:rFonts w:ascii="Times New Roman" w:hAnsi="Times New Roman" w:cs="Times New Roman" w:eastAsia="Times New Roman"/>
          <w:b/>
          <w:color w:val="1F3A8A"/>
          <w:sz w:val="24"/>
        </w:rPr>
        <w:t>7.2. Расходы за 12 месяцев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7370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Статья</w:t>
            </w:r>
          </w:p>
        </w:tc>
        <w:tc>
          <w:tcPr>
            <w:tcW w:type="dxa" w:w="2268"/>
            <w:shd w:val="clear" w:color="auto" w:fill="1F3A8A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Сумма, с.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ИИ (запросы к модели)</w:t>
            </w:r>
          </w:p>
        </w:tc>
        <w:tc>
          <w:tcPr>
            <w:tcW w:type="dxa" w:w="226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15 561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Маркетинг</w:t>
            </w:r>
          </w:p>
        </w:tc>
        <w:tc>
          <w:tcPr>
            <w:tcW w:type="dxa" w:w="226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2 000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Firebase</w:t>
            </w:r>
          </w:p>
        </w:tc>
        <w:tc>
          <w:tcPr>
            <w:tcW w:type="dxa" w:w="226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600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Защищённый сервер (Vercel)</w:t>
            </w:r>
          </w:p>
        </w:tc>
        <w:tc>
          <w:tcPr>
            <w:tcW w:type="dxa" w:w="226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240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Аккаунты разработчика (Apple + Google)</w:t>
            </w:r>
          </w:p>
        </w:tc>
        <w:tc>
          <w:tcPr>
            <w:tcW w:type="dxa" w:w="226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124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Резерв 10%</w:t>
            </w:r>
          </w:p>
        </w:tc>
        <w:tc>
          <w:tcPr>
            <w:tcW w:type="dxa" w:w="226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1 853</w:t>
            </w:r>
          </w:p>
        </w:tc>
      </w:tr>
      <w:tr>
        <w:trPr>
          <w:cantSplit w:val="true"/>
        </w:trPr>
        <w:tc>
          <w:tcPr>
            <w:tcW w:type="dxa" w:w="7370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Итого операционные</w:t>
            </w:r>
          </w:p>
        </w:tc>
        <w:tc>
          <w:tcPr>
            <w:tcW w:type="dxa" w:w="2268"/>
            <w:shd w:val="clear" w:color="auto" w:fill="EEF1FB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20 378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Труд автора (условно, 8 мес. × 1 000 с.)</w:t>
            </w:r>
          </w:p>
        </w:tc>
        <w:tc>
          <w:tcPr>
            <w:tcW w:type="dxa" w:w="226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8 000</w:t>
            </w:r>
          </w:p>
        </w:tc>
      </w:tr>
      <w:tr>
        <w:trPr>
          <w:cantSplit w:val="true"/>
        </w:trPr>
        <w:tc>
          <w:tcPr>
            <w:tcW w:type="dxa" w:w="7370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Всего расходов</w:t>
            </w:r>
          </w:p>
        </w:tc>
        <w:tc>
          <w:tcPr>
            <w:tcW w:type="dxa" w:w="2268"/>
            <w:shd w:val="clear" w:color="auto" w:fill="EEF1FB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28 378</w:t>
            </w:r>
          </w:p>
        </w:tc>
      </w:tr>
    </w:tbl>
    <w:p>
      <w:pPr>
        <w:spacing w:after="40"/>
      </w:pPr>
    </w:p>
    <w:p>
      <w:pPr>
        <w:keepNext/>
        <w:spacing w:before="160" w:after="120"/>
      </w:pPr>
      <w:r>
        <w:rPr>
          <w:rFonts w:ascii="Times New Roman" w:hAnsi="Times New Roman" w:cs="Times New Roman" w:eastAsia="Times New Roman"/>
          <w:b/>
          <w:color w:val="1F3A8A"/>
          <w:sz w:val="24"/>
        </w:rPr>
        <w:t>7.3. Доходы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7370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Статья</w:t>
            </w:r>
          </w:p>
        </w:tc>
        <w:tc>
          <w:tcPr>
            <w:tcW w:type="dxa" w:w="2268"/>
            <w:shd w:val="clear" w:color="auto" w:fill="1F3A8A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Сумма, с.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Валовая выручка iOS: 9 837 × 5</w:t>
            </w:r>
          </w:p>
        </w:tc>
        <w:tc>
          <w:tcPr>
            <w:tcW w:type="dxa" w:w="226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49 185,00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Комиссия Apple 15%</w:t>
            </w:r>
          </w:p>
        </w:tc>
        <w:tc>
          <w:tcPr>
            <w:tcW w:type="dxa" w:w="226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− 7 377,75</w:t>
            </w:r>
          </w:p>
        </w:tc>
      </w:tr>
      <w:tr>
        <w:trPr>
          <w:cantSplit w:val="true"/>
        </w:trPr>
        <w:tc>
          <w:tcPr>
            <w:tcW w:type="dxa" w:w="7370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Чистый доход</w:t>
            </w:r>
          </w:p>
        </w:tc>
        <w:tc>
          <w:tcPr>
            <w:tcW w:type="dxa" w:w="2268"/>
            <w:shd w:val="clear" w:color="auto" w:fill="EEF1FB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41 807,25</w:t>
            </w:r>
          </w:p>
        </w:tc>
      </w:tr>
      <w:tr>
        <w:trPr>
          <w:cantSplit w:val="true"/>
        </w:trPr>
        <w:tc>
          <w:tcPr>
            <w:tcW w:type="dxa" w:w="737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Android (19 872 бесплатных загрузки): прямого дохода нет</w:t>
            </w:r>
          </w:p>
        </w:tc>
        <w:tc>
          <w:tcPr>
            <w:tcW w:type="dxa" w:w="2268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0</w:t>
            </w:r>
          </w:p>
        </w:tc>
      </w:tr>
    </w:tbl>
    <w:p>
      <w:pPr>
        <w:spacing w:after="40"/>
      </w:pPr>
    </w:p>
    <w:p>
      <w:pPr>
        <w:keepNext/>
        <w:spacing w:before="160" w:after="120"/>
      </w:pPr>
      <w:r>
        <w:rPr>
          <w:rFonts w:ascii="Times New Roman" w:hAnsi="Times New Roman" w:cs="Times New Roman" w:eastAsia="Times New Roman"/>
          <w:b/>
          <w:color w:val="1F3A8A"/>
          <w:sz w:val="24"/>
        </w:rPr>
        <w:t>7.4. Итог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5102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Показатель</w:t>
            </w:r>
          </w:p>
        </w:tc>
        <w:tc>
          <w:tcPr>
            <w:tcW w:type="dxa" w:w="4535"/>
            <w:shd w:val="clear" w:color="auto" w:fill="1F3A8A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Чистая прибыль с учётом труда</w:t>
            </w:r>
          </w:p>
        </w:tc>
        <w:tc>
          <w:tcPr>
            <w:tcW w:type="dxa" w:w="453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13 429 с.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Денежная прибыль (без труда автора)</w:t>
            </w:r>
          </w:p>
        </w:tc>
        <w:tc>
          <w:tcPr>
            <w:tcW w:type="dxa" w:w="453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21 429 с.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ROI</w:t>
            </w:r>
          </w:p>
        </w:tc>
        <w:tc>
          <w:tcPr>
            <w:tcW w:type="dxa" w:w="453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47,3%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Окупаемость</w:t>
            </w:r>
          </w:p>
        </w:tc>
        <w:tc>
          <w:tcPr>
            <w:tcW w:type="dxa" w:w="453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≈ 8,1 мес.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Точка безубыточности</w:t>
            </w:r>
          </w:p>
        </w:tc>
        <w:tc>
          <w:tcPr>
            <w:tcW w:type="dxa" w:w="4535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≈ 6 182 платных загрузки iOS (≈ 63% от сценария)</w:t>
            </w:r>
          </w:p>
        </w:tc>
      </w:tr>
    </w:tbl>
    <w:p>
      <w:pPr>
        <w:spacing w:after="40"/>
      </w:pPr>
    </w:p>
    <w:p>
      <w:pPr>
        <w:keepNext/>
        <w:spacing w:before="160" w:after="120"/>
      </w:pPr>
      <w:r>
        <w:rPr>
          <w:rFonts w:ascii="Times New Roman" w:hAnsi="Times New Roman" w:cs="Times New Roman" w:eastAsia="Times New Roman"/>
          <w:b/>
          <w:color w:val="1F3A8A"/>
          <w:sz w:val="24"/>
        </w:rPr>
        <w:t>7.5. Чувствительность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3742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Сценарий</w:t>
            </w:r>
          </w:p>
        </w:tc>
        <w:tc>
          <w:tcPr>
            <w:tcW w:type="dxa" w:w="1814"/>
            <w:shd w:val="clear" w:color="auto" w:fill="1F3A8A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Чистый доход</w:t>
            </w:r>
          </w:p>
        </w:tc>
        <w:tc>
          <w:tcPr>
            <w:tcW w:type="dxa" w:w="1587"/>
            <w:shd w:val="clear" w:color="auto" w:fill="1F3A8A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Расходы</w:t>
            </w:r>
          </w:p>
        </w:tc>
        <w:tc>
          <w:tcPr>
            <w:tcW w:type="dxa" w:w="1361"/>
            <w:shd w:val="clear" w:color="auto" w:fill="1F3A8A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Прибыль</w:t>
            </w:r>
          </w:p>
        </w:tc>
        <w:tc>
          <w:tcPr>
            <w:tcW w:type="dxa" w:w="1134"/>
            <w:shd w:val="clear" w:color="auto" w:fill="1F3A8A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ROI</w:t>
            </w:r>
          </w:p>
        </w:tc>
      </w:tr>
      <w:tr>
        <w:trPr>
          <w:cantSplit w:val="true"/>
        </w:trPr>
        <w:tc>
          <w:tcPr>
            <w:tcW w:type="dxa" w:w="37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Базовый</w:t>
            </w:r>
          </w:p>
        </w:tc>
        <w:tc>
          <w:tcPr>
            <w:tcW w:type="dxa" w:w="181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41 807</w:t>
            </w:r>
          </w:p>
        </w:tc>
        <w:tc>
          <w:tcPr>
            <w:tcW w:type="dxa" w:w="1587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28 378</w:t>
            </w:r>
          </w:p>
        </w:tc>
        <w:tc>
          <w:tcPr>
            <w:tcW w:type="dxa" w:w="1361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13 429</w:t>
            </w:r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47,3%</w:t>
            </w:r>
          </w:p>
        </w:tc>
      </w:tr>
      <w:tr>
        <w:trPr>
          <w:cantSplit w:val="true"/>
        </w:trPr>
        <w:tc>
          <w:tcPr>
            <w:tcW w:type="dxa" w:w="37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Комиссия Apple 30%</w:t>
            </w:r>
          </w:p>
        </w:tc>
        <w:tc>
          <w:tcPr>
            <w:tcW w:type="dxa" w:w="181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34 430</w:t>
            </w:r>
          </w:p>
        </w:tc>
        <w:tc>
          <w:tcPr>
            <w:tcW w:type="dxa" w:w="1587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28 378</w:t>
            </w:r>
          </w:p>
        </w:tc>
        <w:tc>
          <w:tcPr>
            <w:tcW w:type="dxa" w:w="1361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6 052</w:t>
            </w:r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21,3%</w:t>
            </w:r>
          </w:p>
        </w:tc>
      </w:tr>
      <w:tr>
        <w:trPr>
          <w:cantSplit w:val="true"/>
        </w:trPr>
        <w:tc>
          <w:tcPr>
            <w:tcW w:type="dxa" w:w="37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Активность 40% вместо 25%</w:t>
            </w:r>
          </w:p>
        </w:tc>
        <w:tc>
          <w:tcPr>
            <w:tcW w:type="dxa" w:w="181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41 807</w:t>
            </w:r>
          </w:p>
        </w:tc>
        <w:tc>
          <w:tcPr>
            <w:tcW w:type="dxa" w:w="1587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38 647</w:t>
            </w:r>
          </w:p>
        </w:tc>
        <w:tc>
          <w:tcPr>
            <w:tcW w:type="dxa" w:w="1361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3 160</w:t>
            </w:r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8,2%</w:t>
            </w:r>
          </w:p>
        </w:tc>
      </w:tr>
      <w:tr>
        <w:trPr>
          <w:cantSplit w:val="true"/>
        </w:trPr>
        <w:tc>
          <w:tcPr>
            <w:tcW w:type="dxa" w:w="37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Платных загрузок вдвое меньше (4 919)</w:t>
            </w:r>
          </w:p>
        </w:tc>
        <w:tc>
          <w:tcPr>
            <w:tcW w:type="dxa" w:w="181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20 906</w:t>
            </w:r>
          </w:p>
        </w:tc>
        <w:tc>
          <w:tcPr>
            <w:tcW w:type="dxa" w:w="1587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25 542</w:t>
            </w:r>
          </w:p>
        </w:tc>
        <w:tc>
          <w:tcPr>
            <w:tcW w:type="dxa" w:w="1361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− 4 636</w:t>
            </w:r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− 18,2%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/>
          <w:sz w:val="22"/>
        </w:rPr>
        <w:t>Сценарий устойчив к комиссии и росту нагрузки, но убыточен, если платных загрузок меньше ≈ 6 200. ИИ — главная статья расходов (≈ 55%).</w:t>
      </w:r>
    </w:p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8. Социальный эффект и показатели контроля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Группа</w:t>
            </w:r>
          </w:p>
        </w:tc>
        <w:tc>
          <w:tcPr>
            <w:tcW w:type="dxa" w:w="3628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Польза</w:t>
            </w:r>
          </w:p>
        </w:tc>
        <w:tc>
          <w:tcPr>
            <w:tcW w:type="dxa" w:w="4309"/>
            <w:shd w:val="clear" w:color="auto" w:fill="1F3A8A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color w:val="FFFFFF"/>
                <w:sz w:val="21"/>
              </w:rPr>
              <w:t>Как измерять (KPI)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Пользователи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Помощь 24/7 на родном языке; раннее обращение за помощью.</w:t>
            </w:r>
          </w:p>
        </w:tc>
        <w:tc>
          <w:tcPr>
            <w:tcW w:type="dxa" w:w="430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Число активных пользователей в месяц; доля вернувшихся через 7 и 30 дней; динамика настроения.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Психологи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Новый канал клиентов без комиссии приложения.</w:t>
            </w:r>
          </w:p>
        </w:tc>
        <w:tc>
          <w:tcPr>
            <w:tcW w:type="dxa" w:w="430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Число записей к психологу в месяц.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Система здравоохранения</w:t>
            </w:r>
          </w:p>
        </w:tc>
        <w:tc>
          <w:tcPr>
            <w:tcW w:type="dxa" w:w="362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Разгрузка: лёгкие случаи закрываются самопомощью, тяжёлые направляются к специалисту.</w:t>
            </w:r>
          </w:p>
        </w:tc>
        <w:tc>
          <w:tcPr>
            <w:tcW w:type="dxa" w:w="4309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Доля пользователей, перешедших к «Записи к психологу».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9. Риски и ограничения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Модель приложения в App Store должна совпадать со сценарием экономики (платная загрузка или бесплатная).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ИИ может ошибаться и не является врачом: согласие пользователя, запрет медицинских диагнозов в инструкциях, направление к специалистам.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Качество ИИ на таджикском: явные инструкции по кириллице и особым буквам; проверка носителями языка.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Зависимость от внешнего поставщика ИИ и рост цен: защищённый сервер позволяет менять модель.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Убыточность при платных загрузках менее ≈ 6 200.</w:t>
      </w:r>
    </w:p>
    <w:p>
      <w:r>
        <w:br w:type="page"/>
      </w:r>
    </w:p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10. Акт внедрения — протокольная форма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EF1FB"/>
          </w:tcPr>
          <w:p>
            <w:pPr>
              <w:spacing w:after="60" w:before="60"/>
            </w:pPr>
            <w:r/>
            <w:r>
              <w:rPr>
                <w:rFonts w:ascii="Times New Roman" w:hAnsi="Times New Roman" w:cs="Times New Roman" w:eastAsia="Times New Roman"/>
                <w:sz w:val="22"/>
              </w:rPr>
              <w:t>Эту форму заполняет только организация, которая реально использует проект (школа, университет, центр психологической помощи, клиника). Акт заверяется подписью и печатью организации. Вносятся только фактические данные; цифры раздела 7 сюда не переносятся, пока не подтверждены.</w:t>
            </w:r>
          </w:p>
        </w:tc>
      </w:tr>
    </w:tbl>
    <w:p>
      <w:pPr>
        <w:spacing w:after="40"/>
      </w:pPr>
    </w:p>
    <w:p>
      <w:pPr>
        <w:spacing w:after="16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АКТ № ____ о внедрении результатов проекта «Miraj AI»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Дата и место составления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[дата], [город]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Организация, внедрившая решение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[полное наименование, адрес, реквизиты]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Представитель организации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[ФИО, должность]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Автор проекта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[ФИО, должность/место учёбы]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Основание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Соглашение / заявка № ____ от [дата] (если есть)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Что внедрено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Мобильное приложение Miraj AI (платформы и версия: [указать]); используемые функции: [перечень]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Период использования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с [дата] по [дата]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Кто и сколько человек пользовались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[число, группа]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Фактические результаты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[например: число обращений, записей к психологу, сэкономленное время, сэкономленная сумма]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Экономический эффект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[сумма, единица] — метод расчёта: [описание]</w:t>
            </w:r>
          </w:p>
        </w:tc>
      </w:tr>
      <w:tr>
        <w:trPr>
          <w:cantSplit w:val="true"/>
        </w:trPr>
        <w:tc>
          <w:tcPr>
            <w:tcW w:type="dxa" w:w="3175"/>
            <w:shd w:val="clear" w:color="auto" w:fill="EEF1FB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/>
                <w:sz w:val="21"/>
              </w:rPr>
              <w:t>Замечания и предложения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 w:eastAsia="Times New Roman"/>
                <w:b w:val="0"/>
                <w:sz w:val="21"/>
              </w:rPr>
              <w:t>[текст]</w:t>
            </w:r>
          </w:p>
        </w:tc>
      </w:tr>
    </w:tbl>
    <w:p/>
    <w:p>
      <w:pPr>
        <w:spacing w:after="280" w:line="276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Заключение организации: решение внедрено и используется; приведённые данные достоверны.</w:t>
      </w:r>
    </w:p>
    <w:p>
      <w:pPr>
        <w:spacing w:after="28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Руководитель организации: ____________ / [ФИО] / М.П.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Автор проекта: ____________ / [ФИО]</w:t>
      </w:r>
    </w:p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11. Приложения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Приложение 1. Сертификат/диплом SwapUp Astana Leadership Program; письмо/переписка MOST Ventures.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Приложение 2. Скриншоты App Store Connect и Google Play Console (загрузки, продажи, страны).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Приложение 3. Отчёт Firebase Analytics (активные пользователи, удержание).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Приложение 4. Реальные счета за ИИ, Firebase и хостинг (вместо оценок раздела 7).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Приложение 5. Подписанный и заверенный акт организации-внедренца (раздел 10).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Приложение 6. Скриншоты и видео работы приложения на трёх языках.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Ссылки: сайт https://miraj-ai.vercel.app; APK https://miraj-ai.vercel.app/downloads/miraj-ai-1.0.apk.</w:t>
      </w:r>
    </w:p>
    <w:p>
      <w:pPr>
        <w:keepNext/>
        <w:spacing w:before="280" w:after="120"/>
        <w:pBdr>
          <w:bottom w:val="single" w:sz="6" w:space="1" w:color="1F3A8A"/>
        </w:pBdr>
      </w:pPr>
      <w:r>
        <w:rPr>
          <w:rFonts w:ascii="Times New Roman" w:hAnsi="Times New Roman" w:cs="Times New Roman" w:eastAsia="Times New Roman"/>
          <w:b/>
          <w:color w:val="1F3A8A"/>
          <w:sz w:val="28"/>
        </w:rPr>
        <w:t>12. Источники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ВОЗ: Mental health — https://www.who.int/health-topics/mental-health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ВОЗ: Mental disorders — https://www.who.int/news-room/fact-sheets/detail/mental-disorders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ВОЗ: Depression — https://www.who.int/health-topics/depression/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ВОЗ: Mental health at work — https://www.who.int/news-room/fact-sheets/detail/mental-health-at-work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ВОЗ: World mental health report — https://www.ncbi.nlm.nih.gov/pmc/articles/PMC9511667/</w:t>
      </w:r>
    </w:p>
    <w:p>
      <w:pPr>
        <w:pStyle w:val="ListBullet"/>
        <w:spacing w:after="60" w:line="264" w:lineRule="auto"/>
      </w:pPr>
      <w:r>
        <w:rPr>
          <w:rFonts w:ascii="Times New Roman" w:hAnsi="Times New Roman" w:cs="Times New Roman" w:eastAsia="Times New Roman"/>
          <w:sz w:val="23"/>
        </w:rPr>
        <w:t>ВОЗ-AIMS: Таджикистан (2009) — https://www.ecoi.net/en/file/local/1232875/1788_1308393449_tajikistan-who-aims-report.pdf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color w:val="555C74"/>
        <w:sz w:val="18"/>
      </w:rPr>
      <w:t xml:space="preserve">Miraj AI — Акт внедрения   |   </w:t>
    </w:r>
    <w:r>
      <w:rPr>
        <w:rFonts w:ascii="Times New Roman" w:hAnsi="Times New Roman" w:cs="Times New Roman" w:eastAsia="Times New Roman"/>
        <w:color w:val="555C74"/>
        <w:sz w:val="18"/>
      </w:rPr>
      <w:t xml:space="preserve">Страница </w:t>
    </w:r>
    <w:r>
      <w:rPr>
        <w:rFonts w:ascii="Times New Roman" w:hAnsi="Times New Roman" w:cs="Times New Roman" w:eastAsia="Times New Roman"/>
        <w:color w:val="555C74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ВНЕДРЕНИЯ — Miraj AI</dc:title>
  <dc:subject/>
  <dc:creator>Miraj 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