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color w:val="888888"/>
          <w:sz w:val="24"/>
          <w:szCs w:val="24"/>
        </w:rPr>
        <w:t xml:space="preserve">Architecture Decision Record</w:t>
      </w:r>
    </w:p>
    <w:p>
      <w:pPr>
        <w:spacing w:after="200" w:before="0"/>
      </w:pPr>
      <w:r>
        <w:rPr>
          <w:rFonts w:ascii="Arial" w:cs="Arial" w:eastAsia="Arial" w:hAnsi="Arial"/>
          <w:b/>
          <w:bCs/>
          <w:color w:val="1E4D8C"/>
          <w:sz w:val="36"/>
          <w:szCs w:val="36"/>
        </w:rPr>
        <w:t xml:space="preserve">ADR-0042: Adoption of Robusta HolmesGPT as the Organisation SRE Agent</w:t>
      </w:r>
    </w:p>
    <w:tbl>
      <w:tblPr>
        <w:tblW w:type="dxa" w:w="2000"/>
        <w:tblBorders>
          <w:top w:val="single" w:color="auto" w:sz="4"/>
          <w:left w:val="single" w:color="auto" w:sz="4"/>
          <w:bottom w:val="single" w:color="auto" w:sz="4"/>
          <w:right w:val="single" w:color="auto" w:sz="4"/>
          <w:insideH w:val="single" w:color="auto" w:sz="4"/>
          <w:insideV w:val="single" w:color="auto" w:sz="4"/>
        </w:tblBorders>
      </w:tblPr>
      <w:tblGrid>
        <w:gridCol w:w="2000"/>
      </w:tblGrid>
      <w:tr>
        <w:tc>
          <w:tcPr>
            <w:tcBorders>
              <w:top w:val="single" w:color="CCCCCC" w:sz="1"/>
              <w:left w:val="single" w:color="CCCCCC" w:sz="1"/>
              <w:bottom w:val="single" w:color="CCCCCC" w:sz="1"/>
              <w:right w:val="single" w:color="CCCCCC" w:sz="1"/>
            </w:tcBorders>
            <w:shd w:fill="FFF3CD" w:val="clear"/>
            <w:tcMar>
              <w:top w:type="dxa" w:w="80"/>
              <w:left w:type="dxa" w:w="160"/>
              <w:bottom w:type="dxa" w:w="80"/>
              <w:right w:type="dxa" w:w="160"/>
            </w:tcMar>
          </w:tcPr>
          <w:p>
            <w:pPr>
              <w:jc w:val="center"/>
            </w:pPr>
            <w:r>
              <w:rPr>
                <w:rFonts w:ascii="Arial" w:cs="Arial" w:eastAsia="Arial" w:hAnsi="Arial"/>
                <w:b/>
                <w:bCs/>
                <w:color w:val="2C2C2C"/>
                <w:sz w:val="20"/>
                <w:szCs w:val="20"/>
              </w:rPr>
              <w:t xml:space="preserve">PROPOSED</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0E4F7" w:val="clear"/>
            <w:tcMar>
              <w:top w:type="dxa" w:w="80"/>
              <w:left w:type="dxa" w:w="160"/>
              <w:bottom w:type="dxa" w:w="80"/>
              <w:right w:type="dxa" w:w="160"/>
            </w:tcMar>
          </w:tcPr>
          <w:p>
            <w:r>
              <w:rPr>
                <w:rFonts w:ascii="Arial" w:cs="Arial" w:eastAsia="Arial" w:hAnsi="Arial"/>
                <w:b/>
                <w:bCs/>
                <w:color w:val="1E4D8C"/>
                <w:sz w:val="20"/>
                <w:szCs w:val="20"/>
              </w:rPr>
              <w:t xml:space="preserve">Date</w:t>
            </w:r>
          </w:p>
        </w:tc>
        <w:tc>
          <w:tcPr>
            <w:tcW w:type="dxa" w:w="7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C2C2C"/>
                <w:sz w:val="20"/>
                <w:szCs w:val="20"/>
              </w:rPr>
              <w:t xml:space="preserve">2026-06-08</w:t>
            </w:r>
          </w:p>
        </w:tc>
      </w:tr>
      <w:tr>
        <w:tc>
          <w:tcPr>
            <w:tcW w:type="dxa" w:w="2200"/>
            <w:tcBorders>
              <w:top w:val="single" w:color="CCCCCC" w:sz="1"/>
              <w:left w:val="single" w:color="CCCCCC" w:sz="1"/>
              <w:bottom w:val="single" w:color="CCCCCC" w:sz="1"/>
              <w:right w:val="single" w:color="CCCCCC" w:sz="1"/>
            </w:tcBorders>
            <w:shd w:fill="D0E4F7" w:val="clear"/>
            <w:tcMar>
              <w:top w:type="dxa" w:w="80"/>
              <w:left w:type="dxa" w:w="160"/>
              <w:bottom w:type="dxa" w:w="80"/>
              <w:right w:type="dxa" w:w="160"/>
            </w:tcMar>
          </w:tcPr>
          <w:p>
            <w:r>
              <w:rPr>
                <w:rFonts w:ascii="Arial" w:cs="Arial" w:eastAsia="Arial" w:hAnsi="Arial"/>
                <w:b/>
                <w:bCs/>
                <w:color w:val="1E4D8C"/>
                <w:sz w:val="20"/>
                <w:szCs w:val="20"/>
              </w:rPr>
              <w:t xml:space="preserve">Author(s)</w:t>
            </w:r>
          </w:p>
        </w:tc>
        <w:tc>
          <w:tcPr>
            <w:tcW w:type="dxa" w:w="7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C2C2C"/>
                <w:sz w:val="20"/>
                <w:szCs w:val="20"/>
              </w:rPr>
              <w:t xml:space="preserve">&lt;Your Name&gt;, Platform Engineering</w:t>
            </w:r>
          </w:p>
        </w:tc>
      </w:tr>
      <w:tr>
        <w:tc>
          <w:tcPr>
            <w:tcW w:type="dxa" w:w="2200"/>
            <w:tcBorders>
              <w:top w:val="single" w:color="CCCCCC" w:sz="1"/>
              <w:left w:val="single" w:color="CCCCCC" w:sz="1"/>
              <w:bottom w:val="single" w:color="CCCCCC" w:sz="1"/>
              <w:right w:val="single" w:color="CCCCCC" w:sz="1"/>
            </w:tcBorders>
            <w:shd w:fill="D0E4F7" w:val="clear"/>
            <w:tcMar>
              <w:top w:type="dxa" w:w="80"/>
              <w:left w:type="dxa" w:w="160"/>
              <w:bottom w:type="dxa" w:w="80"/>
              <w:right w:type="dxa" w:w="160"/>
            </w:tcMar>
          </w:tcPr>
          <w:p>
            <w:r>
              <w:rPr>
                <w:rFonts w:ascii="Arial" w:cs="Arial" w:eastAsia="Arial" w:hAnsi="Arial"/>
                <w:b/>
                <w:bCs/>
                <w:color w:val="1E4D8C"/>
                <w:sz w:val="20"/>
                <w:szCs w:val="20"/>
              </w:rPr>
              <w:t xml:space="preserve">Reviewers</w:t>
            </w:r>
          </w:p>
        </w:tc>
        <w:tc>
          <w:tcPr>
            <w:tcW w:type="dxa" w:w="7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C2C2C"/>
                <w:sz w:val="20"/>
                <w:szCs w:val="20"/>
              </w:rPr>
              <w:t xml:space="preserve">SRE Lead, Security, Platform Arch</w:t>
            </w:r>
          </w:p>
        </w:tc>
      </w:tr>
      <w:tr>
        <w:tc>
          <w:tcPr>
            <w:tcW w:type="dxa" w:w="2200"/>
            <w:tcBorders>
              <w:top w:val="single" w:color="CCCCCC" w:sz="1"/>
              <w:left w:val="single" w:color="CCCCCC" w:sz="1"/>
              <w:bottom w:val="single" w:color="CCCCCC" w:sz="1"/>
              <w:right w:val="single" w:color="CCCCCC" w:sz="1"/>
            </w:tcBorders>
            <w:shd w:fill="D0E4F7" w:val="clear"/>
            <w:tcMar>
              <w:top w:type="dxa" w:w="80"/>
              <w:left w:type="dxa" w:w="160"/>
              <w:bottom w:type="dxa" w:w="80"/>
              <w:right w:type="dxa" w:w="160"/>
            </w:tcMar>
          </w:tcPr>
          <w:p>
            <w:r>
              <w:rPr>
                <w:rFonts w:ascii="Arial" w:cs="Arial" w:eastAsia="Arial" w:hAnsi="Arial"/>
                <w:b/>
                <w:bCs/>
                <w:color w:val="1E4D8C"/>
                <w:sz w:val="20"/>
                <w:szCs w:val="20"/>
              </w:rPr>
              <w:t xml:space="preserve">Supersedes</w:t>
            </w:r>
          </w:p>
        </w:tc>
        <w:tc>
          <w:tcPr>
            <w:tcW w:type="dxa" w:w="7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C2C2C"/>
                <w:sz w:val="20"/>
                <w:szCs w:val="20"/>
              </w:rPr>
              <w:t xml:space="preserve">—</w:t>
            </w:r>
          </w:p>
        </w:tc>
      </w:tr>
      <w:tr>
        <w:tc>
          <w:tcPr>
            <w:tcW w:type="dxa" w:w="2200"/>
            <w:tcBorders>
              <w:top w:val="single" w:color="CCCCCC" w:sz="1"/>
              <w:left w:val="single" w:color="CCCCCC" w:sz="1"/>
              <w:bottom w:val="single" w:color="CCCCCC" w:sz="1"/>
              <w:right w:val="single" w:color="CCCCCC" w:sz="1"/>
            </w:tcBorders>
            <w:shd w:fill="D0E4F7" w:val="clear"/>
            <w:tcMar>
              <w:top w:type="dxa" w:w="80"/>
              <w:left w:type="dxa" w:w="160"/>
              <w:bottom w:type="dxa" w:w="80"/>
              <w:right w:type="dxa" w:w="160"/>
            </w:tcMar>
          </w:tcPr>
          <w:p>
            <w:r>
              <w:rPr>
                <w:rFonts w:ascii="Arial" w:cs="Arial" w:eastAsia="Arial" w:hAnsi="Arial"/>
                <w:b/>
                <w:bCs/>
                <w:color w:val="1E4D8C"/>
                <w:sz w:val="20"/>
                <w:szCs w:val="20"/>
              </w:rPr>
              <w:t xml:space="preserve">Tags</w:t>
            </w:r>
          </w:p>
        </w:tc>
        <w:tc>
          <w:tcPr>
            <w:tcW w:type="dxa" w:w="7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C2C2C"/>
                <w:sz w:val="20"/>
                <w:szCs w:val="20"/>
              </w:rPr>
              <w:t xml:space="preserve">sre, incident-response, ai, observability, mcp, security</w:t>
            </w:r>
          </w:p>
        </w:tc>
      </w:tr>
    </w:tbl>
    <w:p>
      <w:pPr>
        <w:spacing w:after="0" w:before="240"/>
      </w:pPr>
    </w:p>
    <w:p>
      <w:pPr>
        <w:pStyle w:val="Heading1"/>
        <w:pBdr>
          <w:bottom w:val="single" w:color="1E4D8C" w:sz="8" w:space="6"/>
        </w:pBdr>
        <w:spacing w:after="160" w:before="320"/>
      </w:pPr>
      <w:r>
        <w:rPr>
          <w:rFonts w:ascii="Arial" w:cs="Arial" w:eastAsia="Arial" w:hAnsi="Arial"/>
          <w:b/>
          <w:bCs/>
          <w:color w:val="1E4D8C"/>
          <w:sz w:val="32"/>
          <w:szCs w:val="32"/>
        </w:rPr>
        <w:t xml:space="preserve">1. Status</w:t>
      </w:r>
    </w:p>
    <w:p>
      <w:pPr>
        <w:spacing w:after="80" w:before="80"/>
      </w:pPr>
      <w:r>
        <w:rPr>
          <w:rFonts w:ascii="Arial" w:cs="Arial" w:eastAsia="Arial" w:hAnsi="Arial"/>
          <w:color w:val="2C2C2C"/>
          <w:sz w:val="22"/>
          <w:szCs w:val="22"/>
        </w:rPr>
        <w:t xml:space="preserve">PROPOSED — pending review by SRE Lead and Security teams.</w:t>
      </w:r>
    </w:p>
    <w:p>
      <w:pPr>
        <w:spacing w:after="0" w:before="120"/>
      </w:pPr>
    </w:p>
    <w:p>
      <w:pPr>
        <w:pStyle w:val="Heading1"/>
        <w:pBdr>
          <w:bottom w:val="single" w:color="1E4D8C" w:sz="8" w:space="6"/>
        </w:pBdr>
        <w:spacing w:after="160" w:before="320"/>
      </w:pPr>
      <w:r>
        <w:rPr>
          <w:rFonts w:ascii="Arial" w:cs="Arial" w:eastAsia="Arial" w:hAnsi="Arial"/>
          <w:b/>
          <w:bCs/>
          <w:color w:val="1E4D8C"/>
          <w:sz w:val="32"/>
          <w:szCs w:val="32"/>
        </w:rPr>
        <w:t xml:space="preserve">2. Context</w:t>
      </w:r>
    </w:p>
    <w:p>
      <w:pPr>
        <w:spacing w:after="80" w:before="80"/>
      </w:pPr>
      <w:r>
        <w:rPr>
          <w:rFonts w:ascii="Arial" w:cs="Arial" w:eastAsia="Arial" w:hAnsi="Arial"/>
          <w:color w:val="2C2C2C"/>
          <w:sz w:val="22"/>
          <w:szCs w:val="22"/>
        </w:rPr>
        <w:t xml:space="preserve">Our organisation runs microservices across multiple Kubernetes namespaces. Alert fatigue, long MTTA (Mean Time to Acknowledge), and manual toil during incidents are persistent pain points. We need an AI-assisted investigation layer that:</w:t>
      </w:r>
    </w:p>
    <w:p>
      <w:pPr>
        <w:pStyle w:val="ListParagraph"/>
        <w:numPr>
          <w:ilvl w:val="0"/>
          <w:numId w:val="2"/>
        </w:numPr>
        <w:spacing w:after="60" w:before="60"/>
      </w:pPr>
      <w:r>
        <w:rPr>
          <w:rFonts w:ascii="Arial" w:cs="Arial" w:eastAsia="Arial" w:hAnsi="Arial"/>
          <w:b w:val="false"/>
          <w:bCs w:val="false"/>
          <w:color w:val="2C2C2C"/>
          <w:sz w:val="22"/>
          <w:szCs w:val="22"/>
        </w:rPr>
        <w:t xml:space="preserve">Automatically correlates Prometheus/Grafana alerts with Kubernetes resource state, logs (Loki), and traces (Tempo).</w:t>
      </w:r>
    </w:p>
    <w:p>
      <w:pPr>
        <w:pStyle w:val="ListParagraph"/>
        <w:numPr>
          <w:ilvl w:val="0"/>
          <w:numId w:val="2"/>
        </w:numPr>
        <w:spacing w:after="60" w:before="60"/>
      </w:pPr>
      <w:r>
        <w:rPr>
          <w:rFonts w:ascii="Arial" w:cs="Arial" w:eastAsia="Arial" w:hAnsi="Arial"/>
          <w:b w:val="false"/>
          <w:bCs w:val="false"/>
          <w:color w:val="2C2C2C"/>
          <w:sz w:val="22"/>
          <w:szCs w:val="22"/>
        </w:rPr>
        <w:t xml:space="preserve">Can be triggered by external systems — Grafana alerting webhooks, GitLab CI/CD pipeline failure hooks — without human intervention.</w:t>
      </w:r>
    </w:p>
    <w:p>
      <w:pPr>
        <w:pStyle w:val="ListParagraph"/>
        <w:numPr>
          <w:ilvl w:val="0"/>
          <w:numId w:val="2"/>
        </w:numPr>
        <w:spacing w:after="60" w:before="60"/>
      </w:pPr>
      <w:r>
        <w:rPr>
          <w:rFonts w:ascii="Arial" w:cs="Arial" w:eastAsia="Arial" w:hAnsi="Arial"/>
          <w:b w:val="false"/>
          <w:bCs w:val="false"/>
          <w:color w:val="2C2C2C"/>
          <w:sz w:val="22"/>
          <w:szCs w:val="22"/>
        </w:rPr>
        <w:t xml:space="preserve">Integrates with our observability stack (Grafana, Prometheus, Loki) and cluster access (kubectl) in a read-only, least-privilege manner.</w:t>
      </w:r>
    </w:p>
    <w:p>
      <w:pPr>
        <w:pStyle w:val="ListParagraph"/>
        <w:numPr>
          <w:ilvl w:val="0"/>
          <w:numId w:val="2"/>
        </w:numPr>
        <w:spacing w:after="60" w:before="60"/>
      </w:pPr>
      <w:r>
        <w:rPr>
          <w:rFonts w:ascii="Arial" w:cs="Arial" w:eastAsia="Arial" w:hAnsi="Arial"/>
          <w:b w:val="false"/>
          <w:bCs w:val="false"/>
          <w:color w:val="2C2C2C"/>
          <w:sz w:val="22"/>
          <w:szCs w:val="22"/>
        </w:rPr>
        <w:t xml:space="preserve">Operates entirely within our own infrastructure (no mandatory SaaS dependency).</w:t>
      </w:r>
    </w:p>
    <w:p>
      <w:pPr>
        <w:spacing w:after="0" w:before="80"/>
      </w:pPr>
    </w:p>
    <w:p>
      <w:pPr>
        <w:spacing w:after="80" w:before="80"/>
      </w:pPr>
      <w:r>
        <w:rPr>
          <w:rFonts w:ascii="Arial" w:cs="Arial" w:eastAsia="Arial" w:hAnsi="Arial"/>
          <w:color w:val="2C2C2C"/>
          <w:sz w:val="22"/>
          <w:szCs w:val="22"/>
        </w:rPr>
        <w:t xml:space="preserve">HolmesGPT (MIT-licensed, CNCF Sandbox) is an open-source SRE agent originally created by Robusta.Dev with major contributions from Microsoft. It runs an agentic loop to query live observability data and identify root causes. It is designed to be read-only by default and respects existing Kubernetes RBAC permissions.</w:t>
      </w:r>
    </w:p>
    <w:p>
      <w:pPr>
        <w:spacing w:after="0" w:before="120"/>
      </w:pPr>
    </w:p>
    <w:p>
      <w:pPr>
        <w:pStyle w:val="Heading1"/>
        <w:pBdr>
          <w:bottom w:val="single" w:color="1E4D8C" w:sz="8" w:space="6"/>
        </w:pBdr>
        <w:spacing w:after="160" w:before="320"/>
      </w:pPr>
      <w:r>
        <w:rPr>
          <w:rFonts w:ascii="Arial" w:cs="Arial" w:eastAsia="Arial" w:hAnsi="Arial"/>
          <w:b/>
          <w:bCs/>
          <w:color w:val="1E4D8C"/>
          <w:sz w:val="32"/>
          <w:szCs w:val="32"/>
        </w:rPr>
        <w:t xml:space="preserve">3. Decision</w:t>
      </w:r>
    </w:p>
    <w:p>
      <w:pPr>
        <w:spacing w:after="80" w:before="80"/>
      </w:pPr>
      <w:r>
        <w:rPr>
          <w:rFonts w:ascii="Arial" w:cs="Arial" w:eastAsia="Arial" w:hAnsi="Arial"/>
          <w:color w:val="2C2C2C"/>
          <w:sz w:val="22"/>
          <w:szCs w:val="22"/>
        </w:rPr>
        <w:t xml:space="preserve">We will self-host HolmesGPT as a Kubernetes Helm deployment, deployed in a dedicated holmesgpt namespace. We will:</w:t>
      </w:r>
    </w:p>
    <w:p>
      <w:pPr>
        <w:pStyle w:val="ListParagraph"/>
        <w:numPr>
          <w:ilvl w:val="0"/>
          <w:numId w:val="2"/>
        </w:numPr>
        <w:spacing w:after="60" w:before="60"/>
      </w:pPr>
      <w:r>
        <w:rPr>
          <w:rFonts w:ascii="Arial" w:cs="Arial" w:eastAsia="Arial" w:hAnsi="Arial"/>
          <w:b w:val="false"/>
          <w:bCs w:val="false"/>
          <w:color w:val="2C2C2C"/>
          <w:sz w:val="22"/>
          <w:szCs w:val="22"/>
        </w:rPr>
        <w:t xml:space="preserve">Enable API key authentication on the HolmesGPT HTTP server.</w:t>
      </w:r>
    </w:p>
    <w:p>
      <w:pPr>
        <w:pStyle w:val="ListParagraph"/>
        <w:numPr>
          <w:ilvl w:val="0"/>
          <w:numId w:val="2"/>
        </w:numPr>
        <w:spacing w:after="60" w:before="60"/>
      </w:pPr>
      <w:r>
        <w:rPr>
          <w:rFonts w:ascii="Arial" w:cs="Arial" w:eastAsia="Arial" w:hAnsi="Arial"/>
          <w:b w:val="false"/>
          <w:bCs w:val="false"/>
          <w:color w:val="2C2C2C"/>
          <w:sz w:val="22"/>
          <w:szCs w:val="22"/>
        </w:rPr>
        <w:t xml:space="preserve">Wire Grafana alerting and GitLab pipeline webhooks to the /api/investigate endpoint using a shared static API key stored in Kubernetes Secrets.</w:t>
      </w:r>
    </w:p>
    <w:p>
      <w:pPr>
        <w:pStyle w:val="ListParagraph"/>
        <w:numPr>
          <w:ilvl w:val="0"/>
          <w:numId w:val="2"/>
        </w:numPr>
        <w:spacing w:after="60" w:before="60"/>
      </w:pPr>
      <w:r>
        <w:rPr>
          <w:rFonts w:ascii="Arial" w:cs="Arial" w:eastAsia="Arial" w:hAnsi="Arial"/>
          <w:b w:val="false"/>
          <w:bCs w:val="false"/>
          <w:color w:val="2C2C2C"/>
          <w:sz w:val="22"/>
          <w:szCs w:val="22"/>
        </w:rPr>
        <w:t xml:space="preserve">Self-host a scoped Grafana MCP server exposing only our organisation's datasources.</w:t>
      </w:r>
    </w:p>
    <w:p>
      <w:pPr>
        <w:pStyle w:val="ListParagraph"/>
        <w:numPr>
          <w:ilvl w:val="0"/>
          <w:numId w:val="2"/>
        </w:numPr>
        <w:spacing w:after="60" w:before="60"/>
      </w:pPr>
      <w:r>
        <w:rPr>
          <w:rFonts w:ascii="Arial" w:cs="Arial" w:eastAsia="Arial" w:hAnsi="Arial"/>
          <w:b w:val="false"/>
          <w:bCs w:val="false"/>
          <w:color w:val="2C2C2C"/>
          <w:sz w:val="22"/>
          <w:szCs w:val="22"/>
        </w:rPr>
        <w:t xml:space="preserve">Self-host a scoped kubectl MCP server restricted to our permitted namespaces.</w:t>
      </w:r>
    </w:p>
    <w:p>
      <w:pPr>
        <w:pStyle w:val="ListParagraph"/>
        <w:numPr>
          <w:ilvl w:val="0"/>
          <w:numId w:val="2"/>
        </w:numPr>
        <w:spacing w:after="60" w:before="60"/>
      </w:pPr>
      <w:r>
        <w:rPr>
          <w:rFonts w:ascii="Arial" w:cs="Arial" w:eastAsia="Arial" w:hAnsi="Arial"/>
          <w:b w:val="false"/>
          <w:bCs w:val="false"/>
          <w:color w:val="2C2C2C"/>
          <w:sz w:val="22"/>
          <w:szCs w:val="22"/>
        </w:rPr>
        <w:t xml:space="preserve">Not connect HolmesGPT to the Robusta SaaS platform — all data remains on-premises.</w:t>
      </w:r>
    </w:p>
    <w:p>
      <w:pPr>
        <w:spacing w:after="0" w:before="120"/>
      </w:pPr>
    </w:p>
    <w:p>
      <w:pPr>
        <w:pStyle w:val="Heading1"/>
        <w:pBdr>
          <w:bottom w:val="single" w:color="1E4D8C" w:sz="8" w:space="6"/>
        </w:pBdr>
        <w:spacing w:after="160" w:before="320"/>
      </w:pPr>
      <w:r>
        <w:rPr>
          <w:rFonts w:ascii="Arial" w:cs="Arial" w:eastAsia="Arial" w:hAnsi="Arial"/>
          <w:b/>
          <w:bCs/>
          <w:color w:val="1E4D8C"/>
          <w:sz w:val="32"/>
          <w:szCs w:val="32"/>
        </w:rPr>
        <w:t xml:space="preserve">4. Consequences</w:t>
      </w:r>
    </w:p>
    <w:p>
      <w:pPr>
        <w:pStyle w:val="Heading3"/>
        <w:spacing w:after="80" w:before="180"/>
      </w:pPr>
      <w:r>
        <w:rPr>
          <w:rFonts w:ascii="Arial" w:cs="Arial" w:eastAsia="Arial" w:hAnsi="Arial"/>
          <w:b/>
          <w:bCs/>
          <w:color w:val="444444"/>
          <w:sz w:val="22"/>
          <w:szCs w:val="22"/>
        </w:rPr>
        <w:t xml:space="preserve">Positive</w:t>
      </w:r>
    </w:p>
    <w:p>
      <w:pPr>
        <w:pStyle w:val="ListParagraph"/>
        <w:numPr>
          <w:ilvl w:val="0"/>
          <w:numId w:val="2"/>
        </w:numPr>
        <w:spacing w:after="60" w:before="60"/>
      </w:pPr>
      <w:r>
        <w:rPr>
          <w:rFonts w:ascii="Arial" w:cs="Arial" w:eastAsia="Arial" w:hAnsi="Arial"/>
          <w:b w:val="false"/>
          <w:bCs w:val="false"/>
          <w:color w:val="2C2C2C"/>
          <w:sz w:val="22"/>
          <w:szCs w:val="22"/>
        </w:rPr>
        <w:t xml:space="preserve">Automated RCA on every fired alert, surfaced as Slack/Teams messages without paging a human first.</w:t>
      </w:r>
    </w:p>
    <w:p>
      <w:pPr>
        <w:pStyle w:val="ListParagraph"/>
        <w:numPr>
          <w:ilvl w:val="0"/>
          <w:numId w:val="2"/>
        </w:numPr>
        <w:spacing w:after="60" w:before="60"/>
      </w:pPr>
      <w:r>
        <w:rPr>
          <w:rFonts w:ascii="Arial" w:cs="Arial" w:eastAsia="Arial" w:hAnsi="Arial"/>
          <w:b w:val="false"/>
          <w:bCs w:val="false"/>
          <w:color w:val="2C2C2C"/>
          <w:sz w:val="22"/>
          <w:szCs w:val="22"/>
        </w:rPr>
        <w:t xml:space="preserve">Reproducible investigation trail — each /api/investigate call is logged and auditable.</w:t>
      </w:r>
    </w:p>
    <w:p>
      <w:pPr>
        <w:pStyle w:val="ListParagraph"/>
        <w:numPr>
          <w:ilvl w:val="0"/>
          <w:numId w:val="2"/>
        </w:numPr>
        <w:spacing w:after="60" w:before="60"/>
      </w:pPr>
      <w:r>
        <w:rPr>
          <w:rFonts w:ascii="Arial" w:cs="Arial" w:eastAsia="Arial" w:hAnsi="Arial"/>
          <w:b w:val="false"/>
          <w:bCs w:val="false"/>
          <w:color w:val="2C2C2C"/>
          <w:sz w:val="22"/>
          <w:szCs w:val="22"/>
        </w:rPr>
        <w:t xml:space="preserve">No data leaves the cluster perimeter; LLM calls go to our privately-hosted or Azure-hosted model endpoint.</w:t>
      </w:r>
    </w:p>
    <w:p>
      <w:pPr>
        <w:pStyle w:val="ListParagraph"/>
        <w:numPr>
          <w:ilvl w:val="0"/>
          <w:numId w:val="2"/>
        </w:numPr>
        <w:spacing w:after="60" w:before="60"/>
      </w:pPr>
      <w:r>
        <w:rPr>
          <w:rFonts w:ascii="Arial" w:cs="Arial" w:eastAsia="Arial" w:hAnsi="Arial"/>
          <w:b w:val="false"/>
          <w:bCs w:val="false"/>
          <w:color w:val="2C2C2C"/>
          <w:sz w:val="22"/>
          <w:szCs w:val="22"/>
        </w:rPr>
        <w:t xml:space="preserve">Scoped MCP servers limit blast radius: Grafana MCP exposes only our datasources; kubectl MCP exposes only approved namespaces.</w:t>
      </w:r>
    </w:p>
    <w:p>
      <w:pPr>
        <w:spacing w:after="0" w:before="80"/>
      </w:pPr>
    </w:p>
    <w:p>
      <w:pPr>
        <w:pStyle w:val="Heading3"/>
        <w:spacing w:after="80" w:before="180"/>
      </w:pPr>
      <w:r>
        <w:rPr>
          <w:rFonts w:ascii="Arial" w:cs="Arial" w:eastAsia="Arial" w:hAnsi="Arial"/>
          <w:b/>
          <w:bCs/>
          <w:color w:val="444444"/>
          <w:sz w:val="22"/>
          <w:szCs w:val="22"/>
        </w:rPr>
        <w:t xml:space="preserve">Negative / Risks</w:t>
      </w:r>
    </w:p>
    <w:p>
      <w:pPr>
        <w:pStyle w:val="ListParagraph"/>
        <w:numPr>
          <w:ilvl w:val="0"/>
          <w:numId w:val="2"/>
        </w:numPr>
        <w:spacing w:after="60" w:before="60"/>
      </w:pPr>
      <w:r>
        <w:rPr>
          <w:rFonts w:ascii="Arial" w:cs="Arial" w:eastAsia="Arial" w:hAnsi="Arial"/>
          <w:b w:val="false"/>
          <w:bCs w:val="false"/>
          <w:color w:val="2C2C2C"/>
          <w:sz w:val="22"/>
          <w:szCs w:val="22"/>
        </w:rPr>
        <w:t xml:space="preserve">Static API key rotation requires redeployment or a Kubernetes Secret rotation pipeline.</w:t>
      </w:r>
    </w:p>
    <w:p>
      <w:pPr>
        <w:pStyle w:val="ListParagraph"/>
        <w:numPr>
          <w:ilvl w:val="0"/>
          <w:numId w:val="2"/>
        </w:numPr>
        <w:spacing w:after="60" w:before="60"/>
      </w:pPr>
      <w:r>
        <w:rPr>
          <w:rFonts w:ascii="Arial" w:cs="Arial" w:eastAsia="Arial" w:hAnsi="Arial"/>
          <w:b w:val="false"/>
          <w:bCs w:val="false"/>
          <w:color w:val="2C2C2C"/>
          <w:sz w:val="22"/>
          <w:szCs w:val="22"/>
        </w:rPr>
        <w:t xml:space="preserve">HolmesGPT HTTP API auth is all-or-nothing per key — there is no per-caller RBAC on the server today; all callers with the key get equal access.</w:t>
      </w:r>
    </w:p>
    <w:p>
      <w:pPr>
        <w:pStyle w:val="ListParagraph"/>
        <w:numPr>
          <w:ilvl w:val="0"/>
          <w:numId w:val="2"/>
        </w:numPr>
        <w:spacing w:after="60" w:before="60"/>
      </w:pPr>
      <w:r>
        <w:rPr>
          <w:rFonts w:ascii="Arial" w:cs="Arial" w:eastAsia="Arial" w:hAnsi="Arial"/>
          <w:b w:val="false"/>
          <w:bCs w:val="false"/>
          <w:color w:val="2C2C2C"/>
          <w:sz w:val="22"/>
          <w:szCs w:val="22"/>
        </w:rPr>
        <w:t xml:space="preserve">Self-hosting two custom MCP servers adds two new services to maintain.</w:t>
      </w:r>
    </w:p>
    <w:p>
      <w:pPr>
        <w:pStyle w:val="ListParagraph"/>
        <w:numPr>
          <w:ilvl w:val="0"/>
          <w:numId w:val="2"/>
        </w:numPr>
        <w:spacing w:after="60" w:before="60"/>
      </w:pPr>
      <w:r>
        <w:rPr>
          <w:rFonts w:ascii="Arial" w:cs="Arial" w:eastAsia="Arial" w:hAnsi="Arial"/>
          <w:b w:val="false"/>
          <w:bCs w:val="false"/>
          <w:color w:val="2C2C2C"/>
          <w:sz w:val="22"/>
          <w:szCs w:val="22"/>
        </w:rPr>
        <w:t xml:space="preserve">LLM call costs need budgeting; investigations can be token-heavy.</w:t>
      </w:r>
    </w:p>
    <w:p>
      <w:pPr>
        <w:spacing w:after="0" w:before="120"/>
      </w:pPr>
    </w:p>
    <w:p>
      <w:pPr>
        <w:pStyle w:val="Heading1"/>
        <w:pBdr>
          <w:bottom w:val="single" w:color="1E4D8C" w:sz="8" w:space="6"/>
        </w:pBdr>
        <w:spacing w:after="160" w:before="320"/>
      </w:pPr>
      <w:r>
        <w:rPr>
          <w:rFonts w:ascii="Arial" w:cs="Arial" w:eastAsia="Arial" w:hAnsi="Arial"/>
          <w:b/>
          <w:bCs/>
          <w:color w:val="1E4D8C"/>
          <w:sz w:val="32"/>
          <w:szCs w:val="32"/>
        </w:rPr>
        <w:t xml:space="preserve">5. API Authentication Design</w:t>
      </w:r>
    </w:p>
    <w:p>
      <w:pPr>
        <w:spacing w:after="80" w:before="80"/>
      </w:pPr>
      <w:r>
        <w:rPr>
          <w:rFonts w:ascii="Arial" w:cs="Arial" w:eastAsia="Arial" w:hAnsi="Arial"/>
          <w:color w:val="2C2C2C"/>
          <w:sz w:val="22"/>
          <w:szCs w:val="22"/>
        </w:rPr>
        <w:t xml:space="preserve">HolmesGPT's HTTP server supports optional authentication via the HOLMES_API_KEY environment variable. When set, all endpoints (except /healthz and /readyz which remain open for Kubernetes probes) require a valid key. Two header formats are accepted: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4D8C" w:sz="6"/>
              <w:left w:val="single" w:color="1E4D8C" w:sz="16"/>
              <w:bottom w:val="single" w:color="CCCCCC" w:sz="1"/>
              <w:right w:val="single" w:color="CCCCCC" w:sz="1"/>
            </w:tcBorders>
            <w:shd w:fill="F5F5F5" w:val="clear"/>
            <w:tcMar>
              <w:top w:type="dxa" w:w="120"/>
              <w:left w:type="dxa" w:w="200"/>
              <w:bottom w:type="dxa" w:w="120"/>
              <w:right w:type="dxa" w:w="200"/>
            </w:tcMar>
          </w:tcPr>
          <w:p>
            <w:r>
              <w:rPr>
                <w:rFonts w:ascii="Arial" w:cs="Arial" w:eastAsia="Arial" w:hAnsi="Arial"/>
                <w:i/>
                <w:iCs/>
                <w:color w:val="2C2C2C"/>
                <w:sz w:val="20"/>
                <w:szCs w:val="20"/>
              </w:rPr>
              <w:t xml:space="preserve">Authentication is opt-in. Without HOLMES_API_KEY, the server is open to any caller. Always set this variable in production.</w:t>
            </w:r>
          </w:p>
        </w:tc>
      </w:tr>
    </w:tbl>
    <w:p>
      <w:pPr>
        <w:spacing w:after="0" w:before="80"/>
      </w:pPr>
    </w:p>
    <w:p>
      <w:pPr>
        <w:spacing w:after="40" w:before="40"/>
        <w:ind w:left="720"/>
      </w:pPr>
      <w:r>
        <w:rPr>
          <w:rFonts w:ascii="Courier New" w:cs="Courier New" w:eastAsia="Courier New" w:hAnsi="Courier New"/>
          <w:color w:val="1A3A6B"/>
          <w:sz w:val="18"/>
          <w:szCs w:val="18"/>
        </w:rPr>
        <w:t xml:space="preserve"># Option 1 — X-API-Key header (preferred for programmatic callers)</w:t>
      </w:r>
    </w:p>
    <w:p>
      <w:pPr>
        <w:spacing w:after="40" w:before="40"/>
        <w:ind w:left="720"/>
      </w:pPr>
      <w:r>
        <w:rPr>
          <w:rFonts w:ascii="Courier New" w:cs="Courier New" w:eastAsia="Courier New" w:hAnsi="Courier New"/>
          <w:color w:val="1A3A6B"/>
          <w:sz w:val="18"/>
          <w:szCs w:val="18"/>
        </w:rPr>
        <w:t xml:space="preserve">curl -H "X-API-Key: &lt;secret&gt;" -X POST http://&lt;HOLMES-URL&gt;/api/investigate ...</w:t>
      </w:r>
    </w:p>
    <w:p>
      <w:pPr>
        <w:spacing w:after="0" w:before="40"/>
      </w:pPr>
    </w:p>
    <w:p>
      <w:pPr>
        <w:spacing w:after="40" w:before="40"/>
        <w:ind w:left="720"/>
      </w:pPr>
      <w:r>
        <w:rPr>
          <w:rFonts w:ascii="Courier New" w:cs="Courier New" w:eastAsia="Courier New" w:hAnsi="Courier New"/>
          <w:color w:val="1A3A6B"/>
          <w:sz w:val="18"/>
          <w:szCs w:val="18"/>
        </w:rPr>
        <w:t xml:space="preserve"># Option 2 — Bearer token (RFC 6750, compatible with Grafana webhook headers)</w:t>
      </w:r>
    </w:p>
    <w:p>
      <w:pPr>
        <w:spacing w:after="40" w:before="40"/>
        <w:ind w:left="720"/>
      </w:pPr>
      <w:r>
        <w:rPr>
          <w:rFonts w:ascii="Courier New" w:cs="Courier New" w:eastAsia="Courier New" w:hAnsi="Courier New"/>
          <w:color w:val="1A3A6B"/>
          <w:sz w:val="18"/>
          <w:szCs w:val="18"/>
        </w:rPr>
        <w:t xml:space="preserve">curl -H "Authorization: Bearer &lt;secret&gt;" -X POST http://&lt;HOLMES-URL&gt;/api/investigate ...</w:t>
      </w:r>
    </w:p>
    <w:p>
      <w:pPr>
        <w:spacing w:after="0" w:before="80"/>
      </w:pPr>
    </w:p>
    <w:p>
      <w:pPr>
        <w:spacing w:after="80" w:before="80"/>
      </w:pPr>
      <w:r>
        <w:rPr>
          <w:rFonts w:ascii="Arial" w:cs="Arial" w:eastAsia="Arial" w:hAnsi="Arial"/>
          <w:color w:val="2C2C2C"/>
          <w:sz w:val="22"/>
          <w:szCs w:val="22"/>
        </w:rPr>
        <w:t xml:space="preserve">A missing or incorrect key returns HTTP 401 with body: {"detail": "Invalid or missing API key"}.</w:t>
      </w:r>
    </w:p>
    <w:p>
      <w:pPr>
        <w:spacing w:after="0" w:before="80"/>
      </w:pPr>
    </w:p>
    <w:p>
      <w:pPr>
        <w:pStyle w:val="Heading2"/>
        <w:spacing w:after="120" w:before="240"/>
      </w:pPr>
      <w:r>
        <w:rPr>
          <w:rFonts w:ascii="Arial" w:cs="Arial" w:eastAsia="Arial" w:hAnsi="Arial"/>
          <w:b/>
          <w:bCs/>
          <w:color w:val="2C2C2C"/>
          <w:sz w:val="26"/>
          <w:szCs w:val="26"/>
        </w:rPr>
        <w:t xml:space="preserve">5.1 Grafana Alert Webhook → /api/investigate</w:t>
      </w:r>
    </w:p>
    <w:p>
      <w:pPr>
        <w:spacing w:after="80" w:before="80"/>
      </w:pPr>
      <w:r>
        <w:rPr>
          <w:rFonts w:ascii="Arial" w:cs="Arial" w:eastAsia="Arial" w:hAnsi="Arial"/>
          <w:color w:val="2C2C2C"/>
          <w:sz w:val="22"/>
          <w:szCs w:val="22"/>
        </w:rPr>
        <w:t xml:space="preserve">Grafana's Contact Point configuration for webhooks allows custom HTTP headers. We configure it as follows:</w:t>
      </w:r>
    </w:p>
    <w:p>
      <w:pPr>
        <w:spacing w:after="0" w:before="80"/>
      </w:pPr>
    </w:p>
    <w:p>
      <w:pPr>
        <w:spacing w:after="40" w:before="40"/>
        <w:ind w:left="720"/>
      </w:pPr>
      <w:r>
        <w:rPr>
          <w:rFonts w:ascii="Courier New" w:cs="Courier New" w:eastAsia="Courier New" w:hAnsi="Courier New"/>
          <w:color w:val="1A3A6B"/>
          <w:sz w:val="18"/>
          <w:szCs w:val="18"/>
        </w:rPr>
        <w:t xml:space="preserve">Contact Point type : Webhook</w:t>
      </w:r>
    </w:p>
    <w:p>
      <w:pPr>
        <w:spacing w:after="40" w:before="40"/>
        <w:ind w:left="720"/>
      </w:pPr>
      <w:r>
        <w:rPr>
          <w:rFonts w:ascii="Courier New" w:cs="Courier New" w:eastAsia="Courier New" w:hAnsi="Courier New"/>
          <w:color w:val="1A3A6B"/>
          <w:sz w:val="18"/>
          <w:szCs w:val="18"/>
        </w:rPr>
        <w:t xml:space="preserve">URL               : https://holmes.&lt;internal-domain&gt;/api/investigate</w:t>
      </w:r>
    </w:p>
    <w:p>
      <w:pPr>
        <w:spacing w:after="40" w:before="40"/>
        <w:ind w:left="720"/>
      </w:pPr>
      <w:r>
        <w:rPr>
          <w:rFonts w:ascii="Courier New" w:cs="Courier New" w:eastAsia="Courier New" w:hAnsi="Courier New"/>
          <w:color w:val="1A3A6B"/>
          <w:sz w:val="18"/>
          <w:szCs w:val="18"/>
        </w:rPr>
        <w:t xml:space="preserve">HTTP Method       : POST</w:t>
      </w:r>
    </w:p>
    <w:p>
      <w:pPr>
        <w:spacing w:after="40" w:before="40"/>
        <w:ind w:left="720"/>
      </w:pPr>
      <w:r>
        <w:rPr>
          <w:rFonts w:ascii="Courier New" w:cs="Courier New" w:eastAsia="Courier New" w:hAnsi="Courier New"/>
          <w:color w:val="1A3A6B"/>
          <w:sz w:val="18"/>
          <w:szCs w:val="18"/>
        </w:rPr>
        <w:t xml:space="preserve">Custom Header     : Authorization: Bearer &lt;HOLMES_API_KEY&gt;</w:t>
      </w:r>
    </w:p>
    <w:p>
      <w:pPr>
        <w:spacing w:after="0" w:before="80"/>
      </w:pPr>
    </w:p>
    <w:p>
      <w:pPr>
        <w:spacing w:after="80" w:before="80"/>
      </w:pPr>
      <w:r>
        <w:rPr>
          <w:rFonts w:ascii="Arial" w:cs="Arial" w:eastAsia="Arial" w:hAnsi="Arial"/>
          <w:color w:val="2C2C2C"/>
          <w:sz w:val="22"/>
          <w:szCs w:val="22"/>
        </w:rPr>
        <w:t xml:space="preserve">Grafana POSTs its alert payload (JSON, Grafana alerting v2 schema) to HolmesGPT. HolmesGPT's /api/investigate endpoint accepts a source field; set it to "grafana" and pass the raw alert JSON in the body. Holmes will use its toolsets (Prometheus, Loki, Kubernetes) to investigate and post findings to the configured Slack/Teams sink.</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4D8C" w:sz="6"/>
              <w:left w:val="single" w:color="1E4D8C" w:sz="16"/>
              <w:bottom w:val="single" w:color="CCCCCC" w:sz="1"/>
              <w:right w:val="single" w:color="CCCCCC" w:sz="1"/>
            </w:tcBorders>
            <w:shd w:fill="F5F5F5" w:val="clear"/>
            <w:tcMar>
              <w:top w:type="dxa" w:w="120"/>
              <w:left w:type="dxa" w:w="200"/>
              <w:bottom w:type="dxa" w:w="120"/>
              <w:right w:type="dxa" w:w="200"/>
            </w:tcMar>
          </w:tcPr>
          <w:p>
            <w:r>
              <w:rPr>
                <w:rFonts w:ascii="Arial" w:cs="Arial" w:eastAsia="Arial" w:hAnsi="Arial"/>
                <w:i/>
                <w:iCs/>
                <w:color w:val="2C2C2C"/>
                <w:sz w:val="20"/>
                <w:szCs w:val="20"/>
              </w:rPr>
              <w:t xml:space="preserve">Security note: The Grafana webhook secret field performs HMAC-SHA256 payload signing (X-Grafana-Signature header). HolmesGPT does not verify this signature natively — add an ingress middleware (nginx auth_request or an OPA sidecar) to validate the signature before the request reaches Holmes if signature verification is required.</w:t>
            </w:r>
          </w:p>
        </w:tc>
      </w:tr>
    </w:tbl>
    <w:p>
      <w:pPr>
        <w:spacing w:after="0" w:before="80"/>
      </w:pPr>
    </w:p>
    <w:p>
      <w:pPr>
        <w:pStyle w:val="Heading2"/>
        <w:spacing w:after="120" w:before="240"/>
      </w:pPr>
      <w:r>
        <w:rPr>
          <w:rFonts w:ascii="Arial" w:cs="Arial" w:eastAsia="Arial" w:hAnsi="Arial"/>
          <w:b/>
          <w:bCs/>
          <w:color w:val="2C2C2C"/>
          <w:sz w:val="26"/>
          <w:szCs w:val="26"/>
        </w:rPr>
        <w:t xml:space="preserve">5.2 GitLab CI/CD Failure Hook → /api/investigate</w:t>
      </w:r>
    </w:p>
    <w:p>
      <w:pPr>
        <w:spacing w:after="80" w:before="80"/>
      </w:pPr>
      <w:r>
        <w:rPr>
          <w:rFonts w:ascii="Arial" w:cs="Arial" w:eastAsia="Arial" w:hAnsi="Arial"/>
          <w:color w:val="2C2C2C"/>
          <w:sz w:val="22"/>
          <w:szCs w:val="22"/>
        </w:rPr>
        <w:t xml:space="preserve">GitLab supports project-level or group-level webhooks triggered on pipeline events. Configure the webhook as:</w:t>
      </w:r>
    </w:p>
    <w:p>
      <w:pPr>
        <w:spacing w:after="0" w:before="80"/>
      </w:pPr>
    </w:p>
    <w:p>
      <w:pPr>
        <w:spacing w:after="40" w:before="40"/>
        <w:ind w:left="720"/>
      </w:pPr>
      <w:r>
        <w:rPr>
          <w:rFonts w:ascii="Courier New" w:cs="Courier New" w:eastAsia="Courier New" w:hAnsi="Courier New"/>
          <w:color w:val="1A3A6B"/>
          <w:sz w:val="18"/>
          <w:szCs w:val="18"/>
        </w:rPr>
        <w:t xml:space="preserve">URL    : https://holmes.&lt;internal-domain&gt;/api/investigate</w:t>
      </w:r>
    </w:p>
    <w:p>
      <w:pPr>
        <w:spacing w:after="40" w:before="40"/>
        <w:ind w:left="720"/>
      </w:pPr>
      <w:r>
        <w:rPr>
          <w:rFonts w:ascii="Courier New" w:cs="Courier New" w:eastAsia="Courier New" w:hAnsi="Courier New"/>
          <w:color w:val="1A3A6B"/>
          <w:sz w:val="18"/>
          <w:szCs w:val="18"/>
        </w:rPr>
        <w:t xml:space="preserve">Trigger: Pipeline events  (optionally: Job events)</w:t>
      </w:r>
    </w:p>
    <w:p>
      <w:pPr>
        <w:spacing w:after="40" w:before="40"/>
        <w:ind w:left="720"/>
      </w:pPr>
      <w:r>
        <w:rPr>
          <w:rFonts w:ascii="Courier New" w:cs="Courier New" w:eastAsia="Courier New" w:hAnsi="Courier New"/>
          <w:color w:val="1A3A6B"/>
          <w:sz w:val="18"/>
          <w:szCs w:val="18"/>
        </w:rPr>
        <w:t xml:space="preserve">Secret Token: &lt;HOLMES_API_KEY&gt;   ← GitLab sends this as X-Gitlab-Token header</w:t>
      </w:r>
    </w:p>
    <w:p>
      <w:pPr>
        <w:spacing w:after="0" w:before="80"/>
      </w:pPr>
    </w:p>
    <w:p>
      <w:pPr>
        <w:spacing w:after="80" w:before="80"/>
      </w:pPr>
      <w:r>
        <w:rPr>
          <w:rFonts w:ascii="Arial" w:cs="Arial" w:eastAsia="Arial" w:hAnsi="Arial"/>
          <w:color w:val="2C2C2C"/>
          <w:sz w:val="22"/>
          <w:szCs w:val="22"/>
        </w:rPr>
        <w:t xml:space="preserve">GitLab sends X-Gitlab-Token as a plain string header, not a Bearer token. HolmesGPT accepts either the X-API-Key header or Authorization: Bearer. Because GitLab sends X-Gitlab-Token, we have two options:</w:t>
      </w:r>
    </w:p>
    <w:p>
      <w:pPr>
        <w:pStyle w:val="ListParagraph"/>
        <w:numPr>
          <w:ilvl w:val="0"/>
          <w:numId w:val="2"/>
        </w:numPr>
        <w:spacing w:after="60" w:before="60"/>
      </w:pPr>
      <w:r>
        <w:rPr>
          <w:rFonts w:ascii="Arial" w:cs="Arial" w:eastAsia="Arial" w:hAnsi="Arial"/>
          <w:b w:val="false"/>
          <w:bCs w:val="false"/>
          <w:color w:val="2C2C2C"/>
          <w:sz w:val="22"/>
          <w:szCs w:val="22"/>
        </w:rPr>
        <w:t xml:space="preserve">Option A — Ingress header rewrite: Use an nginx ingress snippet to rewrite X-Gitlab-Token → X-API-Key before proxying to Holmes. This is the cleanest approach.</w:t>
      </w:r>
    </w:p>
    <w:p>
      <w:pPr>
        <w:pStyle w:val="ListParagraph"/>
        <w:numPr>
          <w:ilvl w:val="0"/>
          <w:numId w:val="2"/>
        </w:numPr>
        <w:spacing w:after="60" w:before="60"/>
      </w:pPr>
      <w:r>
        <w:rPr>
          <w:rFonts w:ascii="Arial" w:cs="Arial" w:eastAsia="Arial" w:hAnsi="Arial"/>
          <w:b w:val="false"/>
          <w:bCs w:val="false"/>
          <w:color w:val="2C2C2C"/>
          <w:sz w:val="22"/>
          <w:szCs w:val="22"/>
        </w:rPr>
        <w:t xml:space="preserve">Option B — Webhook relay: Deploy a small webhook adapter (e.g., a Python FastAPI sidecar in the same namespace) that validates X-Gitlab-Token, transforms the GitLab pipeline payload to Holmes format, and forwards it with the correct Authorization: Bearer header.</w:t>
      </w:r>
    </w:p>
    <w:p>
      <w:pPr>
        <w:spacing w:after="0" w:before="80"/>
      </w:pPr>
    </w:p>
    <w:p>
      <w:pPr>
        <w:spacing w:after="80" w:before="80"/>
      </w:pPr>
      <w:r>
        <w:rPr>
          <w:rFonts w:ascii="Arial" w:cs="Arial" w:eastAsia="Arial" w:hAnsi="Arial"/>
          <w:color w:val="2C2C2C"/>
          <w:sz w:val="22"/>
          <w:szCs w:val="22"/>
        </w:rPr>
        <w:t xml:space="preserve">We recommend Option A (ingress rewrite) for simplicity. Example nginx ingress annotation:</w:t>
      </w:r>
    </w:p>
    <w:p>
      <w:pPr>
        <w:spacing w:after="0" w:before="40"/>
      </w:pPr>
    </w:p>
    <w:p>
      <w:pPr>
        <w:spacing w:after="40" w:before="40"/>
        <w:ind w:left="720"/>
      </w:pPr>
      <w:r>
        <w:rPr>
          <w:rFonts w:ascii="Courier New" w:cs="Courier New" w:eastAsia="Courier New" w:hAnsi="Courier New"/>
          <w:color w:val="1A3A6B"/>
          <w:sz w:val="18"/>
          <w:szCs w:val="18"/>
        </w:rPr>
        <w:t xml:space="preserve">nginx.ingress.kubernetes.io/configuration-snippet: |</w:t>
      </w:r>
    </w:p>
    <w:p>
      <w:pPr>
        <w:spacing w:after="40" w:before="40"/>
        <w:ind w:left="720"/>
      </w:pPr>
      <w:r>
        <w:rPr>
          <w:rFonts w:ascii="Courier New" w:cs="Courier New" w:eastAsia="Courier New" w:hAnsi="Courier New"/>
          <w:color w:val="1A3A6B"/>
          <w:sz w:val="18"/>
          <w:szCs w:val="18"/>
        </w:rPr>
        <w:t xml:space="preserve">  proxy_set_header X-API-Key $http_x_gitlab_token;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4D8C" w:sz="6"/>
              <w:left w:val="single" w:color="1E4D8C" w:sz="16"/>
              <w:bottom w:val="single" w:color="CCCCCC" w:sz="1"/>
              <w:right w:val="single" w:color="CCCCCC" w:sz="1"/>
            </w:tcBorders>
            <w:shd w:fill="F5F5F5" w:val="clear"/>
            <w:tcMar>
              <w:top w:type="dxa" w:w="120"/>
              <w:left w:type="dxa" w:w="200"/>
              <w:bottom w:type="dxa" w:w="120"/>
              <w:right w:type="dxa" w:w="200"/>
            </w:tcMar>
          </w:tcPr>
          <w:p>
            <w:r>
              <w:rPr>
                <w:rFonts w:ascii="Arial" w:cs="Arial" w:eastAsia="Arial" w:hAnsi="Arial"/>
                <w:i/>
                <w:iCs/>
                <w:color w:val="2C2C2C"/>
                <w:sz w:val="20"/>
                <w:szCs w:val="20"/>
              </w:rPr>
              <w:t xml:space="preserve">GitLab also supports a Secret Token which it sends as X-Gitlab-Token. Treat this value as the HOLMES_API_KEY — use the same secret, or use a separate key and rewrite at the ingress. Do not embed the token in the URL query string.</w:t>
            </w:r>
          </w:p>
        </w:tc>
      </w:tr>
    </w:tbl>
    <w:p>
      <w:pPr>
        <w:spacing w:after="0" w:before="80"/>
      </w:pPr>
    </w:p>
    <w:p>
      <w:pPr>
        <w:pStyle w:val="Heading2"/>
        <w:spacing w:after="120" w:before="240"/>
      </w:pPr>
      <w:r>
        <w:rPr>
          <w:rFonts w:ascii="Arial" w:cs="Arial" w:eastAsia="Arial" w:hAnsi="Arial"/>
          <w:b/>
          <w:bCs/>
          <w:color w:val="2C2C2C"/>
          <w:sz w:val="26"/>
          <w:szCs w:val="26"/>
        </w:rPr>
        <w:t xml:space="preserve">5.3 Key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w:tc>
          <w:tcPr>
            <w:tcW w:type="dxa" w:w="30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40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236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Secret storage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Kubernetes Secret (type: Opaque), referenced via envFrom in Holmes Helm values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Avoids hard-coding; supports Sealed Secrets / ESO for GitOps rotation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Key rotation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Monthly rotation via CI pipeline; new Secret → rollout restart holmesgpt deployment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Minimises exposure window without requiring downtime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Number of keys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Single shared key for MVP; migrate to per-caller keys via a gateway proxy if &gt;3 callers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Simplicity now; gateway proxy (e.g. Kong, Traefik) enables per-caller RBAC later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Audit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HolmesGPT request logs (structured JSON) captured by Loki; alert on 401 spike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Detects credential leakage or brute-force attempts</w:t>
            </w:r>
          </w:p>
        </w:tc>
      </w:tr>
    </w:tbl>
    <w:p>
      <w:pPr>
        <w:spacing w:after="0" w:before="240"/>
      </w:pPr>
    </w:p>
    <w:p>
      <w:pPr>
        <w:pStyle w:val="Heading1"/>
        <w:pBdr>
          <w:bottom w:val="single" w:color="1E4D8C" w:sz="8" w:space="6"/>
        </w:pBdr>
        <w:spacing w:after="160" w:before="320"/>
      </w:pPr>
      <w:r>
        <w:rPr>
          <w:rFonts w:ascii="Arial" w:cs="Arial" w:eastAsia="Arial" w:hAnsi="Arial"/>
          <w:b/>
          <w:bCs/>
          <w:color w:val="1E4D8C"/>
          <w:sz w:val="32"/>
          <w:szCs w:val="32"/>
        </w:rPr>
        <w:t xml:space="preserve">6. Self-Hosting a Scoped Grafana MCP Server</w:t>
      </w:r>
    </w:p>
    <w:p>
      <w:pPr>
        <w:spacing w:after="80" w:before="80"/>
      </w:pPr>
      <w:r>
        <w:rPr>
          <w:rFonts w:ascii="Arial" w:cs="Arial" w:eastAsia="Arial" w:hAnsi="Arial"/>
          <w:color w:val="2C2C2C"/>
          <w:sz w:val="22"/>
          <w:szCs w:val="22"/>
        </w:rPr>
        <w:t xml:space="preserve">HolmesGPT includes a built-in Grafana (MCP) toolset that connects to the official Grafana MCP server. If your organisation does not subscribe to Grafana Cloud or does not have an existing Grafana MCP endpoint, you can self-host the open-source grafana-mcp-server restricted to your own Grafana datasources.</w:t>
      </w:r>
    </w:p>
    <w:p>
      <w:pPr>
        <w:spacing w:after="0" w:before="80"/>
      </w:pPr>
    </w:p>
    <w:p>
      <w:pPr>
        <w:pStyle w:val="Heading2"/>
        <w:spacing w:after="120" w:before="240"/>
      </w:pPr>
      <w:r>
        <w:rPr>
          <w:rFonts w:ascii="Arial" w:cs="Arial" w:eastAsia="Arial" w:hAnsi="Arial"/>
          <w:b/>
          <w:bCs/>
          <w:color w:val="2C2C2C"/>
          <w:sz w:val="26"/>
          <w:szCs w:val="26"/>
        </w:rPr>
        <w:t xml:space="preserve">6.1 Why self-host?</w:t>
      </w:r>
    </w:p>
    <w:p>
      <w:pPr>
        <w:pStyle w:val="ListParagraph"/>
        <w:numPr>
          <w:ilvl w:val="0"/>
          <w:numId w:val="2"/>
        </w:numPr>
        <w:spacing w:after="60" w:before="60"/>
      </w:pPr>
      <w:r>
        <w:rPr>
          <w:rFonts w:ascii="Arial" w:cs="Arial" w:eastAsia="Arial" w:hAnsi="Arial"/>
          <w:b w:val="false"/>
          <w:bCs w:val="false"/>
          <w:color w:val="2C2C2C"/>
          <w:sz w:val="22"/>
          <w:szCs w:val="22"/>
        </w:rPr>
        <w:t xml:space="preserve">Data residency: all metric/log queries stay inside the cluster perimeter.</w:t>
      </w:r>
    </w:p>
    <w:p>
      <w:pPr>
        <w:pStyle w:val="ListParagraph"/>
        <w:numPr>
          <w:ilvl w:val="0"/>
          <w:numId w:val="2"/>
        </w:numPr>
        <w:spacing w:after="60" w:before="60"/>
      </w:pPr>
      <w:r>
        <w:rPr>
          <w:rFonts w:ascii="Arial" w:cs="Arial" w:eastAsia="Arial" w:hAnsi="Arial"/>
          <w:b w:val="false"/>
          <w:bCs w:val="false"/>
          <w:color w:val="2C2C2C"/>
          <w:sz w:val="22"/>
          <w:szCs w:val="22"/>
        </w:rPr>
        <w:t xml:space="preserve">Datasource scoping: the self-hosted MCP server is pointed only at your Grafana instance; it cannot reach other organisations' dashboards.</w:t>
      </w:r>
    </w:p>
    <w:p>
      <w:pPr>
        <w:pStyle w:val="ListParagraph"/>
        <w:numPr>
          <w:ilvl w:val="0"/>
          <w:numId w:val="2"/>
        </w:numPr>
        <w:spacing w:after="60" w:before="60"/>
      </w:pPr>
      <w:r>
        <w:rPr>
          <w:rFonts w:ascii="Arial" w:cs="Arial" w:eastAsia="Arial" w:hAnsi="Arial"/>
          <w:b w:val="false"/>
          <w:bCs w:val="false"/>
          <w:color w:val="2C2C2C"/>
          <w:sz w:val="22"/>
          <w:szCs w:val="22"/>
        </w:rPr>
        <w:t xml:space="preserve">No Grafana Cloud dependency: works with OSS Grafana (on-prem) or Grafana Enterprise.</w:t>
      </w:r>
    </w:p>
    <w:p>
      <w:pPr>
        <w:spacing w:after="0" w:before="80"/>
      </w:pPr>
    </w:p>
    <w:p>
      <w:pPr>
        <w:pStyle w:val="Heading2"/>
        <w:spacing w:after="120" w:before="240"/>
      </w:pPr>
      <w:r>
        <w:rPr>
          <w:rFonts w:ascii="Arial" w:cs="Arial" w:eastAsia="Arial" w:hAnsi="Arial"/>
          <w:b/>
          <w:bCs/>
          <w:color w:val="2C2C2C"/>
          <w:sz w:val="26"/>
          <w:szCs w:val="26"/>
        </w:rPr>
        <w:t xml:space="preserve">6.2 Deployment</w:t>
      </w:r>
    </w:p>
    <w:p>
      <w:pPr>
        <w:spacing w:after="80" w:before="80"/>
      </w:pPr>
      <w:r>
        <w:rPr>
          <w:rFonts w:ascii="Arial" w:cs="Arial" w:eastAsia="Arial" w:hAnsi="Arial"/>
          <w:color w:val="2C2C2C"/>
          <w:sz w:val="22"/>
          <w:szCs w:val="22"/>
        </w:rPr>
        <w:t xml:space="preserve">The official Grafana MCP server (github.com/grafana/mcp-grafana) supports a --sse transport mode suitable for Kubernetes sidecar or standalone deployment. Run it as a Deployment in the holmesgpt namespace:</w:t>
      </w:r>
    </w:p>
    <w:p>
      <w:pPr>
        <w:spacing w:after="0" w:before="80"/>
      </w:pPr>
    </w:p>
    <w:p>
      <w:pPr>
        <w:spacing w:after="40" w:before="40"/>
        <w:ind w:left="720"/>
      </w:pPr>
      <w:r>
        <w:rPr>
          <w:rFonts w:ascii="Courier New" w:cs="Courier New" w:eastAsia="Courier New" w:hAnsi="Courier New"/>
          <w:color w:val="1A3A6B"/>
          <w:sz w:val="18"/>
          <w:szCs w:val="18"/>
        </w:rPr>
        <w:t xml:space="preserve"># grafana-mcp-deployment.yaml (abbreviated)</w:t>
      </w:r>
    </w:p>
    <w:p>
      <w:pPr>
        <w:spacing w:after="40" w:before="40"/>
        <w:ind w:left="720"/>
      </w:pPr>
      <w:r>
        <w:rPr>
          <w:rFonts w:ascii="Courier New" w:cs="Courier New" w:eastAsia="Courier New" w:hAnsi="Courier New"/>
          <w:color w:val="1A3A6B"/>
          <w:sz w:val="18"/>
          <w:szCs w:val="18"/>
        </w:rPr>
        <w:t xml:space="preserve">env:</w:t>
      </w:r>
    </w:p>
    <w:p>
      <w:pPr>
        <w:spacing w:after="40" w:before="40"/>
        <w:ind w:left="720"/>
      </w:pPr>
      <w:r>
        <w:rPr>
          <w:rFonts w:ascii="Courier New" w:cs="Courier New" w:eastAsia="Courier New" w:hAnsi="Courier New"/>
          <w:color w:val="1A3A6B"/>
          <w:sz w:val="18"/>
          <w:szCs w:val="18"/>
        </w:rPr>
        <w:t xml:space="preserve">  - name: GRAFANA_URL</w:t>
      </w:r>
    </w:p>
    <w:p>
      <w:pPr>
        <w:spacing w:after="40" w:before="40"/>
        <w:ind w:left="720"/>
      </w:pPr>
      <w:r>
        <w:rPr>
          <w:rFonts w:ascii="Courier New" w:cs="Courier New" w:eastAsia="Courier New" w:hAnsi="Courier New"/>
          <w:color w:val="1A3A6B"/>
          <w:sz w:val="18"/>
          <w:szCs w:val="18"/>
        </w:rPr>
        <w:t xml:space="preserve">    value: "http://grafana.monitoring.svc.cluster.local:3000"</w:t>
      </w:r>
    </w:p>
    <w:p>
      <w:pPr>
        <w:spacing w:after="40" w:before="40"/>
        <w:ind w:left="720"/>
      </w:pPr>
      <w:r>
        <w:rPr>
          <w:rFonts w:ascii="Courier New" w:cs="Courier New" w:eastAsia="Courier New" w:hAnsi="Courier New"/>
          <w:color w:val="1A3A6B"/>
          <w:sz w:val="18"/>
          <w:szCs w:val="18"/>
        </w:rPr>
        <w:t xml:space="preserve">  - name: GRAFANA_API_KEY          # Service Account token, Viewer role only</w:t>
      </w:r>
    </w:p>
    <w:p>
      <w:pPr>
        <w:spacing w:after="40" w:before="40"/>
        <w:ind w:left="720"/>
      </w:pPr>
      <w:r>
        <w:rPr>
          <w:rFonts w:ascii="Courier New" w:cs="Courier New" w:eastAsia="Courier New" w:hAnsi="Courier New"/>
          <w:color w:val="1A3A6B"/>
          <w:sz w:val="18"/>
          <w:szCs w:val="18"/>
        </w:rPr>
        <w:t xml:space="preserve">    valueFrom:</w:t>
      </w:r>
    </w:p>
    <w:p>
      <w:pPr>
        <w:spacing w:after="40" w:before="40"/>
        <w:ind w:left="720"/>
      </w:pPr>
      <w:r>
        <w:rPr>
          <w:rFonts w:ascii="Courier New" w:cs="Courier New" w:eastAsia="Courier New" w:hAnsi="Courier New"/>
          <w:color w:val="1A3A6B"/>
          <w:sz w:val="18"/>
          <w:szCs w:val="18"/>
        </w:rPr>
        <w:t xml:space="preserve">      secretKeyRef:</w:t>
      </w:r>
    </w:p>
    <w:p>
      <w:pPr>
        <w:spacing w:after="40" w:before="40"/>
        <w:ind w:left="720"/>
      </w:pPr>
      <w:r>
        <w:rPr>
          <w:rFonts w:ascii="Courier New" w:cs="Courier New" w:eastAsia="Courier New" w:hAnsi="Courier New"/>
          <w:color w:val="1A3A6B"/>
          <w:sz w:val="18"/>
          <w:szCs w:val="18"/>
        </w:rPr>
        <w:t xml:space="preserve">        name: grafana-mcp-secret</w:t>
      </w:r>
    </w:p>
    <w:p>
      <w:pPr>
        <w:spacing w:after="40" w:before="40"/>
        <w:ind w:left="720"/>
      </w:pPr>
      <w:r>
        <w:rPr>
          <w:rFonts w:ascii="Courier New" w:cs="Courier New" w:eastAsia="Courier New" w:hAnsi="Courier New"/>
          <w:color w:val="1A3A6B"/>
          <w:sz w:val="18"/>
          <w:szCs w:val="18"/>
        </w:rPr>
        <w:t xml:space="preserve">        key: api-key</w:t>
      </w:r>
    </w:p>
    <w:p>
      <w:pPr>
        <w:spacing w:after="40" w:before="40"/>
        <w:ind w:left="720"/>
      </w:pPr>
      <w:r>
        <w:rPr>
          <w:rFonts w:ascii="Courier New" w:cs="Courier New" w:eastAsia="Courier New" w:hAnsi="Courier New"/>
          <w:color w:val="1A3A6B"/>
          <w:sz w:val="18"/>
          <w:szCs w:val="18"/>
        </w:rPr>
        <w:t xml:space="preserve">  - name: TRANSPORT</w:t>
      </w:r>
    </w:p>
    <w:p>
      <w:pPr>
        <w:spacing w:after="40" w:before="40"/>
        <w:ind w:left="720"/>
      </w:pPr>
      <w:r>
        <w:rPr>
          <w:rFonts w:ascii="Courier New" w:cs="Courier New" w:eastAsia="Courier New" w:hAnsi="Courier New"/>
          <w:color w:val="1A3A6B"/>
          <w:sz w:val="18"/>
          <w:szCs w:val="18"/>
        </w:rPr>
        <w:t xml:space="preserve">    value: "sse"</w:t>
      </w:r>
    </w:p>
    <w:p>
      <w:pPr>
        <w:spacing w:after="40" w:before="40"/>
        <w:ind w:left="720"/>
      </w:pPr>
      <w:r>
        <w:rPr>
          <w:rFonts w:ascii="Courier New" w:cs="Courier New" w:eastAsia="Courier New" w:hAnsi="Courier New"/>
          <w:color w:val="1A3A6B"/>
          <w:sz w:val="18"/>
          <w:szCs w:val="18"/>
        </w:rPr>
        <w:t xml:space="preserve">  - name: PORT</w:t>
      </w:r>
    </w:p>
    <w:p>
      <w:pPr>
        <w:spacing w:after="40" w:before="40"/>
        <w:ind w:left="720"/>
      </w:pPr>
      <w:r>
        <w:rPr>
          <w:rFonts w:ascii="Courier New" w:cs="Courier New" w:eastAsia="Courier New" w:hAnsi="Courier New"/>
          <w:color w:val="1A3A6B"/>
          <w:sz w:val="18"/>
          <w:szCs w:val="18"/>
        </w:rPr>
        <w:t xml:space="preserve">    value: "8080"</w:t>
      </w:r>
    </w:p>
    <w:p>
      <w:pPr>
        <w:spacing w:after="0" w:before="80"/>
      </w:pPr>
    </w:p>
    <w:p>
      <w:pPr>
        <w:spacing w:after="80" w:before="80"/>
      </w:pPr>
      <w:r>
        <w:rPr>
          <w:rFonts w:ascii="Arial" w:cs="Arial" w:eastAsia="Arial" w:hAnsi="Arial"/>
          <w:color w:val="2C2C2C"/>
          <w:sz w:val="22"/>
          <w:szCs w:val="22"/>
        </w:rPr>
        <w:t xml:space="preserve">Then register this MCP server in HolmesGPT's toolsets configuration (config.yaml):</w:t>
      </w:r>
    </w:p>
    <w:p>
      <w:pPr>
        <w:spacing w:after="0" w:before="80"/>
      </w:pPr>
    </w:p>
    <w:p>
      <w:pPr>
        <w:spacing w:after="40" w:before="40"/>
        <w:ind w:left="720"/>
      </w:pPr>
      <w:r>
        <w:rPr>
          <w:rFonts w:ascii="Courier New" w:cs="Courier New" w:eastAsia="Courier New" w:hAnsi="Courier New"/>
          <w:color w:val="1A3A6B"/>
          <w:sz w:val="18"/>
          <w:szCs w:val="18"/>
        </w:rPr>
        <w:t xml:space="preserve">toolsets:</w:t>
      </w:r>
    </w:p>
    <w:p>
      <w:pPr>
        <w:spacing w:after="40" w:before="40"/>
        <w:ind w:left="720"/>
      </w:pPr>
      <w:r>
        <w:rPr>
          <w:rFonts w:ascii="Courier New" w:cs="Courier New" w:eastAsia="Courier New" w:hAnsi="Courier New"/>
          <w:color w:val="1A3A6B"/>
          <w:sz w:val="18"/>
          <w:szCs w:val="18"/>
        </w:rPr>
        <w:t xml:space="preserve">  grafana-mcp:</w:t>
      </w:r>
    </w:p>
    <w:p>
      <w:pPr>
        <w:spacing w:after="40" w:before="40"/>
        <w:ind w:left="720"/>
      </w:pPr>
      <w:r>
        <w:rPr>
          <w:rFonts w:ascii="Courier New" w:cs="Courier New" w:eastAsia="Courier New" w:hAnsi="Courier New"/>
          <w:color w:val="1A3A6B"/>
          <w:sz w:val="18"/>
          <w:szCs w:val="18"/>
        </w:rPr>
        <w:t xml:space="preserve">    type: mcp</w:t>
      </w:r>
    </w:p>
    <w:p>
      <w:pPr>
        <w:spacing w:after="40" w:before="40"/>
        <w:ind w:left="720"/>
      </w:pPr>
      <w:r>
        <w:rPr>
          <w:rFonts w:ascii="Courier New" w:cs="Courier New" w:eastAsia="Courier New" w:hAnsi="Courier New"/>
          <w:color w:val="1A3A6B"/>
          <w:sz w:val="18"/>
          <w:szCs w:val="18"/>
        </w:rPr>
        <w:t xml:space="preserve">    config:</w:t>
      </w:r>
    </w:p>
    <w:p>
      <w:pPr>
        <w:spacing w:after="40" w:before="40"/>
        <w:ind w:left="720"/>
      </w:pPr>
      <w:r>
        <w:rPr>
          <w:rFonts w:ascii="Courier New" w:cs="Courier New" w:eastAsia="Courier New" w:hAnsi="Courier New"/>
          <w:color w:val="1A3A6B"/>
          <w:sz w:val="18"/>
          <w:szCs w:val="18"/>
        </w:rPr>
        <w:t xml:space="preserve">      url: "http://grafana-mcp.holmesgpt.svc.cluster.local:8080/sse"</w:t>
      </w:r>
    </w:p>
    <w:p>
      <w:pPr>
        <w:spacing w:after="0" w:before="80"/>
      </w:pPr>
    </w:p>
    <w:p>
      <w:pPr>
        <w:pStyle w:val="Heading2"/>
        <w:spacing w:after="120" w:before="240"/>
      </w:pPr>
      <w:r>
        <w:rPr>
          <w:rFonts w:ascii="Arial" w:cs="Arial" w:eastAsia="Arial" w:hAnsi="Arial"/>
          <w:b/>
          <w:bCs/>
          <w:color w:val="2C2C2C"/>
          <w:sz w:val="26"/>
          <w:szCs w:val="26"/>
        </w:rPr>
        <w:t xml:space="preserve">6.3 Scoping &amp; Least Privilege</w:t>
      </w:r>
    </w:p>
    <w:p>
      <w:pPr>
        <w:pStyle w:val="ListParagraph"/>
        <w:numPr>
          <w:ilvl w:val="0"/>
          <w:numId w:val="2"/>
        </w:numPr>
        <w:spacing w:after="60" w:before="60"/>
      </w:pPr>
      <w:r>
        <w:rPr>
          <w:rFonts w:ascii="Arial" w:cs="Arial" w:eastAsia="Arial" w:hAnsi="Arial"/>
          <w:b w:val="false"/>
          <w:bCs w:val="false"/>
          <w:color w:val="2C2C2C"/>
          <w:sz w:val="22"/>
          <w:szCs w:val="22"/>
        </w:rPr>
        <w:t xml:space="preserve">Create a Grafana Service Account with the Viewer role — no editing or admin permissions.</w:t>
      </w:r>
    </w:p>
    <w:p>
      <w:pPr>
        <w:pStyle w:val="ListParagraph"/>
        <w:numPr>
          <w:ilvl w:val="0"/>
          <w:numId w:val="2"/>
        </w:numPr>
        <w:spacing w:after="60" w:before="60"/>
      </w:pPr>
      <w:r>
        <w:rPr>
          <w:rFonts w:ascii="Arial" w:cs="Arial" w:eastAsia="Arial" w:hAnsi="Arial"/>
          <w:b w:val="false"/>
          <w:bCs w:val="false"/>
          <w:color w:val="2C2C2C"/>
          <w:sz w:val="22"/>
          <w:szCs w:val="22"/>
        </w:rPr>
        <w:t xml:space="preserve">If Grafana RBAC (Enterprise) is available, restrict the Service Account to specific datasource UIDs.</w:t>
      </w:r>
    </w:p>
    <w:p>
      <w:pPr>
        <w:pStyle w:val="ListParagraph"/>
        <w:numPr>
          <w:ilvl w:val="0"/>
          <w:numId w:val="2"/>
        </w:numPr>
        <w:spacing w:after="60" w:before="60"/>
      </w:pPr>
      <w:r>
        <w:rPr>
          <w:rFonts w:ascii="Arial" w:cs="Arial" w:eastAsia="Arial" w:hAnsi="Arial"/>
          <w:b w:val="false"/>
          <w:bCs w:val="false"/>
          <w:color w:val="2C2C2C"/>
          <w:sz w:val="22"/>
          <w:szCs w:val="22"/>
        </w:rPr>
        <w:t xml:space="preserve">The MCP server exposes grafana_query_datasource and grafana_list_dashboards tools — these are read-only by design.</w:t>
      </w:r>
    </w:p>
    <w:p>
      <w:pPr>
        <w:pStyle w:val="ListParagraph"/>
        <w:numPr>
          <w:ilvl w:val="0"/>
          <w:numId w:val="2"/>
        </w:numPr>
        <w:spacing w:after="60" w:before="60"/>
      </w:pPr>
      <w:r>
        <w:rPr>
          <w:rFonts w:ascii="Arial" w:cs="Arial" w:eastAsia="Arial" w:hAnsi="Arial"/>
          <w:b w:val="false"/>
          <w:bCs w:val="false"/>
          <w:color w:val="2C2C2C"/>
          <w:sz w:val="22"/>
          <w:szCs w:val="22"/>
        </w:rPr>
        <w:t xml:space="preserve">Network policy: allow ingress to grafana-mcp only from the holmesgpt Pod; deny all other ingress.</w:t>
      </w:r>
    </w:p>
    <w:p>
      <w:pPr>
        <w:spacing w:after="0" w:before="240"/>
      </w:pPr>
    </w:p>
    <w:p>
      <w:pPr>
        <w:pStyle w:val="Heading1"/>
        <w:pBdr>
          <w:bottom w:val="single" w:color="1E4D8C" w:sz="8" w:space="6"/>
        </w:pBdr>
        <w:spacing w:after="160" w:before="320"/>
      </w:pPr>
      <w:r>
        <w:rPr>
          <w:rFonts w:ascii="Arial" w:cs="Arial" w:eastAsia="Arial" w:hAnsi="Arial"/>
          <w:b/>
          <w:bCs/>
          <w:color w:val="1E4D8C"/>
          <w:sz w:val="32"/>
          <w:szCs w:val="32"/>
        </w:rPr>
        <w:t xml:space="preserve">7. Self-Hosting a Scoped kubectl MCP Server</w:t>
      </w:r>
    </w:p>
    <w:p>
      <w:pPr>
        <w:spacing w:after="80" w:before="80"/>
      </w:pPr>
      <w:r>
        <w:rPr>
          <w:rFonts w:ascii="Arial" w:cs="Arial" w:eastAsia="Arial" w:hAnsi="Arial"/>
          <w:color w:val="2C2C2C"/>
          <w:sz w:val="22"/>
          <w:szCs w:val="22"/>
        </w:rPr>
        <w:t xml:space="preserve">HolmesGPT includes a built-in Kubernetes (MCP) toolset. If your organisation does not run a corporate kubectl MCP server, you can deploy a namespace-scoped instance inside the holmesgpt namespace.</w:t>
      </w:r>
    </w:p>
    <w:p>
      <w:pPr>
        <w:spacing w:after="0" w:before="80"/>
      </w:pPr>
    </w:p>
    <w:p>
      <w:pPr>
        <w:pStyle w:val="Heading2"/>
        <w:spacing w:after="120" w:before="240"/>
      </w:pPr>
      <w:r>
        <w:rPr>
          <w:rFonts w:ascii="Arial" w:cs="Arial" w:eastAsia="Arial" w:hAnsi="Arial"/>
          <w:b/>
          <w:bCs/>
          <w:color w:val="2C2C2C"/>
          <w:sz w:val="26"/>
          <w:szCs w:val="26"/>
        </w:rPr>
        <w:t xml:space="preserve">7.1 Why self-host?</w:t>
      </w:r>
    </w:p>
    <w:p>
      <w:pPr>
        <w:pStyle w:val="ListParagraph"/>
        <w:numPr>
          <w:ilvl w:val="0"/>
          <w:numId w:val="2"/>
        </w:numPr>
        <w:spacing w:after="60" w:before="60"/>
      </w:pPr>
      <w:r>
        <w:rPr>
          <w:rFonts w:ascii="Arial" w:cs="Arial" w:eastAsia="Arial" w:hAnsi="Arial"/>
          <w:b w:val="false"/>
          <w:bCs w:val="false"/>
          <w:color w:val="2C2C2C"/>
          <w:sz w:val="22"/>
          <w:szCs w:val="22"/>
        </w:rPr>
        <w:t xml:space="preserve">Namespace isolation: HolmesGPT should only read resources in approved namespaces (e.g., production, staging). A scoped MCP server enforces this at the RBAC layer, not just in prompts.</w:t>
      </w:r>
    </w:p>
    <w:p>
      <w:pPr>
        <w:pStyle w:val="ListParagraph"/>
        <w:numPr>
          <w:ilvl w:val="0"/>
          <w:numId w:val="2"/>
        </w:numPr>
        <w:spacing w:after="60" w:before="60"/>
      </w:pPr>
      <w:r>
        <w:rPr>
          <w:rFonts w:ascii="Arial" w:cs="Arial" w:eastAsia="Arial" w:hAnsi="Arial"/>
          <w:b w:val="false"/>
          <w:bCs w:val="false"/>
          <w:color w:val="2C2C2C"/>
          <w:sz w:val="22"/>
          <w:szCs w:val="22"/>
        </w:rPr>
        <w:t xml:space="preserve">No cluster-admin exposure: the MCP server's ServiceAccount is bound to a ClusterRole with only get, list, watch verbs on approved resource types.</w:t>
      </w:r>
    </w:p>
    <w:p>
      <w:pPr>
        <w:spacing w:after="0" w:before="80"/>
      </w:pPr>
    </w:p>
    <w:p>
      <w:pPr>
        <w:pStyle w:val="Heading2"/>
        <w:spacing w:after="120" w:before="240"/>
      </w:pPr>
      <w:r>
        <w:rPr>
          <w:rFonts w:ascii="Arial" w:cs="Arial" w:eastAsia="Arial" w:hAnsi="Arial"/>
          <w:b/>
          <w:bCs/>
          <w:color w:val="2C2C2C"/>
          <w:sz w:val="26"/>
          <w:szCs w:val="26"/>
        </w:rPr>
        <w:t xml:space="preserve">7.2 Deployment</w:t>
      </w:r>
    </w:p>
    <w:p>
      <w:pPr>
        <w:spacing w:after="80" w:before="80"/>
      </w:pPr>
      <w:r>
        <w:rPr>
          <w:rFonts w:ascii="Arial" w:cs="Arial" w:eastAsia="Arial" w:hAnsi="Arial"/>
          <w:color w:val="2C2C2C"/>
          <w:sz w:val="22"/>
          <w:szCs w:val="22"/>
        </w:rPr>
        <w:t xml:space="preserve">Use the mcp/kubernetes image (github.com/robusta-dev/holmesgpt provides a reference). Deploy in-cluster:</w:t>
      </w:r>
    </w:p>
    <w:p>
      <w:pPr>
        <w:spacing w:after="0" w:before="80"/>
      </w:pPr>
    </w:p>
    <w:p>
      <w:pPr>
        <w:spacing w:after="40" w:before="40"/>
        <w:ind w:left="720"/>
      </w:pPr>
      <w:r>
        <w:rPr>
          <w:rFonts w:ascii="Courier New" w:cs="Courier New" w:eastAsia="Courier New" w:hAnsi="Courier New"/>
          <w:color w:val="1A3A6B"/>
          <w:sz w:val="18"/>
          <w:szCs w:val="18"/>
        </w:rPr>
        <w:t xml:space="preserve"># kubectl-mcp-deployment.yaml (abbreviated)</w:t>
      </w:r>
    </w:p>
    <w:p>
      <w:pPr>
        <w:spacing w:after="40" w:before="40"/>
        <w:ind w:left="720"/>
      </w:pPr>
      <w:r>
        <w:rPr>
          <w:rFonts w:ascii="Courier New" w:cs="Courier New" w:eastAsia="Courier New" w:hAnsi="Courier New"/>
          <w:color w:val="1A3A6B"/>
          <w:sz w:val="18"/>
          <w:szCs w:val="18"/>
        </w:rPr>
        <w:t xml:space="preserve">serviceAccountName: holmes-kubectl-sa   # bound to scoped ClusterRole</w:t>
      </w:r>
    </w:p>
    <w:p>
      <w:pPr>
        <w:spacing w:after="40" w:before="40"/>
        <w:ind w:left="720"/>
      </w:pPr>
      <w:r>
        <w:rPr>
          <w:rFonts w:ascii="Courier New" w:cs="Courier New" w:eastAsia="Courier New" w:hAnsi="Courier New"/>
          <w:color w:val="1A3A6B"/>
          <w:sz w:val="18"/>
          <w:szCs w:val="18"/>
        </w:rPr>
        <w:t xml:space="preserve">env:</w:t>
      </w:r>
    </w:p>
    <w:p>
      <w:pPr>
        <w:spacing w:after="40" w:before="40"/>
        <w:ind w:left="720"/>
      </w:pPr>
      <w:r>
        <w:rPr>
          <w:rFonts w:ascii="Courier New" w:cs="Courier New" w:eastAsia="Courier New" w:hAnsi="Courier New"/>
          <w:color w:val="1A3A6B"/>
          <w:sz w:val="18"/>
          <w:szCs w:val="18"/>
        </w:rPr>
        <w:t xml:space="preserve">  - name: ALLOWED_NAMESPACES</w:t>
      </w:r>
    </w:p>
    <w:p>
      <w:pPr>
        <w:spacing w:after="40" w:before="40"/>
        <w:ind w:left="720"/>
      </w:pPr>
      <w:r>
        <w:rPr>
          <w:rFonts w:ascii="Courier New" w:cs="Courier New" w:eastAsia="Courier New" w:hAnsi="Courier New"/>
          <w:color w:val="1A3A6B"/>
          <w:sz w:val="18"/>
          <w:szCs w:val="18"/>
        </w:rPr>
        <w:t xml:space="preserve">    value: "production,staging,data-platform"</w:t>
      </w:r>
    </w:p>
    <w:p>
      <w:pPr>
        <w:spacing w:after="40" w:before="40"/>
        <w:ind w:left="720"/>
      </w:pPr>
      <w:r>
        <w:rPr>
          <w:rFonts w:ascii="Courier New" w:cs="Courier New" w:eastAsia="Courier New" w:hAnsi="Courier New"/>
          <w:color w:val="1A3A6B"/>
          <w:sz w:val="18"/>
          <w:szCs w:val="18"/>
        </w:rPr>
        <w:t xml:space="preserve">  - name: TRANSPORT</w:t>
      </w:r>
    </w:p>
    <w:p>
      <w:pPr>
        <w:spacing w:after="40" w:before="40"/>
        <w:ind w:left="720"/>
      </w:pPr>
      <w:r>
        <w:rPr>
          <w:rFonts w:ascii="Courier New" w:cs="Courier New" w:eastAsia="Courier New" w:hAnsi="Courier New"/>
          <w:color w:val="1A3A6B"/>
          <w:sz w:val="18"/>
          <w:szCs w:val="18"/>
        </w:rPr>
        <w:t xml:space="preserve">    value: "sse"</w:t>
      </w:r>
    </w:p>
    <w:p>
      <w:pPr>
        <w:spacing w:after="0" w:before="80"/>
      </w:pPr>
    </w:p>
    <w:p>
      <w:pPr>
        <w:spacing w:after="80" w:before="80"/>
      </w:pPr>
      <w:r>
        <w:rPr>
          <w:rFonts w:ascii="Arial" w:cs="Arial" w:eastAsia="Arial" w:hAnsi="Arial"/>
          <w:color w:val="2C2C2C"/>
          <w:sz w:val="22"/>
          <w:szCs w:val="22"/>
        </w:rPr>
        <w:t xml:space="preserve">Register it in HolmesGPT config.yaml:</w:t>
      </w:r>
    </w:p>
    <w:p>
      <w:pPr>
        <w:spacing w:after="0" w:before="80"/>
      </w:pPr>
    </w:p>
    <w:p>
      <w:pPr>
        <w:spacing w:after="40" w:before="40"/>
        <w:ind w:left="720"/>
      </w:pPr>
      <w:r>
        <w:rPr>
          <w:rFonts w:ascii="Courier New" w:cs="Courier New" w:eastAsia="Courier New" w:hAnsi="Courier New"/>
          <w:color w:val="1A3A6B"/>
          <w:sz w:val="18"/>
          <w:szCs w:val="18"/>
        </w:rPr>
        <w:t xml:space="preserve">toolsets:</w:t>
      </w:r>
    </w:p>
    <w:p>
      <w:pPr>
        <w:spacing w:after="40" w:before="40"/>
        <w:ind w:left="720"/>
      </w:pPr>
      <w:r>
        <w:rPr>
          <w:rFonts w:ascii="Courier New" w:cs="Courier New" w:eastAsia="Courier New" w:hAnsi="Courier New"/>
          <w:color w:val="1A3A6B"/>
          <w:sz w:val="18"/>
          <w:szCs w:val="18"/>
        </w:rPr>
        <w:t xml:space="preserve">  kubectl-mcp:</w:t>
      </w:r>
    </w:p>
    <w:p>
      <w:pPr>
        <w:spacing w:after="40" w:before="40"/>
        <w:ind w:left="720"/>
      </w:pPr>
      <w:r>
        <w:rPr>
          <w:rFonts w:ascii="Courier New" w:cs="Courier New" w:eastAsia="Courier New" w:hAnsi="Courier New"/>
          <w:color w:val="1A3A6B"/>
          <w:sz w:val="18"/>
          <w:szCs w:val="18"/>
        </w:rPr>
        <w:t xml:space="preserve">    type: mcp</w:t>
      </w:r>
    </w:p>
    <w:p>
      <w:pPr>
        <w:spacing w:after="40" w:before="40"/>
        <w:ind w:left="720"/>
      </w:pPr>
      <w:r>
        <w:rPr>
          <w:rFonts w:ascii="Courier New" w:cs="Courier New" w:eastAsia="Courier New" w:hAnsi="Courier New"/>
          <w:color w:val="1A3A6B"/>
          <w:sz w:val="18"/>
          <w:szCs w:val="18"/>
        </w:rPr>
        <w:t xml:space="preserve">    config:</w:t>
      </w:r>
    </w:p>
    <w:p>
      <w:pPr>
        <w:spacing w:after="40" w:before="40"/>
        <w:ind w:left="720"/>
      </w:pPr>
      <w:r>
        <w:rPr>
          <w:rFonts w:ascii="Courier New" w:cs="Courier New" w:eastAsia="Courier New" w:hAnsi="Courier New"/>
          <w:color w:val="1A3A6B"/>
          <w:sz w:val="18"/>
          <w:szCs w:val="18"/>
        </w:rPr>
        <w:t xml:space="preserve">      url: "http://kubectl-mcp.holmesgpt.svc.cluster.local:8080/sse"</w:t>
      </w:r>
    </w:p>
    <w:p>
      <w:pPr>
        <w:spacing w:after="0" w:before="80"/>
      </w:pPr>
    </w:p>
    <w:p>
      <w:pPr>
        <w:pStyle w:val="Heading2"/>
        <w:spacing w:after="120" w:before="240"/>
      </w:pPr>
      <w:r>
        <w:rPr>
          <w:rFonts w:ascii="Arial" w:cs="Arial" w:eastAsia="Arial" w:hAnsi="Arial"/>
          <w:b/>
          <w:bCs/>
          <w:color w:val="2C2C2C"/>
          <w:sz w:val="26"/>
          <w:szCs w:val="26"/>
        </w:rPr>
        <w:t xml:space="preserve">7.3 RBAC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25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Verbs allowed</w:t>
            </w:r>
          </w:p>
        </w:tc>
        <w:tc>
          <w:tcPr>
            <w:tcW w:type="dxa" w:w="386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pods, pods/log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get, list, watch</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Core incident investigation — pod status and recent logs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deployments, replicasets, statefulsets, daemonsets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get, list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Determine rollout state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services, endpoints, ingresses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get, list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Network topology for connectivity failures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events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get, list, watch</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Kubernetes events are often the first hint of a problem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configmaps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get, list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Config drift detection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nodes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get, list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Node pressure / resource exhaustion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secrets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DENIED</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Never — LLM must not read secret values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exec / port-forward / delete / patch</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DENIED</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Read-only; remediation is out of scope for this ADR</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4D8C" w:sz="6"/>
              <w:left w:val="single" w:color="1E4D8C" w:sz="16"/>
              <w:bottom w:val="single" w:color="CCCCCC" w:sz="1"/>
              <w:right w:val="single" w:color="CCCCCC" w:sz="1"/>
            </w:tcBorders>
            <w:shd w:fill="F5F5F5" w:val="clear"/>
            <w:tcMar>
              <w:top w:type="dxa" w:w="120"/>
              <w:left w:type="dxa" w:w="200"/>
              <w:bottom w:type="dxa" w:w="120"/>
              <w:right w:type="dxa" w:w="200"/>
            </w:tcMar>
          </w:tcPr>
          <w:p>
            <w:r>
              <w:rPr>
                <w:rFonts w:ascii="Arial" w:cs="Arial" w:eastAsia="Arial" w:hAnsi="Arial"/>
                <w:i/>
                <w:iCs/>
                <w:color w:val="2C2C2C"/>
                <w:sz w:val="20"/>
                <w:szCs w:val="20"/>
              </w:rPr>
              <w:t xml:space="preserve">Namespace restriction: Apply a RoleBinding (not ClusterRoleBinding) in each permitted namespace, rather than a ClusterRoleBinding with namespace filtering. This ensures Kubernetes enforces the namespace boundary at the API server, not only at the MCP layer.</w:t>
            </w:r>
          </w:p>
        </w:tc>
      </w:tr>
    </w:tbl>
    <w:p>
      <w:pPr>
        <w:spacing w:after="0" w:before="240"/>
      </w:pPr>
    </w:p>
    <w:p>
      <w:pPr>
        <w:pStyle w:val="Heading1"/>
        <w:pBdr>
          <w:bottom w:val="single" w:color="1E4D8C" w:sz="8" w:space="6"/>
        </w:pBdr>
        <w:spacing w:after="160" w:before="320"/>
      </w:pPr>
      <w:r>
        <w:rPr>
          <w:rFonts w:ascii="Arial" w:cs="Arial" w:eastAsia="Arial" w:hAnsi="Arial"/>
          <w:b/>
          <w:bCs/>
          <w:color w:val="1E4D8C"/>
          <w:sz w:val="32"/>
          <w:szCs w:val="32"/>
        </w:rPr>
        <w:t xml:space="preserve">8. Alternatives Considered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600"/>
        <w:gridCol w:w="1960"/>
      </w:tblGrid>
      <w:tr>
        <w:tc>
          <w:tcPr>
            <w:tcW w:type="dxa" w:w="22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Option</w:t>
            </w:r>
          </w:p>
        </w:tc>
        <w:tc>
          <w:tcPr>
            <w:tcW w:type="dxa" w:w="26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Pros</w:t>
            </w:r>
          </w:p>
        </w:tc>
        <w:tc>
          <w:tcPr>
            <w:tcW w:type="dxa" w:w="26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Cons</w:t>
            </w:r>
          </w:p>
        </w:tc>
        <w:tc>
          <w:tcPr>
            <w:tcW w:type="dxa" w:w="196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Verdict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Robusta SaaS (hosted platform)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Zero infra overhead; fastest setup</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Data leaves cluster; SaaS cost; data residency concern</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Rejected — data residency requirement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Custom LLM agent (in-house)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Full control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6–12 months build; high ongoing maintenance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Rejected — build vs buy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K8sGPT (open source)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Mature, widely used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Read-only K8s focus only; no Grafana/Loki toolsets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Rejected — insufficient scope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Robusta Classic (rule-based)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Already deployed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No LLM inference; manual playbook authoring doesn't scale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Partially retained as alert router feeding HolmesGPT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HolmesGPT self-hosted (this ADR)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Open source, MIT; CNCF Sandbox; scoped MCP; on-prem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MCP self-hosting overhead; key management to solve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ACCEPTED</w:t>
            </w:r>
          </w:p>
        </w:tc>
      </w:tr>
    </w:tbl>
    <w:p>
      <w:pPr>
        <w:spacing w:after="0" w:before="240"/>
      </w:pPr>
    </w:p>
    <w:p>
      <w:pPr>
        <w:pStyle w:val="Heading1"/>
        <w:pBdr>
          <w:bottom w:val="single" w:color="1E4D8C" w:sz="8" w:space="6"/>
        </w:pBdr>
        <w:spacing w:after="160" w:before="320"/>
      </w:pPr>
      <w:r>
        <w:rPr>
          <w:rFonts w:ascii="Arial" w:cs="Arial" w:eastAsia="Arial" w:hAnsi="Arial"/>
          <w:b/>
          <w:bCs/>
          <w:color w:val="1E4D8C"/>
          <w:sz w:val="32"/>
          <w:szCs w:val="32"/>
        </w:rPr>
        <w:t xml:space="preserve">9. Security Checklist</w:t>
      </w:r>
    </w:p>
    <w:p>
      <w:pPr>
        <w:pStyle w:val="ListParagraph"/>
        <w:numPr>
          <w:ilvl w:val="false"/>
          <w:numId w:val="2"/>
        </w:numPr>
        <w:spacing w:after="60" w:before="60"/>
      </w:pPr>
      <w:r>
        <w:rPr>
          <w:rFonts w:ascii="Arial" w:cs="Arial" w:eastAsia="Arial" w:hAnsi="Arial"/>
          <w:b w:val="false"/>
          <w:bCs w:val="false"/>
          <w:color w:val="2C2C2C"/>
          <w:sz w:val="22"/>
          <w:szCs w:val="22"/>
        </w:rPr>
        <w:t xml:space="preserve">Set HOLMES_API_KEY via Kubernetes Secret, never as a plain Helm value or in version control.</w:t>
      </w:r>
    </w:p>
    <w:p>
      <w:pPr>
        <w:pStyle w:val="ListParagraph"/>
        <w:numPr>
          <w:ilvl w:val="false"/>
          <w:numId w:val="2"/>
        </w:numPr>
        <w:spacing w:after="60" w:before="60"/>
      </w:pPr>
      <w:r>
        <w:rPr>
          <w:rFonts w:ascii="Arial" w:cs="Arial" w:eastAsia="Arial" w:hAnsi="Arial"/>
          <w:b w:val="false"/>
          <w:bCs w:val="false"/>
          <w:color w:val="2C2C2C"/>
          <w:sz w:val="22"/>
          <w:szCs w:val="22"/>
        </w:rPr>
        <w:t xml:space="preserve">Enable TLS (cert-manager + Let's Encrypt or internal CA) on the HolmesGPT ingress.</w:t>
      </w:r>
    </w:p>
    <w:p>
      <w:pPr>
        <w:pStyle w:val="ListParagraph"/>
        <w:numPr>
          <w:ilvl w:val="false"/>
          <w:numId w:val="2"/>
        </w:numPr>
        <w:spacing w:after="60" w:before="60"/>
      </w:pPr>
      <w:r>
        <w:rPr>
          <w:rFonts w:ascii="Arial" w:cs="Arial" w:eastAsia="Arial" w:hAnsi="Arial"/>
          <w:b w:val="false"/>
          <w:bCs w:val="false"/>
          <w:color w:val="2C2C2C"/>
          <w:sz w:val="22"/>
          <w:szCs w:val="22"/>
        </w:rPr>
        <w:t xml:space="preserve">Use ingress-level IP allowlisting to restrict /api/investigate to known internal IP ranges (Grafana, GitLab runners).</w:t>
      </w:r>
    </w:p>
    <w:p>
      <w:pPr>
        <w:pStyle w:val="ListParagraph"/>
        <w:numPr>
          <w:ilvl w:val="false"/>
          <w:numId w:val="2"/>
        </w:numPr>
        <w:spacing w:after="60" w:before="60"/>
      </w:pPr>
      <w:r>
        <w:rPr>
          <w:rFonts w:ascii="Arial" w:cs="Arial" w:eastAsia="Arial" w:hAnsi="Arial"/>
          <w:b w:val="false"/>
          <w:bCs w:val="false"/>
          <w:color w:val="2C2C2C"/>
          <w:sz w:val="22"/>
          <w:szCs w:val="22"/>
        </w:rPr>
        <w:t xml:space="preserve">Apply NetworkPolicy: allow ingress to holmesgpt pods only from the ingress controller and the two MCP servers.</w:t>
      </w:r>
    </w:p>
    <w:p>
      <w:pPr>
        <w:pStyle w:val="ListParagraph"/>
        <w:numPr>
          <w:ilvl w:val="false"/>
          <w:numId w:val="2"/>
        </w:numPr>
        <w:spacing w:after="60" w:before="60"/>
      </w:pPr>
      <w:r>
        <w:rPr>
          <w:rFonts w:ascii="Arial" w:cs="Arial" w:eastAsia="Arial" w:hAnsi="Arial"/>
          <w:b w:val="false"/>
          <w:bCs w:val="false"/>
          <w:color w:val="2C2C2C"/>
          <w:sz w:val="22"/>
          <w:szCs w:val="22"/>
        </w:rPr>
        <w:t xml:space="preserve">Restrict HolmesGPT's own ServiceAccount to the minimum Kubernetes RBAC — do not give it the ClusterRole that the kubectl MCP SA has.</w:t>
      </w:r>
    </w:p>
    <w:p>
      <w:pPr>
        <w:pStyle w:val="ListParagraph"/>
        <w:numPr>
          <w:ilvl w:val="false"/>
          <w:numId w:val="2"/>
        </w:numPr>
        <w:spacing w:after="60" w:before="60"/>
      </w:pPr>
      <w:r>
        <w:rPr>
          <w:rFonts w:ascii="Arial" w:cs="Arial" w:eastAsia="Arial" w:hAnsi="Arial"/>
          <w:b w:val="false"/>
          <w:bCs w:val="false"/>
          <w:color w:val="2C2C2C"/>
          <w:sz w:val="22"/>
          <w:szCs w:val="22"/>
        </w:rPr>
        <w:t xml:space="preserve">Never pass secrets as tool call arguments; use Kubernetes Secret references in toolset config only.</w:t>
      </w:r>
    </w:p>
    <w:p>
      <w:pPr>
        <w:pStyle w:val="ListParagraph"/>
        <w:numPr>
          <w:ilvl w:val="false"/>
          <w:numId w:val="2"/>
        </w:numPr>
        <w:spacing w:after="60" w:before="60"/>
      </w:pPr>
      <w:r>
        <w:rPr>
          <w:rFonts w:ascii="Arial" w:cs="Arial" w:eastAsia="Arial" w:hAnsi="Arial"/>
          <w:b w:val="false"/>
          <w:bCs w:val="false"/>
          <w:color w:val="2C2C2C"/>
          <w:sz w:val="22"/>
          <w:szCs w:val="22"/>
        </w:rPr>
        <w:t xml:space="preserve">Log all /api/investigate invocations to Loki; set an alert on HTTP 401 rate &gt; 5/min.</w:t>
      </w:r>
    </w:p>
    <w:p>
      <w:pPr>
        <w:pStyle w:val="ListParagraph"/>
        <w:numPr>
          <w:ilvl w:val="false"/>
          <w:numId w:val="2"/>
        </w:numPr>
        <w:spacing w:after="60" w:before="60"/>
      </w:pPr>
      <w:r>
        <w:rPr>
          <w:rFonts w:ascii="Arial" w:cs="Arial" w:eastAsia="Arial" w:hAnsi="Arial"/>
          <w:b w:val="false"/>
          <w:bCs w:val="false"/>
          <w:color w:val="2C2C2C"/>
          <w:sz w:val="22"/>
          <w:szCs w:val="22"/>
        </w:rPr>
        <w:t xml:space="preserve">Review LLM prompt/response logs for accidental secret leakage (Kubernetes Secret values appearing in context) on a monthly cadence.</w:t>
      </w:r>
    </w:p>
    <w:p>
      <w:pPr>
        <w:pStyle w:val="ListParagraph"/>
        <w:numPr>
          <w:ilvl w:val="false"/>
          <w:numId w:val="2"/>
        </w:numPr>
        <w:spacing w:after="60" w:before="60"/>
      </w:pPr>
      <w:r>
        <w:rPr>
          <w:rFonts w:ascii="Arial" w:cs="Arial" w:eastAsia="Arial" w:hAnsi="Arial"/>
          <w:b w:val="false"/>
          <w:bCs w:val="false"/>
          <w:color w:val="2C2C2C"/>
          <w:sz w:val="22"/>
          <w:szCs w:val="22"/>
        </w:rPr>
        <w:t xml:space="preserve">HolmesGPT is read-only by design; explicitly disable the kubectl-remediation-mcp toolset unless write access is separately approved.</w:t>
      </w:r>
    </w:p>
    <w:p>
      <w:pPr>
        <w:spacing w:after="0" w:before="240"/>
      </w:pPr>
    </w:p>
    <w:p>
      <w:pPr>
        <w:pStyle w:val="Heading1"/>
        <w:pBdr>
          <w:bottom w:val="single" w:color="1E4D8C" w:sz="8" w:space="6"/>
        </w:pBdr>
        <w:spacing w:after="160" w:before="320"/>
      </w:pPr>
      <w:r>
        <w:rPr>
          <w:rFonts w:ascii="Arial" w:cs="Arial" w:eastAsia="Arial" w:hAnsi="Arial"/>
          <w:b/>
          <w:bCs/>
          <w:color w:val="1E4D8C"/>
          <w:sz w:val="32"/>
          <w:szCs w:val="32"/>
        </w:rPr>
        <w:t xml:space="preserve">10. References</w:t>
      </w:r>
    </w:p>
    <w:p>
      <w:pPr>
        <w:pStyle w:val="ListParagraph"/>
        <w:numPr>
          <w:ilvl w:val="0"/>
          <w:numId w:val="2"/>
        </w:numPr>
        <w:spacing w:after="60" w:before="60"/>
      </w:pPr>
      <w:r>
        <w:rPr>
          <w:rFonts w:ascii="Arial" w:cs="Arial" w:eastAsia="Arial" w:hAnsi="Arial"/>
          <w:b w:val="false"/>
          <w:bCs w:val="false"/>
          <w:color w:val="2C2C2C"/>
          <w:sz w:val="22"/>
          <w:szCs w:val="22"/>
        </w:rPr>
        <w:t xml:space="preserve">HolmesGPT GitHub — https://github.com/HolmesGPT/holmesgpt</w:t>
      </w:r>
    </w:p>
    <w:p>
      <w:pPr>
        <w:pStyle w:val="ListParagraph"/>
        <w:numPr>
          <w:ilvl w:val="0"/>
          <w:numId w:val="2"/>
        </w:numPr>
        <w:spacing w:after="60" w:before="60"/>
      </w:pPr>
      <w:r>
        <w:rPr>
          <w:rFonts w:ascii="Arial" w:cs="Arial" w:eastAsia="Arial" w:hAnsi="Arial"/>
          <w:b w:val="false"/>
          <w:bCs w:val="false"/>
          <w:color w:val="2C2C2C"/>
          <w:sz w:val="22"/>
          <w:szCs w:val="22"/>
        </w:rPr>
        <w:t xml:space="preserve">HolmesGPT HTTP API Reference — https://holmesgpt.dev/latest/reference/http-api/</w:t>
      </w:r>
    </w:p>
    <w:p>
      <w:pPr>
        <w:pStyle w:val="ListParagraph"/>
        <w:numPr>
          <w:ilvl w:val="0"/>
          <w:numId w:val="2"/>
        </w:numPr>
        <w:spacing w:after="60" w:before="60"/>
      </w:pPr>
      <w:r>
        <w:rPr>
          <w:rFonts w:ascii="Arial" w:cs="Arial" w:eastAsia="Arial" w:hAnsi="Arial"/>
          <w:b w:val="false"/>
          <w:bCs w:val="false"/>
          <w:color w:val="2C2C2C"/>
          <w:sz w:val="22"/>
          <w:szCs w:val="22"/>
        </w:rPr>
        <w:t xml:space="preserve">HolmesGPT MCP Servers — https://holmesgpt.dev/latest/data-sources/remote-mcp-servers/</w:t>
      </w:r>
    </w:p>
    <w:p>
      <w:pPr>
        <w:pStyle w:val="ListParagraph"/>
        <w:numPr>
          <w:ilvl w:val="0"/>
          <w:numId w:val="2"/>
        </w:numPr>
        <w:spacing w:after="60" w:before="60"/>
      </w:pPr>
      <w:r>
        <w:rPr>
          <w:rFonts w:ascii="Arial" w:cs="Arial" w:eastAsia="Arial" w:hAnsi="Arial"/>
          <w:b w:val="false"/>
          <w:bCs w:val="false"/>
          <w:color w:val="2C2C2C"/>
          <w:sz w:val="22"/>
          <w:szCs w:val="22"/>
        </w:rPr>
        <w:t xml:space="preserve">HolmesGPT HTTP Connectors — https://holmesgpt.dev/latest/data-sources/api-toolsets/</w:t>
      </w:r>
    </w:p>
    <w:p>
      <w:pPr>
        <w:pStyle w:val="ListParagraph"/>
        <w:numPr>
          <w:ilvl w:val="0"/>
          <w:numId w:val="2"/>
        </w:numPr>
        <w:spacing w:after="60" w:before="60"/>
      </w:pPr>
      <w:r>
        <w:rPr>
          <w:rFonts w:ascii="Arial" w:cs="Arial" w:eastAsia="Arial" w:hAnsi="Arial"/>
          <w:b w:val="false"/>
          <w:bCs w:val="false"/>
          <w:color w:val="2C2C2C"/>
          <w:sz w:val="22"/>
          <w:szCs w:val="22"/>
        </w:rPr>
        <w:t xml:space="preserve">Grafana MCP Server — https://github.com/grafana/mcp-grafana</w:t>
      </w:r>
    </w:p>
    <w:p>
      <w:pPr>
        <w:pStyle w:val="ListParagraph"/>
        <w:numPr>
          <w:ilvl w:val="0"/>
          <w:numId w:val="2"/>
        </w:numPr>
        <w:spacing w:after="60" w:before="60"/>
      </w:pPr>
      <w:r>
        <w:rPr>
          <w:rFonts w:ascii="Arial" w:cs="Arial" w:eastAsia="Arial" w:hAnsi="Arial"/>
          <w:b w:val="false"/>
          <w:bCs w:val="false"/>
          <w:color w:val="2C2C2C"/>
          <w:sz w:val="22"/>
          <w:szCs w:val="22"/>
        </w:rPr>
        <w:t xml:space="preserve">Robusta Deployment Options — https://docs.robusta.dev/master/how-it-works/oss-vs-saas.html</w:t>
      </w:r>
    </w:p>
    <w:p>
      <w:pPr>
        <w:pStyle w:val="ListParagraph"/>
        <w:numPr>
          <w:ilvl w:val="0"/>
          <w:numId w:val="2"/>
        </w:numPr>
        <w:spacing w:after="60" w:before="60"/>
      </w:pPr>
      <w:r>
        <w:rPr>
          <w:rFonts w:ascii="Arial" w:cs="Arial" w:eastAsia="Arial" w:hAnsi="Arial"/>
          <w:b w:val="false"/>
          <w:bCs w:val="false"/>
          <w:color w:val="2C2C2C"/>
          <w:sz w:val="22"/>
          <w:szCs w:val="22"/>
        </w:rPr>
        <w:t xml:space="preserve">Kubernetes RBAC Best Practices — https://kubernetes.io/docs/concepts/security/rbac-good-practices/</w:t>
      </w:r>
    </w:p>
    <w:p>
      <w:pPr>
        <w:spacing w:after="0" w:before="240"/>
      </w:pPr>
    </w:p>
    <w:p>
      <w:pPr>
        <w:pStyle w:val="Heading1"/>
        <w:pBdr>
          <w:bottom w:val="single" w:color="1E4D8C" w:sz="8" w:space="6"/>
        </w:pBdr>
        <w:spacing w:after="160" w:before="320"/>
      </w:pPr>
      <w:r>
        <w:rPr>
          <w:rFonts w:ascii="Arial" w:cs="Arial" w:eastAsia="Arial" w:hAnsi="Arial"/>
          <w:b/>
          <w:bCs/>
          <w:color w:val="1E4D8C"/>
          <w:sz w:val="32"/>
          <w:szCs w:val="32"/>
        </w:rPr>
        <w:t xml:space="preserve">11. Decision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5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486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Change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2026-06-08</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&lt;Author&gt;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Initial draft — PROPOSED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TBD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SRE Lead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Review and approval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TBD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Security</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Security sign-off</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ADR-0042 — HolmesGPT SRE Agent Adoption  |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4D8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C2C2C"/>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2026-06-08T07:01:53.296Z</dcterms:created>
  <dcterms:modified xsi:type="dcterms:W3CDTF">2026-06-08T07:01:53.296Z</dcterms:modified>
</cp:coreProperties>
</file>

<file path=docProps/custom.xml><?xml version="1.0" encoding="utf-8"?>
<Properties xmlns="http://schemas.openxmlformats.org/officeDocument/2006/custom-properties" xmlns:vt="http://schemas.openxmlformats.org/officeDocument/2006/docPropsVTypes"/>
</file>