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0" w:before="320" w:line="480" w:lineRule="auto"/>
        <w:jc w:val="center"/>
        <w:rPr>
          <w:rFonts w:ascii="Times New Roman" w:cs="Times New Roman" w:eastAsia="Times New Roman" w:hAnsi="Times New Roman"/>
          <w:b w:val="1"/>
          <w:bCs w:val="1"/>
          <w:sz w:val="24"/>
          <w:szCs w:val="24"/>
        </w:rPr>
      </w:pPr>
      <w:bookmarkStart w:colFirst="0" w:colLast="0" w:name="_imq0q3k4lg89" w:id="0"/>
      <w:bookmarkEnd w:id="0"/>
      <w:r w:rsidDel="00000000" w:rsidR="00000000" w:rsidRPr="00000000">
        <w:rPr>
          <w:rtl w:val="0"/>
        </w:rPr>
      </w:r>
    </w:p>
    <w:p w:rsidR="00000000" w:rsidDel="00000000" w:rsidP="00000000" w:rsidRDefault="00000000" w:rsidRPr="00000000" w14:paraId="00000002">
      <w:pPr>
        <w:pStyle w:val="Title"/>
        <w:keepNext w:val="0"/>
        <w:keepLines w:val="0"/>
        <w:spacing w:after="0" w:before="320" w:line="480" w:lineRule="auto"/>
        <w:jc w:val="left"/>
        <w:rPr>
          <w:rFonts w:ascii="Times New Roman" w:cs="Times New Roman" w:eastAsia="Times New Roman" w:hAnsi="Times New Roman"/>
          <w:b w:val="1"/>
          <w:bCs w:val="1"/>
          <w:sz w:val="24"/>
          <w:szCs w:val="24"/>
        </w:rPr>
      </w:pPr>
      <w:bookmarkStart w:colFirst="0" w:colLast="0" w:name="_m9v3676kce0n" w:id="1"/>
      <w:bookmarkEnd w:id="1"/>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Title"/>
        <w:keepNext w:val="0"/>
        <w:keepLines w:val="0"/>
        <w:spacing w:after="120" w:line="480" w:lineRule="auto"/>
        <w:jc w:val="center"/>
        <w:rPr>
          <w:rFonts w:ascii="Times New Roman" w:cs="Times New Roman" w:eastAsia="Times New Roman" w:hAnsi="Times New Roman"/>
          <w:b w:val="1"/>
          <w:bCs w:val="1"/>
          <w:sz w:val="24"/>
          <w:szCs w:val="24"/>
        </w:rPr>
      </w:pPr>
      <w:bookmarkStart w:colFirst="0" w:colLast="0" w:name="_16fqfq4tc3ql" w:id="2"/>
      <w:bookmarkEnd w:id="2"/>
      <w:r w:rsidDel="00000000" w:rsidR="00000000" w:rsidRPr="00000000">
        <w:rPr>
          <w:rFonts w:ascii="Times New Roman" w:cs="Times New Roman" w:eastAsia="Times New Roman" w:hAnsi="Times New Roman"/>
          <w:b w:val="1"/>
          <w:bCs w:val="1"/>
          <w:color w:val="202122"/>
          <w:sz w:val="24"/>
          <w:szCs w:val="24"/>
          <w:rtl w:val="0"/>
        </w:rPr>
        <w:t xml:space="preserve">Customer and Market Segmentation</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00B">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Mehrthur</w:t>
      </w:r>
      <w:r w:rsidDel="00000000" w:rsidR="00000000" w:rsidRPr="00000000">
        <w:rPr>
          <w:rFonts w:ascii="Times New Roman" w:cs="Times New Roman" w:eastAsia="Times New Roman" w:hAnsi="Times New Roman"/>
          <w:sz w:val="24"/>
          <w:szCs w:val="24"/>
          <w:rtl w:val="0"/>
        </w:rPr>
        <w:t xml:space="preserve"> Luís Lemos da Silva</w:t>
      </w:r>
    </w:p>
    <w:p w:rsidR="00000000" w:rsidDel="00000000" w:rsidP="00000000" w:rsidRDefault="00000000" w:rsidRPr="00000000" w14:paraId="0000000C">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Derly Vanessa Carrillo Hernandez</w:t>
      </w:r>
    </w:p>
    <w:p w:rsidR="00000000" w:rsidDel="00000000" w:rsidP="00000000" w:rsidRDefault="00000000" w:rsidRPr="00000000" w14:paraId="0000000D">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Laura Andrea Martinez Sarmiento</w:t>
      </w:r>
    </w:p>
    <w:p w:rsidR="00000000" w:rsidDel="00000000" w:rsidP="00000000" w:rsidRDefault="00000000" w:rsidRPr="00000000" w14:paraId="0000000E">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Erick Jossue Murrillo Herrera</w:t>
      </w:r>
    </w:p>
    <w:p w:rsidR="00000000" w:rsidDel="00000000" w:rsidP="00000000" w:rsidRDefault="00000000" w:rsidRPr="00000000" w14:paraId="0000000F">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University of Niagara Falls Canada</w:t>
      </w:r>
    </w:p>
    <w:p w:rsidR="00000000" w:rsidDel="00000000" w:rsidP="00000000" w:rsidRDefault="00000000" w:rsidRPr="00000000" w14:paraId="00000010">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1</w:t>
      </w:r>
    </w:p>
    <w:p w:rsidR="00000000" w:rsidDel="00000000" w:rsidP="00000000" w:rsidRDefault="00000000" w:rsidRPr="00000000" w14:paraId="00000011">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2</w:t>
      </w:r>
    </w:p>
    <w:p w:rsidR="00000000" w:rsidDel="00000000" w:rsidP="00000000" w:rsidRDefault="00000000" w:rsidRPr="00000000" w14:paraId="00000012">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 Dr. Patty Zakaria</w:t>
      </w:r>
    </w:p>
    <w:p w:rsidR="00000000" w:rsidDel="00000000" w:rsidP="00000000" w:rsidRDefault="00000000" w:rsidRPr="00000000" w14:paraId="00000013">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October 11, 2026</w:t>
      </w:r>
    </w:p>
    <w:p w:rsidR="00000000" w:rsidDel="00000000" w:rsidP="00000000" w:rsidRDefault="00000000" w:rsidRPr="00000000" w14:paraId="00000014">
      <w:pPr>
        <w:spacing w:before="12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before="12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1"/>
        <w:spacing w:after="240" w:before="240" w:line="480" w:lineRule="auto"/>
        <w:ind w:left="3600" w:firstLine="0"/>
        <w:jc w:val="left"/>
        <w:rPr/>
      </w:pPr>
      <w:bookmarkStart w:colFirst="0" w:colLast="0" w:name="_cwhiuhw9t9a0" w:id="3"/>
      <w:bookmarkEnd w:id="3"/>
      <w:r w:rsidDel="00000000" w:rsidR="00000000" w:rsidRPr="00000000">
        <w:rPr>
          <w:rtl w:val="0"/>
        </w:rPr>
        <w:t xml:space="preserve">    </w:t>
      </w:r>
      <w:r w:rsidDel="00000000" w:rsidR="00000000" w:rsidRPr="00000000">
        <w:rPr>
          <w:rtl w:val="0"/>
        </w:rPr>
        <w:t xml:space="preserve"> Introduction</w:t>
      </w:r>
    </w:p>
    <w:p w:rsidR="00000000" w:rsidDel="00000000" w:rsidP="00000000" w:rsidRDefault="00000000" w:rsidRPr="00000000" w14:paraId="00000018">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Wholesale Customer portraits annual spending of 440 customers of a Wholesale distributor </w:t>
      </w:r>
      <w:r w:rsidDel="00000000" w:rsidR="00000000" w:rsidRPr="00000000">
        <w:rPr>
          <w:rFonts w:ascii="Times New Roman" w:cs="Times New Roman" w:eastAsia="Times New Roman" w:hAnsi="Times New Roman"/>
          <w:sz w:val="24"/>
          <w:szCs w:val="24"/>
          <w:rtl w:val="0"/>
        </w:rPr>
        <w:t xml:space="preserve">. The dataset has 8 Features which are fresh, milk, grocery, frozen, detergents_paper, delicatessen, channel, region.  Each line represents one client. According to James et al. (2021), K-means clustering is an unsupervised learning method that partitions observations into a predefined number of distinct, non-overlapping clusters. The objective is to minimize within-cluster variation, ensuring that observations within the same cluster are as similar as possible. The main target in this field is to identify and wholesale customer segments based on their annual spendings patterns using K-means clustering in R. These findings will support marketing decisions and help develop marketing strategies for different customer groups.</w:t>
      </w:r>
    </w:p>
    <w:p w:rsidR="00000000" w:rsidDel="00000000" w:rsidP="00000000" w:rsidRDefault="00000000" w:rsidRPr="00000000" w14:paraId="00000019">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pStyle w:val="Heading1"/>
        <w:spacing w:after="240" w:before="240" w:line="480" w:lineRule="auto"/>
        <w:ind w:firstLine="720"/>
        <w:jc w:val="center"/>
        <w:rPr>
          <w:rFonts w:ascii="Times New Roman" w:cs="Times New Roman" w:eastAsia="Times New Roman" w:hAnsi="Times New Roman"/>
          <w:sz w:val="24"/>
          <w:szCs w:val="24"/>
        </w:rPr>
      </w:pPr>
      <w:bookmarkStart w:colFirst="0" w:colLast="0" w:name="_qxjka8fekgif" w:id="4"/>
      <w:bookmarkEnd w:id="4"/>
      <w:r w:rsidDel="00000000" w:rsidR="00000000" w:rsidRPr="00000000">
        <w:rPr>
          <w:rtl w:val="0"/>
        </w:rPr>
        <w:t xml:space="preserve">Part 1 – Develop the Segmentation Questions</w:t>
      </w:r>
      <w:r w:rsidDel="00000000" w:rsidR="00000000" w:rsidRPr="00000000">
        <w:rPr>
          <w:rtl w:val="0"/>
        </w:rPr>
      </w:r>
    </w:p>
    <w:p w:rsidR="00000000" w:rsidDel="00000000" w:rsidP="00000000" w:rsidRDefault="00000000" w:rsidRPr="00000000" w14:paraId="0000002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Understanding customer purchasing behaviour is essential for developing effective marketing strategies. In the wholesale industry, customers have different purchasing needs, spending levels, and product preferences. Therefore, applying the same marketing strategy to every customer may not be the most effective approach.</w:t>
      </w:r>
    </w:p>
    <w:p w:rsidR="00000000" w:rsidDel="00000000" w:rsidP="00000000" w:rsidRDefault="00000000" w:rsidRPr="00000000" w14:paraId="00000024">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business question is how can a wholesale distributor increase customer spending and loyalty through personalized marketing strategies based on purchasing behaviour?</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Supporting Business Questions</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Question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Marketing Objective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Hypotheses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Q1. How can we encourage high-spending customers to purchase more products?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opportunities for upselling, cross-selling, and volume-based discounts.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 – High-Spending Customers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High-spending customers have distinct purchasing patterns that may reveal opportunities for upselling, cross-selling, and volume-based discounts.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rHeight w:val="3102.33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Q2. How can we identify customer purchasing profiles and determine which products to promote to each 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customer profiles and personalized product promotions based on purchasing patterns.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 – Personalized Product Recommendations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Different customer segments have different purchasing preferences, creating opportunities to develop targeted product promotions based on their spending patterns.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Q3. Which customer segments would be the best candidates for an annual loyalty programme, and what product-based benefits should it offer?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potential loyalty programme participants and propose relevant product discounts and purchasing benefits.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H3 – Customer segments with higher annual spending and identifiable product preferences may be suitable candidates for an annual loyalty programme. This programme could encourage customers to voluntarily provide their email addresses or phone numbers to receive personalized promotions, exclusive discounts, and notifications about new products. Additionally, free home or business delivery could be offered for selected products or orders that meet a minimum purchase value.</w:t>
            </w:r>
          </w:p>
          <w:p w:rsidR="00000000" w:rsidDel="00000000" w:rsidP="00000000" w:rsidRDefault="00000000" w:rsidRPr="00000000" w14:paraId="0000003D">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segments with higher annual spending and identifiable product preferences may be suitable candidates for an annual loyalty programme offering personalized discounts and purchasing benefits.</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41">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let's imagine the distributor identifies clients whose spent a lot on a certain product, the distributor would offers:</w:t>
      </w:r>
    </w:p>
    <w:p w:rsidR="00000000" w:rsidDel="00000000" w:rsidP="00000000" w:rsidRDefault="00000000" w:rsidRPr="00000000" w14:paraId="0000004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or SMS: Personalized promotions based on customers' most frequently purchased product categories.</w:t>
      </w:r>
    </w:p>
    <w:p w:rsidR="00000000" w:rsidDel="00000000" w:rsidP="00000000" w:rsidRDefault="00000000" w:rsidRPr="00000000" w14:paraId="00000044">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Loyalty Card: Special benefits and rewards for registered customers.</w:t>
      </w:r>
    </w:p>
    <w:p w:rsidR="00000000" w:rsidDel="00000000" w:rsidP="00000000" w:rsidRDefault="00000000" w:rsidRPr="00000000" w14:paraId="00000045">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Delivery: Free delivery for orders that meet a minimum purchase value.</w:t>
      </w:r>
    </w:p>
    <w:p w:rsidR="00000000" w:rsidDel="00000000" w:rsidP="00000000" w:rsidRDefault="00000000" w:rsidRPr="00000000" w14:paraId="00000046">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Exclusive Offers: Discounts on complementary products to encourage additional purchases.</w:t>
      </w:r>
    </w:p>
    <w:p w:rsidR="00000000" w:rsidDel="00000000" w:rsidP="00000000" w:rsidRDefault="00000000" w:rsidRPr="00000000" w14:paraId="0000004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collection of email addresses or phone numbers must be voluntary, with explicit consent for promotional communications and the option to unsubscribe at any time.</w:t>
      </w:r>
    </w:p>
    <w:p w:rsidR="00000000" w:rsidDel="00000000" w:rsidP="00000000" w:rsidRDefault="00000000" w:rsidRPr="00000000" w14:paraId="00000048">
      <w:pPr>
        <w:pStyle w:val="Heading1"/>
        <w:spacing w:line="480" w:lineRule="auto"/>
        <w:jc w:val="center"/>
        <w:rPr/>
      </w:pPr>
      <w:bookmarkStart w:colFirst="0" w:colLast="0" w:name="_j72xx3rl1xmc" w:id="5"/>
      <w:bookmarkEnd w:id="5"/>
      <w:r w:rsidDel="00000000" w:rsidR="00000000" w:rsidRPr="00000000">
        <w:rPr>
          <w:rtl w:val="0"/>
        </w:rPr>
        <w:t xml:space="preserve">Part 2 – Data Preparation </w:t>
      </w:r>
    </w:p>
    <w:p w:rsidR="00000000" w:rsidDel="00000000" w:rsidP="00000000" w:rsidRDefault="00000000" w:rsidRPr="00000000" w14:paraId="00000049">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of all, the data will present as it is, the data source is from </w:t>
      </w:r>
      <w:hyperlink r:id="rId6">
        <w:r w:rsidDel="00000000" w:rsidR="00000000" w:rsidRPr="00000000">
          <w:rPr>
            <w:rFonts w:ascii="Times New Roman" w:cs="Times New Roman" w:eastAsia="Times New Roman" w:hAnsi="Times New Roman"/>
            <w:color w:val="1155cc"/>
            <w:sz w:val="24"/>
            <w:szCs w:val="24"/>
            <w:u w:val="single"/>
            <w:rtl w:val="0"/>
          </w:rPr>
          <w:t xml:space="preserve">wholesale_customers</w:t>
        </w:r>
      </w:hyperlink>
      <w:r w:rsidDel="00000000" w:rsidR="00000000" w:rsidRPr="00000000">
        <w:rPr>
          <w:rFonts w:ascii="Times New Roman" w:cs="Times New Roman" w:eastAsia="Times New Roman" w:hAnsi="Times New Roman"/>
          <w:sz w:val="24"/>
          <w:szCs w:val="24"/>
          <w:rtl w:val="0"/>
        </w:rPr>
        <w:t xml:space="preserve">  The dataset was examined for missing values, duplicate observations, variable types, potential outliers, and differences in measurement scales. Six numerical spending variables were selected for segmentation. Channel and Region were retained as categorical variables for subsequent customer profiling. Potential outliers were retained because unusually high purchasing expenditure may provide valuable information about customer behaviour. Logarithmic transformation and standardization were applied to prepare the spending variables for K-means clustering. The resulting dataset, </w:t>
      </w:r>
      <w:r w:rsidDel="00000000" w:rsidR="00000000" w:rsidRPr="00000000">
        <w:rPr>
          <w:rFonts w:ascii="Times New Roman" w:cs="Times New Roman" w:eastAsia="Times New Roman" w:hAnsi="Times New Roman"/>
          <w:i w:val="1"/>
          <w:iCs w:val="1"/>
          <w:sz w:val="24"/>
          <w:szCs w:val="24"/>
          <w:rtl w:val="0"/>
        </w:rPr>
        <w:t xml:space="preserve">spending_scaled</w:t>
      </w:r>
      <w:r w:rsidDel="00000000" w:rsidR="00000000" w:rsidRPr="00000000">
        <w:rPr>
          <w:rFonts w:ascii="Times New Roman" w:cs="Times New Roman" w:eastAsia="Times New Roman" w:hAnsi="Times New Roman"/>
          <w:sz w:val="24"/>
          <w:szCs w:val="24"/>
          <w:rtl w:val="0"/>
        </w:rPr>
        <w:t xml:space="preserve">, will be used in the clustering analysis.</w:t>
      </w:r>
    </w:p>
    <w:p w:rsidR="00000000" w:rsidDel="00000000" w:rsidP="00000000" w:rsidRDefault="00000000" w:rsidRPr="00000000" w14:paraId="0000004A">
      <w:pPr>
        <w:pStyle w:val="Heading1"/>
        <w:spacing w:line="480" w:lineRule="auto"/>
        <w:jc w:val="center"/>
        <w:rPr/>
      </w:pPr>
      <w:bookmarkStart w:colFirst="0" w:colLast="0" w:name="_6bg50z9wooh5" w:id="6"/>
      <w:bookmarkEnd w:id="6"/>
      <w:r w:rsidDel="00000000" w:rsidR="00000000" w:rsidRPr="00000000">
        <w:rPr>
          <w:rtl w:val="0"/>
        </w:rPr>
        <w:t xml:space="preserve">Part 3 - Exploratory Analysis</w:t>
      </w:r>
    </w:p>
    <w:p w:rsidR="00000000" w:rsidDel="00000000" w:rsidP="00000000" w:rsidRDefault="00000000" w:rsidRPr="00000000" w14:paraId="0000004B">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conducting K-means clustering, the six spending variables were explored to understand their distributions and relationships. This analysis supports the business questions about high-spending customers (Q1), personalized product promotions (Q2), and potential candidates and benefits for an annual loyalty programme (Q3).</w:t>
      </w:r>
    </w:p>
    <w:p w:rsidR="00000000" w:rsidDel="00000000" w:rsidP="00000000" w:rsidRDefault="00000000" w:rsidRPr="00000000" w14:paraId="0000004C">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Descriptive statistics compare spending levels and variability across the six product categories, supporting Q1 and Q2.</w:t>
      </w:r>
    </w:p>
    <w:p w:rsidR="00000000" w:rsidDel="00000000" w:rsidP="00000000" w:rsidRDefault="00000000" w:rsidRPr="00000000" w14:paraId="00000050">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75100"/>
            <wp:effectExtent b="0" l="0" r="0" t="0"/>
            <wp:docPr id="1"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9436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40" w:before="240"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Histograms show the concentration and variation of spending. Comparing original and log-transformed spending helps assess skewness and the transformation applied in Part 2. These patterns support all three business questions.</w:t>
      </w:r>
    </w:p>
    <w:p w:rsidR="00000000" w:rsidDel="00000000" w:rsidP="00000000" w:rsidRDefault="00000000" w:rsidRPr="00000000" w14:paraId="00000052">
      <w:pPr>
        <w:spacing w:after="240" w:before="240"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original spending distributions were strongly right-skewed across all six product categories, with most customers concentrated at lower spending levels and a small number reporting very high expenditure. After applying the log1p transformation, the distributions became less dominated by extreme values, making differences between customers easier to observe. Some asymmetry remained, particularly in Fresh and Grocery, while Detergents_Paper showed multiple apparent peaks. These findings support the use of log-transformed spending, followed by standardization, for K-means clustering. The transformation retains all observations and does not require the variables to follow a normal distribution.</w:t>
      </w:r>
    </w:p>
    <w:p w:rsidR="00000000" w:rsidDel="00000000" w:rsidP="00000000" w:rsidRDefault="00000000" w:rsidRPr="00000000" w14:paraId="00000053">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6019800"/>
            <wp:effectExtent b="0" l="0" r="0" t="0"/>
            <wp:docPr id="19"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94360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6159500"/>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correlations were calculated using log-transformed spending. Positive correlations indicate categories in which spending tends to increase together across customers. These relationships may inform cross-selling opportunities (Q1), targeted promotions (Q2), and combinations of loyalty benefits (Q3). Correlations do not establish that a promotion will increase purchases.</w:t>
      </w:r>
    </w:p>
    <w:p w:rsidR="00000000" w:rsidDel="00000000" w:rsidP="00000000" w:rsidRDefault="00000000" w:rsidRPr="00000000" w14:paraId="0000005A">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879600"/>
            <wp:effectExtent b="0" l="0" r="0" t="0"/>
            <wp:docPr id="16"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36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The strongest positive relationship was between Grocery and Detergents_Paper (r = 0.80), followed by Milk and Grocery (r = 0.76) and Milk and Detergents_Paper (r = 0.68). Customers with higher spending in these categories tended to spend more in the associated categories. Fresh and Frozen showed a moderate positive relationship (r = 0.39), while Fresh and Milk showed almost no linear relationship (r = −0.02).</w:t>
      </w:r>
    </w:p>
    <w:p w:rsidR="00000000" w:rsidDel="00000000" w:rsidP="00000000" w:rsidRDefault="00000000" w:rsidRPr="00000000" w14:paraId="0000005C">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findings suggest potential opportunities for cross-selling (Q1), personalized product promotions (Q2), and combined loyalty programme benefits (Q3), particularly involving Grocery, Milk, and Detergents_Paper. However, these associations do not demonstrate that promotions will increase spending or loyalty. Final recommendations will also consider the customer profiles identified through clustering.</w:t>
      </w:r>
    </w:p>
    <w:p w:rsidR="00000000" w:rsidDel="00000000" w:rsidP="00000000" w:rsidRDefault="00000000" w:rsidRPr="00000000" w14:paraId="0000005D">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after="240" w:before="24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29138" cy="3952875"/>
            <wp:effectExtent b="0" l="0" r="0" t="0"/>
            <wp:docPr id="8"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529138" cy="395287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40" w:before="240" w:line="480" w:lineRule="auto"/>
        <w:ind w:left="0" w:firstLine="720"/>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The heatmap uses a colour scale ranging from blue (−1) through white (0) to red (+1). Darker red indicates stronger positive correlations, meaning customers who spend more in one category tend to spend more in the other. Darker blue indicates stronger negative correlations, while white or pale colours indicate weak or near-zero correlations. The red diagonal represents each category’s correlation with itself (r = 1).</w:t>
      </w:r>
    </w:p>
    <w:p w:rsidR="00000000" w:rsidDel="00000000" w:rsidP="00000000" w:rsidRDefault="00000000" w:rsidRPr="00000000" w14:paraId="00000060">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annual spending was calculated by summing the six categories. This supports Q1 and provides an initial exploration of potential loyalty programme candidates for Q3. Total spending is used only for exploration and is not added to the clustering variables.</w:t>
      </w:r>
    </w:p>
    <w:p w:rsidR="00000000" w:rsidDel="00000000" w:rsidP="00000000" w:rsidRDefault="00000000" w:rsidRPr="00000000" w14:paraId="00000061">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740400"/>
            <wp:effectExtent b="0" l="0" r="0" t="0"/>
            <wp:docPr id="13"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9436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240" w:before="240"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findings support Q1 by highlighting higher-spending customers for further analysis and Q3 by suggesting potential candidates for an annual loyalty programme. Final recommendations will consider both spending levels and the purchasing profiles identified through clustering. Total spending was used for exploratory analysis only and was not included as an additional clustering variable.</w:t>
      </w:r>
    </w:p>
    <w:p w:rsidR="00000000" w:rsidDel="00000000" w:rsidP="00000000" w:rsidRDefault="00000000" w:rsidRPr="00000000" w14:paraId="00000064">
      <w:pPr>
        <w:spacing w:after="240" w:before="240" w:line="48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at or above the 75th percentile were examined as an exploratory group. This threshold is a descriptive reference, rather than a final eligibility rule. </w:t>
      </w:r>
      <w:r w:rsidDel="00000000" w:rsidR="00000000" w:rsidRPr="00000000">
        <w:rPr>
          <w:rFonts w:ascii="Times New Roman" w:cs="Times New Roman" w:eastAsia="Times New Roman" w:hAnsi="Times New Roman"/>
          <w:sz w:val="24"/>
          <w:szCs w:val="24"/>
        </w:rPr>
        <w:drawing>
          <wp:inline distB="114300" distT="114300" distL="114300" distR="114300">
            <wp:extent cx="5233988" cy="6181725"/>
            <wp:effectExtent b="0" l="0" r="0" t="0"/>
            <wp:docPr id="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233988" cy="618172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before="240" w:line="48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Average customer-level category shares help explore product benefits relevant to higher-spending customers. These measures describe expenditure patterns, rather than purchase frequency or measured interest in a loyalty programme. Cluster profiling will later inform the selection of candidate segments and suitable purchasing benefits.</w:t>
      </w:r>
    </w:p>
    <w:p w:rsidR="00000000" w:rsidDel="00000000" w:rsidP="00000000" w:rsidRDefault="00000000" w:rsidRPr="00000000" w14:paraId="00000067">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 spending was right-skewed across all six categories, with many customers spending relatively little and a few spending very large amounts. The log transformation compressed extreme values, making spending patterns easier to observe. Grocery, Milk, and Detergents_Paper showed positive correlations ranging from 0.68 to 0.80 in the transformed data. The highest-spending 110 customers (25% of the sample) spent at least 41,307.50 annually. Within this group, Fresh (36.17%), Grocery (24.92%), and Milk (17.85%) accounted for the largest average customer-level shares of total spending.</w:t>
      </w:r>
    </w:p>
    <w:p w:rsidR="00000000" w:rsidDel="00000000" w:rsidP="00000000" w:rsidRDefault="00000000" w:rsidRPr="00000000" w14:paraId="00000068">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pStyle w:val="Heading1"/>
        <w:rPr/>
      </w:pPr>
      <w:bookmarkStart w:colFirst="0" w:colLast="0" w:name="_dhske9dmaig" w:id="7"/>
      <w:bookmarkEnd w:id="7"/>
      <w:r w:rsidDel="00000000" w:rsidR="00000000" w:rsidRPr="00000000">
        <w:rPr>
          <w:rtl w:val="0"/>
        </w:rPr>
        <w:t xml:space="preserve">Part 4 - Conduct Segmentation</w:t>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this section, we conducted the following analyses, keeping our three business questions as a reference:</w:t>
      </w:r>
    </w:p>
    <w:p w:rsidR="00000000" w:rsidDel="00000000" w:rsidP="00000000" w:rsidRDefault="00000000" w:rsidRPr="00000000" w14:paraId="00000071">
      <w:pPr>
        <w:numPr>
          <w:ilvl w:val="0"/>
          <w:numId w:val="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Compared solutions with 2 to 8 clusters using the elbow method and silhouette scores.</w:t>
      </w:r>
    </w:p>
    <w:p w:rsidR="00000000" w:rsidDel="00000000" w:rsidP="00000000" w:rsidRDefault="00000000" w:rsidRPr="00000000" w14:paraId="00000072">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Applied K-means clustering using the six log-transformed and standardized spending categories.</w:t>
      </w:r>
    </w:p>
    <w:p w:rsidR="00000000" w:rsidDel="00000000" w:rsidP="00000000" w:rsidRDefault="00000000" w:rsidRPr="00000000" w14:paraId="00000073">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Reported the number of customers in each cluster.</w:t>
      </w:r>
    </w:p>
    <w:p w:rsidR="00000000" w:rsidDel="00000000" w:rsidP="00000000" w:rsidRDefault="00000000" w:rsidRPr="00000000" w14:paraId="00000074">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Examined cluster centres, mean spending, and median spending.</w:t>
      </w:r>
    </w:p>
    <w:p w:rsidR="00000000" w:rsidDel="00000000" w:rsidP="00000000" w:rsidRDefault="00000000" w:rsidRPr="00000000" w14:paraId="00000075">
      <w:pPr>
        <w:numPr>
          <w:ilvl w:val="0"/>
          <w:numId w:val="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a cluster profile chart and summary tables to support Q1, Q2, and Q3.</w:t>
      </w:r>
      <w:r w:rsidDel="00000000" w:rsidR="00000000" w:rsidRPr="00000000">
        <w:rPr>
          <w:rtl w:val="0"/>
        </w:rPr>
      </w:r>
    </w:p>
    <w:p w:rsidR="00000000" w:rsidDel="00000000" w:rsidP="00000000" w:rsidRDefault="00000000" w:rsidRPr="00000000" w14:paraId="00000076">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K-means clustering was applied to identify customer groups with similar purchasing patterns. The analysis uses Fresh, Milk, Grocery, Frozen, Detergents_Paper, and Delicassen after log1p transformation and standardization. Channel, Region, and total spending are excluded from clustering; they are available for subsequent profiling. The original business questions guide the interpretation of high-spending customers (Q1), product promotions (Q2), and loyalty programme candidates and benefits (Q3).</w:t>
      </w:r>
    </w:p>
    <w:p w:rsidR="00000000" w:rsidDel="00000000" w:rsidP="00000000" w:rsidRDefault="00000000" w:rsidRPr="00000000" w14:paraId="00000077">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 solutions evaluated, two clusters achieved the highest average silhouette score (0.290), followed by three clusters (0.259). Therefore, the two-cluster solution was selected according to this criterion. Within-cluster variation decreased as more clusters were added, as expected. However, the modest silhouette score suggests overlapping purchasing patterns, so segment profiles should be interpreted cautiously.</w:t>
      </w:r>
      <w:r w:rsidDel="00000000" w:rsidR="00000000" w:rsidRPr="00000000">
        <w:rPr>
          <w:rtl w:val="0"/>
        </w:rPr>
      </w:r>
    </w:p>
    <w:p w:rsidR="00000000" w:rsidDel="00000000" w:rsidP="00000000" w:rsidRDefault="00000000" w:rsidRPr="00000000" w14:paraId="00000078">
      <w:pPr>
        <w:spacing w:after="240" w:before="24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18682" cy="2062163"/>
            <wp:effectExtent b="0" l="0" r="0" t="0"/>
            <wp:docPr id="6"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718682" cy="206216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240" w:before="24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41600"/>
            <wp:effectExtent b="0" l="0" r="0" t="0"/>
            <wp:docPr id="1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240"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854200"/>
            <wp:effectExtent b="0" l="0" r="0" t="0"/>
            <wp:docPr id="12"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59436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silhouette score should also be considered in absolute terms: a modest score (0.29) indicates overlapping purchasing patterns, even when it is the best score among the candidate solutions. This comparison does not establish a universally optimal number of customer segments.</w:t>
      </w:r>
    </w:p>
    <w:p w:rsidR="00000000" w:rsidDel="00000000" w:rsidP="00000000" w:rsidRDefault="00000000" w:rsidRPr="00000000" w14:paraId="0000007C">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07008" cy="5698927"/>
            <wp:effectExtent b="0" l="0" r="0" t="0"/>
            <wp:docPr id="14"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607008" cy="5698927"/>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240" w:before="240" w:line="480" w:lineRule="auto"/>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440 customers were assigned to two clusters. Cluster 1 contained 252 customers (57.27%), while Cluster 2 contained 188 customers (42.73%). These figures describe segment sizes; spending profiles are examined in the following analysis:</w:t>
      </w:r>
    </w:p>
    <w:p w:rsidR="00000000" w:rsidDel="00000000" w:rsidP="00000000" w:rsidRDefault="00000000" w:rsidRPr="00000000" w14:paraId="0000007E">
      <w:pPr>
        <w:spacing w:after="240" w:before="240" w:line="48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308100"/>
            <wp:effectExtent b="0" l="0" r="0" t="0"/>
            <wp:docPr id="7"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9436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155700"/>
            <wp:effectExtent b="0" l="0" r="0" t="0"/>
            <wp:docPr id="2"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9436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054100"/>
            <wp:effectExtent b="0" l="0" r="0" t="0"/>
            <wp:docPr id="10"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943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K-means results identified two customer purchasing profiles: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Suggested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Purchasing Profile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1 — 252 customers (57.27%)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Fresh and Frozen Focus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Higher spending on Fresh and Frozen, and lower spending on Milk, Grocery, and Detergents_Paper compared with Cluster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2 — 188 customers (42.73%)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Grocery, Milk and Detergents Focus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Higher spending on Grocery, Milk, Detergents_Paper, and Delicassen compared with Cluster 1.</w:t>
            </w:r>
          </w:p>
        </w:tc>
      </w:tr>
    </w:tbl>
    <w:p w:rsidR="00000000" w:rsidDel="00000000" w:rsidP="00000000" w:rsidRDefault="00000000" w:rsidRPr="00000000" w14:paraId="0000008B">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profile chart illustrates differences in standardized log spending between the two clusters. Cluster 1 shows above-average spending on Fresh and Frozen, while Cluster 2 shows above-average spending on Milk, Grocery, Detergents_Paper, and Delicassen. The largest differences occur in Milk, Grocery, and Detergents_Paper. These patterns support the proposed segment profiles and provide a basis for tailored product promotions and loyalty benefits.</w:t>
      </w:r>
    </w:p>
    <w:p w:rsidR="00000000" w:rsidDel="00000000" w:rsidP="00000000" w:rsidRDefault="00000000" w:rsidRPr="00000000" w14:paraId="0000008D">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97300"/>
            <wp:effectExtent b="0" l="0" r="0" t="0"/>
            <wp:docPr id="3"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9436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2 had higher mean and median total annual spending (44,883.68 and 35,222.50) than Cluster 1 (24,529.24 and 19,745.00). It also contained 75 high-spending customers (39.89% of the cluster), compared with 35 (13.89%) in Cluster 1. Average customer-level spending shares further distinguished the profiles: Cluster 1 focused primarily on Fresh (50.78%), while Cluster 2 allocated larger shares to Grocery (34.06%), Milk (23.38%), and Detergents_Paper (13.81%). These findings support prioritizing Cluster 2 for high-spending customer initiatives while tailoring promotions and loyalty benefits to each segment’s purchasing profile:</w:t>
      </w:r>
    </w:p>
    <w:p w:rsidR="00000000" w:rsidDel="00000000" w:rsidP="00000000" w:rsidRDefault="00000000" w:rsidRPr="00000000" w14:paraId="00000091">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856506"/>
            <wp:effectExtent b="0" l="0" r="0" t="0"/>
            <wp:docPr id="5"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943600" cy="85650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91213" cy="708078"/>
            <wp:effectExtent b="0" l="0" r="0" t="0"/>
            <wp:docPr id="15"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891213" cy="708078"/>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Cluster 2 had higher mean and median total annual spending (44,883.68 and 35,222.50) than Cluster 1 (24,529.24 and 19,745.00). It also contained 75 high-spending customers (39.89% of the cluster), compared with 35 (13.89%) in Cluster 1. Average customer-level spending shares further distinguished the profiles: Cluster 1 focused primarily on Fresh (50.78%), while Cluster 2 allocated larger shares to Grocery (34.06%), Milk (23.38%), and Detergents_Paper (13.81%). These findings support prioritizing Cluster 2 for high-spending customer initiatives while tailoring promotions and loyalty benefits to each segment’s purchasing profile.</w:t>
      </w:r>
    </w:p>
    <w:p w:rsidR="00000000" w:rsidDel="00000000" w:rsidP="00000000" w:rsidRDefault="00000000" w:rsidRPr="00000000" w14:paraId="00000094">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segmentation results provide a basis for addressing the three business questions:</w:t>
      </w:r>
    </w:p>
    <w:p w:rsidR="00000000" w:rsidDel="00000000" w:rsidP="00000000" w:rsidRDefault="00000000" w:rsidRPr="00000000" w14:paraId="00000095">
      <w:pPr>
        <w:numPr>
          <w:ilvl w:val="0"/>
          <w:numId w:val="2"/>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Q1: Cluster 2 has higher total spending and a greater proportion of high-spending customers, making it a priority for exploring upselling, cross-selling, and volume-based discounts. High-spending customers in Cluster 1 should also be considered.</w:t>
      </w:r>
    </w:p>
    <w:p w:rsidR="00000000" w:rsidDel="00000000" w:rsidP="00000000" w:rsidRDefault="00000000" w:rsidRPr="00000000" w14:paraId="00000096">
      <w:pPr>
        <w:numPr>
          <w:ilvl w:val="0"/>
          <w:numId w:val="2"/>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Q2: Promotions can reflect each segment’s purchasing profile: Fresh and Frozen for Cluster 1, and Grocery, Milk, and Detergents_Paper for Cluster 2.</w:t>
      </w:r>
    </w:p>
    <w:p w:rsidR="00000000" w:rsidDel="00000000" w:rsidP="00000000" w:rsidRDefault="00000000" w:rsidRPr="00000000" w14:paraId="00000097">
      <w:pPr>
        <w:numPr>
          <w:ilvl w:val="0"/>
          <w:numId w:val="2"/>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Q3: Cluster 2 is a potential priority for an annual loyalty programme, with benefits tailored to its main purchasing categories. High-spending customers in Cluster 1 could receive Fresh- and Frozen-related benefits. Programme interest and effects on spending and loyalty would need to be evaluated after implementation.</w:t>
      </w:r>
    </w:p>
    <w:p w:rsidR="00000000" w:rsidDel="00000000" w:rsidP="00000000" w:rsidRDefault="00000000" w:rsidRPr="00000000" w14:paraId="00000098">
      <w:pPr>
        <w:pStyle w:val="Heading1"/>
        <w:rPr>
          <w:rFonts w:ascii="Times New Roman" w:cs="Times New Roman" w:eastAsia="Times New Roman" w:hAnsi="Times New Roman"/>
          <w:sz w:val="24"/>
          <w:szCs w:val="24"/>
        </w:rPr>
      </w:pPr>
      <w:bookmarkStart w:colFirst="0" w:colLast="0" w:name="_s5beu2vsmwp8" w:id="8"/>
      <w:bookmarkEnd w:id="8"/>
      <w:r w:rsidDel="00000000" w:rsidR="00000000" w:rsidRPr="00000000">
        <w:rPr>
          <w:rtl w:val="0"/>
        </w:rPr>
        <w:t xml:space="preserve">Part 5 - Profile Segmentation</w:t>
      </w:r>
      <w:r w:rsidDel="00000000" w:rsidR="00000000" w:rsidRPr="00000000">
        <w:rPr>
          <w:rtl w:val="0"/>
        </w:rPr>
      </w:r>
    </w:p>
    <w:p w:rsidR="00000000" w:rsidDel="00000000" w:rsidP="00000000" w:rsidRDefault="00000000" w:rsidRPr="00000000" w14:paraId="00000099">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 1 — Fresh and Frozen Focus: This is the larger segment, with 252 customers (57.27%). Customers have higher mean and median spending on Fresh and Frozen than Segment 2. Fresh accounts for 50.78% of average customer-level spending, followed by Frozen at 15.18%. Mean total annual spending is 24,529.24. Its 35 high-spending customers may be considered for category-specific volume discounts and loyalty benefits.</w:t>
      </w:r>
    </w:p>
    <w:p w:rsidR="00000000" w:rsidDel="00000000" w:rsidP="00000000" w:rsidRDefault="00000000" w:rsidRPr="00000000" w14:paraId="0000009A">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 2 — Grocery, Milk and Detergents Focus: This segment contains 188 customers (42.73%) and has higher mean and median spending on Grocery, Milk, Detergents_Paper, and Delicassen than Segment 1. Grocery, Milk, and Detergents_Paper account for average customer-level spending shares of 34.06%, 23.38%, and 13.81%, respectively. Mean total annual spending is 44,883.68. Its higher spending and 75 high-spending customers make it a priority for testing cross-selling offers and tailored loyalty benefits.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14.0282870612887"/>
        <w:gridCol w:w="2196.584599266632"/>
        <w:gridCol w:w="3476.2912519643796"/>
        <w:gridCol w:w="2373.0958617077004"/>
        <w:tblGridChange w:id="0">
          <w:tblGrid>
            <w:gridCol w:w="1314.0282870612887"/>
            <w:gridCol w:w="2196.584599266632"/>
            <w:gridCol w:w="3476.2912519643796"/>
            <w:gridCol w:w="2373.0958617077004"/>
          </w:tblGrid>
        </w:tblGridChange>
      </w:tblGrid>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9B">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w:t>
            </w:r>
          </w:p>
        </w:tc>
        <w:tc>
          <w:tcPr>
            <w:tcMar>
              <w:top w:w="100.0" w:type="dxa"/>
              <w:left w:w="100.0" w:type="dxa"/>
              <w:bottom w:w="100.0" w:type="dxa"/>
              <w:right w:w="100.0" w:type="dxa"/>
            </w:tcMar>
            <w:vAlign w:val="top"/>
          </w:tcPr>
          <w:p w:rsidR="00000000" w:rsidDel="00000000" w:rsidP="00000000" w:rsidRDefault="00000000" w:rsidRPr="00000000" w14:paraId="0000009C">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Characteristics</w:t>
            </w:r>
          </w:p>
        </w:tc>
        <w:tc>
          <w:tcPr>
            <w:tcMar>
              <w:top w:w="100.0" w:type="dxa"/>
              <w:left w:w="100.0" w:type="dxa"/>
              <w:bottom w:w="100.0" w:type="dxa"/>
              <w:right w:w="100.0" w:type="dxa"/>
            </w:tcMar>
            <w:vAlign w:val="top"/>
          </w:tcPr>
          <w:p w:rsidR="00000000" w:rsidDel="00000000" w:rsidP="00000000" w:rsidRDefault="00000000" w:rsidRPr="00000000" w14:paraId="0000009D">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Distinguishing Features</w:t>
            </w:r>
          </w:p>
        </w:tc>
        <w:tc>
          <w:tcPr>
            <w:tcMar>
              <w:top w:w="100.0" w:type="dxa"/>
              <w:left w:w="100.0" w:type="dxa"/>
              <w:bottom w:w="100.0" w:type="dxa"/>
              <w:right w:w="100.0" w:type="dxa"/>
            </w:tcMar>
            <w:vAlign w:val="top"/>
          </w:tcPr>
          <w:p w:rsidR="00000000" w:rsidDel="00000000" w:rsidP="00000000" w:rsidRDefault="00000000" w:rsidRPr="00000000" w14:paraId="0000009E">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Potential Marketing Importance</w:t>
            </w:r>
          </w:p>
        </w:tc>
      </w:tr>
      <w:tr>
        <w:trPr>
          <w:cantSplit w:val="0"/>
          <w:trHeight w:val="2120" w:hRule="atLeast"/>
          <w:tblHeader w:val="0"/>
        </w:trPr>
        <w:tc>
          <w:tcPr>
            <w:tcMar>
              <w:top w:w="100.0" w:type="dxa"/>
              <w:left w:w="100.0" w:type="dxa"/>
              <w:bottom w:w="100.0" w:type="dxa"/>
              <w:right w:w="100.0" w:type="dxa"/>
            </w:tcMar>
            <w:vAlign w:val="top"/>
          </w:tcPr>
          <w:p w:rsidR="00000000" w:rsidDel="00000000" w:rsidP="00000000" w:rsidRDefault="00000000" w:rsidRPr="00000000" w14:paraId="0000009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Fresh and Frozen Focus</w:t>
            </w:r>
          </w:p>
        </w:tc>
        <w:tc>
          <w:tcPr>
            <w:tcMar>
              <w:top w:w="100.0" w:type="dxa"/>
              <w:left w:w="100.0" w:type="dxa"/>
              <w:bottom w:w="100.0" w:type="dxa"/>
              <w:right w:w="100.0" w:type="dxa"/>
            </w:tcMar>
            <w:vAlign w:val="top"/>
          </w:tcPr>
          <w:p w:rsidR="00000000" w:rsidDel="00000000" w:rsidP="00000000" w:rsidRDefault="00000000" w:rsidRPr="00000000" w14:paraId="000000A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252 customers (57.27%). Mean total annual spending: 24,529.24.</w:t>
            </w:r>
          </w:p>
        </w:tc>
        <w:tc>
          <w:tcPr>
            <w:tcBorders>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Higher Fresh and Frozen spending than Segment 2. Average spending shares: Fresh 50.78%, Frozen 15.18%. 35 high-spending customers (13.89%).</w:t>
            </w:r>
          </w:p>
        </w:tc>
        <w:tc>
          <w:tcPr>
            <w:tcBorders>
              <w:lef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Fresh and Frozen promotions and volume discounts (Q1–Q2); tailored loyalty benefits for high-spending customers (Q3).</w:t>
            </w:r>
          </w:p>
        </w:tc>
      </w:tr>
      <w:tr>
        <w:trPr>
          <w:cantSplit w:val="0"/>
          <w:trHeight w:val="2390" w:hRule="atLeast"/>
          <w:tblHeader w:val="0"/>
        </w:trPr>
        <w:tc>
          <w:tcPr>
            <w:tcMar>
              <w:top w:w="100.0" w:type="dxa"/>
              <w:left w:w="100.0" w:type="dxa"/>
              <w:bottom w:w="100.0" w:type="dxa"/>
              <w:right w:w="100.0" w:type="dxa"/>
            </w:tcMar>
            <w:vAlign w:val="top"/>
          </w:tcPr>
          <w:p w:rsidR="00000000" w:rsidDel="00000000" w:rsidP="00000000" w:rsidRDefault="00000000" w:rsidRPr="00000000" w14:paraId="000000A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Grocery, Milk and Detergents Focus</w:t>
            </w:r>
          </w:p>
        </w:tc>
        <w:tc>
          <w:tcPr>
            <w:tcMar>
              <w:top w:w="100.0" w:type="dxa"/>
              <w:left w:w="100.0" w:type="dxa"/>
              <w:bottom w:w="100.0" w:type="dxa"/>
              <w:right w:w="100.0" w:type="dxa"/>
            </w:tcMar>
            <w:vAlign w:val="top"/>
          </w:tcPr>
          <w:p w:rsidR="00000000" w:rsidDel="00000000" w:rsidP="00000000" w:rsidRDefault="00000000" w:rsidRPr="00000000" w14:paraId="000000A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188 customers (42.73%). Mean total annual spending: 44,883.68.</w:t>
            </w:r>
          </w:p>
        </w:tc>
        <w:tc>
          <w:tcPr>
            <w:tcMar>
              <w:top w:w="100.0" w:type="dxa"/>
              <w:left w:w="100.0" w:type="dxa"/>
              <w:bottom w:w="100.0" w:type="dxa"/>
              <w:right w:w="100.0" w:type="dxa"/>
            </w:tcMar>
            <w:vAlign w:val="top"/>
          </w:tcPr>
          <w:p w:rsidR="00000000" w:rsidDel="00000000" w:rsidP="00000000" w:rsidRDefault="00000000" w:rsidRPr="00000000" w14:paraId="000000A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Higher Grocery, Milk, Detergents_Paper, and Delicassen spending than Segment 1. Average shares: Grocery 34.06%, Milk 23.38%, Detergents_Paper 13.81%. 75 high-spending customers (39.89%).</w:t>
            </w:r>
          </w:p>
        </w:tc>
        <w:tc>
          <w:tcPr>
            <w:tcMar>
              <w:top w:w="100.0" w:type="dxa"/>
              <w:left w:w="100.0" w:type="dxa"/>
              <w:bottom w:w="100.0" w:type="dxa"/>
              <w:right w:w="100.0" w:type="dxa"/>
            </w:tcMar>
            <w:vAlign w:val="top"/>
          </w:tcPr>
          <w:p w:rsidR="00000000" w:rsidDel="00000000" w:rsidP="00000000" w:rsidRDefault="00000000" w:rsidRPr="00000000" w14:paraId="000000A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 for testing cross-selling and volume discounts (Q1), targeted category promotions (Q2), and personalized loyalty benefits (Q3).</w:t>
            </w:r>
          </w:p>
        </w:tc>
      </w:tr>
    </w:tbl>
    <w:p w:rsidR="00000000" w:rsidDel="00000000" w:rsidP="00000000" w:rsidRDefault="00000000" w:rsidRPr="00000000" w14:paraId="000000A7">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High-spending customers were defined as those spending at least 41,307.50 annually. These profiles provide descriptive evidence relevant to H1 and H2 and identify potential candidates for the programme proposed in H3. The hypotheses were not formally tested. The silhouette score of 0.29 indicates some overlap between segments; effects on spending and loyalty and interest in programme participation remain to be evaluated.</w:t>
      </w:r>
    </w:p>
    <w:p w:rsidR="00000000" w:rsidDel="00000000" w:rsidP="00000000" w:rsidRDefault="00000000" w:rsidRPr="00000000" w14:paraId="000000A8">
      <w:pPr>
        <w:pStyle w:val="Heading1"/>
        <w:spacing w:after="240" w:before="240" w:line="480" w:lineRule="auto"/>
        <w:jc w:val="center"/>
        <w:rPr/>
      </w:pPr>
      <w:bookmarkStart w:colFirst="0" w:colLast="0" w:name="_8oqn7m977if9" w:id="9"/>
      <w:bookmarkEnd w:id="9"/>
      <w:r w:rsidDel="00000000" w:rsidR="00000000" w:rsidRPr="00000000">
        <w:rPr>
          <w:rtl w:val="0"/>
        </w:rPr>
        <w:t xml:space="preserve">Part 6 - Visualize the Segment</w:t>
      </w:r>
    </w:p>
    <w:p w:rsidR="00000000" w:rsidDel="00000000" w:rsidP="00000000" w:rsidRDefault="00000000" w:rsidRPr="00000000" w14:paraId="000000A9">
      <w:pPr>
        <w:spacing w:line="480" w:lineRule="auto"/>
        <w:ind w:firstLine="720"/>
        <w:rPr>
          <w:sz w:val="24"/>
          <w:szCs w:val="24"/>
        </w:rPr>
      </w:pPr>
      <w:r w:rsidDel="00000000" w:rsidR="00000000" w:rsidRPr="00000000">
        <w:rPr>
          <w:rFonts w:ascii="Times New Roman" w:cs="Times New Roman" w:eastAsia="Times New Roman" w:hAnsi="Times New Roman"/>
          <w:sz w:val="24"/>
          <w:szCs w:val="24"/>
          <w:rtl w:val="0"/>
        </w:rPr>
        <w:t xml:space="preserve">Two visualizations were used to communicate the segmentation results. The customer count chart compares segment sizes: Cluster 1 contains 252 customers (57.27%), while Cluster 2 contains 188 customers (42.73%). The purchasing profile chart compares standardized log spending across the six categories. Cluster 1 shows above-average spending on Fresh and Frozen, whereas Cluster 2 shows above-average spending on Milk, Grocery, Detergents_Paper, and Delicassen. Together, these charts illustrate the relative size and purchasing characteristics of each segment.</w:t>
      </w:r>
      <w:r w:rsidDel="00000000" w:rsidR="00000000" w:rsidRPr="00000000">
        <w:rPr>
          <w:rtl w:val="0"/>
        </w:rPr>
      </w:r>
    </w:p>
    <w:p w:rsidR="00000000" w:rsidDel="00000000" w:rsidP="00000000" w:rsidRDefault="00000000" w:rsidRPr="00000000" w14:paraId="000000AA">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10025" cy="1906191"/>
            <wp:effectExtent b="0" l="0" r="0" t="0"/>
            <wp:docPr id="11"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4010025" cy="1906191"/>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52913" cy="2442175"/>
            <wp:effectExtent b="0" l="0" r="0" t="0"/>
            <wp:docPr id="17"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4252913" cy="2442175"/>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pStyle w:val="Heading1"/>
        <w:spacing w:after="240" w:before="240" w:line="480" w:lineRule="auto"/>
        <w:jc w:val="center"/>
        <w:rPr/>
      </w:pPr>
      <w:bookmarkStart w:colFirst="0" w:colLast="0" w:name="_odavfyw9ndgs" w:id="10"/>
      <w:bookmarkEnd w:id="10"/>
      <w:r w:rsidDel="00000000" w:rsidR="00000000" w:rsidRPr="00000000">
        <w:rPr>
          <w:rtl w:val="0"/>
        </w:rPr>
        <w:t xml:space="preserve">Part 7 - Marketing Interpretation and Recommendations</w:t>
      </w:r>
    </w:p>
    <w:p w:rsidR="00000000" w:rsidDel="00000000" w:rsidP="00000000" w:rsidRDefault="00000000" w:rsidRPr="00000000" w14:paraId="000000AD">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recommendations aim to increase customer spending and loyalty through strategies tailored to the two segments.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26.752"/>
        <w:gridCol w:w="2835.4559999999997"/>
        <w:gridCol w:w="4497.792"/>
        <w:tblGridChange w:id="0">
          <w:tblGrid>
            <w:gridCol w:w="2026.752"/>
            <w:gridCol w:w="2835.4559999999997"/>
            <w:gridCol w:w="4497.792"/>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AE">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Recommendation</w:t>
            </w:r>
          </w:p>
        </w:tc>
        <w:tc>
          <w:tcPr>
            <w:tcMar>
              <w:top w:w="100.0" w:type="dxa"/>
              <w:left w:w="100.0" w:type="dxa"/>
              <w:bottom w:w="100.0" w:type="dxa"/>
              <w:right w:w="100.0" w:type="dxa"/>
            </w:tcMar>
            <w:vAlign w:val="top"/>
          </w:tcPr>
          <w:p w:rsidR="00000000" w:rsidDel="00000000" w:rsidP="00000000" w:rsidRDefault="00000000" w:rsidRPr="00000000" w14:paraId="000000AF">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 Evidence</w:t>
            </w:r>
          </w:p>
        </w:tc>
        <w:tc>
          <w:tcPr>
            <w:tcMar>
              <w:top w:w="100.0" w:type="dxa"/>
              <w:left w:w="100.0" w:type="dxa"/>
              <w:bottom w:w="100.0" w:type="dxa"/>
              <w:right w:w="100.0" w:type="dxa"/>
            </w:tcMar>
            <w:vAlign w:val="top"/>
          </w:tcPr>
          <w:p w:rsidR="00000000" w:rsidDel="00000000" w:rsidP="00000000" w:rsidRDefault="00000000" w:rsidRPr="00000000" w14:paraId="000000B0">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 Action and Marketing Mix</w:t>
            </w:r>
          </w:p>
        </w:tc>
      </w:tr>
      <w:tr>
        <w:trPr>
          <w:cantSplit w:val="0"/>
          <w:trHeight w:val="1850" w:hRule="atLeast"/>
          <w:tblHeader w:val="0"/>
        </w:trPr>
        <w:tc>
          <w:tcPr>
            <w:tcMar>
              <w:top w:w="100.0" w:type="dxa"/>
              <w:left w:w="100.0" w:type="dxa"/>
              <w:bottom w:w="100.0" w:type="dxa"/>
              <w:right w:w="100.0" w:type="dxa"/>
            </w:tcMar>
            <w:vAlign w:val="top"/>
          </w:tcPr>
          <w:p w:rsidR="00000000" w:rsidDel="00000000" w:rsidP="00000000" w:rsidRDefault="00000000" w:rsidRPr="00000000" w14:paraId="000000B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Introduce a loyalty card</w:t>
            </w:r>
          </w:p>
        </w:tc>
        <w:tc>
          <w:tcPr>
            <w:tcMar>
              <w:top w:w="100.0" w:type="dxa"/>
              <w:left w:w="100.0" w:type="dxa"/>
              <w:bottom w:w="100.0" w:type="dxa"/>
              <w:right w:w="100.0" w:type="dxa"/>
            </w:tcMar>
            <w:vAlign w:val="top"/>
          </w:tcPr>
          <w:p w:rsidR="00000000" w:rsidDel="00000000" w:rsidP="00000000" w:rsidRDefault="00000000" w:rsidRPr="00000000" w14:paraId="000000B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2 includes 75 high-spending customers, while Cluster 1 includes 35.</w:t>
            </w:r>
          </w:p>
        </w:tc>
        <w:tc>
          <w:tcPr>
            <w:tcMar>
              <w:top w:w="100.0" w:type="dxa"/>
              <w:left w:w="100.0" w:type="dxa"/>
              <w:bottom w:w="100.0" w:type="dxa"/>
              <w:right w:w="100.0" w:type="dxa"/>
            </w:tcMar>
            <w:vAlign w:val="top"/>
          </w:tcPr>
          <w:p w:rsidR="00000000" w:rsidDel="00000000" w:rsidP="00000000" w:rsidRDefault="00000000" w:rsidRPr="00000000" w14:paraId="000000B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Offer a loyalty card with rewards tailored to purchasing patterns: Fresh and Frozen benefits for Cluster 1, and Grocery, Milk, and Detergents_Paper benefits for Cluster 2. Reward thresholds could encourage additional purchases. Price and Promotion.</w:t>
            </w:r>
          </w:p>
        </w:tc>
      </w:tr>
      <w:tr>
        <w:trPr>
          <w:cantSplit w:val="0"/>
          <w:trHeight w:val="2120" w:hRule="atLeast"/>
          <w:tblHeader w:val="0"/>
        </w:trPr>
        <w:tc>
          <w:tcPr>
            <w:tcMar>
              <w:top w:w="100.0" w:type="dxa"/>
              <w:left w:w="100.0" w:type="dxa"/>
              <w:bottom w:w="100.0" w:type="dxa"/>
              <w:right w:w="100.0" w:type="dxa"/>
            </w:tcMar>
            <w:vAlign w:val="top"/>
          </w:tcPr>
          <w:p w:rsidR="00000000" w:rsidDel="00000000" w:rsidP="00000000" w:rsidRDefault="00000000" w:rsidRPr="00000000" w14:paraId="000000B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Send personalized email or SMS offers</w:t>
            </w:r>
          </w:p>
        </w:tc>
        <w:tc>
          <w:tcPr>
            <w:tcMar>
              <w:top w:w="100.0" w:type="dxa"/>
              <w:left w:w="100.0" w:type="dxa"/>
              <w:bottom w:w="100.0" w:type="dxa"/>
              <w:right w:w="100.0" w:type="dxa"/>
            </w:tcMar>
            <w:vAlign w:val="top"/>
          </w:tcPr>
          <w:p w:rsidR="00000000" w:rsidDel="00000000" w:rsidP="00000000" w:rsidRDefault="00000000" w:rsidRPr="00000000" w14:paraId="000000B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1 focuses on Fresh and Frozen; Cluster 2 focuses on Grocery, Milk, and Detergents_Paper.</w:t>
            </w:r>
          </w:p>
        </w:tc>
        <w:tc>
          <w:tcPr>
            <w:tcMar>
              <w:top w:w="100.0" w:type="dxa"/>
              <w:left w:w="100.0" w:type="dxa"/>
              <w:bottom w:w="100.0" w:type="dxa"/>
              <w:right w:w="100.0" w:type="dxa"/>
            </w:tcMar>
            <w:vAlign w:val="top"/>
          </w:tcPr>
          <w:p w:rsidR="00000000" w:rsidDel="00000000" w:rsidP="00000000" w:rsidRDefault="00000000" w:rsidRPr="00000000" w14:paraId="000000B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voluntary consent, send category-specific promotions and relevant complementary-product offers. These messages could increase revenue by encouraging additional purchases and making offers more relevant. Product and Promotion.</w:t>
            </w:r>
          </w:p>
        </w:tc>
      </w:tr>
      <w:tr>
        <w:trPr>
          <w:cantSplit w:val="0"/>
          <w:trHeight w:val="2390" w:hRule="atLeast"/>
          <w:tblHeader w:val="0"/>
        </w:trPr>
        <w:tc>
          <w:tcPr>
            <w:tcMar>
              <w:top w:w="100.0" w:type="dxa"/>
              <w:left w:w="100.0" w:type="dxa"/>
              <w:bottom w:w="100.0" w:type="dxa"/>
              <w:right w:w="100.0" w:type="dxa"/>
            </w:tcMar>
            <w:vAlign w:val="top"/>
          </w:tcPr>
          <w:p w:rsidR="00000000" w:rsidDel="00000000" w:rsidP="00000000" w:rsidRDefault="00000000" w:rsidRPr="00000000" w14:paraId="000000B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Test bundles and volume discounts</w:t>
            </w:r>
          </w:p>
        </w:tc>
        <w:tc>
          <w:tcPr>
            <w:tcMar>
              <w:top w:w="100.0" w:type="dxa"/>
              <w:left w:w="100.0" w:type="dxa"/>
              <w:bottom w:w="100.0" w:type="dxa"/>
              <w:right w:w="100.0" w:type="dxa"/>
            </w:tcMar>
            <w:vAlign w:val="top"/>
          </w:tcPr>
          <w:p w:rsidR="00000000" w:rsidDel="00000000" w:rsidP="00000000" w:rsidRDefault="00000000" w:rsidRPr="00000000" w14:paraId="000000B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2 has higher mean annual spending (44,883.68), and Grocery, Milk, and Detergents_Paper show positive spending associations in the full dataset.</w:t>
            </w:r>
          </w:p>
        </w:tc>
        <w:tc>
          <w:tcPr>
            <w:tcMar>
              <w:top w:w="100.0" w:type="dxa"/>
              <w:left w:w="100.0" w:type="dxa"/>
              <w:bottom w:w="100.0" w:type="dxa"/>
              <w:right w:w="100.0" w:type="dxa"/>
            </w:tcMar>
            <w:vAlign w:val="top"/>
          </w:tcPr>
          <w:p w:rsidR="00000000" w:rsidDel="00000000" w:rsidP="00000000" w:rsidRDefault="00000000" w:rsidRPr="00000000" w14:paraId="000000B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combined offers involving these categories for Cluster 2 and Fresh and Frozen volume discounts for Cluster 1. Set discounts that protect margins. Product and Price.</w:t>
            </w:r>
          </w:p>
        </w:tc>
      </w:tr>
      <w:tr>
        <w:trPr>
          <w:cantSplit w:val="0"/>
          <w:trHeight w:val="1850" w:hRule="atLeast"/>
          <w:tblHeader w:val="0"/>
        </w:trPr>
        <w:tc>
          <w:tcPr>
            <w:tcMar>
              <w:top w:w="100.0" w:type="dxa"/>
              <w:left w:w="100.0" w:type="dxa"/>
              <w:bottom w:w="100.0" w:type="dxa"/>
              <w:right w:w="100.0" w:type="dxa"/>
            </w:tcMar>
            <w:vAlign w:val="top"/>
          </w:tcPr>
          <w:p w:rsidR="00000000" w:rsidDel="00000000" w:rsidP="00000000" w:rsidRDefault="00000000" w:rsidRPr="00000000" w14:paraId="000000B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Offer delivery benefits above a purchase threshold</w:t>
            </w:r>
          </w:p>
        </w:tc>
        <w:tc>
          <w:tcPr>
            <w:tcMar>
              <w:top w:w="100.0" w:type="dxa"/>
              <w:left w:w="100.0" w:type="dxa"/>
              <w:bottom w:w="100.0" w:type="dxa"/>
              <w:right w:w="100.0" w:type="dxa"/>
            </w:tcMar>
            <w:vAlign w:val="top"/>
          </w:tcPr>
          <w:p w:rsidR="00000000" w:rsidDel="00000000" w:rsidP="00000000" w:rsidRDefault="00000000" w:rsidRPr="00000000" w14:paraId="000000B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Mean annual spending differs between Cluster 1 (24,529.24) and Cluster 2 (44,883.68).</w:t>
            </w:r>
          </w:p>
        </w:tc>
        <w:tc>
          <w:tcPr>
            <w:tcMar>
              <w:top w:w="100.0" w:type="dxa"/>
              <w:left w:w="100.0" w:type="dxa"/>
              <w:bottom w:w="100.0" w:type="dxa"/>
              <w:right w:w="100.0" w:type="dxa"/>
            </w:tcMar>
            <w:vAlign w:val="top"/>
          </w:tcPr>
          <w:p w:rsidR="00000000" w:rsidDel="00000000" w:rsidP="00000000" w:rsidRDefault="00000000" w:rsidRPr="00000000" w14:paraId="000000B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free delivery for loyalty members whose orders exceed a minimum value. This could encourage larger orders, but thresholds should be based on order values, delivery costs, and margins, which are unavailable in this dataset. Place and Price.</w:t>
            </w:r>
          </w:p>
        </w:tc>
      </w:tr>
    </w:tbl>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1"/>
        <w:spacing w:after="240" w:before="240" w:line="480" w:lineRule="auto"/>
        <w:jc w:val="center"/>
        <w:rPr>
          <w:b w:val="1"/>
          <w:bCs w:val="1"/>
          <w:color w:val="000000"/>
          <w:sz w:val="26"/>
          <w:szCs w:val="26"/>
        </w:rPr>
      </w:pPr>
      <w:bookmarkStart w:colFirst="0" w:colLast="0" w:name="_h49evb3c423a" w:id="11"/>
      <w:bookmarkEnd w:id="11"/>
      <w:r w:rsidDel="00000000" w:rsidR="00000000" w:rsidRPr="00000000">
        <w:rPr>
          <w:rtl w:val="0"/>
        </w:rPr>
        <w:t xml:space="preserve">Part 8 - Responsible Use and a Proposal Pilot</w:t>
      </w:r>
      <w:r w:rsidDel="00000000" w:rsidR="00000000" w:rsidRPr="00000000">
        <w:rPr>
          <w:rtl w:val="0"/>
        </w:rPr>
      </w:r>
    </w:p>
    <w:p w:rsidR="00000000" w:rsidDel="00000000" w:rsidP="00000000" w:rsidRDefault="00000000" w:rsidRPr="00000000" w14:paraId="000000BF">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supermarket pilot could test a loyalty programme and personalized messages using the supermarket's own customer data. A checkout system or shopping application could support voluntary email registration and, where there is a clear purpose, a customer-reported age range. Age should not be inferred from appearance. Promotional communications should require explicit consent and offer an unsubscribe option. Only necessary data should be collected, access should be restricted, and identifiable information should be retained only as long as needed for its stated purpose.</w:t>
      </w:r>
    </w:p>
    <w:p w:rsidR="00000000" w:rsidDel="00000000" w:rsidP="00000000" w:rsidRDefault="00000000" w:rsidRPr="00000000" w14:paraId="000000C0">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partnership with a financial startup could explore a card usable at other retailers while offering special discounts at the supermarket. This proposal requires a separate assessment of feasibility, costs, and credit conditions. Spending clusters should not determine credit approval or credit limits. Any sharing of identifiable customer information with the partner should be transparent and subject to appropriate authorization.</w:t>
      </w:r>
    </w:p>
    <w:p w:rsidR="00000000" w:rsidDel="00000000" w:rsidP="00000000" w:rsidRDefault="00000000" w:rsidRPr="00000000" w14:paraId="000000C1">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Segments describe average tendencies, not identical individuals. Customers within the same segment may have different needs, budgets, and preferences, and these may change over time. Marketers should therefore allow individual choices, update profiles when appropriate, respect privacy, and avoid using segment labels to exclude or pressure customers. The pilot should compare outcomes with a control group and evaluate incremental revenue, profit, repeat purchases, and customer feedback before expansion.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1"/>
        <w:spacing w:after="240" w:before="240" w:line="480" w:lineRule="auto"/>
        <w:jc w:val="center"/>
        <w:rPr/>
      </w:pPr>
      <w:bookmarkStart w:colFirst="0" w:colLast="0" w:name="_8movtjtinzaz" w:id="12"/>
      <w:bookmarkEnd w:id="12"/>
      <w:r w:rsidDel="00000000" w:rsidR="00000000" w:rsidRPr="00000000">
        <w:rPr>
          <w:rtl w:val="0"/>
        </w:rPr>
        <w:t xml:space="preserve">Conclusion</w:t>
      </w:r>
    </w:p>
    <w:p w:rsidR="00000000" w:rsidDel="00000000" w:rsidP="00000000" w:rsidRDefault="00000000" w:rsidRPr="00000000" w14:paraId="000000E5">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analysis identified two customer segments: one focused on Fresh and Frozen, and another on Grocery, Milk, and Detergents_Paper. These profiles informed recommendations for targeted promotions, volume discounts, and personalized loyalty benefits.</w:t>
        <w:tab/>
        <w:t xml:space="preserve">The hypotheses helped guide the analysis and connect the findings to the business questions. However, they were explored rather than formally tested. Further testing is needed to determine whether the proposed strategies increase customer spending and loyalty.</w:t>
      </w:r>
    </w:p>
    <w:p w:rsidR="00000000" w:rsidDel="00000000" w:rsidP="00000000" w:rsidRDefault="00000000" w:rsidRPr="00000000" w14:paraId="000000E6">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References</w:t>
      </w:r>
      <w:r w:rsidDel="00000000" w:rsidR="00000000" w:rsidRPr="00000000">
        <w:rPr>
          <w:rtl w:val="0"/>
        </w:rPr>
      </w:r>
    </w:p>
    <w:p w:rsidR="00000000" w:rsidDel="00000000" w:rsidP="00000000" w:rsidRDefault="00000000" w:rsidRPr="00000000" w14:paraId="000000F2">
      <w:pPr>
        <w:spacing w:before="120" w:line="480" w:lineRule="auto"/>
        <w:ind w:left="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K-Means Clustering</w:t>
      </w:r>
      <w:r w:rsidDel="00000000" w:rsidR="00000000" w:rsidRPr="00000000">
        <w:rPr>
          <w:rtl w:val="0"/>
        </w:rPr>
      </w:r>
    </w:p>
    <w:p w:rsidR="00000000" w:rsidDel="00000000" w:rsidP="00000000" w:rsidRDefault="00000000" w:rsidRPr="00000000" w14:paraId="000000F3">
      <w:pPr>
        <w:spacing w:before="12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introduction to statistical learning.</w:t>
        <w:br w:type="textWrapping"/>
        <w:t xml:space="preserve">James, G., Witten, D., Hastie, T., &amp; Tibshirani, R. (2021) : With applications in R(2nd ed.). Springer.</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https://doi.org/10.1007/978-1-0716-1418-1</w:t>
        </w:r>
      </w:hyperlink>
      <w:r w:rsidDel="00000000" w:rsidR="00000000" w:rsidRPr="00000000">
        <w:rPr>
          <w:rtl w:val="0"/>
        </w:rPr>
      </w:r>
    </w:p>
    <w:p w:rsidR="00000000" w:rsidDel="00000000" w:rsidP="00000000" w:rsidRDefault="00000000" w:rsidRPr="00000000" w14:paraId="000000F4">
      <w:pPr>
        <w:spacing w:before="120"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 Wholesale Customers</w:t>
      </w:r>
    </w:p>
    <w:p w:rsidR="00000000" w:rsidDel="00000000" w:rsidP="00000000" w:rsidRDefault="00000000" w:rsidRPr="00000000" w14:paraId="000000F5">
      <w:pPr>
        <w:spacing w:before="120" w:line="480" w:lineRule="auto"/>
        <w:rPr>
          <w:rFonts w:ascii="Times New Roman" w:cs="Times New Roman" w:eastAsia="Times New Roman" w:hAnsi="Times New Roman"/>
          <w:sz w:val="24"/>
          <w:szCs w:val="24"/>
        </w:rPr>
      </w:pPr>
      <w:hyperlink r:id="rId28">
        <w:r w:rsidDel="00000000" w:rsidR="00000000" w:rsidRPr="00000000">
          <w:rPr>
            <w:rFonts w:ascii="Times New Roman" w:cs="Times New Roman" w:eastAsia="Times New Roman" w:hAnsi="Times New Roman"/>
            <w:color w:val="1155cc"/>
            <w:sz w:val="24"/>
            <w:szCs w:val="24"/>
            <w:u w:val="single"/>
            <w:rtl w:val="0"/>
          </w:rPr>
          <w:t xml:space="preserve">https://archive.ics.uci.edu/dataset/292/wholesale+customers</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6">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before="120" w:line="480" w:lineRule="auto"/>
        <w:jc w:val="left"/>
        <w:rPr>
          <w:rFonts w:ascii="Times New Roman" w:cs="Times New Roman" w:eastAsia="Times New Roman" w:hAnsi="Times New Roman"/>
          <w:sz w:val="24"/>
          <w:szCs w:val="24"/>
        </w:rPr>
      </w:pPr>
      <w:r w:rsidDel="00000000" w:rsidR="00000000" w:rsidRPr="00000000">
        <w:rPr>
          <w:rtl w:val="0"/>
        </w:rPr>
      </w:r>
    </w:p>
    <w:sectPr>
      <w:headerReference r:id="rId29" w:type="default"/>
      <w:headerReference r:id="rId30" w:type="first"/>
      <w:footerReference r:id="rId31"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48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9.png"/><Relationship Id="rId21" Type="http://schemas.openxmlformats.org/officeDocument/2006/relationships/image" Target="media/image5.png"/><Relationship Id="rId24" Type="http://schemas.openxmlformats.org/officeDocument/2006/relationships/image" Target="media/image19.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yperlink" Target="https://doi.org/10.1007/978-1-0716-1418-1" TargetMode="External"/><Relationship Id="rId25" Type="http://schemas.openxmlformats.org/officeDocument/2006/relationships/image" Target="media/image4.png"/><Relationship Id="rId28" Type="http://schemas.openxmlformats.org/officeDocument/2006/relationships/hyperlink" Target="https://archive.ics.uci.edu/dataset/292/wholesale+customers" TargetMode="External"/><Relationship Id="rId27" Type="http://schemas.openxmlformats.org/officeDocument/2006/relationships/hyperlink" Target="https://doi.org/10.1007/978-1-0716-1418-1" TargetMode="External"/><Relationship Id="rId5" Type="http://schemas.openxmlformats.org/officeDocument/2006/relationships/styles" Target="styles.xml"/><Relationship Id="rId6" Type="http://schemas.openxmlformats.org/officeDocument/2006/relationships/hyperlink" Target="https://archive.ics.uci.edu/dataset/292/wholesale+customers" TargetMode="External"/><Relationship Id="rId29" Type="http://schemas.openxmlformats.org/officeDocument/2006/relationships/header" Target="header2.xml"/><Relationship Id="rId7" Type="http://schemas.openxmlformats.org/officeDocument/2006/relationships/image" Target="media/image13.png"/><Relationship Id="rId8" Type="http://schemas.openxmlformats.org/officeDocument/2006/relationships/image" Target="media/image18.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16.png"/><Relationship Id="rId15" Type="http://schemas.openxmlformats.org/officeDocument/2006/relationships/image" Target="media/image15.png"/><Relationship Id="rId14" Type="http://schemas.openxmlformats.org/officeDocument/2006/relationships/image" Target="media/image11.png"/><Relationship Id="rId17" Type="http://schemas.openxmlformats.org/officeDocument/2006/relationships/image" Target="media/image12.png"/><Relationship Id="rId16" Type="http://schemas.openxmlformats.org/officeDocument/2006/relationships/image" Target="media/image17.png"/><Relationship Id="rId19" Type="http://schemas.openxmlformats.org/officeDocument/2006/relationships/image" Target="media/image2.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