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tbl>
      <w:tblPr>
        <w:tblStyle w:val="ListTable4Accent6"/>
        <w:tblW w:w="0" w:type="auto"/>
        <w:tblLook w:val="01E0"/>
      </w:tblPr>
      <w:tblGrid>
        <w:gridCol w:w="2468"/>
        <w:gridCol w:w="6552"/>
      </w:tblGrid>
      <w:tr>
        <w:trPr>
          <w:cnfStyle w:val="100000000000"/>
          <w:trHeight w:val="567"/>
        </w:trPr>
        <w:tc>
          <w:tcPr>
            <w:cnfStyle w:val="101000000000"/>
            <w:tcW w:w="10343" w:type="dxa"/>
            <w:gridSpan w:val="2"/>
            <w:vAlign w:val="center"/>
          </w:tcPr>
          <w:p w14:paraId="00000005">
            <w:pPr>
              <w:rPr>
                <w:rFonts w:ascii="Arial" w:cs="Arial" w:hAnsi="Arial"/>
                <w:b w:val="off"/>
                <w:bCs w:val="off"/>
              </w:rPr>
            </w:pPr>
            <w:r>
              <w:rPr>
                <w:rFonts w:ascii="Arial" w:cs="Arial" w:hAnsi="Arial"/>
              </w:rPr>
              <w:t>Assignment Details</w:t>
            </w:r>
          </w:p>
        </w:tc>
      </w:tr>
      <w:tr>
        <w:trPr>
          <w:cnfStyle w:val="000000100000"/>
          <w:trHeight w:val="567"/>
        </w:trPr>
        <w:tc>
          <w:tcPr>
            <w:cnfStyle w:val="001000100000"/>
            <w:tcW w:w="2830" w:type="dxa"/>
            <w:vAlign w:val="center"/>
          </w:tcPr>
          <w:p w14:paraId="00000006">
            <w:pPr>
              <w:jc w:val="right"/>
              <w:rPr>
                <w:rFonts w:ascii="Arial" w:cs="Arial" w:hAnsi="Arial"/>
                <w:b w:val="off"/>
              </w:rPr>
            </w:pPr>
            <w:r>
              <w:rPr>
                <w:rFonts w:ascii="Arial" w:cs="Arial" w:hAnsi="Arial"/>
              </w:rPr>
              <w:t>Course</w:t>
            </w:r>
            <w:r>
              <w:rPr>
                <w:rFonts w:ascii="Arial" w:cs="Arial" w:hAnsi="Arial"/>
              </w:rPr>
              <w:t xml:space="preserve"> </w:t>
            </w:r>
            <w:r>
              <w:rPr>
                <w:rFonts w:ascii="Arial" w:cs="Arial" w:hAnsi="Arial"/>
              </w:rPr>
              <w:t>t</w:t>
            </w:r>
            <w:r>
              <w:rPr>
                <w:rFonts w:ascii="Arial" w:cs="Arial" w:hAnsi="Arial"/>
              </w:rPr>
              <w:t>itle</w:t>
            </w:r>
          </w:p>
        </w:tc>
        <w:tc>
          <w:tcPr>
            <w:cnfStyle w:val="000100100000"/>
            <w:tcW w:w="7513" w:type="dxa"/>
            <w:vAlign w:val="center"/>
          </w:tcPr>
          <w:p w14:paraId="00000007">
            <w:pPr>
              <w:rPr>
                <w:rFonts w:ascii="Arial" w:cs="Arial" w:hAnsi="Arial"/>
                <w:b w:val="off"/>
                <w:bCs w:val="off"/>
                <w:color w:val="000000"/>
              </w:rPr>
            </w:pPr>
            <w:r>
              <w:rPr>
                <w:rFonts w:ascii="Arial" w:cs="Arial" w:hAnsi="Arial"/>
                <w:b w:val="off"/>
                <w:bCs w:val="off"/>
                <w:color w:val="000000"/>
              </w:rPr>
              <w:t>NCFE Level 3 Certificate in Data (603/7882/7)</w:t>
            </w:r>
          </w:p>
        </w:tc>
      </w:tr>
      <w:tr>
        <w:trPr>
          <w:trHeight w:val="567"/>
        </w:trPr>
        <w:tc>
          <w:tcPr>
            <w:cnfStyle w:val="001000010000"/>
            <w:tcW w:w="2830" w:type="dxa"/>
            <w:vAlign w:val="center"/>
          </w:tcPr>
          <w:p w14:paraId="00000008">
            <w:pPr>
              <w:jc w:val="right"/>
              <w:rPr>
                <w:rFonts w:ascii="Arial" w:cs="Arial" w:hAnsi="Arial"/>
                <w:b w:val="off"/>
              </w:rPr>
            </w:pPr>
            <w:r>
              <w:rPr>
                <w:rFonts w:ascii="Arial" w:cs="Arial" w:hAnsi="Arial"/>
              </w:rPr>
              <w:t>Unit</w:t>
            </w:r>
          </w:p>
        </w:tc>
        <w:tc>
          <w:tcPr>
            <w:cnfStyle w:val="000100010000"/>
            <w:tcW w:w="7513" w:type="dxa"/>
            <w:vAlign w:val="center"/>
          </w:tcPr>
          <w:p w14:paraId="00000009">
            <w:pPr>
              <w:rPr>
                <w:rFonts w:ascii="Arial" w:cs="Arial" w:hAnsi="Arial"/>
                <w:b w:val="off"/>
                <w:bCs w:val="off"/>
                <w:color w:val="000000"/>
              </w:rPr>
            </w:pPr>
            <w:r>
              <w:rPr>
                <w:rFonts w:ascii="Arial" w:cs="Arial" w:hAnsi="Arial"/>
                <w:b w:val="off"/>
                <w:bCs w:val="off"/>
                <w:color w:val="000000"/>
              </w:rPr>
              <w:t>01 Understand how to source data (L/618/8650)</w:t>
            </w:r>
          </w:p>
        </w:tc>
      </w:tr>
      <w:tr>
        <w:trPr>
          <w:cnfStyle w:val="000000100000"/>
          <w:trHeight w:val="567"/>
        </w:trPr>
        <w:tc>
          <w:tcPr>
            <w:cnfStyle w:val="001000100000"/>
            <w:tcW w:w="2830" w:type="dxa"/>
            <w:vAlign w:val="center"/>
          </w:tcPr>
          <w:p w14:paraId="0000000A">
            <w:pPr>
              <w:jc w:val="right"/>
              <w:rPr>
                <w:rFonts w:ascii="Arial" w:cs="Arial" w:hAnsi="Arial"/>
                <w:b w:val="off"/>
              </w:rPr>
            </w:pPr>
            <w:r>
              <w:rPr>
                <w:rFonts w:ascii="Arial" w:cs="Arial" w:hAnsi="Arial"/>
              </w:rPr>
              <w:t>Task</w:t>
            </w:r>
          </w:p>
        </w:tc>
        <w:tc>
          <w:tcPr>
            <w:cnfStyle w:val="000100100000"/>
            <w:tcW w:w="7513" w:type="dxa"/>
            <w:vAlign w:val="center"/>
          </w:tcPr>
          <w:p w14:paraId="0000000B">
            <w:pPr>
              <w:rPr>
                <w:rFonts w:ascii="Arial" w:cs="Arial" w:hAnsi="Arial"/>
                <w:b w:val="off"/>
                <w:bCs w:val="off"/>
                <w:color w:val="000000"/>
              </w:rPr>
            </w:pPr>
            <w:r>
              <w:rPr>
                <w:rFonts w:ascii="Arial" w:cs="Arial" w:hAnsi="Arial"/>
                <w:b w:val="off"/>
                <w:bCs w:val="off"/>
                <w:color w:val="000000"/>
              </w:rPr>
              <w:t>End of unit assessment</w:t>
            </w:r>
          </w:p>
        </w:tc>
      </w:tr>
      <w:tr>
        <w:trPr>
          <w:trHeight w:val="567"/>
        </w:trPr>
        <w:tc>
          <w:tcPr>
            <w:cnfStyle w:val="001000010000"/>
            <w:tcW w:w="2830" w:type="dxa"/>
            <w:vAlign w:val="center"/>
          </w:tcPr>
          <w:p w14:paraId="0000000C">
            <w:pPr>
              <w:jc w:val="right"/>
              <w:rPr>
                <w:rFonts w:ascii="Arial" w:cs="Arial" w:hAnsi="Arial"/>
              </w:rPr>
            </w:pPr>
            <w:r>
              <w:rPr>
                <w:rFonts w:ascii="Arial" w:cs="Arial" w:hAnsi="Arial"/>
              </w:rPr>
              <w:t>Tutor</w:t>
            </w:r>
          </w:p>
        </w:tc>
        <w:tc>
          <w:tcPr>
            <w:cnfStyle w:val="000100010000"/>
            <w:tcW w:w="7513" w:type="dxa"/>
            <w:vAlign w:val="center"/>
          </w:tcPr>
          <w:p w14:paraId="0000000D">
            <w:pPr>
              <w:rPr>
                <w:rFonts w:ascii="Arial" w:cs="Arial" w:hAnsi="Arial"/>
                <w:color w:val="000000"/>
              </w:rPr>
            </w:pPr>
            <w:r>
              <w:rPr>
                <w:rFonts w:ascii="Arial" w:cs="Arial" w:hAnsi="Arial"/>
                <w:b w:val="off"/>
                <w:bCs w:val="off"/>
                <w:color w:val="000000"/>
              </w:rPr>
              <w:t>Komal Karir</w:t>
            </w:r>
          </w:p>
        </w:tc>
      </w:tr>
      <w:tr>
        <w:trPr>
          <w:cnfStyle w:val="000000100000"/>
          <w:trHeight w:val="567"/>
        </w:trPr>
        <w:tc>
          <w:tcPr>
            <w:cnfStyle w:val="001000100000"/>
            <w:tcW w:w="2830" w:type="dxa"/>
            <w:vAlign w:val="center"/>
          </w:tcPr>
          <w:p w14:paraId="0000000E">
            <w:pPr>
              <w:jc w:val="right"/>
              <w:rPr>
                <w:rFonts w:ascii="Arial" w:cs="Arial" w:hAnsi="Arial"/>
                <w:b w:val="off"/>
              </w:rPr>
            </w:pPr>
            <w:r>
              <w:rPr>
                <w:rFonts w:ascii="Arial" w:cs="Arial" w:hAnsi="Arial"/>
              </w:rPr>
              <w:t>Learner</w:t>
            </w:r>
          </w:p>
        </w:tc>
        <w:tc>
          <w:tcPr>
            <w:cnfStyle w:val="000100100000"/>
            <w:tcW w:w="7513" w:type="dxa"/>
            <w:vAlign w:val="center"/>
          </w:tcPr>
          <w:p w14:paraId="0000000F">
            <w:pPr>
              <w:rPr>
                <w:rFonts w:ascii="Arial" w:cs="Arial" w:hAnsi="Arial"/>
                <w:b w:val="off"/>
                <w:bCs w:val="off"/>
                <w:i/>
                <w:iCs/>
              </w:rPr>
            </w:pPr>
            <w:r>
              <w:rPr>
                <w:rFonts w:ascii="Arial" w:cs="Arial" w:hAnsi="Arial"/>
                <w:b w:val="off"/>
                <w:bCs w:val="off"/>
                <w:i/>
                <w:iCs/>
              </w:rPr>
              <w:t>Ladan</w:t>
            </w:r>
            <w:r>
              <w:rPr>
                <w:rFonts w:ascii="Arial" w:cs="Arial" w:hAnsi="Arial"/>
                <w:b w:val="off"/>
                <w:bCs w:val="off"/>
                <w:i/>
                <w:iCs/>
                <w:highlight w:val="yellow"/>
              </w:rPr>
              <w:t xml:space="preserve"> Annette</w:t>
            </w:r>
            <w:r>
              <w:rPr>
                <w:rFonts w:ascii="Arial" w:cs="Arial" w:hAnsi="Arial"/>
                <w:b w:val="off"/>
                <w:bCs w:val="off"/>
                <w:i/>
                <w:iCs/>
              </w:rPr>
              <w:t xml:space="preserve"> Mehrvarz</w:t>
            </w:r>
          </w:p>
        </w:tc>
      </w:tr>
      <w:tr>
        <w:trPr>
          <w:cnfStyle w:val="010000000000"/>
          <w:trHeight w:val="567"/>
        </w:trPr>
        <w:tc>
          <w:tcPr>
            <w:cnfStyle w:val="011000000000"/>
            <w:tcW w:w="2830" w:type="dxa"/>
            <w:vAlign w:val="center"/>
          </w:tcPr>
          <w:p w14:paraId="00000010">
            <w:pPr>
              <w:jc w:val="right"/>
              <w:rPr>
                <w:rFonts w:ascii="Arial" w:cs="Arial" w:hAnsi="Arial"/>
                <w:b w:val="off"/>
              </w:rPr>
            </w:pPr>
            <w:r>
              <w:rPr>
                <w:rFonts w:ascii="Arial" w:cs="Arial" w:hAnsi="Arial"/>
              </w:rPr>
              <w:t>Date</w:t>
            </w:r>
            <w:r>
              <w:rPr>
                <w:rFonts w:ascii="Arial" w:cs="Arial" w:hAnsi="Arial"/>
              </w:rPr>
              <w:t xml:space="preserve"> submitted</w:t>
            </w:r>
          </w:p>
        </w:tc>
        <w:tc>
          <w:tcPr>
            <w:cnfStyle w:val="010100000000"/>
            <w:tcW w:w="7513" w:type="dxa"/>
            <w:vAlign w:val="center"/>
          </w:tcPr>
          <w:p w14:paraId="00000011">
            <w:pPr>
              <w:rPr>
                <w:rFonts w:ascii="Arial" w:cs="Arial" w:hAnsi="Arial"/>
                <w:b w:val="off"/>
                <w:bCs w:val="off"/>
                <w:i/>
                <w:iCs/>
              </w:rPr>
            </w:pPr>
            <w:r>
              <w:rPr>
                <w:rFonts w:ascii="Arial" w:cs="Arial" w:hAnsi="Arial"/>
                <w:b w:val="off"/>
                <w:bCs w:val="off"/>
                <w:i/>
                <w:iCs/>
              </w:rPr>
              <w:t>{</w:t>
            </w:r>
            <w:r>
              <w:rPr>
                <w:rFonts w:ascii="Arial" w:cs="Arial" w:hAnsi="Arial"/>
                <w:b w:val="off"/>
                <w:bCs w:val="off"/>
                <w:i/>
                <w:iCs/>
                <w:highlight w:val="yellow"/>
              </w:rPr>
              <w:t>enter date of submission</w:t>
            </w:r>
            <w:r>
              <w:rPr>
                <w:rFonts w:ascii="Arial" w:cs="Arial" w:hAnsi="Arial"/>
                <w:b w:val="off"/>
                <w:bCs w:val="off"/>
                <w:i/>
                <w:iCs/>
              </w:rPr>
              <w:t>}</w:t>
            </w:r>
          </w:p>
        </w:tc>
      </w:tr>
    </w:tbl>
    <w:p w14:paraId="00000012">
      <w:pPr>
        <w:rPr>
          <w:rFonts w:ascii="Arial" w:cs="Arial" w:hAnsi="Arial"/>
        </w:rPr>
      </w:pPr>
    </w:p>
    <w:p w14:paraId="00000013">
      <w:pPr>
        <w:rPr>
          <w:rFonts w:ascii="Arial" w:cs="Arial" w:hAnsi="Arial"/>
        </w:rPr>
      </w:pPr>
    </w:p>
    <w:tbl>
      <w:tblPr>
        <w:tblStyle w:val="ListTable4Accent6"/>
        <w:tblW w:w="0" w:type="auto"/>
        <w:tblLook w:val="01E0"/>
      </w:tblPr>
      <w:tblGrid>
        <w:gridCol w:w="5524"/>
        <w:gridCol w:w="3492"/>
      </w:tblGrid>
      <w:tr>
        <w:trPr>
          <w:cnfStyle w:val="100000000000"/>
          <w:trHeight w:val="624"/>
        </w:trPr>
        <w:tc>
          <w:tcPr>
            <w:cnfStyle w:val="101000000000"/>
            <w:tcW w:w="9016" w:type="dxa"/>
            <w:gridSpan w:val="2"/>
            <w:vAlign w:val="center"/>
          </w:tcPr>
          <w:p w14:paraId="00000014">
            <w:pPr>
              <w:rPr>
                <w:rFonts w:ascii="Arial" w:cs="Arial" w:hAnsi="Arial"/>
                <w:bCs w:val="off"/>
              </w:rPr>
            </w:pPr>
            <w:r>
              <w:rPr>
                <w:rFonts w:ascii="Arial" w:cs="Arial" w:hAnsi="Arial"/>
              </w:rPr>
              <w:t>Candidate Statement</w:t>
            </w:r>
          </w:p>
        </w:tc>
      </w:tr>
      <w:tr>
        <w:trPr>
          <w:cnfStyle w:val="000000100000"/>
          <w:trHeight w:val="624"/>
        </w:trPr>
        <w:tc>
          <w:tcPr>
            <w:cnfStyle w:val="001000100000"/>
            <w:tcW w:w="9016" w:type="dxa"/>
            <w:gridSpan w:val="2"/>
            <w:vAlign w:val="center"/>
          </w:tcPr>
          <w:p w14:paraId="00000015">
            <w:pPr>
              <w:rPr>
                <w:rFonts w:ascii="Arial" w:cs="Arial" w:hAnsi="Arial"/>
              </w:rPr>
            </w:pPr>
          </w:p>
          <w:p w14:paraId="00000016">
            <w:pPr>
              <w:rPr>
                <w:rFonts w:ascii="Arial" w:cs="Arial" w:hAnsi="Arial"/>
              </w:rPr>
            </w:pPr>
            <w:r>
              <w:rPr>
                <w:rFonts w:ascii="Arial" w:cs="Arial" w:hAnsi="Arial"/>
              </w:rPr>
              <w:t>All work submitted in your portfolio must be your own.</w:t>
            </w:r>
          </w:p>
          <w:p w14:paraId="00000017">
            <w:pPr>
              <w:rPr>
                <w:rFonts w:ascii="Arial" w:cs="Arial" w:hAnsi="Arial"/>
              </w:rPr>
            </w:pPr>
          </w:p>
          <w:p w14:paraId="00000018">
            <w:pPr>
              <w:rPr>
                <w:rFonts w:ascii="Arial" w:cs="Arial" w:hAnsi="Arial"/>
              </w:rPr>
            </w:pPr>
            <w:r>
              <w:rPr>
                <w:rFonts w:ascii="Arial" w:cs="Arial" w:hAnsi="Arial"/>
              </w:rPr>
              <w:t>If you copy from somebody else or allow another candidate to copy from you</w:t>
            </w:r>
            <w:r>
              <w:rPr>
                <w:rFonts w:ascii="Arial" w:cs="Arial" w:hAnsi="Arial"/>
              </w:rPr>
              <w:t xml:space="preserve"> </w:t>
            </w:r>
            <w:r>
              <w:rPr>
                <w:rFonts w:ascii="Arial" w:cs="Arial" w:hAnsi="Arial"/>
              </w:rPr>
              <w:t>then you may be disqualified.</w:t>
            </w:r>
          </w:p>
          <w:p w14:paraId="00000019">
            <w:pPr>
              <w:rPr>
                <w:rFonts w:ascii="Arial" w:cs="Arial" w:hAnsi="Arial"/>
                <w:bCs w:val="off"/>
              </w:rPr>
            </w:pPr>
          </w:p>
        </w:tc>
      </w:tr>
      <w:tr>
        <w:trPr>
          <w:trHeight w:val="624"/>
        </w:trPr>
        <w:tc>
          <w:tcPr>
            <w:cnfStyle w:val="001000010000"/>
            <w:tcW w:w="9016" w:type="dxa"/>
            <w:gridSpan w:val="2"/>
            <w:tcBorders>
              <w:bottom w:val="double" w:color="fabf8e" w:themeColor="accent6" w:themeTint="99" w:sz="4" w:space="0"/>
            </w:tcBorders>
            <w:vAlign w:val="center"/>
          </w:tcPr>
          <w:p w14:paraId="0000001A">
            <w:pPr>
              <w:rPr>
                <w:rFonts w:ascii="Arial" w:cs="Arial" w:hAnsi="Arial"/>
                <w:bCs w:val="off"/>
              </w:rPr>
            </w:pPr>
          </w:p>
          <w:p w14:paraId="0000001B">
            <w:pPr>
              <w:rPr>
                <w:rFonts w:ascii="Arial" w:cs="Arial" w:hAnsi="Arial"/>
              </w:rPr>
            </w:pPr>
            <w:r>
              <w:rPr>
                <w:rFonts w:ascii="Arial" w:cs="Arial" w:hAnsi="Arial"/>
                <w:b w:val="off"/>
                <w:bCs w:val="off"/>
              </w:rPr>
              <w:t xml:space="preserve">I have read and understood the Notice for Candidates </w:t>
            </w:r>
          </w:p>
          <w:p w14:paraId="0000001C">
            <w:pPr>
              <w:rPr>
                <w:rFonts w:ascii="Arial" w:cs="Arial" w:hAnsi="Arial"/>
              </w:rPr>
            </w:pPr>
          </w:p>
          <w:p w14:paraId="0000001D">
            <w:pPr>
              <w:rPr>
                <w:rFonts w:ascii="Arial" w:cs="Arial" w:hAnsi="Arial"/>
              </w:rPr>
            </w:pPr>
            <w:r>
              <w:rPr>
                <w:rFonts w:ascii="Arial" w:cs="Arial" w:hAnsi="Arial"/>
                <w:b w:val="off"/>
                <w:bCs w:val="off"/>
              </w:rPr>
              <w:t>I confirm:</w:t>
            </w:r>
          </w:p>
          <w:p w14:paraId="0000001E">
            <w:pPr>
              <w:rPr>
                <w:rFonts w:ascii="Arial" w:cs="Arial" w:hAnsi="Arial"/>
                <w:b w:val="off"/>
                <w:bCs w:val="off"/>
              </w:rPr>
            </w:pPr>
          </w:p>
          <w:p w14:paraId="0000001F">
            <w:pPr>
              <w:pStyle w:val="ListParagraph"/>
              <w:numPr>
                <w:ilvl w:val="0"/>
                <w:numId w:val="21"/>
              </w:numPr>
              <w:rPr>
                <w:rFonts w:ascii="Arial" w:cs="Arial" w:hAnsi="Arial"/>
                <w:b w:val="off"/>
                <w:bCs w:val="off"/>
              </w:rPr>
            </w:pPr>
            <w:r>
              <w:rPr>
                <w:rFonts w:ascii="Arial" w:cs="Arial" w:hAnsi="Arial"/>
                <w:b w:val="off"/>
                <w:bCs w:val="off"/>
              </w:rPr>
              <w:t>This submission i</w:t>
            </w:r>
            <w:r>
              <w:rPr>
                <w:rFonts w:ascii="Arial" w:cs="Arial" w:hAnsi="Arial"/>
                <w:b w:val="off"/>
                <w:bCs w:val="off"/>
              </w:rPr>
              <w:t>s my own work</w:t>
            </w:r>
          </w:p>
          <w:p w14:paraId="00000020">
            <w:pPr>
              <w:ind w:left="720"/>
              <w:rPr>
                <w:rFonts w:ascii="Arial" w:cs="Arial" w:hAnsi="Arial"/>
                <w:b w:val="off"/>
                <w:bCs w:val="off"/>
              </w:rPr>
            </w:pPr>
            <w:r>
              <w:rPr>
                <w:rFonts w:ascii="Arial" w:cs="Arial" w:hAnsi="Arial"/>
                <w:b w:val="off"/>
                <w:bCs w:val="off"/>
              </w:rPr>
              <w:t xml:space="preserve">b)  </w:t>
            </w:r>
            <w:r>
              <w:rPr>
                <w:rFonts w:ascii="Arial" w:cs="Arial" w:hAnsi="Arial"/>
                <w:b w:val="off"/>
                <w:bCs w:val="off"/>
              </w:rPr>
              <w:t>Any help from others, excluding the tutor</w:t>
            </w:r>
            <w:r>
              <w:rPr>
                <w:rFonts w:ascii="Arial" w:cs="Arial" w:hAnsi="Arial"/>
                <w:b w:val="off"/>
                <w:bCs w:val="off"/>
              </w:rPr>
              <w:t xml:space="preserve">(s), </w:t>
            </w:r>
            <w:r>
              <w:rPr>
                <w:rFonts w:ascii="Arial" w:cs="Arial" w:hAnsi="Arial"/>
                <w:b w:val="off"/>
                <w:bCs w:val="off"/>
              </w:rPr>
              <w:t xml:space="preserve">has been </w:t>
            </w:r>
            <w:r>
              <w:rPr>
                <w:rFonts w:ascii="Arial" w:cs="Arial" w:hAnsi="Arial"/>
                <w:b w:val="off"/>
                <w:bCs w:val="off"/>
              </w:rPr>
              <w:t xml:space="preserve">explained </w:t>
            </w:r>
            <w:r>
              <w:rPr>
                <w:rFonts w:ascii="Arial" w:cs="Arial" w:hAnsi="Arial"/>
                <w:b w:val="off"/>
                <w:bCs w:val="off"/>
              </w:rPr>
              <w:t>below.</w:t>
            </w:r>
          </w:p>
          <w:p w14:paraId="00000021">
            <w:pPr>
              <w:rPr>
                <w:rFonts w:ascii="Arial" w:cs="Arial" w:hAnsi="Arial"/>
              </w:rPr>
            </w:pPr>
          </w:p>
          <w:p w14:paraId="00000022">
            <w:pPr>
              <w:rPr>
                <w:rFonts w:ascii="Arial" w:cs="Arial" w:hAnsi="Arial"/>
                <w:b w:val="off"/>
                <w:bCs w:val="off"/>
              </w:rPr>
            </w:pPr>
            <w:r>
              <w:rPr>
                <w:rFonts w:ascii="Arial" w:cs="Arial" w:hAnsi="Arial"/>
                <w:b w:val="off"/>
                <w:bCs w:val="off"/>
              </w:rPr>
              <w:tab/>
            </w:r>
            <w:r>
              <w:rPr>
                <w:rFonts w:ascii="Arial" w:cs="Arial" w:hAnsi="Arial"/>
                <w:b w:val="off"/>
                <w:bCs w:val="off"/>
              </w:rPr>
              <w:tab/>
            </w:r>
            <w:r>
              <w:rPr>
                <w:rFonts w:ascii="Arial" w:cs="Arial" w:hAnsi="Arial"/>
                <w:b w:val="off"/>
                <w:bCs w:val="off"/>
              </w:rPr>
              <w:tab/>
            </w:r>
            <w:r>
              <w:rPr>
                <w:rFonts w:ascii="Arial" w:cs="Arial" w:hAnsi="Arial"/>
                <w:b w:val="off"/>
                <w:bCs w:val="off"/>
              </w:rPr>
              <w:tab/>
            </w:r>
            <w:r>
              <w:rPr>
                <w:rFonts w:ascii="Arial" w:cs="Arial" w:hAnsi="Arial"/>
                <w:b w:val="off"/>
                <w:bCs w:val="off"/>
              </w:rPr>
              <w:tab/>
            </w:r>
            <w:r>
              <w:rPr>
                <w:rFonts w:ascii="Arial" w:cs="Arial" w:hAnsi="Arial"/>
                <w:b w:val="off"/>
                <w:bCs w:val="off"/>
              </w:rPr>
              <w:tab/>
            </w:r>
            <w:r>
              <w:rPr>
                <w:rFonts w:ascii="Arial" w:cs="Arial" w:hAnsi="Arial"/>
                <w:b w:val="off"/>
                <w:bCs w:val="off"/>
              </w:rPr>
              <w:tab/>
            </w:r>
            <w:r>
              <w:rPr>
                <w:rFonts w:ascii="Arial" w:cs="Arial" w:hAnsi="Arial"/>
                <w:b w:val="off"/>
                <w:bCs w:val="off"/>
              </w:rPr>
              <w:tab/>
            </w:r>
            <w:r>
              <w:rPr>
                <w:rFonts w:ascii="Arial" w:cs="Arial" w:hAnsi="Arial"/>
                <w:b w:val="off"/>
                <w:bCs w:val="off"/>
              </w:rPr>
              <w:tab/>
            </w:r>
          </w:p>
          <w:p w14:paraId="00000023">
            <w:pPr>
              <w:rPr>
                <w:rFonts w:ascii="Arial" w:cs="Arial" w:hAnsi="Arial"/>
                <w:b w:val="off"/>
              </w:rPr>
            </w:pPr>
          </w:p>
        </w:tc>
      </w:tr>
      <w:tr>
        <w:trPr>
          <w:cnfStyle w:val="010000000000"/>
          <w:trHeight w:val="624"/>
        </w:trPr>
        <w:tc>
          <w:tcPr>
            <w:cnfStyle w:val="011000000000"/>
            <w:tcW w:w="5524" w:type="dxa"/>
            <w:tcBorders>
              <w:right w:val="single" w:color="auto" w:sz="4" w:space="0"/>
            </w:tcBorders>
            <w:vAlign w:val="center"/>
          </w:tcPr>
          <w:p w14:paraId="00000024">
            <w:pPr>
              <w:rPr>
                <w:rFonts w:ascii="Arial" w:cs="Arial" w:hAnsi="Arial"/>
              </w:rPr>
            </w:pPr>
            <w:r>
              <w:rPr>
                <w:rFonts w:ascii="Arial" w:cs="Arial" w:hAnsi="Arial"/>
                <w:b w:val="off"/>
                <w:bCs w:val="off"/>
              </w:rPr>
              <w:t xml:space="preserve">Signature: </w:t>
            </w:r>
            <w:r>
              <w:rPr>
                <w:rFonts w:ascii="Arial" w:cs="Arial" w:hAnsi="Arial"/>
                <w:b w:val="off"/>
                <w:bCs w:val="off"/>
                <w:highlight w:val="yellow"/>
              </w:rPr>
              <w:t>Annette Ladan Mehrvarz</w:t>
            </w:r>
          </w:p>
        </w:tc>
        <w:tc>
          <w:tcPr>
            <w:cnfStyle w:val="010100000000"/>
            <w:tcW w:w="3492" w:type="dxa"/>
            <w:tcBorders>
              <w:left w:val="single" w:color="auto" w:sz="4" w:space="0"/>
            </w:tcBorders>
            <w:vAlign w:val="center"/>
          </w:tcPr>
          <w:p w14:paraId="00000025">
            <w:pPr>
              <w:rPr>
                <w:rFonts w:ascii="Arial" w:cs="Arial" w:hAnsi="Arial"/>
              </w:rPr>
            </w:pPr>
            <w:r>
              <w:rPr>
                <w:rFonts w:ascii="Arial" w:cs="Arial" w:hAnsi="Arial"/>
                <w:b w:val="off"/>
                <w:bCs w:val="off"/>
              </w:rPr>
              <w:t>Date: 25/03/2025</w:t>
            </w:r>
          </w:p>
        </w:tc>
      </w:tr>
    </w:tbl>
    <w:p w14:paraId="00000026">
      <w:pPr>
        <w:rPr>
          <w:rFonts w:ascii="Arial" w:cs="Arial" w:hAnsi="Arial"/>
        </w:rPr>
      </w:pPr>
    </w:p>
    <w:p w14:paraId="00000027">
      <w:pPr>
        <w:rPr>
          <w:rFonts w:ascii="Arial" w:cs="Arial" w:hAnsi="Arial"/>
        </w:rPr>
      </w:pPr>
    </w:p>
    <w:p w14:paraId="00000028">
      <w:pPr>
        <w:rPr>
          <w:rFonts w:ascii="Arial" w:cs="Arial" w:hAnsi="Arial"/>
        </w:rPr>
      </w:pPr>
      <w:r>
        <w:rPr>
          <w:rFonts w:ascii="Arial" w:cs="Arial" w:hAnsi="Arial"/>
        </w:rPr>
        <w:t>Notes:</w:t>
      </w:r>
    </w:p>
    <w:p w14:paraId="00000029">
      <w:pPr>
        <w:pStyle w:val="ListParagraph"/>
        <w:numPr>
          <w:ilvl w:val="0"/>
          <w:numId w:val="22"/>
        </w:numPr>
        <w:rPr>
          <w:rFonts w:ascii="Arial" w:cs="Arial" w:hAnsi="Arial"/>
        </w:rPr>
      </w:pPr>
      <w:r>
        <w:rPr>
          <w:rFonts w:ascii="Arial" w:cs="Arial" w:hAnsi="Arial"/>
        </w:rPr>
        <w:t>Please answer using full sentences. Make sure to check spellings.</w:t>
      </w:r>
    </w:p>
    <w:p w14:paraId="0000002A">
      <w:pPr>
        <w:pStyle w:val="ListParagraph"/>
        <w:rPr>
          <w:rFonts w:ascii="Arial" w:cs="Arial" w:hAnsi="Arial"/>
        </w:rPr>
      </w:pPr>
    </w:p>
    <w:p w14:paraId="0000002B">
      <w:pPr>
        <w:pStyle w:val="ListParagraph"/>
        <w:numPr>
          <w:ilvl w:val="0"/>
          <w:numId w:val="22"/>
        </w:numPr>
        <w:rPr>
          <w:rFonts w:ascii="Arial" w:cs="Arial" w:hAnsi="Arial"/>
        </w:rPr>
      </w:pPr>
      <w:r>
        <w:rPr>
          <w:rFonts w:ascii="Arial" w:cs="Arial" w:hAnsi="Arial"/>
        </w:rPr>
        <w:t>Please ensure you rename this file to include your name at the beginning.</w:t>
      </w:r>
    </w:p>
    <w:p w14:paraId="0000002C">
      <w:pPr>
        <w:rPr>
          <w:rFonts w:ascii="Arial" w:cs="Arial" w:hAnsi="Arial"/>
          <w:i/>
          <w:iCs/>
        </w:rPr>
      </w:pPr>
    </w:p>
    <w:p w14:paraId="0000002D">
      <w:pPr>
        <w:rPr>
          <w:rFonts w:ascii="Arial" w:cs="Arial" w:hAnsi="Arial"/>
        </w:rPr>
      </w:pPr>
      <w:r>
        <w:rPr>
          <w:rFonts w:ascii="Arial" w:cs="Arial" w:hAnsi="Arial"/>
        </w:rPr>
        <w:br w:type="page"/>
      </w:r>
    </w:p>
    <w:p w14:paraId="0000002E">
      <w:pPr>
        <w:rPr>
          <w:rFonts w:ascii="Arial" w:cs="Arial" w:hAnsi="Arial"/>
        </w:rPr>
      </w:pPr>
    </w:p>
    <w:p w14:paraId="0000002F">
      <w:pPr>
        <w:rPr>
          <w:rFonts w:ascii="Arial" w:cs="Arial" w:hAnsi="Arial"/>
        </w:rPr>
      </w:pPr>
    </w:p>
    <w:tbl>
      <w:tblPr>
        <w:tblStyle w:val="ListTable4Accent6"/>
        <w:tblW w:w="0" w:type="auto"/>
        <w:tblLook w:val="01E0"/>
      </w:tblPr>
      <w:tblGrid>
        <w:gridCol w:w="9016"/>
      </w:tblGrid>
      <w:tr>
        <w:trPr>
          <w:cnfStyle w:val="100000000000"/>
          <w:trHeight w:val="624"/>
        </w:trPr>
        <w:tc>
          <w:tcPr>
            <w:cnfStyle w:val="101000000000"/>
            <w:tcW w:w="9016" w:type="dxa"/>
            <w:vAlign w:val="center"/>
          </w:tcPr>
          <w:p w14:paraId="00000030">
            <w:pPr>
              <w:rPr>
                <w:rFonts w:ascii="Arial" w:cs="Arial" w:hAnsi="Arial"/>
                <w:bCs w:val="off"/>
              </w:rPr>
            </w:pPr>
            <w:r>
              <w:rPr>
                <w:rFonts w:ascii="Arial" w:cs="Arial" w:hAnsi="Arial"/>
                <w:bCs w:val="off"/>
              </w:rPr>
              <w:t xml:space="preserve">Question </w:t>
            </w:r>
            <w:r>
              <w:rPr>
                <w:rFonts w:ascii="Arial" w:cs="Arial" w:hAnsi="Arial"/>
                <w:bCs w:val="off"/>
              </w:rPr>
              <w:t>1.0:</w:t>
            </w:r>
            <w:r>
              <w:rPr>
                <w:rFonts w:ascii="Arial" w:cs="Arial" w:hAnsi="Arial"/>
                <w:bCs w:val="off"/>
              </w:rPr>
              <w:t xml:space="preserve"> </w:t>
            </w:r>
            <w:r>
              <w:rPr>
                <w:rFonts w:ascii="Arial" w:cs="Arial" w:hAnsi="Arial"/>
                <w:bCs w:val="off"/>
              </w:rPr>
              <w:t>Understand where common sources of data can be found</w:t>
            </w:r>
          </w:p>
        </w:tc>
      </w:tr>
      <w:tr>
        <w:trPr>
          <w:cnfStyle w:val="010000000000"/>
          <w:trHeight w:val="624"/>
        </w:trPr>
        <w:tc>
          <w:tcPr>
            <w:cnfStyle w:val="011000000000"/>
            <w:tcW w:w="9016" w:type="dxa"/>
            <w:vAlign w:val="center"/>
          </w:tcPr>
          <w:p w14:paraId="00000031">
            <w:pPr>
              <w:rPr>
                <w:rFonts w:ascii="Arial" w:cs="Arial" w:hAnsi="Arial"/>
              </w:rPr>
            </w:pPr>
          </w:p>
          <w:p w14:paraId="00000032">
            <w:pPr>
              <w:rPr>
                <w:rFonts w:ascii="Arial" w:cs="Arial" w:hAnsi="Arial"/>
              </w:rPr>
            </w:pPr>
            <w:r>
              <w:rPr>
                <w:rFonts w:ascii="Arial" w:cs="Arial" w:hAnsi="Arial"/>
                <w:b w:val="off"/>
                <w:bCs w:val="off"/>
              </w:rPr>
              <w:t>O</w:t>
            </w:r>
            <w:r>
              <w:rPr>
                <w:rFonts w:ascii="Arial" w:cs="Arial" w:hAnsi="Arial"/>
                <w:b w:val="off"/>
                <w:bCs w:val="off"/>
              </w:rPr>
              <w:t>utline h</w:t>
            </w:r>
            <w:r>
              <w:rPr>
                <w:rFonts w:ascii="Arial" w:cs="Arial" w:hAnsi="Arial"/>
                <w:b w:val="off"/>
                <w:bCs w:val="off"/>
              </w:rPr>
              <w:t>ow and where can you obtain</w:t>
            </w:r>
            <w:r>
              <w:rPr>
                <w:rFonts w:ascii="Arial" w:cs="Arial" w:hAnsi="Arial"/>
                <w:b w:val="off"/>
                <w:bCs w:val="off"/>
              </w:rPr>
              <w:t xml:space="preserve"> the </w:t>
            </w:r>
            <w:r>
              <w:rPr>
                <w:rFonts w:ascii="Arial" w:cs="Arial" w:hAnsi="Arial"/>
                <w:b w:val="off"/>
                <w:bCs w:val="off"/>
              </w:rPr>
              <w:t xml:space="preserve">information </w:t>
            </w:r>
            <w:r>
              <w:rPr>
                <w:rFonts w:ascii="Arial" w:cs="Arial" w:hAnsi="Arial"/>
                <w:b w:val="off"/>
                <w:bCs w:val="off"/>
              </w:rPr>
              <w:t>required to prepare a report for the potential client.</w:t>
            </w:r>
            <w:r>
              <w:rPr>
                <w:rFonts w:ascii="Arial" w:cs="Arial" w:hAnsi="Arial"/>
                <w:b w:val="off"/>
                <w:bCs w:val="off"/>
              </w:rPr>
              <w:t xml:space="preserve"> </w:t>
            </w:r>
            <w:r>
              <w:rPr>
                <w:rFonts w:ascii="Arial" w:cs="Arial" w:hAnsi="Arial"/>
                <w:b w:val="off"/>
                <w:bCs w:val="off"/>
              </w:rPr>
              <w:t>Include URLs to publicly available data services.</w:t>
            </w:r>
          </w:p>
          <w:p w14:paraId="00000033">
            <w:pPr>
              <w:rPr>
                <w:rFonts w:ascii="Arial" w:cs="Arial" w:hAnsi="Arial"/>
              </w:rPr>
            </w:pPr>
          </w:p>
          <w:p w14:paraId="00000034">
            <w:pPr>
              <w:rPr>
                <w:rFonts w:ascii="Arial" w:cs="Arial" w:hAnsi="Arial"/>
              </w:rPr>
            </w:pPr>
            <w:r>
              <w:rPr>
                <w:rFonts w:ascii="Arial" w:cs="Arial" w:hAnsi="Arial"/>
                <w:b w:val="off"/>
                <w:bCs w:val="off"/>
              </w:rPr>
              <w:t>(You do not need to prepare the report yourself)</w:t>
            </w:r>
            <w:r>
              <w:rPr>
                <w:rFonts w:ascii="Arial" w:cs="Arial" w:hAnsi="Arial"/>
                <w:b w:val="off"/>
                <w:bCs w:val="off"/>
              </w:rPr>
              <w:t>.</w:t>
            </w:r>
          </w:p>
          <w:p w14:paraId="00000035">
            <w:pPr>
              <w:rPr>
                <w:rFonts w:ascii="Arial" w:cs="Arial" w:hAnsi="Arial"/>
                <w:b w:val="off"/>
                <w:bCs w:val="off"/>
              </w:rPr>
            </w:pPr>
          </w:p>
        </w:tc>
      </w:tr>
    </w:tbl>
    <w:p w14:paraId="00000036">
      <w:pPr>
        <w:rPr>
          <w:rFonts w:ascii="Arial" w:cs="Arial" w:hAnsi="Arial"/>
        </w:rPr>
      </w:pPr>
    </w:p>
    <w:p w14:paraId="00000037">
      <w:pPr>
        <w:rPr>
          <w:rFonts w:ascii="Arial" w:cs="Arial" w:hAnsi="Arial"/>
          <w:i/>
          <w:iCs/>
          <w:sz w:val="22"/>
          <w:szCs w:val="22"/>
        </w:rPr>
      </w:pPr>
      <w:r>
        <w:rPr>
          <w:rFonts w:ascii="Arial" w:cs="Arial" w:hAnsi="Arial"/>
          <w:i/>
          <w:iCs/>
          <w:sz w:val="22"/>
          <w:szCs w:val="22"/>
        </w:rPr>
        <w:t xml:space="preserve">Enter your answer </w:t>
      </w:r>
      <w:r>
        <w:rPr>
          <w:rFonts w:ascii="Arial" w:cs="Arial" w:hAnsi="Arial"/>
          <w:i/>
          <w:iCs/>
          <w:sz w:val="22"/>
          <w:szCs w:val="22"/>
        </w:rPr>
        <w:t>here:</w:t>
      </w:r>
    </w:p>
    <w:p w14:paraId="00000038">
      <w:pPr>
        <w:rPr>
          <w:rFonts w:ascii="Arial" w:cs="Arial" w:hAnsi="Arial"/>
          <w:i/>
          <w:iCs/>
          <w:sz w:val="22"/>
          <w:szCs w:val="22"/>
        </w:rPr>
      </w:pPr>
    </w:p>
    <w:p w14:paraId="0000003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To prepare a report for a potential client, it's crucial to gather relevant, reliable, and up-to-date data. Below is an outline of how and where one can obtain the information required, including URLs to publicly available data services. The process involves understanding the client’s industry, business, and supply chain, and using various data sources to gather contextual information.</w:t>
      </w:r>
    </w:p>
    <w:p w14:paraId="0000003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32"/>
          <w:szCs w:val="32"/>
          <w:lang w:val="en-US"/>
        </w:rPr>
      </w:pPr>
      <w:r>
        <w:rPr>
          <w:rFonts w:ascii="Segoe UI"/>
          <w:b/>
          <w:bCs/>
          <w:color w:val="4f81bd" w:themeColor="accent1"/>
          <w:sz w:val="32"/>
          <w:szCs w:val="32"/>
          <w:rtl w:val="off"/>
          <w:lang w:val="en-US"/>
        </w:rPr>
        <w:t xml:space="preserve">1. </w:t>
      </w:r>
      <w:r>
        <w:rPr>
          <w:rFonts w:ascii="Segoe UI"/>
          <w:b/>
          <w:color w:val="4f81bd" w:themeColor="accent1"/>
          <w:sz w:val="32"/>
          <w:szCs w:val="32"/>
          <w:rtl w:val="off"/>
          <w:lang w:val="en-US"/>
        </w:rPr>
        <w:t>Understanding the Client's Industry</w:t>
      </w:r>
    </w:p>
    <w:p w14:paraId="0000003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Before collecting specific data (static/dynamic/historical/structured/unstructured/hybrid) for the client, one must gather insights into the broader industry in which the client operates. This helps provide context for the client’s position in the market and informs the recommendations we make. </w:t>
      </w:r>
      <w:r>
        <w:rPr>
          <w:rFonts w:ascii="Segoe UI"/>
          <w:color w:val="000000"/>
          <w:sz w:val="18"/>
          <w:rtl w:val="off"/>
          <w:lang w:val="en-US"/>
        </w:rPr>
        <w:t>We also need a comprehensive list of data providers and digital services across sectors such as Real-time Information, Commerce, Public Services, Education &amp; Training, Entertainment, and more.</w:t>
      </w:r>
    </w:p>
    <w:p w14:paraId="0000003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3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4"/>
          <w:szCs w:val="24"/>
          <w:lang w:val="en-US"/>
        </w:rPr>
      </w:pPr>
      <w:r>
        <w:rPr>
          <w:rFonts w:ascii="Segoe UI"/>
          <w:b/>
          <w:color w:val="4f81bd" w:themeColor="accent1"/>
          <w:sz w:val="24"/>
          <w:szCs w:val="24"/>
          <w:rtl w:val="off"/>
          <w:lang w:val="en-US"/>
        </w:rPr>
        <w:t>Sources for Industry Data:</w:t>
      </w:r>
    </w:p>
    <w:p w14:paraId="0000003E">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Statista</w:t>
      </w:r>
      <w:r>
        <w:rPr>
          <w:rFonts w:ascii="Segoe UI"/>
          <w:color w:val="000000"/>
          <w:sz w:val="18"/>
          <w:rtl w:val="off"/>
          <w:lang w:val="en-US"/>
        </w:rPr>
        <w:t>: Provides access to statistics on over 60,000 topics across 170 industries, covering key metrics such as market trends, growth projections, and consumer behavior.</w:t>
      </w:r>
    </w:p>
    <w:p w14:paraId="0000003F">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"https://www.statista.com/" </w:instrText>
      </w:r>
      <w:r>
        <w:rPr>
          <w:rFonts w:ascii="Segoe UI"/>
          <w:color w:val="6d6d6d"/>
          <w:sz w:val="18"/>
          <w:u w:val="single"/>
          <w:rtl w:val="off"/>
          <w:lang w:val="en-US"/>
        </w:rPr>
        <w:fldChar w:fldCharType="separate"/>
      </w:r>
      <w:r>
        <w:rPr>
          <w:rFonts w:ascii="Segoe UI"/>
          <w:color w:val="6d6d6d"/>
          <w:sz w:val="18"/>
          <w:u w:val="single"/>
          <w:rtl w:val="off"/>
          <w:lang w:val="en-US"/>
        </w:rPr>
        <w:t>https://www.statista.com</w:t>
      </w:r>
      <w:r>
        <w:rPr>
          <w:rFonts w:ascii="Segoe UI"/>
          <w:color w:val="000000"/>
          <w:sz w:val="18"/>
          <w:lang w:val="en-US"/>
        </w:rPr>
        <w:fldChar w:fldCharType="end"/>
      </w:r>
    </w:p>
    <w:p w14:paraId="00000040">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IBISWorld</w:t>
      </w:r>
      <w:r>
        <w:rPr>
          <w:rFonts w:ascii="Segoe UI"/>
          <w:color w:val="000000"/>
          <w:sz w:val="18"/>
          <w:rtl w:val="off"/>
          <w:lang w:val="en-US"/>
        </w:rPr>
        <w:t>: Offers industry reports that include market research, statistics, and analysis on a wide range of industries. You can find data on industry performance, trends, and forecasts.</w:t>
      </w:r>
    </w:p>
    <w:p w14:paraId="00000041">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"https://www.ibisworld.com/" </w:instrText>
      </w:r>
      <w:r>
        <w:rPr>
          <w:rFonts w:ascii="Segoe UI"/>
          <w:color w:val="6d6d6d"/>
          <w:sz w:val="18"/>
          <w:u w:val="single"/>
          <w:rtl w:val="off"/>
          <w:lang w:val="en-US"/>
        </w:rPr>
        <w:fldChar w:fldCharType="separate"/>
      </w:r>
      <w:r>
        <w:rPr>
          <w:rFonts w:ascii="Segoe UI"/>
          <w:color w:val="6d6d6d"/>
          <w:sz w:val="18"/>
          <w:u w:val="single"/>
          <w:rtl w:val="off"/>
          <w:lang w:val="en-US"/>
        </w:rPr>
        <w:t>https://www.ibisworld.com</w:t>
      </w:r>
      <w:r>
        <w:rPr>
          <w:rFonts w:ascii="Segoe UI"/>
          <w:color w:val="000000"/>
          <w:sz w:val="18"/>
          <w:lang w:val="en-US"/>
        </w:rPr>
        <w:fldChar w:fldCharType="end"/>
      </w:r>
    </w:p>
    <w:p w14:paraId="00000042">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World Bank Data</w:t>
      </w:r>
      <w:r>
        <w:rPr>
          <w:rFonts w:ascii="Segoe UI"/>
          <w:color w:val="000000"/>
          <w:sz w:val="18"/>
          <w:rtl w:val="off"/>
          <w:lang w:val="en-US"/>
        </w:rPr>
        <w:t>: Offers global economic and development data, including industry-level statistics for different countries and regions. It can be especially useful for understanding economic indicators that may impact your client’s industry.</w:t>
      </w:r>
    </w:p>
    <w:p w14:paraId="00000043">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"https://data.worldbank.org/" </w:instrText>
      </w:r>
      <w:r>
        <w:rPr>
          <w:rFonts w:ascii="Segoe UI"/>
          <w:color w:val="6d6d6d"/>
          <w:sz w:val="18"/>
          <w:u w:val="single"/>
          <w:rtl w:val="off"/>
          <w:lang w:val="en-US"/>
        </w:rPr>
        <w:fldChar w:fldCharType="separate"/>
      </w:r>
      <w:r>
        <w:rPr>
          <w:rFonts w:ascii="Segoe UI"/>
          <w:color w:val="6d6d6d"/>
          <w:sz w:val="18"/>
          <w:u w:val="single"/>
          <w:rtl w:val="off"/>
          <w:lang w:val="en-US"/>
        </w:rPr>
        <w:t>https://data.worldbank.org</w:t>
      </w:r>
      <w:r>
        <w:rPr>
          <w:rFonts w:ascii="Segoe UI"/>
          <w:color w:val="000000"/>
          <w:sz w:val="18"/>
          <w:lang w:val="en-US"/>
        </w:rPr>
        <w:fldChar w:fldCharType="end"/>
      </w:r>
    </w:p>
    <w:p w14:paraId="00000044">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Eurostat</w:t>
      </w:r>
      <w:r>
        <w:rPr>
          <w:rFonts w:ascii="Segoe UI"/>
          <w:color w:val="000000"/>
          <w:sz w:val="18"/>
          <w:rtl w:val="off"/>
          <w:lang w:val="en-US"/>
        </w:rPr>
        <w:t>: The European Union’s statistical office offers data on a wide range of industries, including detailed reports and analysis.</w:t>
      </w:r>
    </w:p>
    <w:p w14:paraId="00000045">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"https://ec.europa.eu/eurostat" </w:instrText>
      </w:r>
      <w:r>
        <w:rPr>
          <w:rFonts w:ascii="Segoe UI"/>
          <w:color w:val="6d6d6d"/>
          <w:sz w:val="18"/>
          <w:u w:val="single"/>
          <w:rtl w:val="off"/>
          <w:lang w:val="en-US"/>
        </w:rPr>
        <w:fldChar w:fldCharType="separate"/>
      </w:r>
      <w:r>
        <w:rPr>
          <w:rFonts w:ascii="Segoe UI"/>
          <w:color w:val="6d6d6d"/>
          <w:sz w:val="18"/>
          <w:u w:val="single"/>
          <w:rtl w:val="off"/>
          <w:lang w:val="en-US"/>
        </w:rPr>
        <w:t>https://ec.europa.eu/eurostat</w:t>
      </w:r>
      <w:r>
        <w:rPr>
          <w:rFonts w:ascii="Segoe UI"/>
          <w:color w:val="000000"/>
          <w:sz w:val="18"/>
          <w:lang w:val="en-US"/>
        </w:rPr>
        <w:fldChar w:fldCharType="end"/>
      </w:r>
    </w:p>
    <w:p w14:paraId="0000004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32"/>
          <w:szCs w:val="32"/>
          <w:lang w:val="en-US"/>
        </w:rPr>
      </w:pPr>
      <w:r>
        <w:rPr>
          <w:rFonts w:ascii="Segoe UI"/>
          <w:b/>
          <w:bCs/>
          <w:color w:val="4f81bd" w:themeColor="accent1"/>
          <w:sz w:val="32"/>
          <w:szCs w:val="32"/>
          <w:rtl w:val="off"/>
          <w:lang w:val="en-US"/>
        </w:rPr>
        <w:t xml:space="preserve">2. </w:t>
      </w:r>
      <w:r>
        <w:rPr>
          <w:rFonts w:ascii="Segoe UI"/>
          <w:b/>
          <w:color w:val="4f81bd" w:themeColor="accent1"/>
          <w:sz w:val="32"/>
          <w:szCs w:val="32"/>
          <w:rtl w:val="off"/>
          <w:lang w:val="en-US"/>
        </w:rPr>
        <w:t>Client-Specific Business Data</w:t>
      </w:r>
    </w:p>
    <w:p w14:paraId="0000004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For a more tailored report, it's important to gather information directly related to the client's business, including financials, performance metrics, and strategic goals.</w:t>
      </w:r>
    </w:p>
    <w:p w14:paraId="0000004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4"/>
          <w:szCs w:val="24"/>
          <w:lang w:val="en-US"/>
        </w:rPr>
      </w:pPr>
      <w:r>
        <w:rPr>
          <w:rFonts w:ascii="Segoe UI"/>
          <w:b/>
          <w:color w:val="4f81bd" w:themeColor="accent1"/>
          <w:sz w:val="24"/>
          <w:szCs w:val="24"/>
          <w:rtl w:val="off"/>
          <w:lang w:val="en-US"/>
        </w:rPr>
        <w:t>Sources for Client Data:</w:t>
      </w:r>
    </w:p>
    <w:p w14:paraId="00000049">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Company Website</w:t>
      </w:r>
      <w:r>
        <w:rPr>
          <w:rFonts w:ascii="Segoe UI"/>
          <w:color w:val="000000"/>
          <w:sz w:val="18"/>
          <w:rtl w:val="off"/>
          <w:lang w:val="en-US"/>
        </w:rPr>
        <w:t>: The company's own website often has reports, press releases, and other details about its business operations, products, services, and market strategies.</w:t>
      </w:r>
    </w:p>
    <w:p w14:paraId="0000004A">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Annual Reports</w:t>
      </w:r>
      <w:r>
        <w:rPr>
          <w:rFonts w:ascii="Segoe UI"/>
          <w:color w:val="000000"/>
          <w:sz w:val="18"/>
          <w:rtl w:val="off"/>
          <w:lang w:val="en-US"/>
        </w:rPr>
        <w:t>: Most public companies publish annual reports containing financial statements, strategic objectives, and performance metrics.</w:t>
      </w:r>
    </w:p>
    <w:p w14:paraId="0000004B">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Investor Relations Pages</w:t>
      </w:r>
      <w:r>
        <w:rPr>
          <w:rFonts w:ascii="Segoe UI"/>
          <w:color w:val="000000"/>
          <w:sz w:val="18"/>
          <w:rtl w:val="off"/>
          <w:lang w:val="en-US"/>
        </w:rPr>
        <w:t>: For publicly traded companies, the investor relations section often includes quarterly earnings reports, SEC filings, and other business performance indicators.</w:t>
      </w:r>
    </w:p>
    <w:p w14:paraId="0000004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4"/>
          <w:szCs w:val="24"/>
          <w:lang w:val="en-US"/>
        </w:rPr>
      </w:pPr>
      <w:r>
        <w:rPr>
          <w:rFonts w:ascii="Segoe UI"/>
          <w:b/>
          <w:color w:val="4f81bd" w:themeColor="accent1"/>
          <w:sz w:val="24"/>
          <w:szCs w:val="24"/>
          <w:rtl w:val="off"/>
          <w:lang w:val="en-US"/>
        </w:rPr>
        <w:t>Third-party Data:</w:t>
      </w:r>
    </w:p>
    <w:p w14:paraId="0000004D">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Crunchbase</w:t>
      </w:r>
      <w:r>
        <w:rPr>
          <w:rFonts w:ascii="Segoe UI"/>
          <w:color w:val="000000"/>
          <w:sz w:val="18"/>
          <w:rtl w:val="off"/>
          <w:lang w:val="en-US"/>
        </w:rPr>
        <w:t>: A comprehensive directory of businesses, including details on funding rounds, key executives, and mergers/acquisitions.</w:t>
      </w:r>
    </w:p>
    <w:p w14:paraId="0000004E">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"https://www.crunchbase.com/" </w:instrText>
      </w:r>
      <w:r>
        <w:rPr>
          <w:rFonts w:ascii="Segoe UI"/>
          <w:color w:val="6d6d6d"/>
          <w:sz w:val="18"/>
          <w:u w:val="single"/>
          <w:rtl w:val="off"/>
          <w:lang w:val="en-US"/>
        </w:rPr>
        <w:fldChar w:fldCharType="separate"/>
      </w:r>
      <w:r>
        <w:rPr>
          <w:rFonts w:ascii="Segoe UI"/>
          <w:color w:val="6d6d6d"/>
          <w:sz w:val="18"/>
          <w:u w:val="single"/>
          <w:rtl w:val="off"/>
          <w:lang w:val="en-US"/>
        </w:rPr>
        <w:t>https://www.crunchbase.com</w:t>
      </w:r>
      <w:r>
        <w:rPr>
          <w:rFonts w:ascii="Segoe UI"/>
          <w:color w:val="000000"/>
          <w:sz w:val="18"/>
          <w:lang w:val="en-US"/>
        </w:rPr>
        <w:fldChar w:fldCharType="end"/>
      </w:r>
    </w:p>
    <w:p w14:paraId="0000004F">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Hoovers</w:t>
      </w:r>
      <w:r>
        <w:rPr>
          <w:rFonts w:ascii="Segoe UI"/>
          <w:color w:val="000000"/>
          <w:sz w:val="18"/>
          <w:rtl w:val="off"/>
          <w:lang w:val="en-US"/>
        </w:rPr>
        <w:t>: Offers detailed company profiles, including financials, industry classification, key executives, and market analysis.</w:t>
      </w:r>
    </w:p>
    <w:p w14:paraId="00000050">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"https://www.dnb.com/" </w:instrText>
      </w:r>
      <w:r>
        <w:rPr>
          <w:rFonts w:ascii="Segoe UI"/>
          <w:color w:val="6d6d6d"/>
          <w:sz w:val="18"/>
          <w:u w:val="single"/>
          <w:rtl w:val="off"/>
          <w:lang w:val="en-US"/>
        </w:rPr>
        <w:fldChar w:fldCharType="separate"/>
      </w:r>
      <w:r>
        <w:rPr>
          <w:rFonts w:ascii="Segoe UI"/>
          <w:color w:val="6d6d6d"/>
          <w:sz w:val="18"/>
          <w:u w:val="single"/>
          <w:rtl w:val="off"/>
          <w:lang w:val="en-US"/>
        </w:rPr>
        <w:t>https://www.dnb.com</w:t>
      </w:r>
      <w:r>
        <w:rPr>
          <w:rFonts w:ascii="Segoe UI"/>
          <w:color w:val="000000"/>
          <w:sz w:val="18"/>
          <w:lang w:val="en-US"/>
        </w:rPr>
        <w:fldChar w:fldCharType="end"/>
      </w:r>
    </w:p>
    <w:p w14:paraId="0000005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32"/>
          <w:szCs w:val="32"/>
          <w:lang w:val="en-US"/>
        </w:rPr>
      </w:pPr>
      <w:r>
        <w:rPr>
          <w:rFonts w:ascii="Segoe UI"/>
          <w:b/>
          <w:bCs/>
          <w:color w:val="4f81bd" w:themeColor="accent1"/>
          <w:sz w:val="32"/>
          <w:szCs w:val="32"/>
          <w:rtl w:val="off"/>
          <w:lang w:val="en-US"/>
        </w:rPr>
        <w:t xml:space="preserve">3. </w:t>
      </w:r>
      <w:r>
        <w:rPr>
          <w:rFonts w:ascii="Segoe UI"/>
          <w:b/>
          <w:color w:val="4f81bd" w:themeColor="accent1"/>
          <w:sz w:val="32"/>
          <w:szCs w:val="32"/>
          <w:rtl w:val="off"/>
          <w:lang w:val="en-US"/>
        </w:rPr>
        <w:t>Supply Chain Data</w:t>
      </w:r>
    </w:p>
    <w:p w14:paraId="0000005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Understanding the client's supply chain, including suppliers, logistics, and inventory management, is critical to providing a holistic report.</w:t>
      </w:r>
    </w:p>
    <w:p w14:paraId="0000005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4"/>
          <w:szCs w:val="24"/>
          <w:lang w:val="en-US"/>
        </w:rPr>
      </w:pPr>
      <w:r>
        <w:rPr>
          <w:rFonts w:ascii="Segoe UI"/>
          <w:b/>
          <w:color w:val="4f81bd" w:themeColor="accent1"/>
          <w:sz w:val="24"/>
          <w:szCs w:val="24"/>
          <w:rtl w:val="off"/>
          <w:lang w:val="en-US"/>
        </w:rPr>
        <w:t>Sources for Supply Chain Data:</w:t>
      </w:r>
    </w:p>
    <w:p w14:paraId="00000054">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ThomasNet</w:t>
      </w:r>
      <w:r>
        <w:rPr>
          <w:rFonts w:ascii="Segoe UI"/>
          <w:color w:val="000000"/>
          <w:sz w:val="18"/>
          <w:rtl w:val="off"/>
          <w:lang w:val="en-US"/>
        </w:rPr>
        <w:t>: A directory of suppliers and manufacturers, especially useful for finding suppliers in the U.S. and Canada.</w:t>
      </w:r>
    </w:p>
    <w:p w14:paraId="00000055">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"https://www.thomasnet.com/" </w:instrText>
      </w:r>
      <w:r>
        <w:rPr>
          <w:rFonts w:ascii="Segoe UI"/>
          <w:color w:val="6d6d6d"/>
          <w:sz w:val="18"/>
          <w:u w:val="single"/>
          <w:rtl w:val="off"/>
          <w:lang w:val="en-US"/>
        </w:rPr>
        <w:fldChar w:fldCharType="separate"/>
      </w:r>
      <w:r>
        <w:rPr>
          <w:rFonts w:ascii="Segoe UI"/>
          <w:color w:val="6d6d6d"/>
          <w:sz w:val="18"/>
          <w:u w:val="single"/>
          <w:rtl w:val="off"/>
          <w:lang w:val="en-US"/>
        </w:rPr>
        <w:t>https://www.thomasnet.com</w:t>
      </w:r>
      <w:r>
        <w:rPr>
          <w:rFonts w:ascii="Segoe UI"/>
          <w:color w:val="000000"/>
          <w:sz w:val="18"/>
          <w:lang w:val="en-US"/>
        </w:rPr>
        <w:fldChar w:fldCharType="end"/>
      </w:r>
    </w:p>
    <w:p w14:paraId="00000056">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Import Genius</w:t>
      </w:r>
      <w:r>
        <w:rPr>
          <w:rFonts w:ascii="Segoe UI"/>
          <w:color w:val="000000"/>
          <w:sz w:val="18"/>
          <w:rtl w:val="off"/>
          <w:lang w:val="en-US"/>
        </w:rPr>
        <w:t>: A resource for tracking shipping and supply chain data, including import/export data for businesses globally.</w:t>
      </w:r>
    </w:p>
    <w:p w14:paraId="00000057">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"https://www.importgenius.com/" </w:instrText>
      </w:r>
      <w:r>
        <w:rPr>
          <w:rFonts w:ascii="Segoe UI"/>
          <w:color w:val="6d6d6d"/>
          <w:sz w:val="18"/>
          <w:u w:val="single"/>
          <w:rtl w:val="off"/>
          <w:lang w:val="en-US"/>
        </w:rPr>
        <w:fldChar w:fldCharType="separate"/>
      </w:r>
      <w:r>
        <w:rPr>
          <w:rFonts w:ascii="Segoe UI"/>
          <w:color w:val="6d6d6d"/>
          <w:sz w:val="18"/>
          <w:u w:val="single"/>
          <w:rtl w:val="off"/>
          <w:lang w:val="en-US"/>
        </w:rPr>
        <w:t>https://www.importgenius.com</w:t>
      </w:r>
      <w:r>
        <w:rPr>
          <w:rFonts w:ascii="Segoe UI"/>
          <w:color w:val="000000"/>
          <w:sz w:val="18"/>
          <w:lang w:val="en-US"/>
        </w:rPr>
        <w:fldChar w:fldCharType="end"/>
      </w:r>
    </w:p>
    <w:p w14:paraId="00000058">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Panjiva</w:t>
      </w:r>
      <w:r>
        <w:rPr>
          <w:rFonts w:ascii="Segoe UI"/>
          <w:color w:val="000000"/>
          <w:sz w:val="18"/>
          <w:rtl w:val="off"/>
          <w:lang w:val="en-US"/>
        </w:rPr>
        <w:t>: Offers supply chain data, focusing on international trade and supplier information.</w:t>
      </w:r>
    </w:p>
    <w:p w14:paraId="00000059">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"https://panjiva.com/" </w:instrText>
      </w:r>
      <w:r>
        <w:rPr>
          <w:rFonts w:ascii="Segoe UI"/>
          <w:color w:val="6d6d6d"/>
          <w:sz w:val="18"/>
          <w:u w:val="single"/>
          <w:rtl w:val="off"/>
          <w:lang w:val="en-US"/>
        </w:rPr>
        <w:fldChar w:fldCharType="separate"/>
      </w:r>
      <w:r>
        <w:rPr>
          <w:rFonts w:ascii="Segoe UI"/>
          <w:color w:val="6d6d6d"/>
          <w:sz w:val="18"/>
          <w:u w:val="single"/>
          <w:rtl w:val="off"/>
          <w:lang w:val="en-US"/>
        </w:rPr>
        <w:t>https://panjiva.com</w:t>
      </w:r>
      <w:r>
        <w:rPr>
          <w:rFonts w:ascii="Segoe UI"/>
          <w:color w:val="000000"/>
          <w:sz w:val="18"/>
          <w:lang w:val="en-US"/>
        </w:rPr>
        <w:fldChar w:fldCharType="end"/>
      </w:r>
    </w:p>
    <w:p w14:paraId="0000005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32"/>
          <w:szCs w:val="32"/>
          <w:lang w:val="en-US"/>
        </w:rPr>
      </w:pPr>
      <w:r>
        <w:rPr>
          <w:rFonts w:ascii="Segoe UI"/>
          <w:b/>
          <w:bCs/>
          <w:color w:val="4f81bd" w:themeColor="accent1"/>
          <w:sz w:val="32"/>
          <w:szCs w:val="32"/>
          <w:rtl w:val="off"/>
          <w:lang w:val="en-US"/>
        </w:rPr>
        <w:t>4.</w:t>
      </w:r>
      <w:r>
        <w:rPr>
          <w:rFonts w:ascii="Segoe UI"/>
          <w:color w:val="4f81bd" w:themeColor="accent1"/>
          <w:sz w:val="32"/>
          <w:szCs w:val="32"/>
          <w:rtl w:val="off"/>
          <w:lang w:val="en-US"/>
        </w:rPr>
        <w:t xml:space="preserve"> </w:t>
      </w:r>
      <w:r>
        <w:rPr>
          <w:rFonts w:ascii="Segoe UI"/>
          <w:b/>
          <w:color w:val="4f81bd" w:themeColor="accent1"/>
          <w:sz w:val="32"/>
          <w:szCs w:val="32"/>
          <w:rtl w:val="off"/>
          <w:lang w:val="en-US"/>
        </w:rPr>
        <w:t>Economic and Market Data</w:t>
      </w:r>
    </w:p>
    <w:p w14:paraId="0000005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For broader economic and market context, one can gather data from government and non-government sources that track economic indicators, industry performance, and consumer behavior.</w:t>
      </w:r>
    </w:p>
    <w:p w14:paraId="0000005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4"/>
          <w:szCs w:val="24"/>
          <w:lang w:val="en-US"/>
        </w:rPr>
      </w:pPr>
      <w:r>
        <w:rPr>
          <w:rFonts w:ascii="Segoe UI"/>
          <w:b/>
          <w:color w:val="4f81bd" w:themeColor="accent1"/>
          <w:sz w:val="24"/>
          <w:szCs w:val="24"/>
          <w:rtl w:val="off"/>
          <w:lang w:val="en-US"/>
        </w:rPr>
        <w:t>Sources for Economic and Market Data:</w:t>
      </w:r>
    </w:p>
    <w:p w14:paraId="0000005D">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Trading Economics</w:t>
      </w:r>
      <w:r>
        <w:rPr>
          <w:rFonts w:ascii="Segoe UI"/>
          <w:color w:val="000000"/>
          <w:sz w:val="18"/>
          <w:rtl w:val="off"/>
          <w:lang w:val="en-US"/>
        </w:rPr>
        <w:t>: Provides macroeconomic data for countries, including GDP growth rates, inflation, unemployment, and other economic indicators.</w:t>
      </w:r>
    </w:p>
    <w:p w14:paraId="0000005E">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"https://tradingeconomics.com/" </w:instrText>
      </w:r>
      <w:r>
        <w:rPr>
          <w:rFonts w:ascii="Segoe UI"/>
          <w:color w:val="6d6d6d"/>
          <w:sz w:val="18"/>
          <w:u w:val="single"/>
          <w:rtl w:val="off"/>
          <w:lang w:val="en-US"/>
        </w:rPr>
        <w:fldChar w:fldCharType="separate"/>
      </w:r>
      <w:r>
        <w:rPr>
          <w:rFonts w:ascii="Segoe UI"/>
          <w:color w:val="6d6d6d"/>
          <w:sz w:val="18"/>
          <w:u w:val="single"/>
          <w:rtl w:val="off"/>
          <w:lang w:val="en-US"/>
        </w:rPr>
        <w:t>https://tradingeconomics.com</w:t>
      </w:r>
      <w:r>
        <w:rPr>
          <w:rFonts w:ascii="Segoe UI"/>
          <w:color w:val="000000"/>
          <w:sz w:val="18"/>
          <w:lang w:val="en-US"/>
        </w:rPr>
        <w:fldChar w:fldCharType="end"/>
      </w:r>
    </w:p>
    <w:p w14:paraId="0000005F">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Bureau of Economic Analysis (BEA)</w:t>
      </w:r>
      <w:r>
        <w:rPr>
          <w:rFonts w:ascii="Segoe UI"/>
          <w:color w:val="000000"/>
          <w:sz w:val="18"/>
          <w:rtl w:val="off"/>
          <w:lang w:val="en-US"/>
        </w:rPr>
        <w:t>: A source of U.S. economic data, including GDP, personal income and outlays, and economic projections.</w:t>
      </w:r>
    </w:p>
    <w:p w14:paraId="00000060">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"https://www.bea.gov/" </w:instrText>
      </w:r>
      <w:r>
        <w:rPr>
          <w:rFonts w:ascii="Segoe UI"/>
          <w:color w:val="6d6d6d"/>
          <w:sz w:val="18"/>
          <w:u w:val="single"/>
          <w:rtl w:val="off"/>
          <w:lang w:val="en-US"/>
        </w:rPr>
        <w:fldChar w:fldCharType="separate"/>
      </w:r>
      <w:r>
        <w:rPr>
          <w:rFonts w:ascii="Segoe UI"/>
          <w:color w:val="6d6d6d"/>
          <w:sz w:val="18"/>
          <w:u w:val="single"/>
          <w:rtl w:val="off"/>
          <w:lang w:val="en-US"/>
        </w:rPr>
        <w:t>https://www.bea.gov</w:t>
      </w:r>
      <w:r>
        <w:rPr>
          <w:rFonts w:ascii="Segoe UI"/>
          <w:color w:val="000000"/>
          <w:sz w:val="18"/>
          <w:lang w:val="en-US"/>
        </w:rPr>
        <w:fldChar w:fldCharType="end"/>
      </w:r>
    </w:p>
    <w:p w14:paraId="00000061">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U.S. Census Bureau</w:t>
      </w:r>
      <w:r>
        <w:rPr>
          <w:rFonts w:ascii="Segoe UI"/>
          <w:color w:val="000000"/>
          <w:sz w:val="18"/>
          <w:rtl w:val="off"/>
          <w:lang w:val="en-US"/>
        </w:rPr>
        <w:t>: Offers detailed demographic, economic, and geographic data for the United States, which can be useful in understanding market size and consumer behavior.</w:t>
      </w:r>
    </w:p>
    <w:p w14:paraId="00000062">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"https://www.census.gov/" </w:instrText>
      </w:r>
      <w:r>
        <w:rPr>
          <w:rFonts w:ascii="Segoe UI"/>
          <w:color w:val="6d6d6d"/>
          <w:sz w:val="18"/>
          <w:u w:val="single"/>
          <w:rtl w:val="off"/>
          <w:lang w:val="en-US"/>
        </w:rPr>
        <w:fldChar w:fldCharType="separate"/>
      </w:r>
      <w:r>
        <w:rPr>
          <w:rFonts w:ascii="Segoe UI"/>
          <w:color w:val="6d6d6d"/>
          <w:sz w:val="18"/>
          <w:u w:val="single"/>
          <w:rtl w:val="off"/>
          <w:lang w:val="en-US"/>
        </w:rPr>
        <w:t>https://www.census.gov</w:t>
      </w:r>
      <w:r>
        <w:rPr>
          <w:rFonts w:ascii="Segoe UI"/>
          <w:color w:val="000000"/>
          <w:sz w:val="18"/>
          <w:lang w:val="en-US"/>
        </w:rPr>
        <w:fldChar w:fldCharType="end"/>
      </w:r>
    </w:p>
    <w:p w14:paraId="00000063">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OECD (Organisation for Economic Co-operation and Development)</w:t>
      </w:r>
      <w:r>
        <w:rPr>
          <w:rFonts w:ascii="Segoe UI"/>
          <w:color w:val="000000"/>
          <w:sz w:val="18"/>
          <w:rtl w:val="off"/>
          <w:lang w:val="en-US"/>
        </w:rPr>
        <w:t>: Provides economic reports, forecasts, and analysis on a range of topics relevant to multiple industries.</w:t>
      </w:r>
    </w:p>
    <w:p w14:paraId="00000064">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"https://www.oecd.org/" </w:instrText>
      </w:r>
      <w:r>
        <w:rPr>
          <w:rFonts w:ascii="Segoe UI"/>
          <w:color w:val="6d6d6d"/>
          <w:sz w:val="18"/>
          <w:u w:val="single"/>
          <w:rtl w:val="off"/>
          <w:lang w:val="en-US"/>
        </w:rPr>
        <w:fldChar w:fldCharType="separate"/>
      </w:r>
      <w:r>
        <w:rPr>
          <w:rFonts w:ascii="Segoe UI"/>
          <w:color w:val="6d6d6d"/>
          <w:sz w:val="18"/>
          <w:u w:val="single"/>
          <w:rtl w:val="off"/>
          <w:lang w:val="en-US"/>
        </w:rPr>
        <w:t>https://www.oecd.org</w:t>
      </w:r>
      <w:r>
        <w:rPr>
          <w:rFonts w:ascii="Segoe UI"/>
          <w:color w:val="000000"/>
          <w:sz w:val="18"/>
          <w:lang w:val="en-US"/>
        </w:rPr>
        <w:fldChar w:fldCharType="end"/>
      </w:r>
    </w:p>
    <w:p w14:paraId="0000006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b/>
          <w:bCs/>
          <w:color w:val="4f81bd" w:themeColor="accent1"/>
          <w:sz w:val="32"/>
          <w:szCs w:val="32"/>
          <w:rtl w:val="off"/>
          <w:lang w:val="en-US"/>
        </w:rPr>
        <w:t xml:space="preserve">5. </w:t>
      </w:r>
      <w:r>
        <w:rPr>
          <w:rFonts w:ascii="Segoe UI"/>
          <w:b/>
          <w:color w:val="4f81bd" w:themeColor="accent1"/>
          <w:sz w:val="32"/>
          <w:szCs w:val="32"/>
          <w:rtl w:val="off"/>
          <w:lang w:val="en-US"/>
        </w:rPr>
        <w:t>Consumer Behavior and Public Opinion</w:t>
      </w:r>
    </w:p>
    <w:p w14:paraId="0000006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Data on consumer preferences, buying habits, and public opinion can be valuable when making recommendations for investments or strategic shifts.</w:t>
      </w:r>
    </w:p>
    <w:p w14:paraId="0000006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4"/>
          <w:szCs w:val="24"/>
          <w:lang w:val="en-US"/>
        </w:rPr>
      </w:pPr>
      <w:r>
        <w:rPr>
          <w:rFonts w:ascii="Segoe UI"/>
          <w:b/>
          <w:color w:val="4f81bd" w:themeColor="accent1"/>
          <w:sz w:val="24"/>
          <w:szCs w:val="24"/>
          <w:rtl w:val="off"/>
          <w:lang w:val="en-US"/>
        </w:rPr>
        <w:t>Sources for Consumer Data:</w:t>
      </w:r>
    </w:p>
    <w:p w14:paraId="00000068">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Pew Research Center</w:t>
      </w:r>
      <w:r>
        <w:rPr>
          <w:rFonts w:ascii="Segoe UI"/>
          <w:color w:val="000000"/>
          <w:sz w:val="18"/>
          <w:rtl w:val="off"/>
          <w:lang w:val="en-US"/>
        </w:rPr>
        <w:t>: Provides data on social trends, demographics, and public opinion across a variety of topics.</w:t>
      </w:r>
    </w:p>
    <w:p w14:paraId="00000069">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"https://www.pewresearch.org/" </w:instrText>
      </w:r>
      <w:r>
        <w:rPr>
          <w:rFonts w:ascii="Segoe UI"/>
          <w:color w:val="6d6d6d"/>
          <w:sz w:val="18"/>
          <w:u w:val="single"/>
          <w:rtl w:val="off"/>
          <w:lang w:val="en-US"/>
        </w:rPr>
        <w:fldChar w:fldCharType="separate"/>
      </w:r>
      <w:r>
        <w:rPr>
          <w:rFonts w:ascii="Segoe UI"/>
          <w:color w:val="6d6d6d"/>
          <w:sz w:val="18"/>
          <w:u w:val="single"/>
          <w:rtl w:val="off"/>
          <w:lang w:val="en-US"/>
        </w:rPr>
        <w:t>https://www.pewresearch.org</w:t>
      </w:r>
      <w:r>
        <w:rPr>
          <w:rFonts w:ascii="Segoe UI"/>
          <w:color w:val="000000"/>
          <w:sz w:val="18"/>
          <w:lang w:val="en-US"/>
        </w:rPr>
        <w:fldChar w:fldCharType="end"/>
      </w:r>
    </w:p>
    <w:p w14:paraId="0000006A">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Nielsen</w:t>
      </w:r>
      <w:r>
        <w:rPr>
          <w:rFonts w:ascii="Segoe UI"/>
          <w:color w:val="000000"/>
          <w:sz w:val="18"/>
          <w:rtl w:val="off"/>
          <w:lang w:val="en-US"/>
        </w:rPr>
        <w:t>: Offers insights into consumer behavior, market trends, and media consumption across different industries.</w:t>
      </w:r>
    </w:p>
    <w:p w14:paraId="0000006B">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"https://www.nielsen.com/" </w:instrText>
      </w:r>
      <w:r>
        <w:rPr>
          <w:rFonts w:ascii="Segoe UI"/>
          <w:color w:val="6d6d6d"/>
          <w:sz w:val="18"/>
          <w:u w:val="single"/>
          <w:rtl w:val="off"/>
          <w:lang w:val="en-US"/>
        </w:rPr>
        <w:fldChar w:fldCharType="separate"/>
      </w:r>
      <w:r>
        <w:rPr>
          <w:rFonts w:ascii="Segoe UI"/>
          <w:color w:val="6d6d6d"/>
          <w:sz w:val="18"/>
          <w:u w:val="single"/>
          <w:rtl w:val="off"/>
          <w:lang w:val="en-US"/>
        </w:rPr>
        <w:t>https://www.nielsen.com</w:t>
      </w:r>
      <w:r>
        <w:rPr>
          <w:rFonts w:ascii="Segoe UI"/>
          <w:color w:val="000000"/>
          <w:sz w:val="18"/>
          <w:lang w:val="en-US"/>
        </w:rPr>
        <w:fldChar w:fldCharType="end"/>
      </w:r>
    </w:p>
    <w:p w14:paraId="0000006C">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Google Trends</w:t>
      </w:r>
      <w:r>
        <w:rPr>
          <w:rFonts w:ascii="Segoe UI"/>
          <w:color w:val="000000"/>
          <w:sz w:val="18"/>
          <w:rtl w:val="off"/>
          <w:lang w:val="en-US"/>
        </w:rPr>
        <w:t>: A free tool that allows you to track the popularity of search queries over time, providing insights into consumer interests and trends.</w:t>
      </w:r>
    </w:p>
    <w:p w14:paraId="0000006D">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"https://trends.google.com/" </w:instrText>
      </w:r>
      <w:r>
        <w:rPr>
          <w:rFonts w:ascii="Segoe UI"/>
          <w:color w:val="6d6d6d"/>
          <w:sz w:val="18"/>
          <w:u w:val="single"/>
          <w:rtl w:val="off"/>
          <w:lang w:val="en-US"/>
        </w:rPr>
        <w:fldChar w:fldCharType="separate"/>
      </w:r>
      <w:r>
        <w:rPr>
          <w:rFonts w:ascii="Segoe UI"/>
          <w:color w:val="6d6d6d"/>
          <w:sz w:val="18"/>
          <w:u w:val="single"/>
          <w:rtl w:val="off"/>
          <w:lang w:val="en-US"/>
        </w:rPr>
        <w:t>https://trends.google.com</w:t>
      </w:r>
      <w:r>
        <w:rPr>
          <w:rFonts w:ascii="Segoe UI"/>
          <w:color w:val="000000"/>
          <w:sz w:val="18"/>
          <w:lang w:val="en-US"/>
        </w:rPr>
        <w:fldChar w:fldCharType="end"/>
      </w:r>
    </w:p>
    <w:p w14:paraId="0000006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32"/>
          <w:szCs w:val="32"/>
          <w:lang w:val="en-US"/>
        </w:rPr>
      </w:pPr>
      <w:r>
        <w:rPr>
          <w:rFonts w:ascii="Segoe UI"/>
          <w:color w:val="4f81bd" w:themeColor="accent1"/>
          <w:sz w:val="32"/>
          <w:szCs w:val="32"/>
          <w:rtl w:val="off"/>
          <w:lang w:val="en-US"/>
        </w:rPr>
        <w:t xml:space="preserve">6. </w:t>
      </w:r>
      <w:r>
        <w:rPr>
          <w:rFonts w:ascii="Segoe UI"/>
          <w:b/>
          <w:color w:val="4f81bd" w:themeColor="accent1"/>
          <w:sz w:val="32"/>
          <w:szCs w:val="32"/>
          <w:rtl w:val="off"/>
          <w:lang w:val="en-US"/>
        </w:rPr>
        <w:t>Geospatial and Location-Based Data</w:t>
      </w:r>
    </w:p>
    <w:p w14:paraId="0000006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If the report requires geospatial data, such as location analytics or regional market conditions, there are several resources that provide such data.</w:t>
      </w:r>
    </w:p>
    <w:p w14:paraId="0000007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4"/>
          <w:szCs w:val="24"/>
          <w:lang w:val="en-US"/>
        </w:rPr>
      </w:pPr>
      <w:r>
        <w:rPr>
          <w:rFonts w:ascii="Segoe UI"/>
          <w:b/>
          <w:color w:val="4f81bd" w:themeColor="accent1"/>
          <w:sz w:val="24"/>
          <w:szCs w:val="24"/>
          <w:rtl w:val="off"/>
          <w:lang w:val="en-US"/>
        </w:rPr>
        <w:t>Sources for Geospatial Data:</w:t>
      </w:r>
    </w:p>
    <w:p w14:paraId="00000071">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OpenStreetMap</w:t>
      </w:r>
      <w:r>
        <w:rPr>
          <w:rFonts w:ascii="Segoe UI"/>
          <w:color w:val="000000"/>
          <w:sz w:val="18"/>
          <w:rtl w:val="off"/>
          <w:lang w:val="en-US"/>
        </w:rPr>
        <w:t>: A free, open-source mapping platform that offers geographical and location-based data.</w:t>
      </w:r>
    </w:p>
    <w:p w14:paraId="00000072">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"https://www.openstreetmap.org/" </w:instrText>
      </w:r>
      <w:r>
        <w:rPr>
          <w:rFonts w:ascii="Segoe UI"/>
          <w:color w:val="6d6d6d"/>
          <w:sz w:val="18"/>
          <w:u w:val="single"/>
          <w:rtl w:val="off"/>
          <w:lang w:val="en-US"/>
        </w:rPr>
        <w:fldChar w:fldCharType="separate"/>
      </w:r>
      <w:r>
        <w:rPr>
          <w:rFonts w:ascii="Segoe UI"/>
          <w:color w:val="6d6d6d"/>
          <w:sz w:val="18"/>
          <w:u w:val="single"/>
          <w:rtl w:val="off"/>
          <w:lang w:val="en-US"/>
        </w:rPr>
        <w:t>https://www.openstreetmap.org</w:t>
      </w:r>
      <w:r>
        <w:rPr>
          <w:rFonts w:ascii="Segoe UI"/>
          <w:color w:val="000000"/>
          <w:sz w:val="18"/>
          <w:lang w:val="en-US"/>
        </w:rPr>
        <w:fldChar w:fldCharType="end"/>
      </w:r>
    </w:p>
    <w:p w14:paraId="00000073">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USGS (United States Geological Survey)</w:t>
      </w:r>
      <w:r>
        <w:rPr>
          <w:rFonts w:ascii="Segoe UI"/>
          <w:color w:val="000000"/>
          <w:sz w:val="18"/>
          <w:rtl w:val="off"/>
          <w:lang w:val="en-US"/>
        </w:rPr>
        <w:t>: Provides data on natural resources, topography, and geographic features in the U.S. and globally.</w:t>
      </w:r>
    </w:p>
    <w:p w14:paraId="00000074">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"https://www.usgs.gov/" </w:instrText>
      </w:r>
      <w:r>
        <w:rPr>
          <w:rFonts w:ascii="Segoe UI"/>
          <w:color w:val="6d6d6d"/>
          <w:sz w:val="18"/>
          <w:u w:val="single"/>
          <w:rtl w:val="off"/>
          <w:lang w:val="en-US"/>
        </w:rPr>
        <w:fldChar w:fldCharType="separate"/>
      </w:r>
      <w:r>
        <w:rPr>
          <w:rFonts w:ascii="Segoe UI"/>
          <w:color w:val="6d6d6d"/>
          <w:sz w:val="18"/>
          <w:u w:val="single"/>
          <w:rtl w:val="off"/>
          <w:lang w:val="en-US"/>
        </w:rPr>
        <w:t>https://www.usgs.gov</w:t>
      </w:r>
      <w:r>
        <w:rPr>
          <w:rFonts w:ascii="Segoe UI"/>
          <w:color w:val="000000"/>
          <w:sz w:val="18"/>
          <w:lang w:val="en-US"/>
        </w:rPr>
        <w:fldChar w:fldCharType="end"/>
      </w:r>
    </w:p>
    <w:p w14:paraId="00000075">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Google Maps API</w:t>
      </w:r>
      <w:r>
        <w:rPr>
          <w:rFonts w:ascii="Segoe UI"/>
          <w:color w:val="000000"/>
          <w:sz w:val="18"/>
          <w:rtl w:val="off"/>
          <w:lang w:val="en-US"/>
        </w:rPr>
        <w:t>: Allows integration of location and map-based data for applications.</w:t>
      </w:r>
    </w:p>
    <w:p w14:paraId="00000076">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"https://developers.google.com/maps" </w:instrText>
      </w:r>
      <w:r>
        <w:rPr>
          <w:rFonts w:ascii="Segoe UI"/>
          <w:color w:val="6d6d6d"/>
          <w:sz w:val="18"/>
          <w:u w:val="single"/>
          <w:rtl w:val="off"/>
          <w:lang w:val="en-US"/>
        </w:rPr>
        <w:fldChar w:fldCharType="separate"/>
      </w:r>
      <w:r>
        <w:rPr>
          <w:rFonts w:ascii="Segoe UI"/>
          <w:color w:val="6d6d6d"/>
          <w:sz w:val="18"/>
          <w:u w:val="single"/>
          <w:rtl w:val="off"/>
          <w:lang w:val="en-US"/>
        </w:rPr>
        <w:t>https://developers.google.com/maps</w:t>
      </w:r>
      <w:r>
        <w:rPr>
          <w:rFonts w:ascii="Segoe UI"/>
          <w:color w:val="000000"/>
          <w:sz w:val="18"/>
          <w:lang w:val="en-US"/>
        </w:rPr>
        <w:fldChar w:fldCharType="end"/>
      </w:r>
    </w:p>
    <w:p w14:paraId="0000007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bCs/>
          <w:color w:val="4f81bd" w:themeColor="accent1"/>
          <w:sz w:val="32"/>
          <w:szCs w:val="32"/>
          <w:rtl w:val="off"/>
          <w:lang w:val="en-US"/>
        </w:rPr>
        <w:t>7.</w:t>
      </w:r>
      <w:r>
        <w:rPr>
          <w:rFonts w:ascii="Segoe UI"/>
          <w:color w:val="4f81bd" w:themeColor="accent1"/>
          <w:sz w:val="32"/>
          <w:szCs w:val="32"/>
          <w:rtl w:val="off"/>
          <w:lang w:val="en-US"/>
        </w:rPr>
        <w:t xml:space="preserve"> </w:t>
      </w:r>
      <w:r>
        <w:rPr>
          <w:rFonts w:ascii="Segoe UI"/>
          <w:b/>
          <w:bCs/>
          <w:color w:val="4f81bd" w:themeColor="accent1"/>
          <w:sz w:val="28"/>
          <w:szCs w:val="28"/>
          <w:rtl w:val="off"/>
          <w:lang w:val="en-US"/>
        </w:rPr>
        <w:t>Publicly available datasets</w:t>
      </w:r>
    </w:p>
    <w:p w14:paraId="00000078">
      <w:pPr>
        <w:framePr w:w="0" w:h="0" w:vAnchor="margin" w:hAnchor="text" w:x="0" w:y="0"/>
        <w:numPr>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b/>
          <w:bCs/>
          <w:color w:val="000000"/>
          <w:sz w:val="18"/>
          <w:lang w:val="en-US"/>
        </w:rPr>
      </w:pPr>
      <w:r>
        <w:rPr>
          <w:rFonts w:ascii="Segoe UI"/>
          <w:b/>
          <w:bCs/>
          <w:color w:val="000000"/>
          <w:sz w:val="18"/>
          <w:rtl w:val="off"/>
          <w:lang w:val="en-US"/>
        </w:rPr>
        <w:t xml:space="preserve">Government and official websites </w:t>
      </w:r>
    </w:p>
    <w:p w14:paraId="00000079">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left"/>
        <w:rPr>
          <w:rFonts w:ascii="Arial"/>
          <w:color w:val="ac1f1f"/>
          <w:sz w:val="18"/>
          <w:szCs w:val="18"/>
        </w:rPr>
      </w:pPr>
      <w:r>
        <w:rPr>
          <w:rFonts w:ascii="Segoe UI"/>
          <w:b/>
          <w:bCs/>
          <w:color w:val="000000"/>
          <w:sz w:val="18"/>
          <w:rtl w:val="off"/>
          <w:lang w:val="en-US"/>
        </w:rPr>
        <w:tab/>
        <w:t xml:space="preserve">DEFRA: </w:t>
      </w:r>
      <w:r>
        <w:rPr>
          <w:rFonts w:ascii="Arial"/>
          <w:color w:val="4f81bd" w:themeColor="accent1"/>
          <w:sz w:val="18"/>
          <w:szCs w:val="18"/>
        </w:rPr>
        <w:t>https://www.gov.uk/government/organisations/department</w:t>
      </w:r>
      <w:r>
        <w:rPr>
          <w:rFonts w:ascii="Arial"/>
          <w:color w:val="4f81bd" w:themeColor="accent1"/>
          <w:sz w:val="18"/>
          <w:szCs w:val="18"/>
        </w:rPr>
        <w:t>-</w:t>
      </w:r>
      <w:r>
        <w:rPr>
          <w:rFonts w:ascii="Arial"/>
          <w:color w:val="4f81bd" w:themeColor="accent1"/>
          <w:sz w:val="18"/>
          <w:szCs w:val="18"/>
        </w:rPr>
        <w:t>for</w:t>
      </w:r>
      <w:r>
        <w:rPr>
          <w:rFonts w:ascii="Arial"/>
          <w:color w:val="4f81bd" w:themeColor="accent1"/>
          <w:sz w:val="18"/>
          <w:szCs w:val="18"/>
        </w:rPr>
        <w:t>-</w:t>
      </w:r>
      <w:r>
        <w:rPr>
          <w:rFonts w:ascii="Arial"/>
          <w:color w:val="4f81bd" w:themeColor="accent1"/>
          <w:sz w:val="18"/>
          <w:szCs w:val="18"/>
        </w:rPr>
        <w:t>environment</w:t>
      </w:r>
      <w:r>
        <w:rPr>
          <w:rFonts w:ascii="Arial"/>
          <w:color w:val="4f81bd" w:themeColor="accent1"/>
          <w:sz w:val="18"/>
          <w:szCs w:val="18"/>
        </w:rPr>
        <w:t>-</w:t>
      </w:r>
      <w:r>
        <w:rPr>
          <w:rFonts w:ascii="Arial"/>
          <w:color w:val="4f81bd" w:themeColor="accent1"/>
          <w:sz w:val="18"/>
          <w:szCs w:val="18"/>
        </w:rPr>
        <w:t>food</w:t>
      </w:r>
      <w:r>
        <w:rPr>
          <w:rFonts w:ascii="Arial"/>
          <w:color w:val="4f81bd" w:themeColor="accent1"/>
          <w:sz w:val="18"/>
          <w:szCs w:val="18"/>
        </w:rPr>
        <w:t>-</w:t>
      </w:r>
      <w:r>
        <w:rPr>
          <w:rFonts w:ascii="Arial"/>
          <w:color w:val="4f81bd" w:themeColor="accent1"/>
          <w:sz w:val="18"/>
          <w:szCs w:val="18"/>
        </w:rPr>
        <w:t>rural</w:t>
      </w:r>
      <w:r>
        <w:rPr>
          <w:rFonts w:ascii="Arial"/>
          <w:color w:val="4f81bd" w:themeColor="accent1"/>
          <w:sz w:val="18"/>
          <w:szCs w:val="18"/>
        </w:rPr>
        <w:t>-</w:t>
      </w:r>
      <w:r>
        <w:rPr>
          <w:rFonts w:ascii="Arial"/>
          <w:color w:val="4f81bd" w:themeColor="accent1"/>
          <w:sz w:val="18"/>
          <w:szCs w:val="18"/>
        </w:rPr>
        <w:t>affairs</w:t>
      </w:r>
    </w:p>
    <w:p w14:paraId="0000007A">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right="0"/>
        <w:jc w:val="left"/>
        <w:rPr>
          <w:rFonts w:ascii="Segoe UI"/>
          <w:color w:val="000000"/>
          <w:sz w:val="18"/>
          <w:lang w:val="en-US"/>
        </w:rPr>
      </w:pPr>
      <w:r>
        <w:rPr>
          <w:rFonts w:ascii="Segoe UI"/>
          <w:b/>
          <w:bCs/>
          <w:color w:val="000000"/>
          <w:sz w:val="18"/>
          <w:rtl w:val="off"/>
          <w:lang w:val="en-US"/>
        </w:rPr>
        <w:t xml:space="preserve">               Office for National Statistics (ONS):</w:t>
      </w:r>
      <w:r>
        <w:rPr>
          <w:rFonts w:ascii="Segoe UI"/>
          <w:color w:val="000000"/>
          <w:sz w:val="18"/>
          <w:rtl w:val="off"/>
          <w:lang w:val="en-US"/>
        </w:rPr>
        <w:t xml:space="preserve">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"https://www.ons.gov.uk/" </w:instrText>
      </w:r>
      <w:r>
        <w:rPr>
          <w:rFonts w:ascii="Segoe UI"/>
          <w:color w:val="6d6d6d"/>
          <w:sz w:val="18"/>
          <w:u w:val="single"/>
          <w:rtl w:val="off"/>
          <w:lang w:val="en-US"/>
        </w:rPr>
        <w:fldChar w:fldCharType="separate"/>
      </w:r>
      <w:r>
        <w:rPr>
          <w:rFonts w:ascii="Segoe UI"/>
          <w:color w:val="6d6d6d"/>
          <w:sz w:val="18"/>
          <w:u w:val="single"/>
          <w:rtl w:val="off"/>
          <w:lang w:val="en-US"/>
        </w:rPr>
        <w:t>https://www.ons.gov.uk/</w:t>
      </w:r>
      <w:r>
        <w:rPr>
          <w:rFonts w:ascii="Segoe UI"/>
          <w:color w:val="000000"/>
          <w:sz w:val="18"/>
          <w:lang w:val="en-US"/>
        </w:rPr>
        <w:fldChar w:fldCharType="end"/>
      </w:r>
    </w:p>
    <w:p w14:paraId="0000007B">
      <w:pPr>
        <w:framePr w:w="0" w:h="0" w:vAnchor="margin" w:hAnchor="text" w:x="0" w:y="0"/>
        <w:numPr>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bCs/>
          <w:color w:val="000000"/>
          <w:sz w:val="18"/>
          <w:rtl w:val="off"/>
          <w:lang w:val="en-US"/>
        </w:rPr>
        <w:t>United Nations:</w:t>
      </w:r>
      <w:r>
        <w:rPr>
          <w:rFonts w:ascii="Segoe UI"/>
          <w:color w:val="000000"/>
          <w:sz w:val="18"/>
          <w:rtl w:val="off"/>
          <w:lang w:val="en-US"/>
        </w:rPr>
        <w:t xml:space="preserve">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"https://www.un.org/en/global-issues/population" </w:instrText>
      </w:r>
      <w:r>
        <w:rPr>
          <w:rFonts w:ascii="Segoe UI"/>
          <w:color w:val="6d6d6d"/>
          <w:sz w:val="18"/>
          <w:u w:val="single"/>
          <w:rtl w:val="off"/>
          <w:lang w:val="en-US"/>
        </w:rPr>
        <w:fldChar w:fldCharType="separate"/>
      </w:r>
      <w:r>
        <w:rPr>
          <w:rFonts w:ascii="Segoe UI"/>
          <w:color w:val="6d6d6d"/>
          <w:sz w:val="18"/>
          <w:u w:val="single"/>
          <w:rtl w:val="off"/>
          <w:lang w:val="en-US"/>
        </w:rPr>
        <w:t>https://www.un.org/en/global-issues/population</w:t>
      </w:r>
      <w:r>
        <w:rPr>
          <w:rFonts w:ascii="Segoe UI"/>
          <w:color w:val="000000"/>
          <w:sz w:val="18"/>
          <w:lang w:val="en-US"/>
        </w:rPr>
        <w:fldChar w:fldCharType="end"/>
      </w:r>
    </w:p>
    <w:p w14:paraId="0000007C">
      <w:pPr>
        <w:framePr w:w="0" w:h="0" w:vAnchor="margin" w:hAnchor="text" w:x="0" w:y="0"/>
        <w:numPr>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bCs/>
          <w:color w:val="000000"/>
          <w:sz w:val="18"/>
          <w:rtl w:val="off"/>
          <w:lang w:val="en-US"/>
        </w:rPr>
        <w:t>CIA World Factbook</w:t>
      </w:r>
      <w:r>
        <w:rPr>
          <w:rFonts w:ascii="Segoe UI"/>
          <w:color w:val="000000"/>
          <w:sz w:val="18"/>
          <w:rtl w:val="off"/>
          <w:lang w:val="en-US"/>
        </w:rPr>
        <w:t xml:space="preserve">: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"https://www.cia.gov/the-world-factbook/" </w:instrText>
      </w:r>
      <w:r>
        <w:rPr>
          <w:rFonts w:ascii="Segoe UI"/>
          <w:color w:val="6d6d6d"/>
          <w:sz w:val="18"/>
          <w:u w:val="single"/>
          <w:rtl w:val="off"/>
          <w:lang w:val="en-US"/>
        </w:rPr>
        <w:fldChar w:fldCharType="separate"/>
      </w:r>
      <w:r>
        <w:rPr>
          <w:rFonts w:ascii="Segoe UI"/>
          <w:color w:val="6d6d6d"/>
          <w:sz w:val="18"/>
          <w:u w:val="single"/>
          <w:rtl w:val="off"/>
          <w:lang w:val="en-US"/>
        </w:rPr>
        <w:t>https://www.cia.gov/the-world-factbook/</w:t>
      </w:r>
      <w:r>
        <w:rPr>
          <w:rFonts w:ascii="Segoe UI"/>
          <w:color w:val="000000"/>
          <w:sz w:val="18"/>
          <w:lang w:val="en-US"/>
        </w:rPr>
        <w:fldChar w:fldCharType="end"/>
      </w:r>
    </w:p>
    <w:p w14:paraId="0000007D">
      <w:pPr>
        <w:framePr w:w="0" w:h="0" w:vAnchor="margin" w:hAnchor="text" w:x="0" w:y="0"/>
        <w:numPr>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p>
    <w:p w14:paraId="0000007E">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right="0"/>
        <w:jc w:val="left"/>
        <w:rPr>
          <w:rFonts w:ascii="Segoe UI"/>
          <w:color w:val="000000"/>
          <w:sz w:val="18"/>
          <w:lang w:val="en-US"/>
        </w:rPr>
      </w:pPr>
      <w:r>
        <w:rPr>
          <w:rFonts w:ascii="Segoe UI"/>
          <w:color w:val="4f81bd" w:themeColor="accent1"/>
          <w:sz w:val="18"/>
          <w:rtl w:val="off"/>
          <w:lang w:val="en-US"/>
        </w:rPr>
        <w:t>----------------------</w:t>
      </w:r>
    </w:p>
    <w:p w14:paraId="0000007F">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right="0"/>
        <w:jc w:val="left"/>
        <w:rPr>
          <w:rFonts w:ascii="Segoe UI"/>
          <w:color w:val="000000"/>
          <w:sz w:val="18"/>
          <w:lang w:val="en-US"/>
        </w:rPr>
      </w:pPr>
    </w:p>
    <w:p w14:paraId="0000008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4f81bd" w:themeColor="accent1"/>
          <w:sz w:val="32"/>
          <w:szCs w:val="32"/>
          <w:lang w:val="en-US"/>
        </w:rPr>
      </w:pPr>
      <w:r>
        <w:rPr>
          <w:rFonts w:ascii="Segoe UI"/>
          <w:b/>
          <w:bCs/>
          <w:color w:val="4f81bd" w:themeColor="accent1"/>
          <w:sz w:val="32"/>
          <w:szCs w:val="32"/>
          <w:rtl w:val="off"/>
          <w:lang w:val="en-US"/>
        </w:rPr>
        <w:t>Conclusion</w:t>
      </w:r>
    </w:p>
    <w:p w14:paraId="00000081">
      <w:pPr>
        <w:rPr>
          <w:rFonts w:ascii="Arial" w:cs="Arial" w:hAnsi="Arial"/>
          <w:i/>
          <w:iCs/>
          <w:sz w:val="22"/>
          <w:szCs w:val="22"/>
        </w:rPr>
      </w:pPr>
      <w:r>
        <w:rPr>
          <w:rFonts w:ascii="Segoe UI"/>
          <w:color w:val="000000"/>
          <w:sz w:val="18"/>
          <w:rtl w:val="off"/>
          <w:lang w:val="en-US"/>
        </w:rPr>
        <w:t>To prepare a comprehensive report for a potential client, one can obtain data from a variety of sources, such as government portals, industry reports, market data services, consumer research tools, and even geospatial platforms. The combination of these sources will allow to provide relevant, accurate, and context-rich insights tailored to the client’s specific industry and business operations.</w:t>
      </w:r>
    </w:p>
    <w:p w14:paraId="00000082">
      <w:pPr>
        <w:rPr>
          <w:rFonts w:ascii="Arial" w:cs="Arial" w:hAnsi="Arial"/>
          <w:i/>
          <w:iCs/>
          <w:sz w:val="22"/>
          <w:szCs w:val="22"/>
        </w:rPr>
      </w:pPr>
    </w:p>
    <w:p w14:paraId="00000083">
      <w:pPr>
        <w:rPr>
          <w:rFonts w:ascii="Arial" w:cs="Arial" w:hAnsi="Arial"/>
          <w:i/>
          <w:iCs/>
          <w:sz w:val="22"/>
          <w:szCs w:val="22"/>
        </w:rPr>
      </w:pPr>
    </w:p>
    <w:p w14:paraId="00000084">
      <w:pPr>
        <w:rPr>
          <w:rFonts w:ascii="Arial" w:cs="Arial" w:hAnsi="Arial"/>
          <w:i/>
          <w:iCs/>
          <w:sz w:val="22"/>
          <w:szCs w:val="22"/>
        </w:rPr>
      </w:pPr>
    </w:p>
    <w:p w14:paraId="00000085">
      <w:pPr>
        <w:rPr>
          <w:rFonts w:ascii="Arial" w:cs="Arial" w:hAnsi="Arial"/>
          <w:i/>
          <w:iCs/>
          <w:sz w:val="22"/>
          <w:szCs w:val="22"/>
        </w:rPr>
      </w:pPr>
    </w:p>
    <w:p w14:paraId="00000086">
      <w:pPr>
        <w:rPr>
          <w:rFonts w:ascii="Arial" w:cs="Arial" w:hAnsi="Arial"/>
          <w:i/>
          <w:iCs/>
          <w:sz w:val="22"/>
          <w:szCs w:val="22"/>
        </w:rPr>
      </w:pPr>
    </w:p>
    <w:p w14:paraId="00000087">
      <w:pPr>
        <w:rPr>
          <w:rFonts w:ascii="Arial" w:cs="Arial" w:hAnsi="Arial"/>
          <w:i/>
          <w:iCs/>
          <w:sz w:val="22"/>
          <w:szCs w:val="22"/>
        </w:rPr>
      </w:pPr>
    </w:p>
    <w:p w14:paraId="00000088">
      <w:pPr>
        <w:rPr>
          <w:rFonts w:ascii="Arial" w:cs="Arial" w:hAnsi="Arial"/>
          <w:i/>
          <w:iCs/>
          <w:sz w:val="22"/>
          <w:szCs w:val="22"/>
        </w:rPr>
      </w:pPr>
    </w:p>
    <w:p w14:paraId="00000089">
      <w:pPr>
        <w:rPr>
          <w:rFonts w:ascii="Arial" w:cs="Arial" w:hAnsi="Arial"/>
          <w:i/>
          <w:iCs/>
          <w:sz w:val="22"/>
          <w:szCs w:val="22"/>
        </w:rPr>
      </w:pPr>
    </w:p>
    <w:p w14:paraId="0000008A">
      <w:pPr>
        <w:rPr>
          <w:rFonts w:ascii="Arial" w:cs="Arial" w:hAnsi="Arial"/>
          <w:i/>
          <w:iCs/>
          <w:sz w:val="22"/>
          <w:szCs w:val="22"/>
        </w:rPr>
      </w:pPr>
    </w:p>
    <w:p w14:paraId="0000008B">
      <w:pPr>
        <w:rPr>
          <w:rFonts w:ascii="Arial" w:cs="Arial" w:hAnsi="Arial"/>
          <w:i/>
          <w:iCs/>
          <w:sz w:val="22"/>
          <w:szCs w:val="22"/>
        </w:rPr>
      </w:pPr>
    </w:p>
    <w:p w14:paraId="0000008C">
      <w:pPr>
        <w:rPr>
          <w:rFonts w:ascii="Arial" w:cs="Arial" w:hAnsi="Arial"/>
          <w:i/>
          <w:iCs/>
          <w:sz w:val="22"/>
          <w:szCs w:val="22"/>
        </w:rPr>
      </w:pPr>
    </w:p>
    <w:p w14:paraId="0000008D">
      <w:pPr>
        <w:rPr>
          <w:rFonts w:ascii="Arial" w:cs="Arial" w:hAnsi="Arial"/>
          <w:i/>
          <w:iCs/>
          <w:sz w:val="22"/>
          <w:szCs w:val="22"/>
        </w:rPr>
      </w:pPr>
    </w:p>
    <w:p w14:paraId="0000008E">
      <w:pPr>
        <w:rPr>
          <w:rFonts w:ascii="Arial" w:cs="Arial" w:hAnsi="Arial"/>
          <w:i/>
          <w:iCs/>
          <w:sz w:val="22"/>
          <w:szCs w:val="22"/>
        </w:rPr>
      </w:pPr>
    </w:p>
    <w:p w14:paraId="0000008F">
      <w:pPr>
        <w:rPr>
          <w:rFonts w:ascii="Arial" w:cs="Arial" w:hAnsi="Arial"/>
          <w:i/>
          <w:iCs/>
          <w:sz w:val="22"/>
          <w:szCs w:val="22"/>
        </w:rPr>
      </w:pPr>
    </w:p>
    <w:p w14:paraId="00000090">
      <w:pPr>
        <w:rPr>
          <w:rFonts w:ascii="Arial" w:cs="Arial" w:hAnsi="Arial"/>
          <w:i/>
          <w:iCs/>
          <w:sz w:val="22"/>
          <w:szCs w:val="22"/>
        </w:rPr>
      </w:pPr>
    </w:p>
    <w:p w14:paraId="00000091">
      <w:pPr>
        <w:rPr>
          <w:rFonts w:ascii="Arial" w:cs="Arial" w:hAnsi="Arial"/>
          <w:i/>
          <w:iCs/>
          <w:sz w:val="22"/>
          <w:szCs w:val="22"/>
        </w:rPr>
      </w:pPr>
    </w:p>
    <w:p w14:paraId="00000092">
      <w:pPr>
        <w:rPr>
          <w:rFonts w:ascii="Arial" w:cs="Arial" w:hAnsi="Arial"/>
          <w:i/>
          <w:iCs/>
          <w:sz w:val="22"/>
          <w:szCs w:val="22"/>
        </w:rPr>
      </w:pPr>
    </w:p>
    <w:p w14:paraId="00000093">
      <w:pPr>
        <w:rPr>
          <w:rFonts w:ascii="Arial" w:cs="Arial" w:hAnsi="Arial"/>
          <w:i/>
          <w:iCs/>
          <w:sz w:val="22"/>
          <w:szCs w:val="22"/>
        </w:rPr>
      </w:pPr>
    </w:p>
    <w:p w14:paraId="00000094">
      <w:pPr>
        <w:rPr>
          <w:rFonts w:ascii="Arial" w:cs="Arial" w:hAnsi="Arial"/>
          <w:i/>
          <w:iCs/>
          <w:sz w:val="22"/>
          <w:szCs w:val="22"/>
        </w:rPr>
      </w:pPr>
    </w:p>
    <w:p w14:paraId="00000095">
      <w:pPr>
        <w:rPr>
          <w:rFonts w:ascii="Arial" w:cs="Arial" w:hAnsi="Arial"/>
          <w:i/>
          <w:iCs/>
          <w:sz w:val="22"/>
          <w:szCs w:val="22"/>
        </w:rPr>
      </w:pPr>
    </w:p>
    <w:p w14:paraId="00000096">
      <w:pPr>
        <w:rPr>
          <w:rFonts w:ascii="Arial" w:cs="Arial" w:hAnsi="Arial"/>
          <w:i/>
          <w:iCs/>
          <w:sz w:val="22"/>
          <w:szCs w:val="22"/>
        </w:rPr>
      </w:pPr>
    </w:p>
    <w:p w14:paraId="00000097">
      <w:pPr>
        <w:rPr>
          <w:rFonts w:ascii="Arial" w:cs="Arial" w:hAnsi="Arial"/>
          <w:i/>
          <w:iCs/>
          <w:sz w:val="22"/>
          <w:szCs w:val="22"/>
        </w:rPr>
      </w:pPr>
    </w:p>
    <w:p w14:paraId="00000098">
      <w:pPr>
        <w:rPr>
          <w:rFonts w:ascii="Arial" w:cs="Arial" w:hAnsi="Arial"/>
          <w:i/>
          <w:iCs/>
          <w:sz w:val="22"/>
          <w:szCs w:val="22"/>
        </w:rPr>
      </w:pPr>
    </w:p>
    <w:p w14:paraId="00000099">
      <w:pPr>
        <w:rPr>
          <w:rFonts w:ascii="Arial" w:cs="Arial" w:hAnsi="Arial"/>
          <w:i/>
          <w:iCs/>
          <w:sz w:val="22"/>
          <w:szCs w:val="22"/>
        </w:rPr>
      </w:pPr>
    </w:p>
    <w:p w14:paraId="0000009A">
      <w:pPr>
        <w:rPr>
          <w:rFonts w:ascii="Arial" w:cs="Arial" w:hAnsi="Arial"/>
          <w:i/>
          <w:iCs/>
          <w:sz w:val="22"/>
          <w:szCs w:val="22"/>
        </w:rPr>
      </w:pPr>
    </w:p>
    <w:p w14:paraId="0000009B">
      <w:pPr>
        <w:rPr>
          <w:rFonts w:ascii="Arial" w:cs="Arial" w:hAnsi="Arial"/>
          <w:i/>
          <w:iCs/>
          <w:sz w:val="22"/>
          <w:szCs w:val="22"/>
        </w:rPr>
      </w:pPr>
    </w:p>
    <w:p w14:paraId="0000009C">
      <w:pPr>
        <w:rPr>
          <w:rFonts w:ascii="Arial" w:cs="Arial" w:hAnsi="Arial"/>
          <w:i/>
          <w:iCs/>
          <w:sz w:val="22"/>
          <w:szCs w:val="22"/>
        </w:rPr>
      </w:pPr>
    </w:p>
    <w:p w14:paraId="0000009D">
      <w:pPr>
        <w:rPr>
          <w:rFonts w:ascii="Arial" w:cs="Arial" w:hAnsi="Arial"/>
          <w:i/>
          <w:iCs/>
          <w:sz w:val="22"/>
          <w:szCs w:val="22"/>
        </w:rPr>
      </w:pPr>
    </w:p>
    <w:p w14:paraId="0000009E">
      <w:pPr>
        <w:rPr>
          <w:rFonts w:ascii="Arial" w:cs="Arial" w:hAnsi="Arial"/>
          <w:i/>
          <w:iCs/>
          <w:sz w:val="22"/>
          <w:szCs w:val="22"/>
        </w:rPr>
      </w:pPr>
    </w:p>
    <w:p w14:paraId="0000009F">
      <w:pPr>
        <w:rPr>
          <w:rFonts w:ascii="Arial" w:cs="Arial" w:hAnsi="Arial"/>
          <w:i/>
          <w:iCs/>
          <w:sz w:val="22"/>
          <w:szCs w:val="22"/>
        </w:rPr>
      </w:pPr>
    </w:p>
    <w:p w14:paraId="000000A0">
      <w:pPr>
        <w:rPr>
          <w:rFonts w:ascii="Arial" w:cs="Arial" w:hAnsi="Arial"/>
          <w:i/>
          <w:iCs/>
          <w:sz w:val="22"/>
          <w:szCs w:val="22"/>
        </w:rPr>
      </w:pPr>
    </w:p>
    <w:p w14:paraId="000000A1">
      <w:pPr>
        <w:rPr>
          <w:rFonts w:ascii="Arial" w:cs="Arial" w:hAnsi="Arial"/>
          <w:i/>
          <w:iCs/>
          <w:sz w:val="22"/>
          <w:szCs w:val="22"/>
        </w:rPr>
      </w:pPr>
    </w:p>
    <w:p w14:paraId="000000A2">
      <w:pPr>
        <w:rPr>
          <w:rFonts w:ascii="Arial" w:cs="Arial" w:hAnsi="Arial"/>
          <w:i/>
          <w:iCs/>
          <w:sz w:val="22"/>
          <w:szCs w:val="22"/>
        </w:rPr>
      </w:pPr>
    </w:p>
    <w:p w14:paraId="000000A3">
      <w:pPr>
        <w:rPr>
          <w:rFonts w:ascii="Arial" w:cs="Arial" w:hAnsi="Arial"/>
          <w:i/>
          <w:iCs/>
          <w:sz w:val="22"/>
          <w:szCs w:val="22"/>
        </w:rPr>
      </w:pPr>
    </w:p>
    <w:p w14:paraId="000000A4">
      <w:pPr>
        <w:rPr>
          <w:rFonts w:ascii="Arial" w:cs="Arial" w:hAnsi="Arial"/>
          <w:i/>
          <w:iCs/>
          <w:sz w:val="22"/>
          <w:szCs w:val="22"/>
        </w:rPr>
      </w:pPr>
    </w:p>
    <w:p w14:paraId="000000A5">
      <w:pPr>
        <w:rPr>
          <w:rFonts w:ascii="Arial" w:cs="Arial" w:hAnsi="Arial"/>
          <w:i/>
          <w:iCs/>
          <w:sz w:val="22"/>
          <w:szCs w:val="22"/>
        </w:rPr>
      </w:pPr>
    </w:p>
    <w:p w14:paraId="000000A6">
      <w:pPr>
        <w:rPr>
          <w:rFonts w:ascii="Arial" w:cs="Arial" w:hAnsi="Arial"/>
          <w:i/>
          <w:iCs/>
          <w:sz w:val="22"/>
          <w:szCs w:val="22"/>
        </w:rPr>
      </w:pPr>
    </w:p>
    <w:p w14:paraId="000000A7">
      <w:pPr>
        <w:rPr>
          <w:rFonts w:ascii="Arial" w:cs="Arial" w:hAnsi="Arial"/>
          <w:i/>
          <w:iCs/>
          <w:sz w:val="22"/>
          <w:szCs w:val="22"/>
        </w:rPr>
      </w:pPr>
    </w:p>
    <w:p w14:paraId="000000A8">
      <w:pPr>
        <w:rPr>
          <w:rFonts w:ascii="Arial" w:cs="Arial" w:hAnsi="Arial"/>
          <w:i/>
          <w:iCs/>
          <w:sz w:val="22"/>
          <w:szCs w:val="22"/>
        </w:rPr>
      </w:pPr>
    </w:p>
    <w:p w14:paraId="000000A9">
      <w:pPr>
        <w:rPr>
          <w:rFonts w:ascii="Arial" w:cs="Arial" w:hAnsi="Arial"/>
          <w:i/>
          <w:iCs/>
          <w:sz w:val="22"/>
          <w:szCs w:val="22"/>
        </w:rPr>
      </w:pPr>
    </w:p>
    <w:p w14:paraId="000000AA">
      <w:pPr>
        <w:rPr>
          <w:rFonts w:ascii="Arial" w:cs="Arial" w:hAnsi="Arial"/>
          <w:i/>
          <w:iCs/>
          <w:sz w:val="22"/>
          <w:szCs w:val="22"/>
        </w:rPr>
      </w:pPr>
    </w:p>
    <w:p w14:paraId="000000AB">
      <w:pPr>
        <w:rPr>
          <w:rFonts w:ascii="Arial" w:cs="Arial" w:hAnsi="Arial"/>
          <w:i/>
          <w:iCs/>
          <w:sz w:val="22"/>
          <w:szCs w:val="22"/>
        </w:rPr>
      </w:pPr>
      <w:r>
        <w:rPr>
          <w:rFonts w:ascii="Arial" w:cs="Arial" w:hAnsi="Arial"/>
          <w:i/>
          <w:iCs/>
          <w:sz w:val="22"/>
          <w:szCs w:val="22"/>
        </w:rPr>
        <w:br w:type="page"/>
      </w:r>
    </w:p>
    <w:p w14:paraId="000000AC">
      <w:pPr>
        <w:rPr>
          <w:rFonts w:ascii="Arial" w:cs="Arial" w:hAnsi="Arial"/>
        </w:rPr>
      </w:pPr>
    </w:p>
    <w:p w14:paraId="000000AD">
      <w:pPr>
        <w:rPr>
          <w:rFonts w:ascii="Arial" w:cs="Arial" w:hAnsi="Arial"/>
        </w:rPr>
      </w:pPr>
    </w:p>
    <w:tbl>
      <w:tblPr>
        <w:tblStyle w:val="ListTable4Accent6"/>
        <w:tblW w:w="0" w:type="auto"/>
        <w:tblLook w:val="01E0"/>
      </w:tblPr>
      <w:tblGrid>
        <w:gridCol w:w="9016"/>
      </w:tblGrid>
      <w:tr>
        <w:trPr>
          <w:cnfStyle w:val="100000000000"/>
          <w:trHeight w:val="624"/>
        </w:trPr>
        <w:tc>
          <w:tcPr>
            <w:cnfStyle w:val="101000000000"/>
            <w:tcW w:w="9016" w:type="dxa"/>
            <w:vAlign w:val="center"/>
          </w:tcPr>
          <w:p w14:paraId="000000AE">
            <w:pPr>
              <w:rPr>
                <w:rFonts w:ascii="Arial" w:cs="Arial" w:hAnsi="Arial"/>
                <w:bCs w:val="off"/>
              </w:rPr>
            </w:pPr>
            <w:r>
              <w:rPr>
                <w:rFonts w:ascii="Arial" w:cs="Arial" w:hAnsi="Arial"/>
                <w:bCs w:val="off"/>
              </w:rPr>
              <w:t xml:space="preserve">Question </w:t>
            </w:r>
            <w:r>
              <w:rPr>
                <w:rFonts w:ascii="Arial" w:cs="Arial" w:hAnsi="Arial"/>
                <w:bCs w:val="off"/>
              </w:rPr>
              <w:t>2.0</w:t>
            </w:r>
            <w:r>
              <w:rPr>
                <w:rFonts w:ascii="Arial" w:cs="Arial" w:hAnsi="Arial"/>
                <w:bCs w:val="off"/>
              </w:rPr>
              <w:t>:</w:t>
            </w:r>
            <w:r>
              <w:rPr>
                <w:rFonts w:ascii="Arial" w:cs="Arial" w:hAnsi="Arial"/>
                <w:bCs w:val="off"/>
              </w:rPr>
              <w:t xml:space="preserve"> Understand data formats</w:t>
            </w:r>
          </w:p>
        </w:tc>
      </w:tr>
      <w:tr>
        <w:trPr>
          <w:cnfStyle w:val="010000000000"/>
          <w:trHeight w:val="624"/>
        </w:trPr>
        <w:tc>
          <w:tcPr>
            <w:cnfStyle w:val="011000000000"/>
            <w:tcW w:w="9016" w:type="dxa"/>
            <w:vAlign w:val="center"/>
          </w:tcPr>
          <w:p w14:paraId="000000AF">
            <w:pPr>
              <w:rPr>
                <w:rFonts w:ascii="Arial" w:cs="Arial" w:hAnsi="Arial"/>
                <w:b w:val="off"/>
                <w:bCs w:val="off"/>
              </w:rPr>
            </w:pPr>
          </w:p>
          <w:p w14:paraId="000000B0">
            <w:pPr>
              <w:rPr>
                <w:rFonts w:ascii="Arial" w:cs="Arial" w:hAnsi="Arial"/>
              </w:rPr>
            </w:pPr>
            <w:r>
              <w:rPr>
                <w:rFonts w:ascii="Arial" w:cs="Arial" w:hAnsi="Arial"/>
                <w:b w:val="off"/>
                <w:bCs w:val="off"/>
              </w:rPr>
              <w:t>What tools</w:t>
            </w:r>
            <w:r>
              <w:rPr>
                <w:rFonts w:ascii="Arial" w:cs="Arial" w:hAnsi="Arial"/>
                <w:b w:val="off"/>
                <w:bCs w:val="off"/>
              </w:rPr>
              <w:t xml:space="preserve">, charts </w:t>
            </w:r>
            <w:r>
              <w:rPr>
                <w:rFonts w:ascii="Arial" w:cs="Arial" w:hAnsi="Arial"/>
                <w:b w:val="off"/>
                <w:bCs w:val="off"/>
              </w:rPr>
              <w:t xml:space="preserve">and diagrams could you use to explain </w:t>
            </w:r>
            <w:r>
              <w:rPr>
                <w:rFonts w:ascii="Arial" w:cs="Arial" w:hAnsi="Arial"/>
                <w:b w:val="off"/>
                <w:bCs w:val="off"/>
              </w:rPr>
              <w:t>your reasons for recommending the five tech investments?</w:t>
            </w:r>
          </w:p>
          <w:p w14:paraId="000000B1">
            <w:pPr>
              <w:rPr>
                <w:rFonts w:ascii="Arial" w:cs="Arial" w:hAnsi="Arial"/>
                <w:b w:val="off"/>
                <w:bCs w:val="off"/>
              </w:rPr>
            </w:pPr>
          </w:p>
        </w:tc>
      </w:tr>
    </w:tbl>
    <w:p w14:paraId="000000B2">
      <w:pPr>
        <w:rPr>
          <w:rFonts w:ascii="Arial" w:cs="Arial" w:hAnsi="Arial"/>
        </w:rPr>
      </w:pPr>
    </w:p>
    <w:p w14:paraId="000000B3">
      <w:pPr>
        <w:rPr>
          <w:rFonts w:ascii="Arial" w:cs="Arial" w:hAnsi="Arial"/>
          <w:i/>
          <w:iCs/>
          <w:sz w:val="22"/>
          <w:szCs w:val="22"/>
        </w:rPr>
      </w:pPr>
      <w:r>
        <w:rPr>
          <w:rFonts w:ascii="Arial" w:cs="Arial" w:hAnsi="Arial"/>
          <w:i/>
          <w:iCs/>
          <w:sz w:val="22"/>
          <w:szCs w:val="22"/>
        </w:rPr>
        <w:t>Enter your answer below:</w:t>
      </w:r>
    </w:p>
    <w:p w14:paraId="000000B4">
      <w:pPr>
        <w:rPr>
          <w:rFonts w:ascii="Arial" w:cs="Arial" w:hAnsi="Arial"/>
          <w:i/>
          <w:iCs/>
          <w:sz w:val="22"/>
          <w:szCs w:val="22"/>
        </w:rPr>
      </w:pPr>
    </w:p>
    <w:p w14:paraId="000000B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To explain the reasons for recommending five tech investments for a specific client in its industry, one would need to use tools, charts, and diagrams that clearly convey data and support our analysis.</w:t>
      </w:r>
      <w:r>
        <w:rPr>
          <w:rFonts w:ascii="Segoe UI"/>
          <w:color w:val="000000"/>
          <w:sz w:val="18"/>
          <w:rtl w:val="off"/>
          <w:lang w:val="en-US"/>
        </w:rPr>
        <w:t xml:space="preserve"> </w:t>
      </w:r>
      <w:r>
        <w:rPr>
          <w:rFonts w:ascii="Segoe UI"/>
          <w:color w:val="000000"/>
          <w:sz w:val="18"/>
          <w:rtl w:val="off"/>
          <w:lang w:val="en-US"/>
        </w:rPr>
        <w:t xml:space="preserve">We also need a solid understanding of IoT and how to optimize its use in our analysis and recommendations. </w:t>
      </w:r>
      <w:r>
        <w:rPr>
          <w:rFonts w:ascii="Segoe UI"/>
          <w:color w:val="000000"/>
          <w:sz w:val="18"/>
          <w:rtl w:val="off"/>
          <w:lang w:val="en-US"/>
        </w:rPr>
        <w:t xml:space="preserve"> Here’s an outline of what tools and visual aids one could use to present our recommendations effectively. </w:t>
      </w:r>
    </w:p>
    <w:p w14:paraId="000000B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B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32"/>
          <w:szCs w:val="32"/>
          <w:lang w:val="en-US"/>
        </w:rPr>
      </w:pPr>
      <w:r>
        <w:rPr>
          <w:rFonts w:ascii="Segoe UI"/>
          <w:color w:val="4f81bd" w:themeColor="accent1"/>
          <w:sz w:val="32"/>
          <w:szCs w:val="32"/>
          <w:rtl w:val="off"/>
          <w:lang w:val="en-US"/>
        </w:rPr>
        <w:t xml:space="preserve">1. </w:t>
      </w:r>
      <w:r>
        <w:rPr>
          <w:rFonts w:ascii="Segoe UI"/>
          <w:b/>
          <w:color w:val="4f81bd" w:themeColor="accent1"/>
          <w:sz w:val="32"/>
          <w:szCs w:val="32"/>
          <w:rtl w:val="off"/>
          <w:lang w:val="en-US"/>
        </w:rPr>
        <w:t>Tools to Analyze Data</w:t>
      </w:r>
    </w:p>
    <w:p w14:paraId="000000B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Before presenting recommendations, it’s essential to have the right tools to analyze data. Some commonly used tools for data analysis include:</w:t>
      </w:r>
    </w:p>
    <w:p w14:paraId="000000B9">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Excel or Google Sheets</w:t>
      </w:r>
      <w:r>
        <w:rPr>
          <w:rFonts w:ascii="Segoe UI"/>
          <w:color w:val="000000"/>
          <w:sz w:val="18"/>
          <w:rtl w:val="off"/>
          <w:lang w:val="en-US"/>
        </w:rPr>
        <w:t>: For data organization, analysis, and basic charting. You can create pivot tables, apply filters, and perform simple calculations to analyze investment potential.</w:t>
      </w:r>
    </w:p>
    <w:p w14:paraId="000000BA">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Power BI or Tableau</w:t>
      </w:r>
      <w:r>
        <w:rPr>
          <w:rFonts w:ascii="Segoe UI"/>
          <w:color w:val="000000"/>
          <w:sz w:val="18"/>
          <w:rtl w:val="off"/>
          <w:lang w:val="en-US"/>
        </w:rPr>
        <w:t>: For more advanced data visualization. These tools help create interactive dashboards and allow for deep analysis of trends, patterns, and correlations.</w:t>
      </w:r>
    </w:p>
    <w:p w14:paraId="000000BB">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Python (Pandas, Matplotlib, Seaborn)</w:t>
      </w:r>
      <w:r>
        <w:rPr>
          <w:rFonts w:ascii="Segoe UI"/>
          <w:color w:val="000000"/>
          <w:sz w:val="18"/>
          <w:rtl w:val="off"/>
          <w:lang w:val="en-US"/>
        </w:rPr>
        <w:t>: If you need to perform advanced statistical analysis, Python libraries can help process data and generate visualizations (e.g., bar charts, line graphs, histograms).</w:t>
      </w:r>
    </w:p>
    <w:p w14:paraId="000000BC">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Google Data Studio</w:t>
      </w:r>
      <w:r>
        <w:rPr>
          <w:rFonts w:ascii="Segoe UI"/>
          <w:color w:val="000000"/>
          <w:sz w:val="18"/>
          <w:rtl w:val="off"/>
          <w:lang w:val="en-US"/>
        </w:rPr>
        <w:t>: A free, user-friendly data visualization tool that integrates with various data sources like Google Analytics, Sheets, and other data connectors.</w:t>
      </w:r>
    </w:p>
    <w:p w14:paraId="000000B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32"/>
          <w:szCs w:val="32"/>
          <w:lang w:val="en-US"/>
        </w:rPr>
      </w:pPr>
      <w:r>
        <w:rPr>
          <w:rFonts w:ascii="Segoe UI"/>
          <w:b/>
          <w:bCs/>
          <w:color w:val="4f81bd" w:themeColor="accent1"/>
          <w:sz w:val="32"/>
          <w:szCs w:val="32"/>
          <w:rtl w:val="off"/>
          <w:lang w:val="en-US"/>
        </w:rPr>
        <w:t xml:space="preserve">2. </w:t>
      </w:r>
      <w:r>
        <w:rPr>
          <w:rFonts w:ascii="Segoe UI"/>
          <w:b/>
          <w:color w:val="4f81bd" w:themeColor="accent1"/>
          <w:sz w:val="32"/>
          <w:szCs w:val="32"/>
          <w:rtl w:val="off"/>
          <w:lang w:val="en-US"/>
        </w:rPr>
        <w:t>Charts and Diagrams to Present the Recommendations</w:t>
      </w:r>
    </w:p>
    <w:p w14:paraId="000000B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To make case for tech investments, the following charts and diagrams will be helpful:</w:t>
      </w:r>
    </w:p>
    <w:p w14:paraId="000000B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4f81bd" w:themeColor="accent1"/>
          <w:sz w:val="18"/>
          <w:rtl w:val="off"/>
          <w:lang w:val="en-US"/>
        </w:rPr>
        <w:t>----------------------</w:t>
      </w:r>
      <w:r>
        <w:rPr>
          <w:rFonts w:ascii="Segoe UI"/>
          <w:color w:val="000000"/>
          <w:sz w:val="18"/>
          <w:lang w:val="en-US"/>
        </w:rPr>
        <w:br w:type="textWrapping"/>
      </w:r>
    </w:p>
    <w:p w14:paraId="000000C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1. Bar Charts</w:t>
      </w:r>
    </w:p>
    <w:p w14:paraId="000000C1">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Purpose</w:t>
      </w:r>
      <w:r>
        <w:rPr>
          <w:rFonts w:ascii="Segoe UI"/>
          <w:color w:val="000000"/>
          <w:sz w:val="18"/>
          <w:rtl w:val="off"/>
          <w:lang w:val="en-US"/>
        </w:rPr>
        <w:t>: Show KPI (Key performance Indicators) and clear comparisons across different tech investments, such as potential ROI (Return on Investment) or the cost vs. benefit of each option.</w:t>
      </w:r>
    </w:p>
    <w:p w14:paraId="000000C2">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Use</w:t>
      </w:r>
      <w:r>
        <w:rPr>
          <w:rFonts w:ascii="Segoe UI"/>
          <w:color w:val="000000"/>
          <w:sz w:val="18"/>
          <w:rtl w:val="off"/>
          <w:lang w:val="en-US"/>
        </w:rPr>
        <w:t>: A bar chart can easily illustrate how different tech solutions compare on key metrics like cost savings, efficiency improvements, or projected market share increase.</w:t>
      </w:r>
    </w:p>
    <w:p w14:paraId="000000C3">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Example</w:t>
      </w:r>
      <w:r>
        <w:rPr>
          <w:rFonts w:ascii="Segoe UI"/>
          <w:color w:val="000000"/>
          <w:sz w:val="18"/>
          <w:rtl w:val="off"/>
          <w:lang w:val="en-US"/>
        </w:rPr>
        <w:t>: Compare the five tech investments across parameters like ROI, market share growth, or customer satisfaction improvement.</w:t>
      </w:r>
    </w:p>
    <w:p w14:paraId="000000C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Tool Example</w:t>
      </w:r>
      <w:r>
        <w:rPr>
          <w:rFonts w:ascii="Segoe UI"/>
          <w:color w:val="000000"/>
          <w:sz w:val="18"/>
          <w:rtl w:val="off"/>
          <w:lang w:val="en-US"/>
        </w:rPr>
        <w:t>: Excel, Google Sheets, Power BI, Tableau</w:t>
      </w:r>
    </w:p>
    <w:p w14:paraId="000000C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4f81bd" w:themeColor="accent1"/>
          <w:sz w:val="18"/>
          <w:rtl w:val="off"/>
          <w:lang w:val="en-US"/>
        </w:rPr>
        <w:t>----------------------</w:t>
      </w:r>
      <w:r>
        <w:rPr>
          <w:rFonts w:ascii="Segoe UI"/>
          <w:color w:val="000000"/>
          <w:sz w:val="18"/>
          <w:lang w:val="en-US"/>
        </w:rPr>
        <w:br w:type="textWrapping"/>
      </w:r>
    </w:p>
    <w:p w14:paraId="000000C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2. Line Graphs</w:t>
      </w:r>
    </w:p>
    <w:p w14:paraId="000000C7">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Purpose</w:t>
      </w:r>
      <w:r>
        <w:rPr>
          <w:rFonts w:ascii="Segoe UI"/>
          <w:color w:val="000000"/>
          <w:sz w:val="18"/>
          <w:rtl w:val="off"/>
          <w:lang w:val="en-US"/>
        </w:rPr>
        <w:t>: Display trends over time, such as how the tech investments are expected to impact the company’s performance in the coming years.</w:t>
      </w:r>
    </w:p>
    <w:p w14:paraId="000000C8">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Use</w:t>
      </w:r>
      <w:r>
        <w:rPr>
          <w:rFonts w:ascii="Segoe UI"/>
          <w:color w:val="000000"/>
          <w:sz w:val="18"/>
          <w:rtl w:val="off"/>
          <w:lang w:val="en-US"/>
        </w:rPr>
        <w:t>: If you're analyzing growth potential, a line graph could show projections for revenue, cost reduction, or customer growth over time.</w:t>
      </w:r>
    </w:p>
    <w:p w14:paraId="000000C9">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Example</w:t>
      </w:r>
      <w:r>
        <w:rPr>
          <w:rFonts w:ascii="Segoe UI"/>
          <w:color w:val="000000"/>
          <w:sz w:val="18"/>
          <w:rtl w:val="off"/>
          <w:lang w:val="en-US"/>
        </w:rPr>
        <w:t>: Show the forecasted return on investment over a 5-year period for each of the five tech investments.</w:t>
      </w:r>
    </w:p>
    <w:p w14:paraId="000000C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Tool Example</w:t>
      </w:r>
      <w:r>
        <w:rPr>
          <w:rFonts w:ascii="Segoe UI"/>
          <w:color w:val="000000"/>
          <w:sz w:val="18"/>
          <w:rtl w:val="off"/>
          <w:lang w:val="en-US"/>
        </w:rPr>
        <w:t>: Excel, Google Sheets, Power BI, Tableau</w:t>
      </w:r>
    </w:p>
    <w:p w14:paraId="000000C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4f81bd" w:themeColor="accent1"/>
          <w:sz w:val="18"/>
          <w:rtl w:val="off"/>
          <w:lang w:val="en-US"/>
        </w:rPr>
        <w:t>----------------------</w:t>
      </w:r>
      <w:r>
        <w:rPr>
          <w:rFonts w:ascii="Segoe UI"/>
          <w:color w:val="4f81bd" w:themeColor="accent1"/>
          <w:sz w:val="18"/>
          <w:lang w:val="en-US"/>
        </w:rPr>
        <w:br w:type="textWrapping"/>
      </w:r>
    </w:p>
    <w:p w14:paraId="000000C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3. Pie Charts</w:t>
      </w:r>
    </w:p>
    <w:p w14:paraId="000000CD">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Purpose</w:t>
      </w:r>
      <w:r>
        <w:rPr>
          <w:rFonts w:ascii="Segoe UI"/>
          <w:color w:val="000000"/>
          <w:sz w:val="18"/>
          <w:rtl w:val="off"/>
          <w:lang w:val="en-US"/>
        </w:rPr>
        <w:t>: Illustrate the proportion of benefits or investments, such as the allocation of budget or the impact of each technology on key business outcomes.</w:t>
      </w:r>
    </w:p>
    <w:p w14:paraId="000000CE">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Use</w:t>
      </w:r>
      <w:r>
        <w:rPr>
          <w:rFonts w:ascii="Segoe UI"/>
          <w:color w:val="000000"/>
          <w:sz w:val="18"/>
          <w:rtl w:val="off"/>
          <w:lang w:val="en-US"/>
        </w:rPr>
        <w:t>: A pie chart is a simple way to show how each of the five tech investments contributes to the overall strategy.</w:t>
      </w:r>
    </w:p>
    <w:p w14:paraId="000000CF">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Example</w:t>
      </w:r>
      <w:r>
        <w:rPr>
          <w:rFonts w:ascii="Segoe UI"/>
          <w:color w:val="000000"/>
          <w:sz w:val="18"/>
          <w:rtl w:val="off"/>
          <w:lang w:val="en-US"/>
        </w:rPr>
        <w:t>: A pie chart that divides the tech investments into percentages based on how they contribute to overall revenue growth or operational efficiency.</w:t>
      </w:r>
    </w:p>
    <w:p w14:paraId="000000D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Tool Example</w:t>
      </w:r>
      <w:r>
        <w:rPr>
          <w:rFonts w:ascii="Segoe UI"/>
          <w:color w:val="000000"/>
          <w:sz w:val="18"/>
          <w:rtl w:val="off"/>
          <w:lang w:val="en-US"/>
        </w:rPr>
        <w:t>: Excel, Google Sheets, Power BI</w:t>
      </w:r>
    </w:p>
    <w:p w14:paraId="000000D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4f81bd" w:themeColor="accent1"/>
          <w:sz w:val="18"/>
          <w:rtl w:val="off"/>
          <w:lang w:val="en-US"/>
        </w:rPr>
        <w:t>----------------------</w:t>
      </w:r>
      <w:r>
        <w:rPr>
          <w:rFonts w:ascii="Segoe UI"/>
          <w:color w:val="000000"/>
          <w:sz w:val="18"/>
          <w:lang w:val="en-US"/>
        </w:rPr>
        <w:br w:type="textWrapping"/>
      </w:r>
    </w:p>
    <w:p w14:paraId="000000D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4. SWOT Analysis (Diagram)</w:t>
      </w:r>
    </w:p>
    <w:p w14:paraId="000000D3">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Purpose</w:t>
      </w:r>
      <w:r>
        <w:rPr>
          <w:rFonts w:ascii="Segoe UI"/>
          <w:color w:val="000000"/>
          <w:sz w:val="18"/>
          <w:rtl w:val="off"/>
          <w:lang w:val="en-US"/>
        </w:rPr>
        <w:t>: Show a clear breakdown of each tech investment’s Strengths, Weaknesses, Opportunities, and Threats.</w:t>
      </w:r>
    </w:p>
    <w:p w14:paraId="000000D4">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Use</w:t>
      </w:r>
      <w:r>
        <w:rPr>
          <w:rFonts w:ascii="Segoe UI"/>
          <w:color w:val="000000"/>
          <w:sz w:val="18"/>
          <w:rtl w:val="off"/>
          <w:lang w:val="en-US"/>
        </w:rPr>
        <w:t>: This is useful for showing the risks and benefits of each recommended tech investment, providing a balanced view.</w:t>
      </w:r>
    </w:p>
    <w:p w14:paraId="000000D5">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Example</w:t>
      </w:r>
      <w:r>
        <w:rPr>
          <w:rFonts w:ascii="Segoe UI"/>
          <w:color w:val="000000"/>
          <w:sz w:val="18"/>
          <w:rtl w:val="off"/>
          <w:lang w:val="en-US"/>
        </w:rPr>
        <w:t>: A visual SWOT analysis for each of the five tech investments, which helps highlight both the potential rewards and challenges.</w:t>
      </w:r>
    </w:p>
    <w:p w14:paraId="000000D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Tool Example</w:t>
      </w:r>
      <w:r>
        <w:rPr>
          <w:rFonts w:ascii="Segoe UI"/>
          <w:color w:val="000000"/>
          <w:sz w:val="18"/>
          <w:rtl w:val="off"/>
          <w:lang w:val="en-US"/>
        </w:rPr>
        <w:t>: PowerPoint, Google Slides, Lucidchart</w:t>
      </w:r>
    </w:p>
    <w:p w14:paraId="000000D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4f81bd" w:themeColor="accent1"/>
          <w:sz w:val="18"/>
          <w:rtl w:val="off"/>
          <w:lang w:val="en-US"/>
        </w:rPr>
        <w:t>----------------------</w:t>
      </w:r>
      <w:r>
        <w:rPr>
          <w:rFonts w:ascii="Segoe UI"/>
          <w:color w:val="4f81bd" w:themeColor="accent1"/>
          <w:sz w:val="18"/>
          <w:lang w:val="en-US"/>
        </w:rPr>
        <w:br w:type="textWrapping"/>
      </w:r>
    </w:p>
    <w:p w14:paraId="000000D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5. Scatter Plots</w:t>
      </w:r>
    </w:p>
    <w:p w14:paraId="000000D9">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Purpose</w:t>
      </w:r>
      <w:r>
        <w:rPr>
          <w:rFonts w:ascii="Segoe UI"/>
          <w:color w:val="000000"/>
          <w:sz w:val="18"/>
          <w:rtl w:val="off"/>
          <w:lang w:val="en-US"/>
        </w:rPr>
        <w:t>: Visualize the relationship between two variables, such as cost and projected return or market size and technology adoption.</w:t>
      </w:r>
    </w:p>
    <w:p w14:paraId="000000DA">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Use</w:t>
      </w:r>
      <w:r>
        <w:rPr>
          <w:rFonts w:ascii="Segoe UI"/>
          <w:color w:val="000000"/>
          <w:sz w:val="18"/>
          <w:rtl w:val="off"/>
          <w:lang w:val="en-US"/>
        </w:rPr>
        <w:t>: Scatter plots are excellent for highlighting how different tech investments relate to key performance indicators (KPIs).</w:t>
      </w:r>
    </w:p>
    <w:p w14:paraId="000000DB">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Example</w:t>
      </w:r>
      <w:r>
        <w:rPr>
          <w:rFonts w:ascii="Segoe UI"/>
          <w:color w:val="000000"/>
          <w:sz w:val="18"/>
          <w:rtl w:val="off"/>
          <w:lang w:val="en-US"/>
        </w:rPr>
        <w:t>: A scatter plot showing the relationship between initial investment cost and long-term ROI for the five tech investments.</w:t>
      </w:r>
    </w:p>
    <w:p w14:paraId="000000D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Tool Example</w:t>
      </w:r>
      <w:r>
        <w:rPr>
          <w:rFonts w:ascii="Segoe UI"/>
          <w:color w:val="000000"/>
          <w:sz w:val="18"/>
          <w:rtl w:val="off"/>
          <w:lang w:val="en-US"/>
        </w:rPr>
        <w:t>: Excel, Google Sheets, Power BI, Tableau</w:t>
      </w:r>
    </w:p>
    <w:p w14:paraId="000000D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4f81bd" w:themeColor="accent1"/>
          <w:sz w:val="18"/>
          <w:rtl w:val="off"/>
          <w:lang w:val="en-US"/>
        </w:rPr>
        <w:t>----------------------</w:t>
      </w:r>
      <w:r>
        <w:rPr>
          <w:rFonts w:ascii="Segoe UI"/>
          <w:color w:val="000000"/>
          <w:sz w:val="18"/>
          <w:lang w:val="en-US"/>
        </w:rPr>
        <w:br w:type="textWrapping"/>
      </w:r>
    </w:p>
    <w:p w14:paraId="000000D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6. Gantt Chart (Timeline)</w:t>
      </w:r>
    </w:p>
    <w:p w14:paraId="000000DF">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Purpose</w:t>
      </w:r>
      <w:r>
        <w:rPr>
          <w:rFonts w:ascii="Segoe UI"/>
          <w:color w:val="000000"/>
          <w:sz w:val="18"/>
          <w:rtl w:val="off"/>
          <w:lang w:val="en-US"/>
        </w:rPr>
        <w:t>: Display the timeline of implementing the tech investments.</w:t>
      </w:r>
    </w:p>
    <w:p w14:paraId="000000E0">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Use</w:t>
      </w:r>
      <w:r>
        <w:rPr>
          <w:rFonts w:ascii="Segoe UI"/>
          <w:color w:val="000000"/>
          <w:sz w:val="18"/>
          <w:rtl w:val="off"/>
          <w:lang w:val="en-US"/>
        </w:rPr>
        <w:t>: A Gantt chart helps in planning the stages of tech adoption and implementation over time, illustrating when each tech investment will have the most significant impact.</w:t>
      </w:r>
    </w:p>
    <w:p w14:paraId="000000E1">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Example</w:t>
      </w:r>
      <w:r>
        <w:rPr>
          <w:rFonts w:ascii="Segoe UI"/>
          <w:color w:val="000000"/>
          <w:sz w:val="18"/>
          <w:rtl w:val="off"/>
          <w:lang w:val="en-US"/>
        </w:rPr>
        <w:t>: Display a timeline for the rollout of each tech investment, highlighting phases such as pilot testing, full implementation, and expected milestones.</w:t>
      </w:r>
    </w:p>
    <w:p w14:paraId="000000E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Tool Example</w:t>
      </w:r>
      <w:r>
        <w:rPr>
          <w:rFonts w:ascii="Segoe UI"/>
          <w:color w:val="000000"/>
          <w:sz w:val="18"/>
          <w:rtl w:val="off"/>
          <w:lang w:val="en-US"/>
        </w:rPr>
        <w:t>: Microsoft Project, Excel, Google Sheets</w:t>
      </w:r>
    </w:p>
    <w:p w14:paraId="000000E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4f81bd" w:themeColor="accent1"/>
          <w:sz w:val="18"/>
          <w:rtl w:val="off"/>
          <w:lang w:val="en-US"/>
        </w:rPr>
        <w:t>----------------------</w:t>
      </w:r>
      <w:r>
        <w:rPr>
          <w:rFonts w:ascii="Segoe UI"/>
          <w:color w:val="000000"/>
          <w:sz w:val="18"/>
          <w:lang w:val="en-US"/>
        </w:rPr>
        <w:br w:type="textWrapping"/>
      </w:r>
    </w:p>
    <w:p w14:paraId="000000E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7. Heat Maps</w:t>
      </w:r>
    </w:p>
    <w:p w14:paraId="000000E5">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Purpose</w:t>
      </w:r>
      <w:r>
        <w:rPr>
          <w:rFonts w:ascii="Segoe UI"/>
          <w:color w:val="000000"/>
          <w:sz w:val="18"/>
          <w:rtl w:val="off"/>
          <w:lang w:val="en-US"/>
        </w:rPr>
        <w:t>: Show areas of high priority or concentration in relation to various factors (such as market demand, cost savings, or technology adoption rate).</w:t>
      </w:r>
    </w:p>
    <w:p w14:paraId="000000E6">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Use</w:t>
      </w:r>
      <w:r>
        <w:rPr>
          <w:rFonts w:ascii="Segoe UI"/>
          <w:color w:val="000000"/>
          <w:sz w:val="18"/>
          <w:rtl w:val="off"/>
          <w:lang w:val="en-US"/>
        </w:rPr>
        <w:t>: Heat maps can help you identify the areas where each investment will have the most significant impact and highlight potential risks.</w:t>
      </w:r>
    </w:p>
    <w:p w14:paraId="000000E7">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Example</w:t>
      </w:r>
      <w:r>
        <w:rPr>
          <w:rFonts w:ascii="Segoe UI"/>
          <w:color w:val="000000"/>
          <w:sz w:val="18"/>
          <w:rtl w:val="off"/>
          <w:lang w:val="en-US"/>
        </w:rPr>
        <w:t>: Use a heat map to display the intensity of impact for each tech investment across different business units or regions.</w:t>
      </w:r>
    </w:p>
    <w:p w14:paraId="000000E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Tool Example</w:t>
      </w:r>
      <w:r>
        <w:rPr>
          <w:rFonts w:ascii="Segoe UI"/>
          <w:color w:val="000000"/>
          <w:sz w:val="18"/>
          <w:rtl w:val="off"/>
          <w:lang w:val="en-US"/>
        </w:rPr>
        <w:t>: Power BI, Tableau</w:t>
      </w:r>
    </w:p>
    <w:p w14:paraId="000000E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4f81bd" w:themeColor="accent1"/>
          <w:sz w:val="18"/>
          <w:rtl w:val="off"/>
          <w:lang w:val="en-US"/>
        </w:rPr>
        <w:t>----------------------</w:t>
      </w:r>
      <w:r>
        <w:rPr>
          <w:rFonts w:ascii="Segoe UI"/>
          <w:color w:val="000000"/>
          <w:sz w:val="18"/>
          <w:lang w:val="en-US"/>
        </w:rPr>
        <w:br w:type="textWrapping"/>
      </w:r>
    </w:p>
    <w:p w14:paraId="000000E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8. Cost-Benefit Analysis Table</w:t>
      </w:r>
    </w:p>
    <w:p w14:paraId="000000EB">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Purpose</w:t>
      </w:r>
      <w:r>
        <w:rPr>
          <w:rFonts w:ascii="Segoe UI"/>
          <w:color w:val="000000"/>
          <w:sz w:val="18"/>
          <w:rtl w:val="off"/>
          <w:lang w:val="en-US"/>
        </w:rPr>
        <w:t>: Show a detailed comparison of the costs and benefits for each tech investment in a structured table format.</w:t>
      </w:r>
    </w:p>
    <w:p w14:paraId="000000EC">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Use</w:t>
      </w:r>
      <w:r>
        <w:rPr>
          <w:rFonts w:ascii="Segoe UI"/>
          <w:color w:val="000000"/>
          <w:sz w:val="18"/>
          <w:rtl w:val="off"/>
          <w:lang w:val="en-US"/>
        </w:rPr>
        <w:t>: This table should include initial costs, ongoing maintenance costs, projected savings, and other relevant metrics to demonstrate the financial viability of each investment.</w:t>
      </w:r>
    </w:p>
    <w:p w14:paraId="000000ED">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Example</w:t>
      </w:r>
      <w:r>
        <w:rPr>
          <w:rFonts w:ascii="Segoe UI"/>
          <w:color w:val="000000"/>
          <w:sz w:val="18"/>
          <w:rtl w:val="off"/>
          <w:lang w:val="en-US"/>
        </w:rPr>
        <w:t>: A side-by-side table showing the cost and benefits of each technology, including both short-term and long-term impacts.</w:t>
      </w:r>
    </w:p>
    <w:p w14:paraId="000000E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Tool Example</w:t>
      </w:r>
      <w:r>
        <w:rPr>
          <w:rFonts w:ascii="Segoe UI"/>
          <w:color w:val="000000"/>
          <w:sz w:val="18"/>
          <w:rtl w:val="off"/>
          <w:lang w:val="en-US"/>
        </w:rPr>
        <w:t>: Excel, Google Sheets, Power BI</w:t>
      </w:r>
    </w:p>
    <w:p w14:paraId="000000E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4f81bd" w:themeColor="accent1"/>
          <w:sz w:val="18"/>
          <w:rtl w:val="off"/>
          <w:lang w:val="en-US"/>
        </w:rPr>
        <w:t>----------------------</w:t>
      </w:r>
      <w:r>
        <w:rPr>
          <w:rFonts w:ascii="Segoe UI"/>
          <w:color w:val="000000"/>
          <w:sz w:val="18"/>
          <w:lang w:val="en-US"/>
        </w:rPr>
        <w:br w:type="textWrapping"/>
      </w:r>
    </w:p>
    <w:p w14:paraId="000000F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32"/>
          <w:szCs w:val="32"/>
          <w:lang w:val="en-US"/>
        </w:rPr>
      </w:pPr>
      <w:r>
        <w:rPr>
          <w:rFonts w:ascii="Segoe UI"/>
          <w:color w:val="4f81bd" w:themeColor="accent1"/>
          <w:sz w:val="32"/>
          <w:szCs w:val="32"/>
          <w:rtl w:val="off"/>
          <w:lang w:val="en-US"/>
        </w:rPr>
        <w:t xml:space="preserve">3. </w:t>
      </w:r>
      <w:r>
        <w:rPr>
          <w:rFonts w:ascii="Segoe UI"/>
          <w:b/>
          <w:color w:val="4f81bd" w:themeColor="accent1"/>
          <w:sz w:val="32"/>
          <w:szCs w:val="32"/>
          <w:rtl w:val="off"/>
          <w:lang w:val="en-US"/>
        </w:rPr>
        <w:t>Flowchart for Decision-Making Process</w:t>
      </w:r>
    </w:p>
    <w:p w14:paraId="000000F1">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Purpose</w:t>
      </w:r>
      <w:r>
        <w:rPr>
          <w:rFonts w:ascii="Segoe UI"/>
          <w:color w:val="000000"/>
          <w:sz w:val="18"/>
          <w:rtl w:val="off"/>
          <w:lang w:val="en-US"/>
        </w:rPr>
        <w:t>: A flowchart can visually represent the decision-making process or the steps involved in implementing each tech investment.</w:t>
      </w:r>
    </w:p>
    <w:p w14:paraId="000000F2">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Use</w:t>
      </w:r>
      <w:r>
        <w:rPr>
          <w:rFonts w:ascii="Segoe UI"/>
          <w:color w:val="000000"/>
          <w:sz w:val="18"/>
          <w:rtl w:val="off"/>
          <w:lang w:val="en-US"/>
        </w:rPr>
        <w:t>: This can help explain how one investment leads to the next step in achieving broader business goals.</w:t>
      </w:r>
    </w:p>
    <w:p w14:paraId="000000F3">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Example</w:t>
      </w:r>
      <w:r>
        <w:rPr>
          <w:rFonts w:ascii="Segoe UI"/>
          <w:color w:val="000000"/>
          <w:sz w:val="18"/>
          <w:rtl w:val="off"/>
          <w:lang w:val="en-US"/>
        </w:rPr>
        <w:t>: A flowchart showing the process from identifying the need for tech investment to the final implementation and expected outcomes.</w:t>
      </w:r>
    </w:p>
    <w:p w14:paraId="000000F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Tool Example</w:t>
      </w:r>
      <w:r>
        <w:rPr>
          <w:rFonts w:ascii="Segoe UI"/>
          <w:color w:val="000000"/>
          <w:sz w:val="18"/>
          <w:rtl w:val="off"/>
          <w:lang w:val="en-US"/>
        </w:rPr>
        <w:t>: Lucidchart, Microsoft Visio, Google Drawings</w:t>
      </w:r>
    </w:p>
    <w:p w14:paraId="000000F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4f81bd" w:themeColor="accent1"/>
          <w:sz w:val="18"/>
          <w:rtl w:val="off"/>
          <w:lang w:val="en-US"/>
        </w:rPr>
        <w:t>----------------------</w:t>
      </w:r>
      <w:r>
        <w:rPr>
          <w:rFonts w:ascii="Segoe UI"/>
          <w:color w:val="000000"/>
          <w:sz w:val="18"/>
          <w:lang w:val="en-US"/>
        </w:rPr>
        <w:br w:type="textWrapping"/>
      </w:r>
    </w:p>
    <w:p w14:paraId="000000F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i w:val="off"/>
          <w:iCs w:val="off"/>
          <w:color w:val="4f81bd" w:themeColor="accent1"/>
          <w:sz w:val="32"/>
          <w:szCs w:val="32"/>
          <w:lang w:val="en-US"/>
        </w:rPr>
      </w:pPr>
      <w:r>
        <w:rPr>
          <w:rFonts w:ascii="Segoe UI"/>
          <w:b/>
          <w:bCs/>
          <w:i w:val="off"/>
          <w:iCs w:val="off"/>
          <w:color w:val="4f81bd" w:themeColor="accent1"/>
          <w:sz w:val="32"/>
          <w:szCs w:val="32"/>
          <w:rtl w:val="off"/>
          <w:lang w:val="en-US"/>
        </w:rPr>
        <w:t>Conclusion</w:t>
      </w:r>
    </w:p>
    <w:p w14:paraId="000000F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To effectively communicate the reasons for recommending the five tech investments to the client, we use a combination of charts, diagrams, and tools that make our analysis clear, visual, and easy to understand. Bar charts, line graphs, and pie charts are great for numerical comparisons, while SWOT (Strength/Weakness/Opportunity/Threat) analysis, flowcharts, and heat maps are useful for illustrating more qualitative insights.</w:t>
      </w:r>
    </w:p>
    <w:p w14:paraId="000000F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By combining these tools, we can provide a compelling case for each tech investment and demonstrate their value in the context of the client's specific business needs and industry trends.</w:t>
      </w:r>
    </w:p>
    <w:p w14:paraId="000000F9">
      <w:pPr>
        <w:rPr>
          <w:rFonts w:ascii="Arial" w:cs="Arial" w:hAnsi="Arial"/>
          <w:i/>
          <w:iCs/>
          <w:sz w:val="22"/>
          <w:szCs w:val="22"/>
        </w:rPr>
      </w:pPr>
    </w:p>
    <w:p w14:paraId="000000FA">
      <w:pPr>
        <w:rPr>
          <w:rFonts w:ascii="Arial" w:cs="Arial" w:hAnsi="Arial"/>
        </w:rPr>
      </w:pPr>
    </w:p>
    <w:p w14:paraId="000000FB">
      <w:pPr>
        <w:rPr>
          <w:rFonts w:ascii="Arial" w:cs="Arial" w:hAnsi="Arial"/>
        </w:rPr>
      </w:pPr>
    </w:p>
    <w:p w14:paraId="000000FC">
      <w:pPr>
        <w:rPr>
          <w:rFonts w:ascii="Arial" w:cs="Arial" w:hAnsi="Arial"/>
        </w:rPr>
      </w:pPr>
    </w:p>
    <w:p w14:paraId="000000FD">
      <w:pPr>
        <w:rPr>
          <w:rFonts w:ascii="Arial" w:cs="Arial" w:hAnsi="Arial"/>
        </w:rPr>
      </w:pPr>
    </w:p>
    <w:p w14:paraId="000000FE">
      <w:pPr>
        <w:rPr>
          <w:rFonts w:ascii="Arial" w:cs="Arial" w:hAnsi="Arial"/>
        </w:rPr>
      </w:pPr>
    </w:p>
    <w:p w14:paraId="000000FF">
      <w:pPr>
        <w:rPr>
          <w:rFonts w:ascii="Arial" w:cs="Arial" w:hAnsi="Arial"/>
        </w:rPr>
      </w:pPr>
    </w:p>
    <w:p w14:paraId="00000100">
      <w:pPr>
        <w:rPr>
          <w:rFonts w:ascii="Arial" w:cs="Arial" w:hAnsi="Arial"/>
        </w:rPr>
      </w:pPr>
    </w:p>
    <w:p w14:paraId="00000101">
      <w:pPr>
        <w:rPr>
          <w:rFonts w:ascii="Arial" w:cs="Arial" w:hAnsi="Arial"/>
        </w:rPr>
      </w:pPr>
    </w:p>
    <w:p w14:paraId="00000102">
      <w:pPr>
        <w:rPr>
          <w:rFonts w:ascii="Arial" w:cs="Arial" w:hAnsi="Arial"/>
        </w:rPr>
      </w:pPr>
    </w:p>
    <w:p w14:paraId="00000103">
      <w:pPr>
        <w:rPr>
          <w:rFonts w:ascii="Arial" w:cs="Arial" w:hAnsi="Arial"/>
        </w:rPr>
      </w:pPr>
    </w:p>
    <w:p w14:paraId="00000104">
      <w:pPr>
        <w:rPr>
          <w:rFonts w:ascii="Arial" w:cs="Arial" w:hAnsi="Arial"/>
        </w:rPr>
      </w:pPr>
    </w:p>
    <w:p w14:paraId="00000105">
      <w:pPr>
        <w:rPr>
          <w:rFonts w:ascii="Arial" w:cs="Arial" w:hAnsi="Arial"/>
        </w:rPr>
      </w:pPr>
    </w:p>
    <w:p w14:paraId="00000106">
      <w:pPr>
        <w:rPr>
          <w:rFonts w:ascii="Arial" w:cs="Arial" w:hAnsi="Arial"/>
        </w:rPr>
      </w:pPr>
    </w:p>
    <w:p w14:paraId="00000107">
      <w:pPr>
        <w:rPr>
          <w:rFonts w:ascii="Arial" w:cs="Arial" w:hAnsi="Arial"/>
        </w:rPr>
      </w:pPr>
    </w:p>
    <w:p w14:paraId="00000108">
      <w:pPr>
        <w:rPr>
          <w:rFonts w:ascii="Arial" w:cs="Arial" w:hAnsi="Arial"/>
        </w:rPr>
      </w:pPr>
    </w:p>
    <w:p w14:paraId="00000109">
      <w:pPr>
        <w:rPr>
          <w:rFonts w:ascii="Arial" w:cs="Arial" w:hAnsi="Arial"/>
        </w:rPr>
      </w:pPr>
    </w:p>
    <w:p w14:paraId="0000010A">
      <w:pPr>
        <w:rPr>
          <w:rFonts w:ascii="Arial" w:cs="Arial" w:hAnsi="Arial"/>
        </w:rPr>
      </w:pPr>
    </w:p>
    <w:p w14:paraId="0000010B">
      <w:pPr>
        <w:rPr>
          <w:rFonts w:ascii="Arial" w:cs="Arial" w:hAnsi="Arial"/>
        </w:rPr>
      </w:pPr>
    </w:p>
    <w:p w14:paraId="0000010C">
      <w:pPr>
        <w:rPr>
          <w:rFonts w:ascii="Arial" w:cs="Arial" w:hAnsi="Arial"/>
        </w:rPr>
      </w:pPr>
    </w:p>
    <w:p w14:paraId="0000010D">
      <w:pPr>
        <w:rPr>
          <w:rFonts w:ascii="Arial" w:cs="Arial" w:hAnsi="Arial"/>
        </w:rPr>
      </w:pPr>
    </w:p>
    <w:p w14:paraId="0000010E">
      <w:pPr>
        <w:rPr>
          <w:rFonts w:ascii="Arial" w:cs="Arial" w:hAnsi="Arial"/>
        </w:rPr>
      </w:pPr>
    </w:p>
    <w:p w14:paraId="0000010F">
      <w:pPr>
        <w:rPr>
          <w:rFonts w:ascii="Arial" w:cs="Arial" w:hAnsi="Arial"/>
        </w:rPr>
      </w:pPr>
    </w:p>
    <w:p w14:paraId="00000110">
      <w:pPr>
        <w:rPr>
          <w:rFonts w:ascii="Arial" w:cs="Arial" w:hAnsi="Arial"/>
        </w:rPr>
      </w:pPr>
    </w:p>
    <w:p w14:paraId="00000111">
      <w:pPr>
        <w:rPr>
          <w:rFonts w:ascii="Arial" w:cs="Arial" w:hAnsi="Arial"/>
        </w:rPr>
      </w:pPr>
    </w:p>
    <w:p w14:paraId="00000112">
      <w:pPr>
        <w:rPr>
          <w:rFonts w:ascii="Arial" w:cs="Arial" w:hAnsi="Arial"/>
        </w:rPr>
      </w:pPr>
    </w:p>
    <w:p w14:paraId="00000113">
      <w:pPr>
        <w:rPr>
          <w:rFonts w:ascii="Arial" w:cs="Arial" w:hAnsi="Arial"/>
        </w:rPr>
      </w:pPr>
    </w:p>
    <w:p w14:paraId="00000114">
      <w:pPr>
        <w:rPr>
          <w:rFonts w:ascii="Arial" w:cs="Arial" w:hAnsi="Arial"/>
        </w:rPr>
      </w:pPr>
    </w:p>
    <w:p w14:paraId="00000115">
      <w:pPr>
        <w:rPr>
          <w:rFonts w:ascii="Arial" w:cs="Arial" w:hAnsi="Arial"/>
        </w:rPr>
      </w:pPr>
    </w:p>
    <w:p w14:paraId="00000116">
      <w:pPr>
        <w:rPr>
          <w:rFonts w:ascii="Arial" w:cs="Arial" w:hAnsi="Arial"/>
        </w:rPr>
      </w:pPr>
    </w:p>
    <w:p w14:paraId="00000117">
      <w:pPr>
        <w:rPr>
          <w:rFonts w:ascii="Arial" w:cs="Arial" w:hAnsi="Arial"/>
        </w:rPr>
      </w:pPr>
    </w:p>
    <w:p w14:paraId="00000118">
      <w:pPr>
        <w:rPr>
          <w:rFonts w:ascii="Arial" w:cs="Arial" w:hAnsi="Arial"/>
        </w:rPr>
      </w:pPr>
    </w:p>
    <w:p w14:paraId="00000119">
      <w:pPr>
        <w:rPr>
          <w:rFonts w:ascii="Arial" w:cs="Arial" w:hAnsi="Arial"/>
        </w:rPr>
      </w:pPr>
    </w:p>
    <w:p w14:paraId="0000011A">
      <w:pPr>
        <w:rPr>
          <w:rFonts w:ascii="Arial" w:cs="Arial" w:hAnsi="Arial"/>
        </w:rPr>
      </w:pPr>
    </w:p>
    <w:p w14:paraId="0000011B">
      <w:pPr>
        <w:rPr>
          <w:rFonts w:ascii="Arial" w:cs="Arial" w:hAnsi="Arial"/>
        </w:rPr>
      </w:pPr>
    </w:p>
    <w:p w14:paraId="0000011C">
      <w:pPr>
        <w:rPr>
          <w:rFonts w:ascii="Arial" w:cs="Arial" w:hAnsi="Arial"/>
        </w:rPr>
      </w:pPr>
      <w:r>
        <w:rPr>
          <w:rFonts w:ascii="Arial" w:cs="Arial" w:hAnsi="Arial"/>
        </w:rPr>
        <w:br w:type="page"/>
      </w:r>
    </w:p>
    <w:p w14:paraId="0000011D">
      <w:pPr>
        <w:rPr>
          <w:rFonts w:ascii="Arial" w:cs="Arial" w:hAnsi="Arial"/>
        </w:rPr>
      </w:pPr>
    </w:p>
    <w:tbl>
      <w:tblPr>
        <w:tblStyle w:val="ListTable4Accent6"/>
        <w:tblW w:w="0" w:type="auto"/>
        <w:tblLook w:val="01E0"/>
      </w:tblPr>
      <w:tblGrid>
        <w:gridCol w:w="9016"/>
      </w:tblGrid>
      <w:tr>
        <w:trPr>
          <w:cnfStyle w:val="100000000000"/>
          <w:trHeight w:val="624"/>
        </w:trPr>
        <w:tc>
          <w:tcPr>
            <w:cnfStyle w:val="101000000000"/>
            <w:tcW w:w="9016" w:type="dxa"/>
            <w:vAlign w:val="center"/>
          </w:tcPr>
          <w:p w14:paraId="0000011E">
            <w:pPr>
              <w:rPr>
                <w:rFonts w:ascii="Arial" w:cs="Arial" w:hAnsi="Arial"/>
                <w:bCs w:val="off"/>
              </w:rPr>
            </w:pPr>
            <w:r>
              <w:rPr>
                <w:rFonts w:ascii="Arial" w:cs="Arial" w:hAnsi="Arial"/>
                <w:bCs w:val="off"/>
              </w:rPr>
              <w:t xml:space="preserve">Question </w:t>
            </w:r>
            <w:r>
              <w:rPr>
                <w:rFonts w:ascii="Arial" w:cs="Arial" w:hAnsi="Arial"/>
                <w:bCs w:val="off"/>
              </w:rPr>
              <w:t>3.0</w:t>
            </w:r>
            <w:r>
              <w:rPr>
                <w:rFonts w:ascii="Arial" w:cs="Arial" w:hAnsi="Arial"/>
                <w:bCs w:val="off"/>
              </w:rPr>
              <w:t xml:space="preserve">: </w:t>
            </w:r>
            <w:r>
              <w:rPr>
                <w:rFonts w:ascii="Arial" w:cs="Arial" w:hAnsi="Arial"/>
                <w:bCs w:val="off"/>
              </w:rPr>
              <w:t>Purpose and Functions of Data Architecture</w:t>
            </w:r>
          </w:p>
        </w:tc>
      </w:tr>
      <w:tr>
        <w:trPr>
          <w:cnfStyle w:val="010000000000"/>
          <w:trHeight w:val="624"/>
        </w:trPr>
        <w:tc>
          <w:tcPr>
            <w:cnfStyle w:val="011000000000"/>
            <w:tcW w:w="9016" w:type="dxa"/>
            <w:vAlign w:val="center"/>
          </w:tcPr>
          <w:p w14:paraId="0000011F">
            <w:pPr>
              <w:rPr>
                <w:rFonts w:ascii="Arial" w:cs="Arial" w:hAnsi="Arial"/>
                <w:b w:val="off"/>
              </w:rPr>
            </w:pPr>
          </w:p>
          <w:p w14:paraId="00000120">
            <w:pPr>
              <w:rPr>
                <w:rFonts w:ascii="Arial" w:cs="Arial" w:hAnsi="Arial"/>
                <w:b w:val="off"/>
              </w:rPr>
            </w:pPr>
            <w:r>
              <w:rPr>
                <w:rFonts w:ascii="Arial" w:cs="Arial" w:hAnsi="Arial"/>
                <w:b w:val="off"/>
              </w:rPr>
              <w:t xml:space="preserve">Considering your company’s database system, list 3 entities for which data must be held. </w:t>
            </w:r>
          </w:p>
          <w:p w14:paraId="00000121">
            <w:pPr>
              <w:rPr>
                <w:rFonts w:ascii="Arial" w:cs="Arial" w:hAnsi="Arial"/>
                <w:bCs w:val="off"/>
              </w:rPr>
            </w:pPr>
          </w:p>
          <w:p w14:paraId="00000122">
            <w:pPr>
              <w:rPr>
                <w:rFonts w:ascii="Arial" w:cs="Arial" w:hAnsi="Arial"/>
                <w:b w:val="off"/>
              </w:rPr>
            </w:pPr>
            <w:r>
              <w:rPr>
                <w:rFonts w:ascii="Arial" w:cs="Arial" w:hAnsi="Arial"/>
                <w:b w:val="off"/>
              </w:rPr>
              <w:t>Prepare a brief table of the type of information</w:t>
            </w:r>
            <w:r>
              <w:rPr>
                <w:rFonts w:ascii="Arial" w:cs="Arial" w:hAnsi="Arial"/>
                <w:b w:val="off"/>
              </w:rPr>
              <w:t xml:space="preserve"> (i.e. attribute) </w:t>
            </w:r>
            <w:r>
              <w:rPr>
                <w:rFonts w:ascii="Arial" w:cs="Arial" w:hAnsi="Arial"/>
                <w:b w:val="off"/>
              </w:rPr>
              <w:t xml:space="preserve">you would </w:t>
            </w:r>
            <w:r>
              <w:rPr>
                <w:rFonts w:ascii="Arial" w:cs="Arial" w:hAnsi="Arial"/>
                <w:b w:val="off"/>
              </w:rPr>
              <w:t xml:space="preserve">store </w:t>
            </w:r>
            <w:r>
              <w:rPr>
                <w:rFonts w:ascii="Arial" w:cs="Arial" w:hAnsi="Arial"/>
                <w:b w:val="off"/>
              </w:rPr>
              <w:t xml:space="preserve">for </w:t>
            </w:r>
            <w:r>
              <w:rPr>
                <w:rFonts w:ascii="Arial" w:cs="Arial" w:hAnsi="Arial"/>
                <w:b w:val="off"/>
              </w:rPr>
              <w:t>ONE of the entities you mentioned above. For each attribute define its data format (</w:t>
            </w:r>
            <w:r>
              <w:rPr>
                <w:rFonts w:ascii="Arial" w:cs="Arial" w:hAnsi="Arial"/>
                <w:b w:val="off"/>
              </w:rPr>
              <w:t>e.g. client</w:t>
            </w:r>
            <w:r>
              <w:rPr>
                <w:rFonts w:ascii="Arial" w:cs="Arial" w:hAnsi="Arial"/>
                <w:b w:val="off"/>
              </w:rPr>
              <w:t>’s</w:t>
            </w:r>
            <w:r>
              <w:rPr>
                <w:rFonts w:ascii="Arial" w:cs="Arial" w:hAnsi="Arial"/>
                <w:b w:val="off"/>
              </w:rPr>
              <w:t xml:space="preserve"> first name</w:t>
            </w:r>
            <w:r>
              <w:rPr>
                <w:rFonts w:ascii="Arial" w:cs="Arial" w:hAnsi="Arial"/>
                <w:b w:val="off"/>
              </w:rPr>
              <w:t xml:space="preserve">, 20 </w:t>
            </w:r>
            <w:r>
              <w:rPr>
                <w:rFonts w:ascii="Arial" w:cs="Arial" w:hAnsi="Arial"/>
                <w:b w:val="off"/>
              </w:rPr>
              <w:t>character</w:t>
            </w:r>
            <w:r>
              <w:rPr>
                <w:rFonts w:ascii="Arial" w:cs="Arial" w:hAnsi="Arial"/>
                <w:b w:val="off"/>
              </w:rPr>
              <w:t xml:space="preserve">s, </w:t>
            </w:r>
            <w:r>
              <w:rPr>
                <w:rFonts w:ascii="Arial" w:cs="Arial" w:hAnsi="Arial"/>
                <w:b w:val="off"/>
              </w:rPr>
              <w:t>string)</w:t>
            </w:r>
          </w:p>
          <w:p w14:paraId="00000123">
            <w:pPr>
              <w:rPr>
                <w:rFonts w:ascii="Arial" w:cs="Arial" w:hAnsi="Arial"/>
                <w:b w:val="off"/>
              </w:rPr>
            </w:pPr>
          </w:p>
          <w:p w14:paraId="00000124">
            <w:pPr>
              <w:rPr>
                <w:rFonts w:ascii="Arial" w:cs="Arial" w:hAnsi="Arial"/>
                <w:b w:val="off"/>
              </w:rPr>
            </w:pPr>
            <w:r>
              <w:rPr>
                <w:rFonts w:ascii="Arial" w:cs="Arial" w:hAnsi="Arial"/>
                <w:b w:val="off"/>
              </w:rPr>
              <w:t xml:space="preserve">How would you ensure clients’ information is secure from unauthorised access and maintenance? </w:t>
            </w:r>
          </w:p>
          <w:p w14:paraId="00000125">
            <w:pPr>
              <w:rPr>
                <w:rFonts w:ascii="Arial" w:cs="Arial" w:hAnsi="Arial"/>
                <w:bCs w:val="off"/>
              </w:rPr>
            </w:pPr>
          </w:p>
        </w:tc>
      </w:tr>
    </w:tbl>
    <w:p w14:paraId="00000126">
      <w:pPr>
        <w:rPr>
          <w:rFonts w:ascii="Arial" w:cs="Arial" w:hAnsi="Arial"/>
        </w:rPr>
      </w:pPr>
    </w:p>
    <w:p w14:paraId="00000127">
      <w:pPr>
        <w:rPr>
          <w:rFonts w:ascii="Arial" w:cs="Arial" w:hAnsi="Arial"/>
          <w:i/>
          <w:iCs/>
          <w:sz w:val="22"/>
          <w:szCs w:val="22"/>
        </w:rPr>
      </w:pPr>
      <w:r>
        <w:rPr>
          <w:rFonts w:ascii="Arial" w:cs="Arial" w:hAnsi="Arial"/>
          <w:i/>
          <w:iCs/>
          <w:sz w:val="22"/>
          <w:szCs w:val="22"/>
        </w:rPr>
        <w:t>Enter your answer below:</w:t>
      </w:r>
    </w:p>
    <w:p w14:paraId="00000128">
      <w:pPr>
        <w:rPr>
          <w:rFonts w:ascii="Arial" w:cs="Arial" w:hAnsi="Arial"/>
          <w:i/>
          <w:iCs/>
          <w:sz w:val="22"/>
          <w:szCs w:val="22"/>
        </w:rPr>
      </w:pPr>
    </w:p>
    <w:p w14:paraId="000001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Before our analysis, we need a clear understanding of the data used for our company scenario, including the format of data such as:</w:t>
      </w:r>
    </w:p>
    <w:p w14:paraId="0000012A">
      <w:pPr>
        <w:framePr w:w="0" w:h="0" w:vAnchor="margin" w:hAnchor="text" w:x="0" w:y="0"/>
        <w:numPr>
          <w:numId w:val="30"/>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Alphabetic, Numeric, and Alphanumeric:</w:t>
      </w:r>
    </w:p>
    <w:p w14:paraId="0000012B">
      <w:pPr>
        <w:framePr w:w="0" w:h="0" w:vAnchor="margin" w:hAnchor="text" w:x="0" w:y="0"/>
        <w:numPr>
          <w:ilvl w:val="1"/>
          <w:numId w:val="30"/>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right="0" w:hanging="360"/>
        <w:jc w:val="left"/>
        <w:rPr>
          <w:rFonts w:ascii="Segoe UI"/>
          <w:b w:val="off"/>
          <w:bCs w:val="off"/>
          <w:color w:val="000000"/>
          <w:sz w:val="18"/>
          <w:lang w:val="en-US"/>
        </w:rPr>
      </w:pPr>
      <w:r>
        <w:rPr>
          <w:rFonts w:ascii="Segoe UI"/>
          <w:b w:val="off"/>
          <w:bCs w:val="off"/>
          <w:color w:val="000000"/>
          <w:sz w:val="18"/>
          <w:rtl w:val="off"/>
          <w:lang w:val="en-US"/>
        </w:rPr>
        <w:t>Character Strings, Integers, and Decimals</w:t>
      </w:r>
    </w:p>
    <w:p w14:paraId="0000012C">
      <w:pPr>
        <w:framePr w:w="0" w:h="0" w:vAnchor="margin" w:hAnchor="text" w:x="0" w:y="0"/>
        <w:numPr>
          <w:numId w:val="30"/>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Temporal Data:</w:t>
      </w:r>
    </w:p>
    <w:p w14:paraId="0000012D">
      <w:pPr>
        <w:framePr w:w="0" w:h="0" w:vAnchor="margin" w:hAnchor="text" w:x="0" w:y="0"/>
        <w:numPr>
          <w:ilvl w:val="1"/>
          <w:numId w:val="30"/>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Data recording events or changes over time (e.g., user logins/logouts, stock market prices)</w:t>
      </w:r>
    </w:p>
    <w:p w14:paraId="0000012E">
      <w:pPr>
        <w:framePr w:w="0" w:h="0" w:vAnchor="margin" w:hAnchor="text" w:x="0" w:y="0"/>
        <w:numPr>
          <w:numId w:val="30"/>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Geospatial Data:</w:t>
      </w:r>
    </w:p>
    <w:p w14:paraId="0000012F">
      <w:pPr>
        <w:framePr w:w="0" w:h="0" w:vAnchor="margin" w:hAnchor="text" w:x="0" w:y="0"/>
        <w:numPr>
          <w:ilvl w:val="1"/>
          <w:numId w:val="30"/>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Mapping coordinates, 3D referencing, GPS locations</w:t>
      </w:r>
    </w:p>
    <w:p w14:paraId="00000130">
      <w:pPr>
        <w:framePr w:w="0" w:h="0" w:vAnchor="margin" w:hAnchor="text" w:x="0" w:y="0"/>
        <w:numPr>
          <w:numId w:val="30"/>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Media Data:</w:t>
      </w:r>
    </w:p>
    <w:p w14:paraId="00000131">
      <w:pPr>
        <w:framePr w:w="0" w:h="0" w:vAnchor="margin" w:hAnchor="text" w:x="0" w:y="0"/>
        <w:numPr>
          <w:ilvl w:val="1"/>
          <w:numId w:val="30"/>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Data from social media and news outlets</w:t>
      </w:r>
    </w:p>
    <w:p w14:paraId="00000132">
      <w:pPr>
        <w:framePr w:w="0" w:h="0" w:vAnchor="margin" w:hAnchor="text" w:x="0" w:y="0"/>
        <w:numPr>
          <w:numId w:val="30"/>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Logical Data:</w:t>
      </w:r>
    </w:p>
    <w:p w14:paraId="00000133">
      <w:pPr>
        <w:framePr w:w="0" w:h="0" w:vAnchor="margin" w:hAnchor="text" w:x="0" w:y="0"/>
        <w:numPr>
          <w:ilvl w:val="1"/>
          <w:numId w:val="30"/>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Data defining rules and conditions for decision-making</w:t>
      </w:r>
    </w:p>
    <w:p w14:paraId="00000134">
      <w:pPr>
        <w:framePr w:w="0" w:h="0" w:vAnchor="margin" w:hAnchor="text" w:x="0" w:y="0"/>
        <w:numPr>
          <w:numId w:val="30"/>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Reference Data:</w:t>
      </w:r>
    </w:p>
    <w:p w14:paraId="00000135">
      <w:pPr>
        <w:framePr w:w="0" w:h="0" w:vAnchor="margin" w:hAnchor="text" w:x="0" w:y="0"/>
        <w:numPr>
          <w:ilvl w:val="1"/>
          <w:numId w:val="30"/>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Fixed, unchanging data used to classify or categorize (e.g., Dewey Decimal system, animal kingdom classification)</w:t>
      </w:r>
    </w:p>
    <w:p w14:paraId="00000136">
      <w:pPr>
        <w:framePr w:w="0" w:h="0" w:vAnchor="margin" w:hAnchor="text" w:x="0" w:y="0"/>
        <w:numPr>
          <w:ilvl w:val="1"/>
          <w:numId w:val="30"/>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p>
    <w:p w14:paraId="0000013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We also need a clear understanding of the following when </w:t>
      </w:r>
      <w:r>
        <w:rPr>
          <w:rFonts w:ascii="Segoe UI"/>
          <w:b/>
          <w:color w:val="000000"/>
          <w:sz w:val="18"/>
          <w:rtl w:val="off"/>
          <w:lang w:val="en-US"/>
        </w:rPr>
        <w:t>selecting appropriate data formats</w:t>
      </w:r>
      <w:r>
        <w:rPr>
          <w:rFonts w:ascii="Segoe UI"/>
          <w:color w:val="000000"/>
          <w:sz w:val="18"/>
          <w:rtl w:val="off"/>
          <w:lang w:val="en-US"/>
        </w:rPr>
        <w:t>:</w:t>
      </w:r>
    </w:p>
    <w:p w14:paraId="00000138">
      <w:pPr>
        <w:framePr w:w="0" w:h="0" w:vAnchor="margin" w:hAnchor="text" w:x="0" w:y="0"/>
        <w:numPr>
          <w:numId w:val="30"/>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Data Consistency:</w:t>
      </w:r>
    </w:p>
    <w:p w14:paraId="00000139">
      <w:pPr>
        <w:framePr w:w="0" w:h="0" w:vAnchor="margin" w:hAnchor="text" w:x="0" w:y="0"/>
        <w:numPr>
          <w:ilvl w:val="1"/>
          <w:numId w:val="30"/>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Using the same data format when merging datasets</w:t>
      </w:r>
    </w:p>
    <w:p w14:paraId="0000013A">
      <w:pPr>
        <w:framePr w:w="0" w:h="0" w:vAnchor="margin" w:hAnchor="text" w:x="0" w:y="0"/>
        <w:numPr>
          <w:ilvl w:val="1"/>
          <w:numId w:val="30"/>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Ensuring consistency in data types (e.g., integer vs decimal) within the same dataset</w:t>
      </w:r>
    </w:p>
    <w:p w14:paraId="0000013B">
      <w:pPr>
        <w:framePr w:w="0" w:h="0" w:vAnchor="margin" w:hAnchor="text" w:x="0" w:y="0"/>
        <w:numPr>
          <w:ilvl w:val="1"/>
          <w:numId w:val="30"/>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Converting data to a common unit of measurement (e.g., inches vs centimeters)</w:t>
      </w:r>
    </w:p>
    <w:p w14:paraId="0000013C">
      <w:pPr>
        <w:framePr w:w="0" w:h="0" w:vAnchor="margin" w:hAnchor="text" w:x="0" w:y="0"/>
        <w:numPr>
          <w:numId w:val="30"/>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Measure Calculation:</w:t>
      </w:r>
    </w:p>
    <w:p w14:paraId="0000013D">
      <w:pPr>
        <w:framePr w:w="0" w:h="0" w:vAnchor="margin" w:hAnchor="text" w:x="0" w:y="0"/>
        <w:numPr>
          <w:ilvl w:val="1"/>
          <w:numId w:val="30"/>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Using the appropriate format for specific purposes (e.g., integer format for vehicle speed on a motorway, decimal format for population statistics)</w:t>
      </w:r>
    </w:p>
    <w:p w14:paraId="0000013E">
      <w:pPr>
        <w:framePr w:w="0" w:h="0" w:vAnchor="margin" w:hAnchor="text" w:x="0" w:y="0"/>
        <w:numPr>
          <w:numId w:val="30"/>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Unit Conversion:</w:t>
      </w:r>
    </w:p>
    <w:p w14:paraId="0000013F">
      <w:pPr>
        <w:framePr w:w="0" w:h="0" w:vAnchor="margin" w:hAnchor="text" w:x="0" w:y="0"/>
        <w:numPr>
          <w:ilvl w:val="1"/>
          <w:numId w:val="30"/>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Converting to standard units of measurement (e.g., inches to centimeters, Celsius to Fahrenheit)</w:t>
      </w:r>
    </w:p>
    <w:p w14:paraId="00000140">
      <w:pPr>
        <w:framePr w:w="0" w:h="0" w:vAnchor="margin" w:hAnchor="text" w:x="0" w:y="0"/>
        <w:numPr>
          <w:ilvl w:val="1"/>
          <w:numId w:val="30"/>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Assigning numeric values to ordinal data (e.g., Grade A = 5 units, Grade B = 3 units)</w:t>
      </w:r>
    </w:p>
    <w:p w14:paraId="00000141">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right="0"/>
        <w:jc w:val="left"/>
        <w:rPr>
          <w:rFonts w:ascii="Segoe UI"/>
          <w:color w:val="000000"/>
          <w:sz w:val="18"/>
          <w:lang w:val="en-US"/>
        </w:rPr>
      </w:pPr>
    </w:p>
    <w:p w14:paraId="00000142">
      <w:pPr>
        <w:rPr>
          <w:rFonts w:ascii="Arial" w:cs="Arial" w:hAnsi="Arial"/>
          <w:i/>
          <w:iCs/>
          <w:sz w:val="22"/>
          <w:szCs w:val="22"/>
        </w:rPr>
      </w:pPr>
    </w:p>
    <w:p w14:paraId="0000014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32"/>
          <w:szCs w:val="32"/>
          <w:lang w:val="en-US"/>
        </w:rPr>
      </w:pPr>
      <w:r>
        <w:rPr>
          <w:rFonts w:ascii="Segoe UI"/>
          <w:b/>
          <w:bCs/>
          <w:color w:val="4f81bd" w:themeColor="accent1"/>
          <w:sz w:val="32"/>
          <w:szCs w:val="32"/>
          <w:rtl w:val="off"/>
          <w:lang w:val="en-US"/>
        </w:rPr>
        <w:t>1.</w:t>
      </w:r>
      <w:r>
        <w:rPr>
          <w:rFonts w:ascii="Segoe UI"/>
          <w:color w:val="4f81bd" w:themeColor="accent1"/>
          <w:sz w:val="32"/>
          <w:szCs w:val="32"/>
          <w:rtl w:val="off"/>
          <w:lang w:val="en-US"/>
        </w:rPr>
        <w:t xml:space="preserve"> </w:t>
      </w:r>
      <w:r>
        <w:rPr>
          <w:rFonts w:ascii="Segoe UI"/>
          <w:b/>
          <w:color w:val="4f81bd" w:themeColor="accent1"/>
          <w:sz w:val="32"/>
          <w:szCs w:val="32"/>
          <w:rtl w:val="off"/>
          <w:lang w:val="en-US"/>
        </w:rPr>
        <w:t>Entities for Data Storage</w:t>
      </w:r>
    </w:p>
    <w:p w14:paraId="0000014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Considering our company’s database system scenario example, here are </w:t>
      </w:r>
      <w:r>
        <w:rPr>
          <w:rFonts w:ascii="Segoe UI"/>
          <w:b/>
          <w:color w:val="000000"/>
          <w:sz w:val="18"/>
          <w:rtl w:val="off"/>
          <w:lang w:val="en-US"/>
        </w:rPr>
        <w:t>three entities</w:t>
      </w:r>
      <w:r>
        <w:rPr>
          <w:rFonts w:ascii="Segoe UI"/>
          <w:color w:val="000000"/>
          <w:sz w:val="18"/>
          <w:rtl w:val="off"/>
          <w:lang w:val="en-US"/>
        </w:rPr>
        <w:t xml:space="preserve"> / </w:t>
      </w:r>
      <w:r>
        <w:rPr>
          <w:rFonts w:ascii="Segoe UI"/>
          <w:b/>
          <w:bCs/>
          <w:color w:val="000000"/>
          <w:sz w:val="18"/>
          <w:rtl w:val="off"/>
          <w:lang w:val="en-US"/>
        </w:rPr>
        <w:t>tables</w:t>
      </w:r>
      <w:r>
        <w:rPr>
          <w:rFonts w:ascii="Segoe UI"/>
          <w:color w:val="000000"/>
          <w:sz w:val="18"/>
          <w:rtl w:val="off"/>
          <w:lang w:val="en-US"/>
        </w:rPr>
        <w:t xml:space="preserve"> for which data must be held:</w:t>
      </w:r>
    </w:p>
    <w:p w14:paraId="00000145">
      <w:pPr>
        <w:framePr w:w="0" w:h="0" w:vAnchor="margin" w:hAnchor="text" w:x="0" w:y="0"/>
        <w:numPr>
          <w:ilvl w:val="0"/>
          <w:numId w:val="2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Clients</w:t>
      </w:r>
    </w:p>
    <w:p w14:paraId="00000146">
      <w:pPr>
        <w:framePr w:w="0" w:h="0" w:vAnchor="margin" w:hAnchor="text" w:x="0" w:y="0"/>
        <w:numPr>
          <w:ilvl w:val="0"/>
          <w:numId w:val="2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Products</w:t>
      </w:r>
    </w:p>
    <w:p w14:paraId="00000147">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Orders</w:t>
      </w:r>
    </w:p>
    <w:p w14:paraId="0000014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For this example, I’ll focus on </w:t>
      </w:r>
      <w:r>
        <w:rPr>
          <w:rFonts w:ascii="Segoe UI"/>
          <w:b/>
          <w:color w:val="000000"/>
          <w:sz w:val="18"/>
          <w:rtl w:val="off"/>
          <w:lang w:val="en-US"/>
        </w:rPr>
        <w:t>Clients</w:t>
      </w:r>
      <w:r>
        <w:rPr>
          <w:rFonts w:ascii="Segoe UI"/>
          <w:color w:val="000000"/>
          <w:sz w:val="18"/>
          <w:rtl w:val="off"/>
          <w:lang w:val="en-US"/>
        </w:rPr>
        <w:t xml:space="preserve"> and the attributes to be stored for this entity.</w:t>
      </w:r>
    </w:p>
    <w:p w14:paraId="0000014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32"/>
          <w:szCs w:val="32"/>
          <w:lang w:val="en-US"/>
        </w:rPr>
      </w:pPr>
      <w:r>
        <w:rPr>
          <w:rFonts w:ascii="Segoe UI"/>
          <w:b/>
          <w:bCs/>
          <w:color w:val="4f81bd" w:themeColor="accent1"/>
          <w:sz w:val="32"/>
          <w:szCs w:val="32"/>
          <w:rtl w:val="off"/>
          <w:lang w:val="en-US"/>
        </w:rPr>
        <w:t>2.</w:t>
      </w:r>
      <w:r>
        <w:rPr>
          <w:rFonts w:ascii="Segoe UI"/>
          <w:color w:val="4f81bd" w:themeColor="accent1"/>
          <w:sz w:val="32"/>
          <w:szCs w:val="32"/>
          <w:rtl w:val="off"/>
          <w:lang w:val="en-US"/>
        </w:rPr>
        <w:t xml:space="preserve"> </w:t>
      </w:r>
      <w:r>
        <w:rPr>
          <w:rFonts w:ascii="Segoe UI"/>
          <w:b/>
          <w:color w:val="4f81bd" w:themeColor="accent1"/>
          <w:sz w:val="32"/>
          <w:szCs w:val="32"/>
          <w:rtl w:val="off"/>
          <w:lang w:val="en-US"/>
        </w:rPr>
        <w:t>Client Entity: Attributes and Data Formats</w:t>
      </w:r>
    </w:p>
    <w:p w14:paraId="0000014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Here's a table of the </w:t>
      </w:r>
      <w:r>
        <w:rPr>
          <w:rFonts w:ascii="Segoe UI"/>
          <w:b/>
          <w:color w:val="000000"/>
          <w:sz w:val="18"/>
          <w:rtl w:val="off"/>
          <w:lang w:val="en-US"/>
        </w:rPr>
        <w:t>attributes</w:t>
      </w:r>
      <w:r>
        <w:rPr>
          <w:rFonts w:ascii="Segoe UI"/>
          <w:color w:val="000000"/>
          <w:sz w:val="18"/>
          <w:rtl w:val="off"/>
          <w:lang w:val="en-US"/>
        </w:rPr>
        <w:t xml:space="preserve"> and their </w:t>
      </w:r>
      <w:r>
        <w:rPr>
          <w:rFonts w:ascii="Segoe UI"/>
          <w:b/>
          <w:color w:val="000000"/>
          <w:sz w:val="18"/>
          <w:rtl w:val="off"/>
          <w:lang w:val="en-US"/>
        </w:rPr>
        <w:t>data formats</w:t>
      </w:r>
      <w:r>
        <w:rPr>
          <w:rFonts w:ascii="Segoe UI"/>
          <w:color w:val="000000"/>
          <w:sz w:val="18"/>
          <w:rtl w:val="off"/>
          <w:lang w:val="en-US"/>
        </w:rPr>
        <w:t xml:space="preserve"> for the </w:t>
      </w:r>
      <w:r>
        <w:rPr>
          <w:rFonts w:ascii="Segoe UI"/>
          <w:b/>
          <w:color w:val="000000"/>
          <w:sz w:val="18"/>
          <w:rtl w:val="off"/>
          <w:lang w:val="en-US"/>
        </w:rPr>
        <w:t>Client</w:t>
      </w:r>
      <w:r>
        <w:rPr>
          <w:rFonts w:ascii="Segoe UI"/>
          <w:color w:val="000000"/>
          <w:sz w:val="18"/>
          <w:rtl w:val="off"/>
          <w:lang w:val="en-US"/>
        </w:rPr>
        <w:t xml:space="preserve"> entity:</w:t>
      </w:r>
    </w:p>
    <w:p w14:paraId="0000014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rtl w:val="off"/>
          <w:lang w:val="en-US"/>
        </w:rPr>
      </w:pPr>
      <w:r>
        <w:rPr>
          <w:rFonts w:ascii="Segoe UI"/>
          <w:color w:val="000000"/>
          <w:sz w:val="36"/>
          <w:rtl w:val="off"/>
          <w:lang w:val="en-US"/>
        </w:rPr>
        <w:drawing xmlns:mc="http://schemas.openxmlformats.org/markup-compatibility/2006">
          <wp:inline distT="0" distB="0" distL="0" distR="0">
            <wp:extent cx="5731510" cy="330073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Grp="0" noSelect="0" noChangeAspect="1" noMove="0"/>
                    </pic:cNvPicPr>
                  </pic:nvPicPr>
                  <pic:blipFill>
                    <a:blip r:embed="rId15"/>
                    <a:srcRect/>
                    <a:stretch>
                      <a:fillRect/>
                    </a:stretch>
                  </pic:blipFill>
                  <pic:spPr>
                    <a:xfrm>
                      <a:off x="0" y="0"/>
                      <a:ext cx="5731510" cy="3300730"/>
                    </a:xfrm>
                    <a:prstGeom prst="rect">
                      <a:avLst/>
                    </a:prstGeom>
                  </pic:spPr>
                </pic:pic>
              </a:graphicData>
            </a:graphic>
          </wp:inline>
        </w:drawing>
      </w:r>
    </w:p>
    <w:p w14:paraId="0000014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rtl w:val="off"/>
          <w:lang w:val="en-US"/>
        </w:rPr>
      </w:pPr>
    </w:p>
    <w:p w14:paraId="0000014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2"/>
          <w:szCs w:val="32"/>
          <w:lang w:val="en-US"/>
        </w:rPr>
      </w:pPr>
      <w:r>
        <w:rPr>
          <w:rFonts w:ascii="Segoe UI"/>
          <w:b/>
          <w:bCs/>
          <w:color w:val="4f81bd" w:themeColor="accent1"/>
          <w:sz w:val="32"/>
          <w:szCs w:val="32"/>
          <w:rtl w:val="off"/>
          <w:lang w:val="en-US"/>
        </w:rPr>
        <w:t xml:space="preserve">3. </w:t>
      </w:r>
      <w:r>
        <w:rPr>
          <w:rFonts w:ascii="Segoe UI"/>
          <w:b/>
          <w:color w:val="4f81bd" w:themeColor="accent1"/>
          <w:sz w:val="32"/>
          <w:szCs w:val="32"/>
          <w:rtl w:val="off"/>
          <w:lang w:val="en-US"/>
        </w:rPr>
        <w:t>Ensuring Clients' Information is Secure from Unauthorized Access and Maintenance</w:t>
      </w:r>
    </w:p>
    <w:p w14:paraId="0000014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To ensure that clients' information is secure from unauthorized access and maintained properly, the following strategies can be implemented:</w:t>
      </w:r>
    </w:p>
    <w:p w14:paraId="0000014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a. Encryption</w:t>
      </w:r>
    </w:p>
    <w:p w14:paraId="00000150">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At Rest</w:t>
      </w:r>
      <w:r>
        <w:rPr>
          <w:rFonts w:ascii="Segoe UI"/>
          <w:color w:val="000000"/>
          <w:sz w:val="18"/>
          <w:rtl w:val="off"/>
          <w:lang w:val="en-US"/>
        </w:rPr>
        <w:t>: Encrypt client data stored in the database using robust encryption algorithms (e.g., AES-256). This ensures that even if the database is compromised, the data remains unreadable without the decryption key.</w:t>
      </w:r>
    </w:p>
    <w:p w14:paraId="00000151">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In Transit</w:t>
      </w:r>
      <w:r>
        <w:rPr>
          <w:rFonts w:ascii="Segoe UI"/>
          <w:color w:val="000000"/>
          <w:sz w:val="18"/>
          <w:rtl w:val="off"/>
          <w:lang w:val="en-US"/>
        </w:rPr>
        <w:t>: Use HTTPS (SSL/TLS) for encrypting data being transmitted between the client’s application and the server. This prevents eavesdropping and man-in-the-middle attacks.</w:t>
      </w:r>
    </w:p>
    <w:p w14:paraId="0000015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b. Access Control</w:t>
      </w:r>
    </w:p>
    <w:p w14:paraId="00000153">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Role-Based Access Control (RBAC)</w:t>
      </w:r>
      <w:r>
        <w:rPr>
          <w:rFonts w:ascii="Segoe UI"/>
          <w:color w:val="000000"/>
          <w:sz w:val="18"/>
          <w:rtl w:val="off"/>
          <w:lang w:val="en-US"/>
        </w:rPr>
        <w:t>: Implement RBAC to restrict access to client data based on user roles (e.g., administrator, manager, user). Only authorized personnel should have access to sensitive client information.</w:t>
      </w:r>
    </w:p>
    <w:p w14:paraId="00000154">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Least Privilege Principle</w:t>
      </w:r>
      <w:r>
        <w:rPr>
          <w:rFonts w:ascii="Segoe UI"/>
          <w:color w:val="000000"/>
          <w:sz w:val="18"/>
          <w:rtl w:val="off"/>
          <w:lang w:val="en-US"/>
        </w:rPr>
        <w:t>: Grant users the minimum level of access they need to perform their job functions. For example, sales representatives may only need access to client names and email addresses, not sensitive data like credit card numbers.</w:t>
      </w:r>
    </w:p>
    <w:p w14:paraId="0000015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c. Authentication and Authorization</w:t>
      </w:r>
    </w:p>
    <w:p w14:paraId="00000156">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Multi-Factor Authentication (MFA)</w:t>
      </w:r>
      <w:r>
        <w:rPr>
          <w:rFonts w:ascii="Segoe UI"/>
          <w:color w:val="000000"/>
          <w:sz w:val="18"/>
          <w:rtl w:val="off"/>
          <w:lang w:val="en-US"/>
        </w:rPr>
        <w:t>: Require MFA for users who need access to client data. This adds an extra layer of security by requiring two or more forms of authentication (e.g., password and one-time passcode sent to the user’s phone).</w:t>
      </w:r>
    </w:p>
    <w:p w14:paraId="00000157">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Strong Password Policies</w:t>
      </w:r>
      <w:r>
        <w:rPr>
          <w:rFonts w:ascii="Segoe UI"/>
          <w:color w:val="000000"/>
          <w:sz w:val="18"/>
          <w:rtl w:val="off"/>
          <w:lang w:val="en-US"/>
        </w:rPr>
        <w:t>: Enforce strong password policies, requiring users to create complex passwords and change them regularly.</w:t>
      </w:r>
    </w:p>
    <w:p w14:paraId="0000015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d. Regular Security Audits and Monitoring</w:t>
      </w:r>
    </w:p>
    <w:p w14:paraId="00000159">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Database Monitoring</w:t>
      </w:r>
      <w:r>
        <w:rPr>
          <w:rFonts w:ascii="Segoe UI"/>
          <w:color w:val="000000"/>
          <w:sz w:val="18"/>
          <w:rtl w:val="off"/>
          <w:lang w:val="en-US"/>
        </w:rPr>
        <w:t>: Continuously monitor access logs to detect unusual activity such as unauthorized access attempts, excessive failed login attempts, or changes to sensitive data.</w:t>
      </w:r>
    </w:p>
    <w:p w14:paraId="0000015A">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Penetration Testing</w:t>
      </w:r>
      <w:r>
        <w:rPr>
          <w:rFonts w:ascii="Segoe UI"/>
          <w:color w:val="000000"/>
          <w:sz w:val="18"/>
          <w:rtl w:val="off"/>
          <w:lang w:val="en-US"/>
        </w:rPr>
        <w:t>: Regularly conduct penetration tests to identify vulnerabilities in the database system or its associated applications and fix them before they can be exploited.</w:t>
      </w:r>
    </w:p>
    <w:p w14:paraId="0000015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e. Backup and Disaster Recovery</w:t>
      </w:r>
    </w:p>
    <w:p w14:paraId="0000015C">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Regular Backups</w:t>
      </w:r>
      <w:r>
        <w:rPr>
          <w:rFonts w:ascii="Segoe UI"/>
          <w:color w:val="000000"/>
          <w:sz w:val="18"/>
          <w:rtl w:val="off"/>
          <w:lang w:val="en-US"/>
        </w:rPr>
        <w:t>: Ensure regular backups of the database are taken to avoid data loss in case of system failure or breach. Backup data should also be encrypted.</w:t>
      </w:r>
    </w:p>
    <w:p w14:paraId="0000015D">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Disaster Recovery Plan</w:t>
      </w:r>
      <w:r>
        <w:rPr>
          <w:rFonts w:ascii="Segoe UI"/>
          <w:color w:val="000000"/>
          <w:sz w:val="18"/>
          <w:rtl w:val="off"/>
          <w:lang w:val="en-US"/>
        </w:rPr>
        <w:t>: Have a well-documented and tested disaster recovery plan in place that includes steps for securing data, restoring databases, and recovering operations in the event of a security breach.</w:t>
      </w:r>
    </w:p>
    <w:p w14:paraId="0000015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f. Data Masking and Anonymization</w:t>
      </w:r>
    </w:p>
    <w:p w14:paraId="0000015F">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Data Masking</w:t>
      </w:r>
      <w:r>
        <w:rPr>
          <w:rFonts w:ascii="Segoe UI"/>
          <w:color w:val="000000"/>
          <w:sz w:val="18"/>
          <w:rtl w:val="off"/>
          <w:lang w:val="en-US"/>
        </w:rPr>
        <w:t>: Mask sensitive client data (e.g., credit card numbers, social security numbers) so that unauthorized users cannot view the full value of the data. For example, showing only the last four digits of a credit card number.</w:t>
      </w:r>
    </w:p>
    <w:p w14:paraId="00000160">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Anonymization</w:t>
      </w:r>
      <w:r>
        <w:rPr>
          <w:rFonts w:ascii="Segoe UI"/>
          <w:color w:val="000000"/>
          <w:sz w:val="18"/>
          <w:rtl w:val="off"/>
          <w:lang w:val="en-US"/>
        </w:rPr>
        <w:t>: When working with client data for testing or development purposes, anonymize sensitive information to prevent it from being exposed during non-production use cases.</w:t>
      </w:r>
    </w:p>
    <w:p w14:paraId="0000016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g. Legal and Compliance Measures</w:t>
      </w:r>
    </w:p>
    <w:p w14:paraId="00000162">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Data Privacy Regulations</w:t>
      </w:r>
      <w:r>
        <w:rPr>
          <w:rFonts w:ascii="Segoe UI"/>
          <w:color w:val="000000"/>
          <w:sz w:val="18"/>
          <w:rtl w:val="off"/>
          <w:lang w:val="en-US"/>
        </w:rPr>
        <w:t>: Adhere to relevant data privacy laws such as GDPR (General Data Protection Regulation) in the EU, CCPA (California Consumer Privacy Act), or other local data protection regulations. Ensure that clients are informed about how their data is used and obtain proper consent.</w:t>
      </w:r>
    </w:p>
    <w:p w14:paraId="00000163">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Data Retention Policy</w:t>
      </w:r>
      <w:r>
        <w:rPr>
          <w:rFonts w:ascii="Segoe UI"/>
          <w:color w:val="000000"/>
          <w:sz w:val="18"/>
          <w:rtl w:val="off"/>
          <w:lang w:val="en-US"/>
        </w:rPr>
        <w:t>: Establish a clear data retention policy and ensure client data is stored for only as long as necessary for business purposes. Once it's no longer needed, it should be securely deleted.</w:t>
      </w:r>
    </w:p>
    <w:p w14:paraId="0000016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i. Data Architecture</w:t>
      </w:r>
    </w:p>
    <w:p w14:paraId="0000016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ab/>
        <w:t xml:space="preserve">Data Architecture: </w:t>
      </w:r>
      <w:r>
        <w:rPr>
          <w:rFonts w:ascii="Segoe UI"/>
          <w:b w:val="off"/>
          <w:bCs w:val="off"/>
          <w:color w:val="000000"/>
          <w:sz w:val="18"/>
          <w:rtl w:val="off"/>
          <w:lang w:val="en-US"/>
        </w:rPr>
        <w:t xml:space="preserve">Helps to </w:t>
      </w:r>
      <w:r>
        <w:rPr>
          <w:rFonts w:ascii="Segoe UI"/>
          <w:color w:val="000000"/>
          <w:sz w:val="18"/>
          <w:rtl w:val="off"/>
          <w:lang w:val="en-US"/>
        </w:rPr>
        <w:t xml:space="preserve">define the structure of data within an organization, guiding the </w:t>
        <w:tab/>
        <w:t xml:space="preserve">development, storage, and operation of information systems. It uses diagrams like Entity-Relation and </w:t>
        <w:tab/>
        <w:t xml:space="preserve">Data Flow Diagrams to show relationships and data movement. Its purpose is to ensure organized data, </w:t>
        <w:tab/>
        <w:t xml:space="preserve">define rules, and manage access, security, and sharing. Key principles include data access, management, </w:t>
        <w:tab/>
        <w:t xml:space="preserve">and security, as well as organizing data types, formats, and storage. Integration challenges, such as </w:t>
        <w:tab/>
        <w:t xml:space="preserve">legacy systems and third-party apps, can cause redundancy, but a single platform reduces this while </w:t>
        <w:tab/>
        <w:t xml:space="preserve">being costly to implement. Security focuses on data confidentiality, integrity, and availability, with </w:t>
        <w:tab/>
        <w:t>controls for both users and system administrators.</w:t>
      </w:r>
    </w:p>
    <w:p w14:paraId="0000016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4f81bd" w:themeColor="accent1"/>
          <w:sz w:val="28"/>
          <w:szCs w:val="28"/>
          <w:rtl w:val="off"/>
          <w:lang w:val="en-US"/>
        </w:rPr>
        <w:t xml:space="preserve">h. </w:t>
      </w:r>
      <w:r>
        <w:rPr>
          <w:rFonts w:ascii="Segoe UI"/>
          <w:b/>
          <w:color w:val="4f81bd" w:themeColor="accent1"/>
          <w:sz w:val="28"/>
          <w:szCs w:val="28"/>
          <w:rtl w:val="off"/>
          <w:lang w:val="en-US"/>
        </w:rPr>
        <w:t>Data Standard Protocols (SDP)</w:t>
      </w:r>
      <w:r>
        <w:rPr>
          <w:rFonts w:ascii="Segoe UI"/>
          <w:color w:val="000000"/>
          <w:sz w:val="18"/>
          <w:rtl w:val="off"/>
          <w:lang w:val="en-US"/>
        </w:rPr>
        <w:t xml:space="preserve"> </w:t>
      </w:r>
    </w:p>
    <w:p w14:paraId="0000016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tab/>
      </w:r>
      <w:r>
        <w:rPr>
          <w:rFonts w:ascii="Segoe UI"/>
          <w:b/>
          <w:color w:val="000000"/>
          <w:sz w:val="18"/>
          <w:rtl w:val="off"/>
          <w:lang w:val="en-US"/>
        </w:rPr>
        <w:t>Data Standard Protocols (SDP):</w:t>
      </w:r>
      <w:r>
        <w:rPr>
          <w:rFonts w:ascii="Segoe UI"/>
          <w:color w:val="000000"/>
          <w:sz w:val="18"/>
          <w:rtl w:val="off"/>
          <w:lang w:val="en-US"/>
        </w:rPr>
        <w:t xml:space="preserve"> </w:t>
      </w:r>
      <w:r>
        <w:rPr>
          <w:rFonts w:ascii="Segoe UI"/>
          <w:color w:val="000000"/>
          <w:sz w:val="18"/>
          <w:rtl w:val="off"/>
          <w:lang w:val="en-US"/>
        </w:rPr>
        <w:t xml:space="preserve">are established guidelines and frameworks that ensure consistency </w:t>
        <w:tab/>
        <w:t xml:space="preserve">and interoperability when exchanging data between different systems, platforms, or organizations. By </w:t>
        <w:tab/>
        <w:t xml:space="preserve">implementing SDPs, our company can streamline data sharing, reduce errors, and ensure that </w:t>
        <w:tab/>
        <w:t xml:space="preserve">information is exchanged in a standardized format, regardless of the system used. In our industry, this </w:t>
        <w:tab/>
        <w:t xml:space="preserve">helps improve data accuracy, enhances collaboration with partners and clients, and supports compliance </w:t>
        <w:tab/>
        <w:t>with regulatory standards, ultimately optimizing operations and decision-making.</w:t>
      </w:r>
    </w:p>
    <w:p w14:paraId="0000016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18"/>
          <w:rtl w:val="off"/>
          <w:lang w:val="en-US"/>
        </w:rPr>
      </w:pPr>
    </w:p>
    <w:p w14:paraId="0000016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18"/>
          <w:rtl w:val="off"/>
          <w:lang w:val="en-US"/>
        </w:rPr>
      </w:pPr>
    </w:p>
    <w:p w14:paraId="0000016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18"/>
          <w:rtl w:val="off"/>
          <w:lang w:val="en-US"/>
        </w:rPr>
      </w:pPr>
    </w:p>
    <w:p w14:paraId="0000016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18"/>
          <w:rtl w:val="off"/>
          <w:lang w:val="en-US"/>
        </w:rPr>
      </w:pPr>
    </w:p>
    <w:p w14:paraId="0000016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18"/>
          <w:rtl w:val="off"/>
          <w:lang w:val="en-US"/>
        </w:rPr>
      </w:pPr>
    </w:p>
    <w:p w14:paraId="0000016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18"/>
          <w:rtl w:val="off"/>
          <w:lang w:val="en-US"/>
        </w:rPr>
      </w:pPr>
    </w:p>
    <w:p w14:paraId="0000016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4f81bd" w:themeColor="accent1"/>
          <w:sz w:val="18"/>
          <w:rtl w:val="off"/>
          <w:lang w:val="en-US"/>
        </w:rPr>
        <w:t>----------------------</w:t>
      </w:r>
    </w:p>
    <w:p w14:paraId="0000016F">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right="0"/>
        <w:jc w:val="left"/>
        <w:rPr>
          <w:rFonts w:ascii="Segoe UI"/>
          <w:color w:val="000000"/>
          <w:sz w:val="18"/>
          <w:lang w:val="en-US"/>
        </w:rPr>
      </w:pPr>
    </w:p>
    <w:p w14:paraId="0000017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4f81bd" w:themeColor="accent1"/>
          <w:sz w:val="32"/>
          <w:szCs w:val="32"/>
          <w:lang w:val="en-US"/>
        </w:rPr>
      </w:pPr>
      <w:r>
        <w:rPr>
          <w:rFonts w:ascii="Segoe UI"/>
          <w:b/>
          <w:bCs/>
          <w:color w:val="4f81bd" w:themeColor="accent1"/>
          <w:sz w:val="32"/>
          <w:szCs w:val="32"/>
          <w:rtl w:val="off"/>
          <w:lang w:val="en-US"/>
        </w:rPr>
        <w:t>Conclusion</w:t>
      </w:r>
    </w:p>
    <w:p w14:paraId="0000017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By using encryption, implementing robust access controls, ensuring regular audits, and following industry best practices for data security, we can ensure that our clients' information is protected from unauthorized access and that it remains secure throughout its lifecycle.</w:t>
      </w:r>
    </w:p>
    <w:p w14:paraId="00000172">
      <w:pPr>
        <w:rPr>
          <w:rFonts w:ascii="Arial" w:cs="Arial" w:hAnsi="Arial"/>
          <w:i/>
          <w:iCs/>
          <w:sz w:val="22"/>
          <w:szCs w:val="22"/>
        </w:rPr>
      </w:pPr>
    </w:p>
    <w:p w14:paraId="00000173">
      <w:pPr>
        <w:rPr>
          <w:rFonts w:ascii="Arial" w:cs="Arial" w:hAnsi="Arial"/>
        </w:rPr>
      </w:pPr>
    </w:p>
    <w:sectPr>
      <w:headerReference w:type="default" r:id="rId16"/>
      <w:footerReference w:type="default" r:id="rId17"/>
      <w:pgSz w:w="11906" w:h="16838"/>
      <w:pgMar w:top="1440" w:right="1440" w:bottom="1440" w:left="1440"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14:paraId="00000003">
      <w:r>
        <w:rPr/>
        <w:separator/>
      </w:r>
    </w:p>
  </w:endnote>
  <w:endnote w:type="continuationSeparator" w:id="1">
    <w:p w14:paraId="00000004">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Arial">
    <w:panose1 w:val="020b0604020202020204"/>
    <w:charset w:val="00"/>
    <w:family w:val="swiss"/>
    <w:pitch w:val="variable"/>
    <w:sig w:usb0="00000000" w:usb1="00000000" w:usb2="00000009" w:usb3="00000000" w:csb0="000001ff" w:csb1="00000000"/>
  </w:font>
  <w:font w:name="Symbol">
    <w:panose1 w:val="05050102010706020507"/>
    <w:charset w:val="02"/>
    <w:family w:val="roman"/>
    <w:pitch w:val="variable"/>
    <w:sig w:usb0="00000000" w:usb1="10000000" w:usb2="00000000" w:usb3="00000000" w:csb0="00000000"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PMingLiU">
    <w:altName w:val="新細明體"/>
    <w:panose1 w:val="02010601000101010101"/>
    <w:charset w:val="88"/>
    <w:family w:val="roman"/>
    <w:pitch w:val="variable"/>
    <w:sig w:usb0="00000000" w:usb1="28cffcfa" w:usb2="00000016" w:usb3="00000000" w:csb0="00100001" w:csb1="00000000"/>
  </w:font>
  <w:font w:name="FuturaT">
    <w:altName w:val="Century Gothic"/>
    <w:charset w:val="00"/>
    <w:family w:val="swiss"/>
    <w:pitch w:val="variable"/>
    <w:sig w:usb0="00000001" w:usb1="00000000" w:usb2="00000000" w:usb3="00000000" w:csb0="00000013" w:csb1="00000000"/>
  </w:font>
  <w:font w:name="Tahoma">
    <w:panose1 w:val="020b0604030504040204"/>
    <w:charset w:val="00"/>
    <w:family w:val="swiss"/>
    <w:pitch w:val="variable"/>
    <w:sig w:usb0="00000000" w:usb1="00000000"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altName w:val="Calibri"/>
    <w:panose1 w:val="020b0502040204020203"/>
    <w:charset w:val="00"/>
    <w:family w:val="swiss"/>
    <w:pitch w:val="variable"/>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Cambria">
    <w:panose1 w:val="02040503050406030204"/>
    <w:charset w:val="00"/>
    <w:family w:val="roman"/>
    <w:pitch w:val="variable"/>
    <w:sig w:usb0="00000000" w:usb1="420024ff" w:usb2="02000000" w:usb3="00000000" w:csb0="0000019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176">
    <w:pPr>
      <w:pStyle w:val="Footer"/>
      <w:jc w:val="center"/>
      <w:rPr>
        <w:rFonts w:ascii="Arial" w:cs="Arial" w:hAnsi="Arial"/>
        <w:sz w:val="16"/>
        <w:szCs w:val="16"/>
      </w:rPr>
    </w:pPr>
    <w:r>
      <w:rPr>
        <w:rFonts w:ascii="Arial" w:cs="Arial" w:hAnsi="Arial"/>
        <w:color w:val="000000"/>
        <w:sz w:val="16"/>
        <w:szCs w:val="16"/>
      </w:rPr>
      <w:t>© Komal Karir, 202</w:t>
    </w:r>
    <w:r>
      <w:rPr>
        <w:rFonts w:ascii="Arial" w:cs="Arial" w:hAnsi="Arial"/>
        <w:color w:val="000000"/>
        <w:sz w:val="16"/>
        <w:szCs w:val="16"/>
      </w:rPr>
      <w:t>5</w:t>
    </w:r>
    <w:r>
      <w:rPr>
        <w:rFonts w:ascii="Arial" w:cs="Arial" w:hAnsi="Arial"/>
        <w:color w:val="000000"/>
        <w:sz w:val="16"/>
        <w:szCs w:val="16"/>
      </w:rPr>
      <w:tab/>
    </w:r>
    <w:r>
      <w:rPr>
        <w:rFonts w:ascii="Arial" w:cs="Arial" w:hAnsi="Arial"/>
        <w:sz w:val="16"/>
        <w:szCs w:val="16"/>
      </w:rPr>
      <w:tab/>
    </w:r>
    <w:r>
      <w:rPr>
        <w:rFonts w:ascii="Arial" w:cs="Arial" w:hAnsi="Arial"/>
        <w:sz w:val="16"/>
        <w:szCs w:val="16"/>
      </w:rPr>
      <w:tab/>
      <w:t>P</w:t>
    </w:r>
    <w:r>
      <w:rPr>
        <w:rFonts w:ascii="Arial" w:cs="Arial" w:hAnsi="Arial"/>
        <w:sz w:val="16"/>
        <w:szCs w:val="16"/>
      </w:rPr>
      <w:t xml:space="preserve">age </w:t>
    </w:r>
    <w:r>
      <w:rPr>
        <w:rStyle w:val="Pagenumber"/>
        <w:rFonts w:ascii="Arial" w:cs="Arial" w:hAnsi="Arial"/>
        <w:sz w:val="16"/>
        <w:szCs w:val="16"/>
      </w:rPr>
      <w:fldChar w:fldCharType="begin"/>
    </w:r>
    <w:r>
      <w:rPr>
        <w:rStyle w:val="Pagenumber"/>
        <w:rFonts w:ascii="Arial" w:cs="Arial" w:hAnsi="Arial"/>
        <w:sz w:val="16"/>
        <w:szCs w:val="16"/>
      </w:rPr>
      <w:instrText xml:space="preserve"> PAGE </w:instrText>
    </w:r>
    <w:r>
      <w:rPr>
        <w:rStyle w:val="Pagenumber"/>
        <w:rFonts w:ascii="Arial" w:cs="Arial" w:hAnsi="Arial"/>
        <w:sz w:val="16"/>
        <w:szCs w:val="16"/>
      </w:rPr>
      <w:fldChar w:fldCharType="separate"/>
    </w:r>
    <w:r>
      <w:rPr>
        <w:rStyle w:val="Pagenumber"/>
        <w:rFonts w:ascii="Arial" w:cs="Arial" w:hAnsi="Arial"/>
        <w:sz w:val="16"/>
        <w:szCs w:val="16"/>
      </w:rPr>
      <w:t>6</w:t>
    </w:r>
    <w:r>
      <w:rPr>
        <w:rStyle w:val="Pagenumber"/>
        <w:rFonts w:ascii="Arial" w:cs="Arial" w:hAnsi="Arial"/>
        <w:sz w:val="16"/>
        <w:szCs w:val="16"/>
      </w:rPr>
      <w:fldChar w:fldCharType="end"/>
    </w:r>
    <w:r>
      <w:rPr>
        <w:rStyle w:val="Pagenumber"/>
        <w:rFonts w:ascii="Arial" w:cs="Arial" w:hAnsi="Arial"/>
        <w:sz w:val="16"/>
        <w:szCs w:val="16"/>
      </w:rPr>
      <w:t xml:space="preserve"> of </w:t>
    </w:r>
    <w:r>
      <w:rPr>
        <w:rStyle w:val="Pagenumber"/>
        <w:rFonts w:ascii="Arial" w:cs="Arial" w:hAnsi="Arial"/>
        <w:sz w:val="16"/>
        <w:szCs w:val="16"/>
      </w:rPr>
      <w:fldChar w:fldCharType="begin"/>
    </w:r>
    <w:r>
      <w:rPr>
        <w:rStyle w:val="Pagenumber"/>
        <w:rFonts w:ascii="Arial" w:cs="Arial" w:hAnsi="Arial"/>
        <w:sz w:val="16"/>
        <w:szCs w:val="16"/>
      </w:rPr>
      <w:instrText xml:space="preserve"> NUMPAGES </w:instrText>
    </w:r>
    <w:r>
      <w:rPr>
        <w:rStyle w:val="Pagenumber"/>
        <w:rFonts w:ascii="Arial" w:cs="Arial" w:hAnsi="Arial"/>
        <w:sz w:val="16"/>
        <w:szCs w:val="16"/>
      </w:rPr>
      <w:fldChar w:fldCharType="separate"/>
    </w:r>
    <w:r>
      <w:rPr>
        <w:rStyle w:val="Pagenumber"/>
        <w:rFonts w:ascii="Arial" w:cs="Arial" w:hAnsi="Arial"/>
        <w:sz w:val="16"/>
        <w:szCs w:val="16"/>
      </w:rPr>
      <w:t>6</w:t>
    </w:r>
    <w:r>
      <w:rPr>
        <w:rFonts w:ascii="Arial" w:cs="Arial" w:hAnsi="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14:paraId="00000001">
      <w:r>
        <w:rPr/>
        <w:separator/>
      </w:r>
    </w:p>
  </w:footnote>
  <w:footnote w:type="continuationSeparator" w:id="1">
    <w:p w14:paraId="00000002">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174">
    <w:pPr>
      <w:rPr>
        <w:b/>
        <w:bCs/>
      </w:rPr>
    </w:pPr>
    <w:r>
      <w:rPr>
        <w:b/>
        <w:bCs/>
      </w:rPr>
      <w:t>NCFE L</w:t>
    </w:r>
    <w:r>
      <w:rPr>
        <w:b/>
        <w:bCs/>
      </w:rPr>
      <w:t xml:space="preserve">EVEL </w:t>
    </w:r>
    <w:r>
      <w:rPr>
        <w:b/>
        <w:bCs/>
      </w:rPr>
      <w:t xml:space="preserve">3 </w:t>
    </w:r>
    <w:r>
      <w:rPr>
        <w:b/>
        <w:bCs/>
      </w:rPr>
      <w:t xml:space="preserve">CERTIFICATE IN </w:t>
    </w:r>
    <w:r>
      <w:rPr>
        <w:b/>
        <w:bCs/>
      </w:rPr>
      <w:t>DATA (6</w:t>
    </w:r>
    <w:r>
      <w:rPr>
        <w:b/>
        <w:bCs/>
      </w:rPr>
      <w:t>0</w:t>
    </w:r>
    <w:r>
      <w:rPr>
        <w:b/>
        <w:bCs/>
      </w:rPr>
      <w:t>3/7882/7)</w:t>
    </w:r>
  </w:p>
  <w:p w14:paraId="00000175"/>
</w:hdr>
</file>

<file path=word/intelligence2.xml><?xml version="1.0" encoding="utf-8"?>
<int2:intelligence xmlns:int2="http://schemas.microsoft.com/office/intelligence/2020/intelligence" xmlns:oel="http://schemas.microsoft.com/office/2019/extlst">
  <int2:observations>
    <int2:textHash int2:hashCode="kCr9iAOvdezs/2" int2:id="uFe6xVmI">
      <int2:state int2:value="Rejected" int2:type="AugLoop_Text_Critique"/>
    </int2:textHash>
  </int2:observations>
  <int2:intelligenceSettings/>
  <int2:onDemandWorkflow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multiLevelType w:val="multilevel"/>
    <w:lvl w:ilvl="0" w:tentative="0">
      <w:start w:val="3"/>
      <w:numFmt w:val="decimal"/>
      <w:lvlText w:val="%1"/>
      <w:lvlJc w:val="left"/>
      <w:pPr>
        <w:ind w:left="480" w:hanging="480"/>
      </w:pPr>
      <w:rPr>
        <w:rFonts w:hint="default"/>
      </w:rPr>
    </w:lvl>
    <w:lvl w:ilvl="1" w:tentative="0">
      <w:start w:val="3"/>
      <w:numFmt w:val="decimal"/>
      <w:lvlText w:val="%1.%2.0"/>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
    <w:multiLevelType w:val="multilevel"/>
    <w:lvl w:ilvl="0" w:tentative="0">
      <w:start w:val="4"/>
      <w:numFmt w:val="decimal"/>
      <w:lvlText w:val="%1"/>
      <w:lvlJc w:val="left"/>
      <w:pPr>
        <w:ind w:left="735" w:hanging="522"/>
      </w:pPr>
      <w:rPr>
        <w:rFonts w:hint="default"/>
        <w:lang w:val="en-US" w:bidi="ar-SA" w:eastAsia="en-US"/>
      </w:rPr>
    </w:lvl>
    <w:lvl w:ilvl="1" w:tentative="0">
      <w:start w:val="1"/>
      <w:numFmt w:val="decimal"/>
      <w:lvlText w:val="%1.%2"/>
      <w:lvlJc w:val="left"/>
      <w:pPr>
        <w:ind w:left="735" w:hanging="522"/>
      </w:pPr>
      <w:rPr>
        <w:rFonts w:ascii="Arial" w:cs="Arial" w:eastAsia="Arial" w:hAnsi="Arial" w:hint="default"/>
        <w:b w:val="off"/>
        <w:bCs w:val="off"/>
        <w:i w:val="off"/>
        <w:iCs w:val="off"/>
        <w:w w:val="100"/>
        <w:sz w:val="22"/>
        <w:szCs w:val="22"/>
        <w:lang w:val="en-US" w:bidi="ar-SA" w:eastAsia="en-US"/>
      </w:rPr>
    </w:lvl>
    <w:lvl w:ilvl="2" w:tentative="0">
      <w:numFmt w:val="bullet"/>
      <w:lvlText w:val="•"/>
      <w:lvlJc w:val="left"/>
      <w:pPr>
        <w:ind w:left="1518" w:hanging="522"/>
      </w:pPr>
      <w:rPr>
        <w:rFonts w:hint="default"/>
        <w:lang w:val="en-US" w:bidi="ar-SA" w:eastAsia="en-US"/>
      </w:rPr>
    </w:lvl>
    <w:lvl w:ilvl="3" w:tentative="0">
      <w:numFmt w:val="bullet"/>
      <w:lvlText w:val="•"/>
      <w:lvlJc w:val="left"/>
      <w:pPr>
        <w:ind w:left="1907" w:hanging="522"/>
      </w:pPr>
      <w:rPr>
        <w:rFonts w:hint="default"/>
        <w:lang w:val="en-US" w:bidi="ar-SA" w:eastAsia="en-US"/>
      </w:rPr>
    </w:lvl>
    <w:lvl w:ilvl="4" w:tentative="0">
      <w:numFmt w:val="bullet"/>
      <w:lvlText w:val="•"/>
      <w:lvlJc w:val="left"/>
      <w:pPr>
        <w:ind w:left="2297" w:hanging="522"/>
      </w:pPr>
      <w:rPr>
        <w:rFonts w:hint="default"/>
        <w:lang w:val="en-US" w:bidi="ar-SA" w:eastAsia="en-US"/>
      </w:rPr>
    </w:lvl>
    <w:lvl w:ilvl="5" w:tentative="0">
      <w:numFmt w:val="bullet"/>
      <w:lvlText w:val="•"/>
      <w:lvlJc w:val="left"/>
      <w:pPr>
        <w:ind w:left="2686" w:hanging="522"/>
      </w:pPr>
      <w:rPr>
        <w:rFonts w:hint="default"/>
        <w:lang w:val="en-US" w:bidi="ar-SA" w:eastAsia="en-US"/>
      </w:rPr>
    </w:lvl>
    <w:lvl w:ilvl="6" w:tentative="0">
      <w:numFmt w:val="bullet"/>
      <w:lvlText w:val="•"/>
      <w:lvlJc w:val="left"/>
      <w:pPr>
        <w:ind w:left="3075" w:hanging="522"/>
      </w:pPr>
      <w:rPr>
        <w:rFonts w:hint="default"/>
        <w:lang w:val="en-US" w:bidi="ar-SA" w:eastAsia="en-US"/>
      </w:rPr>
    </w:lvl>
    <w:lvl w:ilvl="7" w:tentative="0">
      <w:numFmt w:val="bullet"/>
      <w:lvlText w:val="•"/>
      <w:lvlJc w:val="left"/>
      <w:pPr>
        <w:ind w:left="3465" w:hanging="522"/>
      </w:pPr>
      <w:rPr>
        <w:rFonts w:hint="default"/>
        <w:lang w:val="en-US" w:bidi="ar-SA" w:eastAsia="en-US"/>
      </w:rPr>
    </w:lvl>
    <w:lvl w:ilvl="8" w:tentative="0">
      <w:numFmt w:val="bullet"/>
      <w:lvlText w:val="•"/>
      <w:lvlJc w:val="left"/>
      <w:pPr>
        <w:ind w:left="3854" w:hanging="522"/>
      </w:pPr>
      <w:rPr>
        <w:rFonts w:hint="default"/>
        <w:lang w:val="en-US" w:bidi="ar-SA" w:eastAsia="en-US"/>
      </w:rPr>
    </w:lvl>
  </w:abstractNum>
  <w:abstractNum w:abstractNumId="3">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multiLevelType w:val="multilevel"/>
    <w:lvl w:ilvl="0" w:tentative="0">
      <w:start w:val="3"/>
      <w:numFmt w:val="decimal"/>
      <w:lvlText w:val="%1"/>
      <w:lvlJc w:val="left"/>
      <w:pPr>
        <w:ind w:left="480" w:hanging="480"/>
      </w:pPr>
      <w:rPr>
        <w:rFonts w:hint="default"/>
      </w:rPr>
    </w:lvl>
    <w:lvl w:ilvl="1" w:tentative="0">
      <w:start w:val="2"/>
      <w:numFmt w:val="decimal"/>
      <w:lvlText w:val="%1.%2.0"/>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5">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7">
    <w:multiLevelType w:val="hybridMultilevel"/>
    <w:lvl w:ilvl="0" w:tentative="0">
      <w:numFmt w:val="bullet"/>
      <w:lvlText w:val="-"/>
      <w:lvlJc w:val="left"/>
      <w:pPr>
        <w:ind w:left="720" w:hanging="360"/>
      </w:pPr>
      <w:rPr>
        <w:rFonts w:ascii="Arial" w:cs="Arial" w:eastAsia="PMingLiU" w:hAnsi="Aria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multiLevelType w:val="hybridMultilevel"/>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multiLevelType w:val="hybridMultilevel"/>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multiLevelType w:val="multilevel"/>
    <w:lvl w:ilvl="0" w:tentative="0">
      <w:start w:val="3"/>
      <w:numFmt w:val="decimal"/>
      <w:lvlText w:val="%1"/>
      <w:lvlJc w:val="left"/>
      <w:pPr>
        <w:ind w:left="735" w:hanging="522"/>
      </w:pPr>
      <w:rPr>
        <w:rFonts w:hint="default"/>
        <w:lang w:val="en-US" w:bidi="ar-SA" w:eastAsia="en-US"/>
      </w:rPr>
    </w:lvl>
    <w:lvl w:ilvl="1" w:tentative="0">
      <w:start w:val="1"/>
      <w:numFmt w:val="decimal"/>
      <w:lvlText w:val="%1.%2"/>
      <w:lvlJc w:val="left"/>
      <w:pPr>
        <w:ind w:left="735" w:hanging="522"/>
      </w:pPr>
      <w:rPr>
        <w:rFonts w:ascii="Arial" w:cs="Arial" w:eastAsia="Arial" w:hAnsi="Arial" w:hint="default"/>
        <w:b w:val="off"/>
        <w:bCs w:val="off"/>
        <w:i w:val="off"/>
        <w:iCs w:val="off"/>
        <w:w w:val="100"/>
        <w:sz w:val="22"/>
        <w:szCs w:val="22"/>
        <w:lang w:val="en-US" w:bidi="ar-SA" w:eastAsia="en-US"/>
      </w:rPr>
    </w:lvl>
    <w:lvl w:ilvl="2" w:tentative="0">
      <w:numFmt w:val="bullet"/>
      <w:lvlText w:val="•"/>
      <w:lvlJc w:val="left"/>
      <w:pPr>
        <w:ind w:left="1518" w:hanging="522"/>
      </w:pPr>
      <w:rPr>
        <w:rFonts w:hint="default"/>
        <w:lang w:val="en-US" w:bidi="ar-SA" w:eastAsia="en-US"/>
      </w:rPr>
    </w:lvl>
    <w:lvl w:ilvl="3" w:tentative="0">
      <w:numFmt w:val="bullet"/>
      <w:lvlText w:val="•"/>
      <w:lvlJc w:val="left"/>
      <w:pPr>
        <w:ind w:left="1907" w:hanging="522"/>
      </w:pPr>
      <w:rPr>
        <w:rFonts w:hint="default"/>
        <w:lang w:val="en-US" w:bidi="ar-SA" w:eastAsia="en-US"/>
      </w:rPr>
    </w:lvl>
    <w:lvl w:ilvl="4" w:tentative="0">
      <w:numFmt w:val="bullet"/>
      <w:lvlText w:val="•"/>
      <w:lvlJc w:val="left"/>
      <w:pPr>
        <w:ind w:left="2297" w:hanging="522"/>
      </w:pPr>
      <w:rPr>
        <w:rFonts w:hint="default"/>
        <w:lang w:val="en-US" w:bidi="ar-SA" w:eastAsia="en-US"/>
      </w:rPr>
    </w:lvl>
    <w:lvl w:ilvl="5" w:tentative="0">
      <w:numFmt w:val="bullet"/>
      <w:lvlText w:val="•"/>
      <w:lvlJc w:val="left"/>
      <w:pPr>
        <w:ind w:left="2686" w:hanging="522"/>
      </w:pPr>
      <w:rPr>
        <w:rFonts w:hint="default"/>
        <w:lang w:val="en-US" w:bidi="ar-SA" w:eastAsia="en-US"/>
      </w:rPr>
    </w:lvl>
    <w:lvl w:ilvl="6" w:tentative="0">
      <w:numFmt w:val="bullet"/>
      <w:lvlText w:val="•"/>
      <w:lvlJc w:val="left"/>
      <w:pPr>
        <w:ind w:left="3075" w:hanging="522"/>
      </w:pPr>
      <w:rPr>
        <w:rFonts w:hint="default"/>
        <w:lang w:val="en-US" w:bidi="ar-SA" w:eastAsia="en-US"/>
      </w:rPr>
    </w:lvl>
    <w:lvl w:ilvl="7" w:tentative="0">
      <w:numFmt w:val="bullet"/>
      <w:lvlText w:val="•"/>
      <w:lvlJc w:val="left"/>
      <w:pPr>
        <w:ind w:left="3465" w:hanging="522"/>
      </w:pPr>
      <w:rPr>
        <w:rFonts w:hint="default"/>
        <w:lang w:val="en-US" w:bidi="ar-SA" w:eastAsia="en-US"/>
      </w:rPr>
    </w:lvl>
    <w:lvl w:ilvl="8" w:tentative="0">
      <w:numFmt w:val="bullet"/>
      <w:lvlText w:val="•"/>
      <w:lvlJc w:val="left"/>
      <w:pPr>
        <w:ind w:left="3854" w:hanging="522"/>
      </w:pPr>
      <w:rPr>
        <w:rFonts w:hint="default"/>
        <w:lang w:val="en-US" w:bidi="ar-SA" w:eastAsia="en-US"/>
      </w:rPr>
    </w:lvl>
  </w:abstractNum>
  <w:abstractNum w:abstractNumId="11">
    <w:multiLevelType w:val="multilevel"/>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multiLevelType w:val="multilevel"/>
    <w:lvl w:ilvl="0" w:tentative="0">
      <w:start w:val="1"/>
      <w:numFmt w:val="decimal"/>
      <w:lvlText w:val="%1"/>
      <w:lvlJc w:val="left"/>
      <w:pPr>
        <w:ind w:left="735" w:hanging="522"/>
      </w:pPr>
      <w:rPr>
        <w:rFonts w:hint="default"/>
        <w:lang w:val="en-US" w:bidi="ar-SA" w:eastAsia="en-US"/>
      </w:rPr>
    </w:lvl>
    <w:lvl w:ilvl="1" w:tentative="0">
      <w:start w:val="1"/>
      <w:numFmt w:val="decimal"/>
      <w:lvlText w:val="%1.%2"/>
      <w:lvlJc w:val="left"/>
      <w:pPr>
        <w:ind w:left="735" w:hanging="522"/>
      </w:pPr>
      <w:rPr>
        <w:rFonts w:ascii="Arial" w:cs="Arial" w:eastAsia="Arial" w:hAnsi="Arial" w:hint="default"/>
        <w:b w:val="off"/>
        <w:bCs w:val="off"/>
        <w:i w:val="off"/>
        <w:iCs w:val="off"/>
        <w:w w:val="100"/>
        <w:sz w:val="22"/>
        <w:szCs w:val="22"/>
        <w:lang w:val="en-US" w:bidi="ar-SA" w:eastAsia="en-US"/>
      </w:rPr>
    </w:lvl>
    <w:lvl w:ilvl="2" w:tentative="0">
      <w:numFmt w:val="bullet"/>
      <w:lvlText w:val="•"/>
      <w:lvlJc w:val="left"/>
      <w:pPr>
        <w:ind w:left="1518" w:hanging="522"/>
      </w:pPr>
      <w:rPr>
        <w:rFonts w:hint="default"/>
        <w:lang w:val="en-US" w:bidi="ar-SA" w:eastAsia="en-US"/>
      </w:rPr>
    </w:lvl>
    <w:lvl w:ilvl="3" w:tentative="0">
      <w:numFmt w:val="bullet"/>
      <w:lvlText w:val="•"/>
      <w:lvlJc w:val="left"/>
      <w:pPr>
        <w:ind w:left="1907" w:hanging="522"/>
      </w:pPr>
      <w:rPr>
        <w:rFonts w:hint="default"/>
        <w:lang w:val="en-US" w:bidi="ar-SA" w:eastAsia="en-US"/>
      </w:rPr>
    </w:lvl>
    <w:lvl w:ilvl="4" w:tentative="0">
      <w:numFmt w:val="bullet"/>
      <w:lvlText w:val="•"/>
      <w:lvlJc w:val="left"/>
      <w:pPr>
        <w:ind w:left="2297" w:hanging="522"/>
      </w:pPr>
      <w:rPr>
        <w:rFonts w:hint="default"/>
        <w:lang w:val="en-US" w:bidi="ar-SA" w:eastAsia="en-US"/>
      </w:rPr>
    </w:lvl>
    <w:lvl w:ilvl="5" w:tentative="0">
      <w:numFmt w:val="bullet"/>
      <w:lvlText w:val="•"/>
      <w:lvlJc w:val="left"/>
      <w:pPr>
        <w:ind w:left="2686" w:hanging="522"/>
      </w:pPr>
      <w:rPr>
        <w:rFonts w:hint="default"/>
        <w:lang w:val="en-US" w:bidi="ar-SA" w:eastAsia="en-US"/>
      </w:rPr>
    </w:lvl>
    <w:lvl w:ilvl="6" w:tentative="0">
      <w:numFmt w:val="bullet"/>
      <w:lvlText w:val="•"/>
      <w:lvlJc w:val="left"/>
      <w:pPr>
        <w:ind w:left="3075" w:hanging="522"/>
      </w:pPr>
      <w:rPr>
        <w:rFonts w:hint="default"/>
        <w:lang w:val="en-US" w:bidi="ar-SA" w:eastAsia="en-US"/>
      </w:rPr>
    </w:lvl>
    <w:lvl w:ilvl="7" w:tentative="0">
      <w:numFmt w:val="bullet"/>
      <w:lvlText w:val="•"/>
      <w:lvlJc w:val="left"/>
      <w:pPr>
        <w:ind w:left="3465" w:hanging="522"/>
      </w:pPr>
      <w:rPr>
        <w:rFonts w:hint="default"/>
        <w:lang w:val="en-US" w:bidi="ar-SA" w:eastAsia="en-US"/>
      </w:rPr>
    </w:lvl>
    <w:lvl w:ilvl="8" w:tentative="0">
      <w:numFmt w:val="bullet"/>
      <w:lvlText w:val="•"/>
      <w:lvlJc w:val="left"/>
      <w:pPr>
        <w:ind w:left="3854" w:hanging="522"/>
      </w:pPr>
      <w:rPr>
        <w:rFonts w:hint="default"/>
        <w:lang w:val="en-US" w:bidi="ar-SA" w:eastAsia="en-US"/>
      </w:rPr>
    </w:lvl>
  </w:abstractNum>
  <w:abstractNum w:abstractNumId="13">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multiLevelType w:val="multilevel"/>
    <w:lvl w:ilvl="0" w:tentative="0">
      <w:start w:val="1"/>
      <w:numFmt w:val="lowerLetter"/>
      <w:lvlText w:val="%1)"/>
      <w:lvlJc w:val="left"/>
      <w:pPr>
        <w:tabs>
          <w:tab w:val="num" w:pos="720"/>
        </w:tabs>
        <w:ind w:left="720" w:hanging="360"/>
      </w:pPr>
      <w:rPr>
        <w:rFonts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multiLevelType w:val="hybridMultilevel"/>
    <w:lvl w:ilvl="0" w:tentative="0">
      <w:start w:val="1"/>
      <w:numFmt w:val="lowerLetter"/>
      <w:lvlText w:val="%1)"/>
      <w:lvlJc w:val="left"/>
      <w:pPr>
        <w:ind w:left="1080" w:hanging="360"/>
      </w:pPr>
      <w:rPr>
        <w:rFonts w:hint="default"/>
        <w:b w:val="off"/>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8">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20">
    <w:multiLevelType w:val="multilevel"/>
    <w:lvl w:ilvl="0" w:tentative="0">
      <w:start w:val="3"/>
      <w:numFmt w:val="decimal"/>
      <w:lvlText w:val="%1"/>
      <w:lvlJc w:val="left"/>
      <w:pPr>
        <w:ind w:left="480" w:hanging="480"/>
      </w:pPr>
      <w:rPr>
        <w:rFonts w:hint="default"/>
      </w:rPr>
    </w:lvl>
    <w:lvl w:ilvl="1" w:tentative="0">
      <w:start w:val="1"/>
      <w:numFmt w:val="decimal"/>
      <w:lvlText w:val="%1.%2.0"/>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1">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abstractNum w:abstractNumId="23"/>
  <w:abstractNum w:abstractNumId="24"/>
  <w:abstractNum w:abstractNumId="25"/>
  <w:abstractNum w:abstractNumId="26"/>
  <w:abstractNum w:abstractNumId="27">
    <w:multiLevelType w:val="hybridMultilevel"/>
    <w:lvl w:ilvl="0" w:tentative="1">
      <w:start w:val="1"/>
      <w:numFmt w:val="bullet"/>
      <w:suff w:val="tab"/>
      <w:lvlText w:val=""/>
      <w:lvlJc w:val="left"/>
      <w:pPr>
        <w:ind w:left="720" w:hanging="360"/>
      </w:pPr>
      <w:rPr/>
    </w:lvl>
    <w:lvl w:ilvl="1" w:tentative="1">
      <w:start w:val="1"/>
      <w:numFmt w:val="bullet"/>
      <w:suff w:val="tab"/>
      <w:lvlText w:val=""/>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28"/>
  <w:abstractNum w:abstractNumId="29">
    <w:multiLevelType w:val="hybridMultilevel"/>
    <w:lvl w:ilvl="0" w:tentative="0">
      <w:start w:val="1"/>
      <w:numFmt w:val="bullet"/>
      <w:suff w:val="tab"/>
      <w:lvlText w:val=""/>
      <w:lvlJc w:val="left"/>
      <w:pPr>
        <w:ind w:left="720" w:hanging="360"/>
      </w:pPr>
      <w:rPr/>
    </w:lvl>
    <w:lvl w:ilvl="1" w:tentative="0">
      <w:start w:val="1"/>
      <w:numFmt w:val="bullet"/>
      <w:suff w:val="tab"/>
      <w:lvlText w:val=""/>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num w:numId="1">
    <w:abstractNumId w:val="19"/>
  </w:num>
  <w:num w:numId="2">
    <w:abstractNumId w:val="13"/>
  </w:num>
  <w:num w:numId="3">
    <w:abstractNumId w:val="20"/>
  </w:num>
  <w:num w:numId="4">
    <w:abstractNumId w:val="4"/>
  </w:num>
  <w:num w:numId="5">
    <w:abstractNumId w:val="1"/>
  </w:num>
  <w:num w:numId="6">
    <w:abstractNumId w:val="14"/>
  </w:num>
  <w:num w:numId="7">
    <w:abstractNumId w:val="8"/>
  </w:num>
  <w:num w:numId="8">
    <w:abstractNumId w:val="9"/>
  </w:num>
  <w:num w:numId="9">
    <w:abstractNumId w:val="6"/>
  </w:num>
  <w:num w:numId="10">
    <w:abstractNumId w:val="5"/>
  </w:num>
  <w:num w:numId="11">
    <w:abstractNumId w:val="15"/>
  </w:num>
  <w:num w:numId="12">
    <w:abstractNumId w:val="21"/>
  </w:num>
  <w:num w:numId="13">
    <w:abstractNumId w:val="18"/>
  </w:num>
  <w:num w:numId="14">
    <w:abstractNumId w:val="7"/>
  </w:num>
  <w:num w:numId="15">
    <w:abstractNumId w:val="0"/>
  </w:num>
  <w:num w:numId="16">
    <w:abstractNumId w:val="11"/>
  </w:num>
  <w:num w:numId="17">
    <w:abstractNumId w:val="2"/>
  </w:num>
  <w:num w:numId="18">
    <w:abstractNumId w:val="10"/>
  </w:num>
  <w:num w:numId="19">
    <w:abstractNumId w:val="12"/>
  </w:num>
  <w:num w:numId="20">
    <w:abstractNumId w:val="3"/>
  </w:num>
  <w:num w:numId="21">
    <w:abstractNumId w:val="16"/>
  </w:num>
  <w:num w:numId="22">
    <w:abstractNumId w:val="17"/>
  </w:num>
  <w:num w:numId="23">
    <w:abstractNumId w:val="22"/>
    <w:lvlOverride w:ilvl="0">
      <w:lvl w:ilvl="0" w:tentative="1">
        <w:numFmt w:val="bullet"/>
        <w:suff w:val="tab"/>
        <w:lvlText w:val="1."/>
        <w:rPr/>
      </w:lvl>
    </w:lvlOverride>
  </w:num>
  <w:num w:numId="24">
    <w:abstractNumId w:val="23"/>
    <w:lvlOverride w:ilvl="0">
      <w:lvl w:ilvl="0" w:tentative="1">
        <w:numFmt w:val="bullet"/>
        <w:suff w:val="tab"/>
        <w:lvlText w:val="2."/>
        <w:rPr/>
      </w:lvl>
    </w:lvlOverride>
  </w:num>
  <w:num w:numId="25">
    <w:abstractNumId w:val="24"/>
    <w:lvlOverride w:ilvl="0">
      <w:lvl w:ilvl="0" w:tentative="1">
        <w:numFmt w:val="bullet"/>
        <w:suff w:val="tab"/>
        <w:lvlText w:val="3."/>
        <w:rPr/>
      </w:lvl>
    </w:lvlOverride>
  </w:num>
  <w:num w:numId="26">
    <w:abstractNumId w:val="25"/>
    <w:lvlOverride w:ilvl="0">
      <w:lvl w:ilvl="0" w:tentative="1">
        <w:numFmt w:val="bullet"/>
        <w:suff w:val="tab"/>
        <w:lvlText w:val="·"/>
        <w:rPr/>
      </w:lvl>
    </w:lvlOverride>
  </w:num>
  <w:num w:numId="27">
    <w:abstractNumId w:val="26"/>
    <w:lvlOverride w:ilvl="0">
      <w:lvl w:ilvl="0" w:tentative="1">
        <w:numFmt w:val="bullet"/>
        <w:suff w:val="tab"/>
        <w:lvlText w:val="·"/>
        <w:rPr/>
      </w:lvl>
    </w:lvlOverride>
  </w:num>
  <w:num w:numId="28">
    <w:abstractNumId w:val="27"/>
  </w:num>
  <w:num w:numId="29">
    <w:abstractNumId w:val="28"/>
    <w:lvlOverride w:ilvl="0">
      <w:lvl w:ilvl="0" w:tentative="1">
        <w:numFmt w:val="bullet"/>
        <w:suff w:val="tab"/>
        <w:lvlText w:val="·"/>
        <w:rPr/>
      </w:lvl>
    </w:lvlOverride>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76F"/>
    <w:rsid w:val="00004865"/>
    <w:rsid w:val="00013BE9"/>
    <w:rsid w:val="00014101"/>
    <w:rsid w:val="00015FFF"/>
    <w:rsid w:val="00020626"/>
    <w:rsid w:val="00040AB9"/>
    <w:rsid w:val="000553C7"/>
    <w:rsid w:val="0006612B"/>
    <w:rsid w:val="000664F3"/>
    <w:rsid w:val="000801CA"/>
    <w:rsid w:val="00085DF1"/>
    <w:rsid w:val="000924A9"/>
    <w:rsid w:val="00092BA3"/>
    <w:rsid w:val="00093D46"/>
    <w:rsid w:val="00094B05"/>
    <w:rsid w:val="000A44AD"/>
    <w:rsid w:val="000A7AE5"/>
    <w:rsid w:val="000C05DA"/>
    <w:rsid w:val="000C0ACE"/>
    <w:rsid w:val="000C6FD3"/>
    <w:rsid w:val="000D6AF8"/>
    <w:rsid w:val="000E0B9B"/>
    <w:rsid w:val="000E1734"/>
    <w:rsid w:val="000E39A2"/>
    <w:rsid w:val="000E5E8C"/>
    <w:rsid w:val="000F75B9"/>
    <w:rsid w:val="00105EAA"/>
    <w:rsid w:val="001121C1"/>
    <w:rsid w:val="00121183"/>
    <w:rsid w:val="00121F54"/>
    <w:rsid w:val="0012276F"/>
    <w:rsid w:val="00122E1C"/>
    <w:rsid w:val="001250A3"/>
    <w:rsid w:val="00141BAC"/>
    <w:rsid w:val="00144D18"/>
    <w:rsid w:val="00146C82"/>
    <w:rsid w:val="00156176"/>
    <w:rsid w:val="001628BF"/>
    <w:rsid w:val="001635A8"/>
    <w:rsid w:val="001667F2"/>
    <w:rsid w:val="0017019A"/>
    <w:rsid w:val="00175E89"/>
    <w:rsid w:val="001772F1"/>
    <w:rsid w:val="001817B8"/>
    <w:rsid w:val="00182897"/>
    <w:rsid w:val="00195E96"/>
    <w:rsid w:val="001A2782"/>
    <w:rsid w:val="001A726C"/>
    <w:rsid w:val="001B17B8"/>
    <w:rsid w:val="001C292C"/>
    <w:rsid w:val="001D1E84"/>
    <w:rsid w:val="001D7563"/>
    <w:rsid w:val="001F4738"/>
    <w:rsid w:val="00212E82"/>
    <w:rsid w:val="002338D1"/>
    <w:rsid w:val="00233A43"/>
    <w:rsid w:val="002443DA"/>
    <w:rsid w:val="00253AF2"/>
    <w:rsid w:val="00253D86"/>
    <w:rsid w:val="00254561"/>
    <w:rsid w:val="00265159"/>
    <w:rsid w:val="00266879"/>
    <w:rsid w:val="0027037F"/>
    <w:rsid w:val="002730C5"/>
    <w:rsid w:val="0027347F"/>
    <w:rsid w:val="002865FF"/>
    <w:rsid w:val="00287028"/>
    <w:rsid w:val="002A06D3"/>
    <w:rsid w:val="002A0E1A"/>
    <w:rsid w:val="002A55DE"/>
    <w:rsid w:val="002B5B32"/>
    <w:rsid w:val="002B6E44"/>
    <w:rsid w:val="002B7AE0"/>
    <w:rsid w:val="002E33E1"/>
    <w:rsid w:val="002F01F3"/>
    <w:rsid w:val="002F7B03"/>
    <w:rsid w:val="00313E41"/>
    <w:rsid w:val="0037327D"/>
    <w:rsid w:val="00385C6D"/>
    <w:rsid w:val="003B26DE"/>
    <w:rsid w:val="003B5A18"/>
    <w:rsid w:val="003B635C"/>
    <w:rsid w:val="003C10B9"/>
    <w:rsid w:val="003C3A46"/>
    <w:rsid w:val="003C6028"/>
    <w:rsid w:val="003D185E"/>
    <w:rsid w:val="003D420A"/>
    <w:rsid w:val="003E4F48"/>
    <w:rsid w:val="003F247D"/>
    <w:rsid w:val="003F34A5"/>
    <w:rsid w:val="00405FBB"/>
    <w:rsid w:val="00420DA8"/>
    <w:rsid w:val="00420F09"/>
    <w:rsid w:val="0042235A"/>
    <w:rsid w:val="00425D1D"/>
    <w:rsid w:val="0043103C"/>
    <w:rsid w:val="00443509"/>
    <w:rsid w:val="00443F75"/>
    <w:rsid w:val="00450AD7"/>
    <w:rsid w:val="00462452"/>
    <w:rsid w:val="00462A6F"/>
    <w:rsid w:val="00466EBC"/>
    <w:rsid w:val="00467992"/>
    <w:rsid w:val="00467A6B"/>
    <w:rsid w:val="00470DCB"/>
    <w:rsid w:val="00473DEF"/>
    <w:rsid w:val="00475A60"/>
    <w:rsid w:val="00486AA2"/>
    <w:rsid w:val="00490E19"/>
    <w:rsid w:val="00493140"/>
    <w:rsid w:val="00494363"/>
    <w:rsid w:val="00494AA6"/>
    <w:rsid w:val="004951D1"/>
    <w:rsid w:val="004A7FE3"/>
    <w:rsid w:val="004B2526"/>
    <w:rsid w:val="004B50A6"/>
    <w:rsid w:val="004C3243"/>
    <w:rsid w:val="004C4D0A"/>
    <w:rsid w:val="004D7594"/>
    <w:rsid w:val="004E02ED"/>
    <w:rsid w:val="004E2625"/>
    <w:rsid w:val="004E7A3A"/>
    <w:rsid w:val="004F05CB"/>
    <w:rsid w:val="004F3875"/>
    <w:rsid w:val="004F4CED"/>
    <w:rsid w:val="0050352A"/>
    <w:rsid w:val="0051325B"/>
    <w:rsid w:val="005213CD"/>
    <w:rsid w:val="00521E97"/>
    <w:rsid w:val="005222C2"/>
    <w:rsid w:val="00533DCF"/>
    <w:rsid w:val="00536E90"/>
    <w:rsid w:val="00543498"/>
    <w:rsid w:val="0054537A"/>
    <w:rsid w:val="00545C9C"/>
    <w:rsid w:val="0055700B"/>
    <w:rsid w:val="00565AC3"/>
    <w:rsid w:val="00570800"/>
    <w:rsid w:val="00573395"/>
    <w:rsid w:val="00573FAC"/>
    <w:rsid w:val="00575A2F"/>
    <w:rsid w:val="005804D9"/>
    <w:rsid w:val="00584162"/>
    <w:rsid w:val="00587A25"/>
    <w:rsid w:val="00592420"/>
    <w:rsid w:val="005A47AE"/>
    <w:rsid w:val="005A47D9"/>
    <w:rsid w:val="005B394A"/>
    <w:rsid w:val="005C2E49"/>
    <w:rsid w:val="005D2E4D"/>
    <w:rsid w:val="005D43BA"/>
    <w:rsid w:val="005D73F9"/>
    <w:rsid w:val="005E2E9C"/>
    <w:rsid w:val="005E4146"/>
    <w:rsid w:val="005F7A4D"/>
    <w:rsid w:val="005F7D9B"/>
    <w:rsid w:val="006063EF"/>
    <w:rsid w:val="0060751D"/>
    <w:rsid w:val="00614FE8"/>
    <w:rsid w:val="006156C1"/>
    <w:rsid w:val="00616F68"/>
    <w:rsid w:val="00620FC4"/>
    <w:rsid w:val="006223CC"/>
    <w:rsid w:val="00624664"/>
    <w:rsid w:val="00625078"/>
    <w:rsid w:val="00655D76"/>
    <w:rsid w:val="0065775A"/>
    <w:rsid w:val="00662AED"/>
    <w:rsid w:val="00670429"/>
    <w:rsid w:val="00683514"/>
    <w:rsid w:val="0068562B"/>
    <w:rsid w:val="006947CC"/>
    <w:rsid w:val="006A1E97"/>
    <w:rsid w:val="006B12C1"/>
    <w:rsid w:val="006C423F"/>
    <w:rsid w:val="006C43F1"/>
    <w:rsid w:val="006C4920"/>
    <w:rsid w:val="006D19E2"/>
    <w:rsid w:val="006D2444"/>
    <w:rsid w:val="006D2F3A"/>
    <w:rsid w:val="006D78B9"/>
    <w:rsid w:val="006E4D0E"/>
    <w:rsid w:val="006E5009"/>
    <w:rsid w:val="006F033C"/>
    <w:rsid w:val="006F16B8"/>
    <w:rsid w:val="00700F41"/>
    <w:rsid w:val="0070499A"/>
    <w:rsid w:val="00717711"/>
    <w:rsid w:val="00724B3A"/>
    <w:rsid w:val="00733D4B"/>
    <w:rsid w:val="0075040B"/>
    <w:rsid w:val="0076242E"/>
    <w:rsid w:val="007657AA"/>
    <w:rsid w:val="00774B53"/>
    <w:rsid w:val="007800B3"/>
    <w:rsid w:val="00782120"/>
    <w:rsid w:val="007838B8"/>
    <w:rsid w:val="00785945"/>
    <w:rsid w:val="007A45A4"/>
    <w:rsid w:val="007B1A28"/>
    <w:rsid w:val="007B236B"/>
    <w:rsid w:val="007B262D"/>
    <w:rsid w:val="007B6233"/>
    <w:rsid w:val="007BD51B"/>
    <w:rsid w:val="007C1295"/>
    <w:rsid w:val="007C4605"/>
    <w:rsid w:val="007D4E78"/>
    <w:rsid w:val="008057C4"/>
    <w:rsid w:val="00816166"/>
    <w:rsid w:val="0082405C"/>
    <w:rsid w:val="008316DB"/>
    <w:rsid w:val="00841F18"/>
    <w:rsid w:val="00842F4C"/>
    <w:rsid w:val="00847AE5"/>
    <w:rsid w:val="008530D5"/>
    <w:rsid w:val="00856CB5"/>
    <w:rsid w:val="00865455"/>
    <w:rsid w:val="008659C5"/>
    <w:rsid w:val="00871B15"/>
    <w:rsid w:val="00875630"/>
    <w:rsid w:val="00876F8F"/>
    <w:rsid w:val="00883BD6"/>
    <w:rsid w:val="0088484E"/>
    <w:rsid w:val="0088679D"/>
    <w:rsid w:val="00887766"/>
    <w:rsid w:val="00893AFE"/>
    <w:rsid w:val="008B16BD"/>
    <w:rsid w:val="008B2F7C"/>
    <w:rsid w:val="008B3C50"/>
    <w:rsid w:val="008B40FF"/>
    <w:rsid w:val="008B41F2"/>
    <w:rsid w:val="008B534B"/>
    <w:rsid w:val="008C1560"/>
    <w:rsid w:val="008C3F0E"/>
    <w:rsid w:val="008D0B4A"/>
    <w:rsid w:val="008D12AD"/>
    <w:rsid w:val="008D3FC7"/>
    <w:rsid w:val="008D4A15"/>
    <w:rsid w:val="008D6384"/>
    <w:rsid w:val="008D7DB0"/>
    <w:rsid w:val="008F01C4"/>
    <w:rsid w:val="008F3000"/>
    <w:rsid w:val="00900674"/>
    <w:rsid w:val="00900F97"/>
    <w:rsid w:val="00903F52"/>
    <w:rsid w:val="009112DC"/>
    <w:rsid w:val="00914D5F"/>
    <w:rsid w:val="00915811"/>
    <w:rsid w:val="009217C0"/>
    <w:rsid w:val="009239EB"/>
    <w:rsid w:val="00930065"/>
    <w:rsid w:val="00931117"/>
    <w:rsid w:val="009322B9"/>
    <w:rsid w:val="009347F7"/>
    <w:rsid w:val="00936BAF"/>
    <w:rsid w:val="009563C9"/>
    <w:rsid w:val="00980373"/>
    <w:rsid w:val="00981ABA"/>
    <w:rsid w:val="009855B1"/>
    <w:rsid w:val="009857BC"/>
    <w:rsid w:val="0099340F"/>
    <w:rsid w:val="009A0E88"/>
    <w:rsid w:val="009A5DE1"/>
    <w:rsid w:val="009B0458"/>
    <w:rsid w:val="009B63F3"/>
    <w:rsid w:val="009C3BDE"/>
    <w:rsid w:val="009C3CE6"/>
    <w:rsid w:val="009C632D"/>
    <w:rsid w:val="009D540B"/>
    <w:rsid w:val="009D705F"/>
    <w:rsid w:val="009E07DB"/>
    <w:rsid w:val="009E0D6B"/>
    <w:rsid w:val="009E3995"/>
    <w:rsid w:val="00A015FC"/>
    <w:rsid w:val="00A030D8"/>
    <w:rsid w:val="00A111DD"/>
    <w:rsid w:val="00A24526"/>
    <w:rsid w:val="00A27E73"/>
    <w:rsid w:val="00A308FD"/>
    <w:rsid w:val="00A32A4F"/>
    <w:rsid w:val="00A33725"/>
    <w:rsid w:val="00A40A3F"/>
    <w:rsid w:val="00A41EE0"/>
    <w:rsid w:val="00A60415"/>
    <w:rsid w:val="00A63CDC"/>
    <w:rsid w:val="00A650FD"/>
    <w:rsid w:val="00A663DE"/>
    <w:rsid w:val="00A71996"/>
    <w:rsid w:val="00A73A33"/>
    <w:rsid w:val="00A8622E"/>
    <w:rsid w:val="00AB58F4"/>
    <w:rsid w:val="00AC658A"/>
    <w:rsid w:val="00B016EF"/>
    <w:rsid w:val="00B06A37"/>
    <w:rsid w:val="00B161B2"/>
    <w:rsid w:val="00B17709"/>
    <w:rsid w:val="00B220FB"/>
    <w:rsid w:val="00B24802"/>
    <w:rsid w:val="00B24D52"/>
    <w:rsid w:val="00B40595"/>
    <w:rsid w:val="00B40F47"/>
    <w:rsid w:val="00B46CE0"/>
    <w:rsid w:val="00B57A09"/>
    <w:rsid w:val="00B64A81"/>
    <w:rsid w:val="00B72DFB"/>
    <w:rsid w:val="00B74C09"/>
    <w:rsid w:val="00B831D5"/>
    <w:rsid w:val="00B9306F"/>
    <w:rsid w:val="00BA12D3"/>
    <w:rsid w:val="00BA48F6"/>
    <w:rsid w:val="00BB26F1"/>
    <w:rsid w:val="00BB3D4D"/>
    <w:rsid w:val="00BB5E02"/>
    <w:rsid w:val="00BC74A1"/>
    <w:rsid w:val="00BE4006"/>
    <w:rsid w:val="00BE5075"/>
    <w:rsid w:val="00BF34CB"/>
    <w:rsid w:val="00BF4804"/>
    <w:rsid w:val="00C12E8C"/>
    <w:rsid w:val="00C37D2E"/>
    <w:rsid w:val="00C51A02"/>
    <w:rsid w:val="00C51E37"/>
    <w:rsid w:val="00C52E04"/>
    <w:rsid w:val="00C603C1"/>
    <w:rsid w:val="00C72744"/>
    <w:rsid w:val="00C72882"/>
    <w:rsid w:val="00C72A67"/>
    <w:rsid w:val="00C76C57"/>
    <w:rsid w:val="00C817A5"/>
    <w:rsid w:val="00C821FB"/>
    <w:rsid w:val="00C82DF4"/>
    <w:rsid w:val="00CA46ED"/>
    <w:rsid w:val="00CA58AA"/>
    <w:rsid w:val="00CA6EFE"/>
    <w:rsid w:val="00CB4CFC"/>
    <w:rsid w:val="00CC00CE"/>
    <w:rsid w:val="00CD29B7"/>
    <w:rsid w:val="00CE117A"/>
    <w:rsid w:val="00D0254C"/>
    <w:rsid w:val="00D04D60"/>
    <w:rsid w:val="00D112C4"/>
    <w:rsid w:val="00D13110"/>
    <w:rsid w:val="00D16E7C"/>
    <w:rsid w:val="00D17CDB"/>
    <w:rsid w:val="00D26AA1"/>
    <w:rsid w:val="00D27415"/>
    <w:rsid w:val="00D2744A"/>
    <w:rsid w:val="00D3605E"/>
    <w:rsid w:val="00D54C47"/>
    <w:rsid w:val="00D7123E"/>
    <w:rsid w:val="00D71DC8"/>
    <w:rsid w:val="00D77095"/>
    <w:rsid w:val="00DB556E"/>
    <w:rsid w:val="00DC13D9"/>
    <w:rsid w:val="00DC3170"/>
    <w:rsid w:val="00DD69EA"/>
    <w:rsid w:val="00E05BC4"/>
    <w:rsid w:val="00E06791"/>
    <w:rsid w:val="00E07245"/>
    <w:rsid w:val="00E11584"/>
    <w:rsid w:val="00E15859"/>
    <w:rsid w:val="00E216F2"/>
    <w:rsid w:val="00E227F1"/>
    <w:rsid w:val="00E2361D"/>
    <w:rsid w:val="00E3010D"/>
    <w:rsid w:val="00E42409"/>
    <w:rsid w:val="00E4651E"/>
    <w:rsid w:val="00E46C85"/>
    <w:rsid w:val="00E50579"/>
    <w:rsid w:val="00E52FFF"/>
    <w:rsid w:val="00E6137F"/>
    <w:rsid w:val="00E73575"/>
    <w:rsid w:val="00E80D66"/>
    <w:rsid w:val="00E84354"/>
    <w:rsid w:val="00E90C3A"/>
    <w:rsid w:val="00E97B55"/>
    <w:rsid w:val="00EA23E5"/>
    <w:rsid w:val="00EA5233"/>
    <w:rsid w:val="00EA6D3F"/>
    <w:rsid w:val="00EC0285"/>
    <w:rsid w:val="00EC34F3"/>
    <w:rsid w:val="00ED5C7D"/>
    <w:rsid w:val="00EE5A02"/>
    <w:rsid w:val="00EF27C4"/>
    <w:rsid w:val="00EF7702"/>
    <w:rsid w:val="00EF790C"/>
    <w:rsid w:val="00F02BDE"/>
    <w:rsid w:val="00F075E2"/>
    <w:rsid w:val="00F149BB"/>
    <w:rsid w:val="00F24A98"/>
    <w:rsid w:val="00F25C9F"/>
    <w:rsid w:val="00F31DF9"/>
    <w:rsid w:val="00F35187"/>
    <w:rsid w:val="00F47512"/>
    <w:rsid w:val="00F47F0B"/>
    <w:rsid w:val="00F538B1"/>
    <w:rsid w:val="00F54C4E"/>
    <w:rsid w:val="00F630E6"/>
    <w:rsid w:val="00F64E6D"/>
    <w:rsid w:val="00F73841"/>
    <w:rsid w:val="00F756DB"/>
    <w:rsid w:val="00F80FB6"/>
    <w:rsid w:val="00F831C7"/>
    <w:rsid w:val="00F877E1"/>
    <w:rsid w:val="00F96413"/>
    <w:rsid w:val="00FA5BA3"/>
    <w:rsid w:val="00FA5F3F"/>
    <w:rsid w:val="00FB1091"/>
    <w:rsid w:val="00FB2572"/>
    <w:rsid w:val="00FC0E33"/>
    <w:rsid w:val="00FD193C"/>
    <w:rsid w:val="00FD1D2E"/>
    <w:rsid w:val="00FD430A"/>
    <w:rsid w:val="00FE2EE5"/>
    <w:rsid w:val="00FE6FCB"/>
    <w:rsid w:val="00FF64F7"/>
    <w:rsid w:val="00FF7B93"/>
    <w:rsid w:val="0217A57C"/>
    <w:rsid w:val="02C0BA9C"/>
    <w:rsid w:val="04C61E68"/>
    <w:rsid w:val="05F85B5E"/>
    <w:rsid w:val="09244B7D"/>
    <w:rsid w:val="092FFC20"/>
    <w:rsid w:val="095D78D4"/>
    <w:rsid w:val="0B198347"/>
    <w:rsid w:val="0C5F94B2"/>
    <w:rsid w:val="0CC739F5"/>
    <w:rsid w:val="0D290F1B"/>
    <w:rsid w:val="0E40DB53"/>
    <w:rsid w:val="0FF5D411"/>
    <w:rsid w:val="10A54225"/>
    <w:rsid w:val="11FC803E"/>
    <w:rsid w:val="13144C76"/>
    <w:rsid w:val="1334C16B"/>
    <w:rsid w:val="1472AEC7"/>
    <w:rsid w:val="14A401B2"/>
    <w:rsid w:val="14D942A9"/>
    <w:rsid w:val="162E63D7"/>
    <w:rsid w:val="16A9423B"/>
    <w:rsid w:val="17DBD4FF"/>
    <w:rsid w:val="19838DFA"/>
    <w:rsid w:val="1D63CD4E"/>
    <w:rsid w:val="1F0F25BC"/>
    <w:rsid w:val="20135881"/>
    <w:rsid w:val="207EC12D"/>
    <w:rsid w:val="20AC5131"/>
    <w:rsid w:val="215131CF"/>
    <w:rsid w:val="21968D65"/>
    <w:rsid w:val="23C79CC6"/>
    <w:rsid w:val="25B67786"/>
    <w:rsid w:val="2669FE88"/>
    <w:rsid w:val="27742690"/>
    <w:rsid w:val="2881E58C"/>
    <w:rsid w:val="29410EC9"/>
    <w:rsid w:val="29960311"/>
    <w:rsid w:val="29A19F4A"/>
    <w:rsid w:val="2A25A373"/>
    <w:rsid w:val="2A8DD95E"/>
    <w:rsid w:val="2ACCE584"/>
    <w:rsid w:val="2C1278C0"/>
    <w:rsid w:val="2C775782"/>
    <w:rsid w:val="2CD9400C"/>
    <w:rsid w:val="2D85A293"/>
    <w:rsid w:val="2F5FD922"/>
    <w:rsid w:val="308CF771"/>
    <w:rsid w:val="36FC38F5"/>
    <w:rsid w:val="37912671"/>
    <w:rsid w:val="38090298"/>
    <w:rsid w:val="3AAAF927"/>
    <w:rsid w:val="3B803608"/>
    <w:rsid w:val="3CB23234"/>
    <w:rsid w:val="3D067D86"/>
    <w:rsid w:val="3D1A0378"/>
    <w:rsid w:val="3D6B7A79"/>
    <w:rsid w:val="3DC9FE6C"/>
    <w:rsid w:val="3F32AA2D"/>
    <w:rsid w:val="40A31B3B"/>
    <w:rsid w:val="419BC7A1"/>
    <w:rsid w:val="419CAA4F"/>
    <w:rsid w:val="4376E0DE"/>
    <w:rsid w:val="43DABBFD"/>
    <w:rsid w:val="4452684D"/>
    <w:rsid w:val="4659147A"/>
    <w:rsid w:val="46A26C3E"/>
    <w:rsid w:val="46B9539B"/>
    <w:rsid w:val="470832DB"/>
    <w:rsid w:val="48025E05"/>
    <w:rsid w:val="484E4446"/>
    <w:rsid w:val="48C43D4E"/>
    <w:rsid w:val="4A142733"/>
    <w:rsid w:val="4AA88174"/>
    <w:rsid w:val="4AB893A2"/>
    <w:rsid w:val="4C4451D5"/>
    <w:rsid w:val="4CC855FE"/>
    <w:rsid w:val="4D50400B"/>
    <w:rsid w:val="4D6EC93F"/>
    <w:rsid w:val="4DA2E456"/>
    <w:rsid w:val="4E30A888"/>
    <w:rsid w:val="4E919B27"/>
    <w:rsid w:val="4EEC106C"/>
    <w:rsid w:val="4F4A1AEC"/>
    <w:rsid w:val="5024FEDC"/>
    <w:rsid w:val="50503240"/>
    <w:rsid w:val="50C12C8B"/>
    <w:rsid w:val="5117C2F8"/>
    <w:rsid w:val="516B1047"/>
    <w:rsid w:val="52B39359"/>
    <w:rsid w:val="52D2EDDB"/>
    <w:rsid w:val="53379782"/>
    <w:rsid w:val="549B193F"/>
    <w:rsid w:val="551A2C59"/>
    <w:rsid w:val="570ECDD5"/>
    <w:rsid w:val="574D7489"/>
    <w:rsid w:val="59A6D906"/>
    <w:rsid w:val="5AABD6D0"/>
    <w:rsid w:val="5C10E128"/>
    <w:rsid w:val="5C2DC36F"/>
    <w:rsid w:val="5C65B2E4"/>
    <w:rsid w:val="5CC9DA5A"/>
    <w:rsid w:val="5DB9145E"/>
    <w:rsid w:val="60161A8A"/>
    <w:rsid w:val="61B1EAEB"/>
    <w:rsid w:val="61BAFF05"/>
    <w:rsid w:val="61DF9DE2"/>
    <w:rsid w:val="634DBB4C"/>
    <w:rsid w:val="65827EE5"/>
    <w:rsid w:val="67B5C042"/>
    <w:rsid w:val="68212C6F"/>
    <w:rsid w:val="6838B482"/>
    <w:rsid w:val="68FBC705"/>
    <w:rsid w:val="6C526B02"/>
    <w:rsid w:val="6DE9C369"/>
    <w:rsid w:val="6F61235C"/>
    <w:rsid w:val="6F72F60F"/>
    <w:rsid w:val="6FA8F8BE"/>
    <w:rsid w:val="702C3E54"/>
    <w:rsid w:val="707573E9"/>
    <w:rsid w:val="75B4D89A"/>
    <w:rsid w:val="75C7B9C0"/>
    <w:rsid w:val="75E23793"/>
    <w:rsid w:val="761D25A9"/>
    <w:rsid w:val="76EA357C"/>
    <w:rsid w:val="7764DF97"/>
    <w:rsid w:val="777E07F4"/>
    <w:rsid w:val="7919D855"/>
    <w:rsid w:val="795BAF26"/>
    <w:rsid w:val="79A1C262"/>
    <w:rsid w:val="7BCD74EE"/>
    <w:rsid w:val="7C517917"/>
    <w:rsid w:val="7D90420F"/>
    <w:rsid w:val="7ED6A80C"/>
    <w:rsid w:val="7F8919D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4508C"/>
  <w15:docId w15:val="{4D169CE9-E2B8-8F4E-92CE-0185F9916DB3}"/>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imes New Roman" w:cs="Times New Roman" w:eastAsia="PMingLiU" w:hAnsi="Times New Roman"/>
        <w:sz w:val="24"/>
        <w:szCs w:val="24"/>
        <w:lang w:val="en-US" w:bidi="ar-SA" w:eastAsia="en-US"/>
      </w:rPr>
    </w:rPrDefault>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character" w:styleId="FollowedHyperlink">
    <w:name w:val="FollowedHyperlink"/>
    <w:basedOn w:val="DefaultParagraphFont"/>
    <w:uiPriority w:val="99"/>
    <w:semiHidden w:val="on"/>
    <w:unhideWhenUsed w:val="on"/>
    <w:rPr>
      <w:color w:val="800080"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Caption">
    <w:name w:val="Caption"/>
    <w:basedOn w:val="Normal"/>
    <w:next w:val="Normal"/>
    <w:uiPriority w:val="35"/>
    <w:unhideWhenUsed w:val="on"/>
    <w:qFormat w:val="on"/>
    <w:pPr>
      <w:spacing w:after="200" w:line="240" w:lineRule="auto"/>
    </w:pPr>
    <w:rPr>
      <w:i/>
      <w:iCs/>
      <w:color w:val="1f497d" w:themeColor="text2"/>
      <w:sz w:val="18"/>
      <w:szCs w:val="18"/>
    </w:rPr>
  </w:style>
  <w:style w:type="paragraph" w:default="1" w:styleId="Normal">
    <w:name w:val="Normal"/>
    <w:uiPriority w:val="99"/>
    <w:qFormat w:val="on"/>
    <w:rPr>
      <w:rFonts w:ascii="FuturaT" w:hAnsi="FuturaT"/>
      <w:lang w:val="en-GB"/>
    </w:rPr>
  </w:style>
  <w:style w:type="character" w:default="1" w:styleId="DefaultParagraphFont">
    <w:name w:val="Default Paragraph Font"/>
    <w:uiPriority w:val="1"/>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table" w:styleId="TableGrid">
    <w:name w:val="Table Grid"/>
    <w:basedOn w:val="NormalTable"/>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ocumentMap">
    <w:name w:val="Document Map"/>
    <w:basedOn w:val="Normal"/>
    <w:uiPriority w:val="99"/>
    <w:semiHidden w:val="on"/>
    <w:pPr>
      <w:shd w:val="clear" w:color="auto" w:fill="000080"/>
    </w:pPr>
    <w:rPr>
      <w:rFonts w:ascii="Tahoma" w:cs="Tahoma" w:hAnsi="Tahoma"/>
      <w:sz w:val="20"/>
    </w:rPr>
  </w:style>
  <w:style w:type="paragraph" w:styleId="ListParagraph">
    <w:name w:val="List Paragraph"/>
    <w:basedOn w:val="Normal"/>
    <w:uiPriority w:val="34"/>
    <w:qFormat w:val="on"/>
    <w:pPr>
      <w:ind w:left="720"/>
      <w:contextualSpacing w:val="on"/>
    </w:pPr>
  </w:style>
  <w:style w:type="paragraph" w:customStyle="1" w:styleId="Default">
    <w:name w:val="Default"/>
    <w:uiPriority w:val="99"/>
    <w:pPr>
      <w:widowControl w:val="off"/>
    </w:pPr>
    <w:rPr>
      <w:rFonts w:ascii="Trebuchet MS" w:hAnsi="Trebuchet MS"/>
      <w:color w:val="00000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FuturaT" w:hAnsi="FuturaT"/>
      <w:sz w:val="24"/>
      <w:lang w:val="en-GB"/>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FuturaT" w:hAnsi="FuturaT"/>
      <w:sz w:val="24"/>
      <w:lang w:val="en-GB"/>
    </w:rPr>
  </w:style>
  <w:style w:type="character" w:styleId="Pagenumber">
    <w:name w:val="Page number"/>
    <w:basedOn w:val="DefaultParagraphFont"/>
    <w:uiPriority w:val="99"/>
  </w:style>
  <w:style w:type="paragraph" w:styleId="Normal(Web)">
    <w:name w:val="Normal (Web)"/>
    <w:basedOn w:val="Normal"/>
    <w:uiPriority w:val="99"/>
    <w:unhideWhenUsed w:val="on"/>
    <w:pPr>
      <w:spacing w:before="100" w:after="100"/>
    </w:pPr>
    <w:rPr>
      <w:rFonts w:ascii="Times New Roman" w:eastAsia="Times New Roman" w:hAnsi="Times New Roman"/>
    </w:rPr>
  </w:style>
  <w:style w:type="paragraph" w:styleId="BodyText">
    <w:name w:val="Body Text"/>
    <w:basedOn w:val="Normal"/>
    <w:link w:val="BodyTextChar"/>
    <w:uiPriority w:val="1"/>
    <w:qFormat w:val="on"/>
    <w:pPr>
      <w:widowControl w:val="off"/>
    </w:pPr>
    <w:rPr>
      <w:rFonts w:ascii="Arial" w:cs="Arial" w:eastAsia="Arial" w:hAnsi="Arial"/>
      <w:lang w:val="en-US"/>
    </w:rPr>
  </w:style>
  <w:style w:type="character" w:customStyle="1" w:styleId="BodyTextChar">
    <w:name w:val="Body Text Char"/>
    <w:basedOn w:val="DefaultParagraphFont"/>
    <w:link w:val="BodyText"/>
    <w:uiPriority w:val="1"/>
    <w:rPr>
      <w:rFonts w:ascii="Arial" w:cs="Arial" w:eastAsia="Arial" w:hAnsi="Arial"/>
    </w:rPr>
  </w:style>
  <w:style w:type="table" w:styleId="GridTable2Accent5">
    <w:name w:val="Grid Table 2 Accent 5"/>
    <w:basedOn w:val="NormalTable"/>
    <w:uiPriority w:val="47"/>
    <w:tblPr>
      <w:tblStyleRowBandSize w:val="1"/>
      <w:tblStyleColBandSize w:val="1"/>
      <w:tblBorders>
        <w:top w:val="single" w:color="92ccdc" w:themeColor="accent5" w:themeTint="99" w:sz="2" w:space="0"/>
        <w:bottom w:val="single" w:color="92ccdc" w:themeColor="accent5" w:themeTint="99" w:sz="2" w:space="0"/>
        <w:insideH w:val="single" w:color="92ccdc" w:themeColor="accent5" w:themeTint="99" w:sz="2" w:space="0"/>
        <w:insideV w:val="single" w:color="92ccdc" w:themeColor="accent5" w:themeTint="99" w:sz="2" w:space="0"/>
      </w:tblBorders>
    </w:tblPr>
    <w:tblStylePr w:type="firstRow">
      <w:rPr>
        <w:b/>
        <w:bCs/>
      </w:rPr>
      <w:tblPr/>
      <w:tcPr>
        <w:tcBorders>
          <w:top w:val="nil" w:sz="4" w:space="0"/>
          <w:bottom w:val="single" w:color="92ccdc" w:themeColor="accent5" w:themeTint="99" w:sz="12" w:space="0"/>
          <w:insideH w:val="nil" w:sz="4" w:space="0"/>
          <w:insideV w:val="nil" w:sz="4" w:space="0"/>
        </w:tcBorders>
        <w:shd w:val="clear" w:color="auto" w:fill="ffffff" w:themeFill="background1"/>
      </w:tcPr>
    </w:tblStylePr>
    <w:tblStylePr w:type="lastRow">
      <w:rPr>
        <w:b/>
        <w:bCs/>
      </w:rPr>
      <w:tblPr/>
      <w:tcPr>
        <w:tcBorders>
          <w:top w:val="double" w:color="92ccdc" w:themeColor="accent5" w:themeTint="99" w:sz="2" w:space="0"/>
          <w:bottom w:val="nil" w:sz="4" w:space="0"/>
          <w:insideH w:val="nil" w:sz="4" w:space="0"/>
          <w:insideV w:val="nil" w:sz="4" w:space="0"/>
        </w:tcBorders>
        <w:shd w:val="clear" w:color="auto" w:fill="ffffff" w:themeFill="background1"/>
      </w:tcPr>
    </w:tblStylePr>
    <w:tblStylePr w:type="firstCol">
      <w:rPr>
        <w:b/>
        <w:bCs/>
      </w:rPr>
    </w:tblStylePr>
    <w:tblStylePr w:type="lastCol">
      <w:rPr>
        <w:b/>
        <w:bCs/>
      </w:rPr>
    </w:tblStylePr>
    <w:tblStylePr w:type="band1Vert">
      <w:tblPr/>
      <w:tcPr>
        <w:shd w:val="clear" w:color="auto" w:fill="dbeef3" w:themeFill="accent5" w:themeFillTint="33"/>
      </w:tcPr>
    </w:tblStylePr>
    <w:tblStylePr w:type="band1Horz">
      <w:tblPr/>
      <w:tcPr>
        <w:shd w:val="clear" w:color="auto" w:fill="dbeef3" w:themeFill="accent5" w:themeFillTint="33"/>
      </w:tcPr>
    </w:tblStylePr>
  </w:style>
  <w:style w:type="table" w:styleId="GridTable5DarkAccent4">
    <w:name w:val="Grid Table 5 Dark Accent 4"/>
    <w:basedOn w:val="NormalTable"/>
    <w:uiPriority w:val="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e0e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4" w:space="0"/>
          <w:insideV w:val="nil" w:sz="4" w:space="0"/>
        </w:tcBorders>
        <w:shd w:val="clear" w:color="auto" w:fill="8064a2"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4" w:space="0"/>
          <w:insideV w:val="nil" w:sz="4" w:space="0"/>
        </w:tcBorders>
        <w:shd w:val="clear" w:color="auto" w:fill="8064a2"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4" w:space="0"/>
        </w:tcBorders>
        <w:shd w:val="clear" w:color="auto" w:fill="8064a2"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4" w:space="0"/>
        </w:tcBorders>
        <w:shd w:val="clear" w:color="auto" w:fill="8064a2" w:themeFill="accent4"/>
      </w:tcPr>
    </w:tblStylePr>
    <w:tblStylePr w:type="band1Vert">
      <w:tblPr/>
      <w:tcPr>
        <w:shd w:val="clear" w:color="auto" w:fill="ccc0da" w:themeFill="accent4" w:themeFillTint="66"/>
      </w:tcPr>
    </w:tblStylePr>
    <w:tblStylePr w:type="band1Horz">
      <w:tblPr/>
      <w:tcPr>
        <w:shd w:val="clear" w:color="auto" w:fill="ccc0da" w:themeFill="accent4" w:themeFillTint="66"/>
      </w:tcPr>
    </w:tblStylePr>
  </w:style>
  <w:style w:type="table" w:styleId="ListTable1LightAccent4">
    <w:name w:val="List Table 1 Light Accent 4"/>
    <w:basedOn w:val="NormalTable"/>
    <w:uiPriority w:val="46"/>
    <w:tblPr>
      <w:tblStyleRowBandSize w:val="1"/>
      <w:tblStyleColBandSize w:val="1"/>
    </w:tblPr>
    <w:tblStylePr w:type="firstRow">
      <w:rPr>
        <w:b/>
        <w:bCs/>
      </w:rPr>
      <w:tblPr/>
      <w:tcPr>
        <w:tcBorders>
          <w:bottom w:val="single" w:color="b2a1c7" w:themeColor="accent4" w:themeTint="99" w:sz="4" w:space="0"/>
        </w:tcBorders>
      </w:tcPr>
    </w:tblStylePr>
    <w:tblStylePr w:type="lastRow">
      <w:rPr>
        <w:b/>
        <w:bCs/>
      </w:rPr>
      <w:tblPr/>
      <w:tcPr>
        <w:tcBorders>
          <w:top w:val="single" w:color="b2a1c7" w:themeColor="accent4" w:themeTint="99" w:sz="4" w:space="0"/>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3Accent4">
    <w:name w:val="List Table 3 Accent 4"/>
    <w:basedOn w:val="NormalTable"/>
    <w:uiPriority w:val="48"/>
    <w:tblPr>
      <w:tblStyleRowBandSize w:val="1"/>
      <w:tblStyleColBandSize w:val="1"/>
      <w:tblBorders>
        <w:top w:val="single" w:color="8064a2" w:themeColor="accent4" w:sz="4" w:space="0"/>
        <w:left w:val="single" w:color="8064a2" w:themeColor="accent4" w:sz="4" w:space="0"/>
        <w:bottom w:val="single" w:color="8064a2" w:themeColor="accent4" w:sz="4" w:space="0"/>
        <w:right w:val="single" w:color="8064a2" w:themeColor="accent4" w:sz="4" w:space="0"/>
      </w:tblBorders>
    </w:tblPr>
    <w:tblStylePr w:type="firstRow">
      <w:rPr>
        <w:b/>
        <w:bCs/>
        <w:color w:val="ffffff" w:themeColor="background1"/>
      </w:rPr>
      <w:tblPr/>
      <w:tcPr>
        <w:shd w:val="clear" w:color="auto" w:fill="8064a2" w:themeFill="accent4"/>
      </w:tcPr>
    </w:tblStylePr>
    <w:tblStylePr w:type="lastRow">
      <w:rPr>
        <w:b/>
        <w:bCs/>
      </w:rPr>
      <w:tblPr/>
      <w:tcPr>
        <w:tcBorders>
          <w:top w:val="double" w:color="8064a2" w:themeColor="accent4" w:sz="4" w:space="0"/>
        </w:tcBorders>
        <w:shd w:val="clear" w:color="auto" w:fill="ffffff" w:themeFill="background1"/>
      </w:tcPr>
    </w:tblStylePr>
    <w:tblStylePr w:type="firstCol">
      <w:rPr>
        <w:b/>
        <w:bCs/>
      </w:rPr>
      <w:tblPr/>
      <w:tcPr>
        <w:tcBorders>
          <w:right w:val="nil" w:sz="4" w:space="0"/>
        </w:tcBorders>
        <w:shd w:val="clear" w:color="auto" w:fill="ffffff" w:themeFill="background1"/>
      </w:tcPr>
    </w:tblStylePr>
    <w:tblStylePr w:type="lastCol">
      <w:rPr>
        <w:b/>
        <w:bCs/>
      </w:rPr>
      <w:tblPr/>
      <w:tcPr>
        <w:tcBorders>
          <w:left w:val="nil" w:sz="4" w:space="0"/>
        </w:tcBorders>
        <w:shd w:val="clear" w:color="auto" w:fill="ffffff" w:themeFill="background1"/>
      </w:tcPr>
    </w:tblStylePr>
    <w:tblStylePr w:type="band1Vert">
      <w:tblPr/>
      <w:tcPr>
        <w:tcBorders>
          <w:left w:val="single" w:color="8064a2" w:themeColor="accent4" w:sz="4" w:space="0"/>
          <w:right w:val="single" w:color="8064a2" w:themeColor="accent4" w:sz="4" w:space="0"/>
        </w:tcBorders>
      </w:tcPr>
    </w:tblStylePr>
    <w:tblStylePr w:type="band1Horz">
      <w:tblPr/>
      <w:tcPr>
        <w:tcBorders>
          <w:top w:val="single" w:color="8064a2" w:themeColor="accent4" w:sz="4" w:space="0"/>
          <w:bottom w:val="single" w:color="8064a2" w:themeColor="accent4" w:sz="4" w:space="0"/>
          <w:insideH w:val="nil" w:sz="4" w:space="0"/>
        </w:tcBorders>
      </w:tcPr>
    </w:tblStylePr>
    <w:tblStylePr w:type="neCell">
      <w:tblPr/>
      <w:tcPr>
        <w:tcBorders>
          <w:left w:val="nil" w:sz="4" w:space="0"/>
          <w:bottom w:val="nil" w:sz="4" w:space="0"/>
        </w:tcBorders>
      </w:tcPr>
    </w:tblStylePr>
    <w:tblStylePr w:type="nwCell">
      <w:tblPr/>
      <w:tcPr>
        <w:tcBorders>
          <w:bottom w:val="nil" w:sz="4" w:space="0"/>
          <w:right w:val="nil" w:sz="4" w:space="0"/>
        </w:tcBorders>
      </w:tcPr>
    </w:tblStylePr>
    <w:tblStylePr w:type="swCell">
      <w:tblPr/>
      <w:tcPr>
        <w:tcBorders>
          <w:top w:val="double" w:color="8064a2" w:themeColor="accent4" w:sz="4" w:space="0"/>
          <w:right w:val="nil" w:sz="4" w:space="0"/>
        </w:tcBorders>
      </w:tcPr>
    </w:tblStylePr>
    <w:tblStylePr w:type="seCell">
      <w:tblPr/>
      <w:tcPr>
        <w:tcBorders>
          <w:top w:val="double" w:color="8064a2" w:themeColor="accent4" w:sz="4" w:space="0"/>
          <w:left w:val="nil" w:sz="4" w:space="0"/>
        </w:tcBorders>
      </w:tcPr>
    </w:tblStylePr>
  </w:style>
  <w:style w:type="table" w:styleId="ListTable5DarkAccent4">
    <w:name w:val="List Table 5 Dark Accent 4"/>
    <w:basedOn w:val="NormalTable"/>
    <w:uiPriority w:val="50"/>
    <w:rPr>
      <w:color w:val="ffffff" w:themeColor="background1"/>
    </w:rPr>
    <w:tblPr>
      <w:tblStyleRowBandSize w:val="1"/>
      <w:tblStyleColBandSize w:val="1"/>
      <w:tblBorders>
        <w:top w:val="single" w:color="8064a2" w:themeColor="accent4" w:sz="24" w:space="0"/>
        <w:left w:val="single" w:color="8064a2" w:themeColor="accent4" w:sz="24" w:space="0"/>
        <w:bottom w:val="single" w:color="8064a2" w:themeColor="accent4" w:sz="24" w:space="0"/>
        <w:right w:val="single" w:color="8064a2" w:themeColor="accent4" w:sz="24" w:space="0"/>
      </w:tblBorders>
    </w:tblPr>
    <w:tcPr>
      <w:shd w:val="clear" w:color="auto" w:fill="8064a2"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sz="4" w:space="0"/>
        </w:tcBorders>
      </w:tcPr>
    </w:tblStylePr>
    <w:tblStylePr w:type="nwCell">
      <w:tblPr/>
      <w:tcPr>
        <w:tcBorders>
          <w:right w:val="nil" w:sz="4" w:space="0"/>
        </w:tcBorders>
      </w:tcPr>
    </w:tblStylePr>
    <w:tblStylePr w:type="swCell">
      <w:tblPr/>
      <w:tcPr>
        <w:tcBorders>
          <w:top w:val="nil" w:sz="4" w:space="0"/>
          <w:right w:val="nil" w:sz="4" w:space="0"/>
        </w:tcBorders>
      </w:tcPr>
    </w:tblStylePr>
    <w:tblStylePr w:type="seCell">
      <w:tblPr/>
      <w:tcPr>
        <w:tcBorders>
          <w:top w:val="nil" w:sz="4" w:space="0"/>
          <w:left w:val="nil" w:sz="4" w:space="0"/>
        </w:tcBorders>
      </w:tcPr>
    </w:tblStylePr>
  </w:style>
  <w:style w:type="table" w:styleId="ListTable6ColorfulAccent4">
    <w:name w:val="List Table 6 Colorful Accent 4"/>
    <w:basedOn w:val="NormalTable"/>
    <w:uiPriority w:val="51"/>
    <w:rPr>
      <w:color w:val="60497b" w:themeColor="accent4" w:themeShade="bf"/>
    </w:rPr>
    <w:tblPr>
      <w:tblStyleRowBandSize w:val="1"/>
      <w:tblStyleColBandSize w:val="1"/>
      <w:tblBorders>
        <w:top w:val="single" w:color="8064a2" w:themeColor="accent4" w:sz="4" w:space="0"/>
        <w:bottom w:val="single" w:color="8064a2" w:themeColor="accent4" w:sz="4" w:space="0"/>
      </w:tblBorders>
    </w:tblPr>
    <w:tblStylePr w:type="firstRow">
      <w:rPr>
        <w:b/>
        <w:bCs/>
      </w:rPr>
      <w:tblPr/>
      <w:tcPr>
        <w:tcBorders>
          <w:bottom w:val="single" w:color="8064a2" w:themeColor="accent4" w:sz="4" w:space="0"/>
        </w:tcBorders>
      </w:tcPr>
    </w:tblStylePr>
    <w:tblStylePr w:type="lastRow">
      <w:rPr>
        <w:b/>
        <w:bCs/>
      </w:rPr>
      <w:tblPr/>
      <w:tcPr>
        <w:tcBorders>
          <w:top w:val="double" w:color="8064a2" w:themeColor="accent4" w:sz="4" w:space="0"/>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4">
    <w:name w:val="List Table 4 Accent 4"/>
    <w:basedOn w:val="NormalTable"/>
    <w:uiPriority w:val="49"/>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tblBorders>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sz="4" w:space="0"/>
        </w:tcBorders>
        <w:shd w:val="clear" w:color="auto" w:fill="8064a2" w:themeFill="accent4"/>
      </w:tcPr>
    </w:tblStylePr>
    <w:tblStylePr w:type="lastRow">
      <w:rPr>
        <w:b/>
        <w:bCs/>
      </w:rPr>
      <w:tblPr/>
      <w:tcPr>
        <w:tcBorders>
          <w:top w:val="double" w:color="b2a1c7" w:themeColor="accent4" w:themeTint="99" w:sz="4" w:space="0"/>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4">
    <w:name w:val="Grid Table 4 Accent 4"/>
    <w:basedOn w:val="NormalTable"/>
    <w:uiPriority w:val="49"/>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sz="4" w:space="0"/>
          <w:insideV w:val="nil" w:sz="4" w:space="0"/>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paragraph" w:styleId="BalloonText">
    <w:name w:val="Balloon Text"/>
    <w:basedOn w:val="Normal"/>
    <w:link w:val="BalloonTextChar"/>
    <w:uiPriority w:val="99"/>
    <w:semiHidden w:val="on"/>
    <w:unhideWhenUsed w:val="on"/>
    <w:rPr>
      <w:rFonts w:ascii="Segoe UI" w:cs="Segoe UI" w:hAnsi="Segoe UI"/>
      <w:sz w:val="18"/>
      <w:szCs w:val="18"/>
    </w:rPr>
  </w:style>
  <w:style w:type="character" w:customStyle="1" w:styleId="BalloonTextChar">
    <w:name w:val="Balloon Text Char"/>
    <w:basedOn w:val="DefaultParagraphFont"/>
    <w:link w:val="BalloonText"/>
    <w:uiPriority w:val="99"/>
    <w:semiHidden w:val="on"/>
    <w:rPr>
      <w:rFonts w:ascii="Segoe UI" w:cs="Segoe UI" w:hAnsi="Segoe UI"/>
      <w:sz w:val="18"/>
      <w:szCs w:val="18"/>
      <w:lang w:val="en-GB"/>
    </w:rPr>
  </w:style>
  <w:style w:type="table" w:styleId="GridTable4Accent6">
    <w:name w:val="Grid Table 4 Accent 6"/>
    <w:basedOn w:val="NormalTable"/>
    <w:uiPriority w:val="49"/>
    <w:tblPr>
      <w:tblStyleRowBandSize w:val="1"/>
      <w:tblStyleColBandSize w:val="1"/>
      <w:tblBorders>
        <w:top w:val="single" w:color="fabf8e" w:themeColor="accent6" w:themeTint="99" w:sz="4" w:space="0"/>
        <w:left w:val="single" w:color="fabf8e" w:themeColor="accent6" w:themeTint="99" w:sz="4" w:space="0"/>
        <w:bottom w:val="single" w:color="fabf8e" w:themeColor="accent6" w:themeTint="99" w:sz="4" w:space="0"/>
        <w:right w:val="single" w:color="fabf8e" w:themeColor="accent6" w:themeTint="99" w:sz="4" w:space="0"/>
        <w:insideH w:val="single" w:color="fabf8e" w:themeColor="accent6" w:themeTint="99" w:sz="4" w:space="0"/>
        <w:insideV w:val="single" w:color="fabf8e"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sz="4" w:space="0"/>
          <w:insideV w:val="nil" w:sz="4" w:space="0"/>
        </w:tcBorders>
        <w:shd w:val="clear" w:color="auto" w:fill="f79646" w:themeFill="accent6"/>
      </w:tcPr>
    </w:tblStylePr>
    <w:tblStylePr w:type="lastRow">
      <w:rPr>
        <w:b/>
        <w:bCs/>
      </w:rPr>
      <w:tblPr/>
      <w:tcPr>
        <w:tcBorders>
          <w:top w:val="double" w:color="f79646" w:themeColor="accent6"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4Accent6">
    <w:name w:val="List Table 4 Accent 6"/>
    <w:basedOn w:val="NormalTable"/>
    <w:uiPriority w:val="49"/>
    <w:tblPr>
      <w:tblStyleRowBandSize w:val="1"/>
      <w:tblStyleColBandSize w:val="1"/>
      <w:tblBorders>
        <w:top w:val="single" w:color="fabf8e" w:themeColor="accent6" w:themeTint="99" w:sz="4" w:space="0"/>
        <w:left w:val="single" w:color="fabf8e" w:themeColor="accent6" w:themeTint="99" w:sz="4" w:space="0"/>
        <w:bottom w:val="single" w:color="fabf8e" w:themeColor="accent6" w:themeTint="99" w:sz="4" w:space="0"/>
        <w:right w:val="single" w:color="fabf8e" w:themeColor="accent6" w:themeTint="99" w:sz="4" w:space="0"/>
        <w:insideH w:val="single" w:color="fabf8e"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sz="4" w:space="0"/>
        </w:tcBorders>
        <w:shd w:val="clear" w:color="auto" w:fill="f79646" w:themeFill="accent6"/>
      </w:tcPr>
    </w:tblStylePr>
    <w:tblStylePr w:type="lastRow">
      <w:rPr>
        <w:b/>
        <w:bCs/>
      </w:rPr>
      <w:tblPr/>
      <w:tcPr>
        <w:tcBorders>
          <w:top w:val="double" w:color="fabf8e" w:themeColor="accent6" w:themeTint="99"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77124">
      <w:bodyDiv w:val="1"/>
      <w:marLeft w:val="0"/>
      <w:marRight w:val="0"/>
      <w:marTop w:val="0"/>
      <w:marBottom w:val="0"/>
      <w:divBdr>
        <w:top w:val="none" w:sz="0" w:space="0" w:color="auto"/>
        <w:left w:val="none" w:sz="0" w:space="0" w:color="auto"/>
        <w:bottom w:val="none" w:sz="0" w:space="0" w:color="auto"/>
        <w:right w:val="none" w:sz="0" w:space="0" w:color="auto"/>
      </w:divBdr>
      <w:divsChild>
        <w:div w:id="597981449">
          <w:marLeft w:val="0"/>
          <w:marRight w:val="0"/>
          <w:marTop w:val="0"/>
          <w:marBottom w:val="0"/>
          <w:divBdr>
            <w:top w:val="none" w:sz="0" w:space="0" w:color="auto"/>
            <w:left w:val="none" w:sz="0" w:space="0" w:color="auto"/>
            <w:bottom w:val="none" w:sz="0" w:space="0" w:color="auto"/>
            <w:right w:val="none" w:sz="0" w:space="0" w:color="auto"/>
          </w:divBdr>
          <w:divsChild>
            <w:div w:id="2118940404">
              <w:marLeft w:val="0"/>
              <w:marRight w:val="0"/>
              <w:marTop w:val="0"/>
              <w:marBottom w:val="0"/>
              <w:divBdr>
                <w:top w:val="none" w:sz="0" w:space="0" w:color="auto"/>
                <w:left w:val="none" w:sz="0" w:space="0" w:color="auto"/>
                <w:bottom w:val="none" w:sz="0" w:space="0" w:color="auto"/>
                <w:right w:val="none" w:sz="0" w:space="0" w:color="auto"/>
              </w:divBdr>
              <w:divsChild>
                <w:div w:id="1454791026">
                  <w:marLeft w:val="0"/>
                  <w:marRight w:val="0"/>
                  <w:marTop w:val="0"/>
                  <w:marBottom w:val="0"/>
                  <w:divBdr>
                    <w:top w:val="none" w:sz="0" w:space="0" w:color="auto"/>
                    <w:left w:val="none" w:sz="0" w:space="0" w:color="auto"/>
                    <w:bottom w:val="none" w:sz="0" w:space="0" w:color="auto"/>
                    <w:right w:val="none" w:sz="0" w:space="0" w:color="auto"/>
                  </w:divBdr>
                  <w:divsChild>
                    <w:div w:id="11845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31485">
      <w:bodyDiv w:val="1"/>
      <w:marLeft w:val="0"/>
      <w:marRight w:val="0"/>
      <w:marTop w:val="0"/>
      <w:marBottom w:val="0"/>
      <w:divBdr>
        <w:top w:val="none" w:sz="0" w:space="0" w:color="auto"/>
        <w:left w:val="none" w:sz="0" w:space="0" w:color="auto"/>
        <w:bottom w:val="none" w:sz="0" w:space="0" w:color="auto"/>
        <w:right w:val="none" w:sz="0" w:space="0" w:color="auto"/>
      </w:divBdr>
      <w:divsChild>
        <w:div w:id="1881741144">
          <w:marLeft w:val="0"/>
          <w:marRight w:val="0"/>
          <w:marTop w:val="0"/>
          <w:marBottom w:val="0"/>
          <w:divBdr>
            <w:top w:val="none" w:sz="0" w:space="0" w:color="auto"/>
            <w:left w:val="none" w:sz="0" w:space="0" w:color="auto"/>
            <w:bottom w:val="none" w:sz="0" w:space="0" w:color="auto"/>
            <w:right w:val="none" w:sz="0" w:space="0" w:color="auto"/>
          </w:divBdr>
          <w:divsChild>
            <w:div w:id="1828861128">
              <w:marLeft w:val="0"/>
              <w:marRight w:val="0"/>
              <w:marTop w:val="0"/>
              <w:marBottom w:val="0"/>
              <w:divBdr>
                <w:top w:val="none" w:sz="0" w:space="0" w:color="auto"/>
                <w:left w:val="none" w:sz="0" w:space="0" w:color="auto"/>
                <w:bottom w:val="none" w:sz="0" w:space="0" w:color="auto"/>
                <w:right w:val="none" w:sz="0" w:space="0" w:color="auto"/>
              </w:divBdr>
              <w:divsChild>
                <w:div w:id="575407527">
                  <w:marLeft w:val="0"/>
                  <w:marRight w:val="0"/>
                  <w:marTop w:val="0"/>
                  <w:marBottom w:val="0"/>
                  <w:divBdr>
                    <w:top w:val="none" w:sz="0" w:space="0" w:color="auto"/>
                    <w:left w:val="none" w:sz="0" w:space="0" w:color="auto"/>
                    <w:bottom w:val="none" w:sz="0" w:space="0" w:color="auto"/>
                    <w:right w:val="none" w:sz="0" w:space="0" w:color="auto"/>
                  </w:divBdr>
                  <w:divsChild>
                    <w:div w:id="134559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6748">
      <w:bodyDiv w:val="1"/>
      <w:marLeft w:val="0"/>
      <w:marRight w:val="0"/>
      <w:marTop w:val="0"/>
      <w:marBottom w:val="0"/>
      <w:divBdr>
        <w:top w:val="none" w:sz="0" w:space="0" w:color="auto"/>
        <w:left w:val="none" w:sz="0" w:space="0" w:color="auto"/>
        <w:bottom w:val="none" w:sz="0" w:space="0" w:color="auto"/>
        <w:right w:val="none" w:sz="0" w:space="0" w:color="auto"/>
      </w:divBdr>
      <w:divsChild>
        <w:div w:id="705564743">
          <w:marLeft w:val="0"/>
          <w:marRight w:val="0"/>
          <w:marTop w:val="0"/>
          <w:marBottom w:val="0"/>
          <w:divBdr>
            <w:top w:val="none" w:sz="0" w:space="0" w:color="auto"/>
            <w:left w:val="none" w:sz="0" w:space="0" w:color="auto"/>
            <w:bottom w:val="none" w:sz="0" w:space="0" w:color="auto"/>
            <w:right w:val="none" w:sz="0" w:space="0" w:color="auto"/>
          </w:divBdr>
          <w:divsChild>
            <w:div w:id="388311184">
              <w:marLeft w:val="0"/>
              <w:marRight w:val="0"/>
              <w:marTop w:val="0"/>
              <w:marBottom w:val="0"/>
              <w:divBdr>
                <w:top w:val="none" w:sz="0" w:space="0" w:color="auto"/>
                <w:left w:val="none" w:sz="0" w:space="0" w:color="auto"/>
                <w:bottom w:val="none" w:sz="0" w:space="0" w:color="auto"/>
                <w:right w:val="none" w:sz="0" w:space="0" w:color="auto"/>
              </w:divBdr>
              <w:divsChild>
                <w:div w:id="860972078">
                  <w:marLeft w:val="0"/>
                  <w:marRight w:val="0"/>
                  <w:marTop w:val="0"/>
                  <w:marBottom w:val="0"/>
                  <w:divBdr>
                    <w:top w:val="none" w:sz="0" w:space="0" w:color="auto"/>
                    <w:left w:val="none" w:sz="0" w:space="0" w:color="auto"/>
                    <w:bottom w:val="none" w:sz="0" w:space="0" w:color="auto"/>
                    <w:right w:val="none" w:sz="0" w:space="0" w:color="auto"/>
                  </w:divBdr>
                  <w:divsChild>
                    <w:div w:id="1105425144">
                      <w:marLeft w:val="0"/>
                      <w:marRight w:val="0"/>
                      <w:marTop w:val="0"/>
                      <w:marBottom w:val="0"/>
                      <w:divBdr>
                        <w:top w:val="none" w:sz="0" w:space="0" w:color="auto"/>
                        <w:left w:val="none" w:sz="0" w:space="0" w:color="auto"/>
                        <w:bottom w:val="none" w:sz="0" w:space="0" w:color="auto"/>
                        <w:right w:val="none" w:sz="0" w:space="0" w:color="auto"/>
                      </w:divBdr>
                    </w:div>
                  </w:divsChild>
                </w:div>
                <w:div w:id="1603611855">
                  <w:marLeft w:val="0"/>
                  <w:marRight w:val="0"/>
                  <w:marTop w:val="0"/>
                  <w:marBottom w:val="0"/>
                  <w:divBdr>
                    <w:top w:val="none" w:sz="0" w:space="0" w:color="auto"/>
                    <w:left w:val="none" w:sz="0" w:space="0" w:color="auto"/>
                    <w:bottom w:val="none" w:sz="0" w:space="0" w:color="auto"/>
                    <w:right w:val="none" w:sz="0" w:space="0" w:color="auto"/>
                  </w:divBdr>
                  <w:divsChild>
                    <w:div w:id="1561941931">
                      <w:marLeft w:val="0"/>
                      <w:marRight w:val="0"/>
                      <w:marTop w:val="0"/>
                      <w:marBottom w:val="0"/>
                      <w:divBdr>
                        <w:top w:val="none" w:sz="0" w:space="0" w:color="auto"/>
                        <w:left w:val="none" w:sz="0" w:space="0" w:color="auto"/>
                        <w:bottom w:val="none" w:sz="0" w:space="0" w:color="auto"/>
                        <w:right w:val="none" w:sz="0" w:space="0" w:color="auto"/>
                      </w:divBdr>
                    </w:div>
                  </w:divsChild>
                </w:div>
                <w:div w:id="579607236">
                  <w:marLeft w:val="0"/>
                  <w:marRight w:val="0"/>
                  <w:marTop w:val="0"/>
                  <w:marBottom w:val="0"/>
                  <w:divBdr>
                    <w:top w:val="none" w:sz="0" w:space="0" w:color="auto"/>
                    <w:left w:val="none" w:sz="0" w:space="0" w:color="auto"/>
                    <w:bottom w:val="none" w:sz="0" w:space="0" w:color="auto"/>
                    <w:right w:val="none" w:sz="0" w:space="0" w:color="auto"/>
                  </w:divBdr>
                  <w:divsChild>
                    <w:div w:id="427233232">
                      <w:marLeft w:val="0"/>
                      <w:marRight w:val="0"/>
                      <w:marTop w:val="0"/>
                      <w:marBottom w:val="0"/>
                      <w:divBdr>
                        <w:top w:val="none" w:sz="0" w:space="0" w:color="auto"/>
                        <w:left w:val="none" w:sz="0" w:space="0" w:color="auto"/>
                        <w:bottom w:val="none" w:sz="0" w:space="0" w:color="auto"/>
                        <w:right w:val="none" w:sz="0" w:space="0" w:color="auto"/>
                      </w:divBdr>
                    </w:div>
                  </w:divsChild>
                </w:div>
                <w:div w:id="69887824">
                  <w:marLeft w:val="0"/>
                  <w:marRight w:val="0"/>
                  <w:marTop w:val="0"/>
                  <w:marBottom w:val="0"/>
                  <w:divBdr>
                    <w:top w:val="none" w:sz="0" w:space="0" w:color="auto"/>
                    <w:left w:val="none" w:sz="0" w:space="0" w:color="auto"/>
                    <w:bottom w:val="none" w:sz="0" w:space="0" w:color="auto"/>
                    <w:right w:val="none" w:sz="0" w:space="0" w:color="auto"/>
                  </w:divBdr>
                  <w:divsChild>
                    <w:div w:id="1856111239">
                      <w:marLeft w:val="0"/>
                      <w:marRight w:val="0"/>
                      <w:marTop w:val="0"/>
                      <w:marBottom w:val="0"/>
                      <w:divBdr>
                        <w:top w:val="none" w:sz="0" w:space="0" w:color="auto"/>
                        <w:left w:val="none" w:sz="0" w:space="0" w:color="auto"/>
                        <w:bottom w:val="none" w:sz="0" w:space="0" w:color="auto"/>
                        <w:right w:val="none" w:sz="0" w:space="0" w:color="auto"/>
                      </w:divBdr>
                    </w:div>
                  </w:divsChild>
                </w:div>
                <w:div w:id="1632128895">
                  <w:marLeft w:val="0"/>
                  <w:marRight w:val="0"/>
                  <w:marTop w:val="0"/>
                  <w:marBottom w:val="0"/>
                  <w:divBdr>
                    <w:top w:val="none" w:sz="0" w:space="0" w:color="auto"/>
                    <w:left w:val="none" w:sz="0" w:space="0" w:color="auto"/>
                    <w:bottom w:val="none" w:sz="0" w:space="0" w:color="auto"/>
                    <w:right w:val="none" w:sz="0" w:space="0" w:color="auto"/>
                  </w:divBdr>
                  <w:divsChild>
                    <w:div w:id="31344647">
                      <w:marLeft w:val="0"/>
                      <w:marRight w:val="0"/>
                      <w:marTop w:val="0"/>
                      <w:marBottom w:val="0"/>
                      <w:divBdr>
                        <w:top w:val="none" w:sz="0" w:space="0" w:color="auto"/>
                        <w:left w:val="none" w:sz="0" w:space="0" w:color="auto"/>
                        <w:bottom w:val="none" w:sz="0" w:space="0" w:color="auto"/>
                        <w:right w:val="none" w:sz="0" w:space="0" w:color="auto"/>
                      </w:divBdr>
                    </w:div>
                  </w:divsChild>
                </w:div>
                <w:div w:id="1437671807">
                  <w:marLeft w:val="0"/>
                  <w:marRight w:val="0"/>
                  <w:marTop w:val="0"/>
                  <w:marBottom w:val="0"/>
                  <w:divBdr>
                    <w:top w:val="none" w:sz="0" w:space="0" w:color="auto"/>
                    <w:left w:val="none" w:sz="0" w:space="0" w:color="auto"/>
                    <w:bottom w:val="none" w:sz="0" w:space="0" w:color="auto"/>
                    <w:right w:val="none" w:sz="0" w:space="0" w:color="auto"/>
                  </w:divBdr>
                  <w:divsChild>
                    <w:div w:id="1274361789">
                      <w:marLeft w:val="0"/>
                      <w:marRight w:val="0"/>
                      <w:marTop w:val="0"/>
                      <w:marBottom w:val="0"/>
                      <w:divBdr>
                        <w:top w:val="none" w:sz="0" w:space="0" w:color="auto"/>
                        <w:left w:val="none" w:sz="0" w:space="0" w:color="auto"/>
                        <w:bottom w:val="none" w:sz="0" w:space="0" w:color="auto"/>
                        <w:right w:val="none" w:sz="0" w:space="0" w:color="auto"/>
                      </w:divBdr>
                    </w:div>
                  </w:divsChild>
                </w:div>
                <w:div w:id="1645770497">
                  <w:marLeft w:val="0"/>
                  <w:marRight w:val="0"/>
                  <w:marTop w:val="0"/>
                  <w:marBottom w:val="0"/>
                  <w:divBdr>
                    <w:top w:val="none" w:sz="0" w:space="0" w:color="auto"/>
                    <w:left w:val="none" w:sz="0" w:space="0" w:color="auto"/>
                    <w:bottom w:val="none" w:sz="0" w:space="0" w:color="auto"/>
                    <w:right w:val="none" w:sz="0" w:space="0" w:color="auto"/>
                  </w:divBdr>
                  <w:divsChild>
                    <w:div w:id="593321473">
                      <w:marLeft w:val="0"/>
                      <w:marRight w:val="0"/>
                      <w:marTop w:val="0"/>
                      <w:marBottom w:val="0"/>
                      <w:divBdr>
                        <w:top w:val="none" w:sz="0" w:space="0" w:color="auto"/>
                        <w:left w:val="none" w:sz="0" w:space="0" w:color="auto"/>
                        <w:bottom w:val="none" w:sz="0" w:space="0" w:color="auto"/>
                        <w:right w:val="none" w:sz="0" w:space="0" w:color="auto"/>
                      </w:divBdr>
                    </w:div>
                  </w:divsChild>
                </w:div>
                <w:div w:id="1420326532">
                  <w:marLeft w:val="0"/>
                  <w:marRight w:val="0"/>
                  <w:marTop w:val="0"/>
                  <w:marBottom w:val="0"/>
                  <w:divBdr>
                    <w:top w:val="none" w:sz="0" w:space="0" w:color="auto"/>
                    <w:left w:val="none" w:sz="0" w:space="0" w:color="auto"/>
                    <w:bottom w:val="none" w:sz="0" w:space="0" w:color="auto"/>
                    <w:right w:val="none" w:sz="0" w:space="0" w:color="auto"/>
                  </w:divBdr>
                  <w:divsChild>
                    <w:div w:id="2128035933">
                      <w:marLeft w:val="0"/>
                      <w:marRight w:val="0"/>
                      <w:marTop w:val="0"/>
                      <w:marBottom w:val="0"/>
                      <w:divBdr>
                        <w:top w:val="none" w:sz="0" w:space="0" w:color="auto"/>
                        <w:left w:val="none" w:sz="0" w:space="0" w:color="auto"/>
                        <w:bottom w:val="none" w:sz="0" w:space="0" w:color="auto"/>
                        <w:right w:val="none" w:sz="0" w:space="0" w:color="auto"/>
                      </w:divBdr>
                    </w:div>
                  </w:divsChild>
                </w:div>
                <w:div w:id="1823035728">
                  <w:marLeft w:val="0"/>
                  <w:marRight w:val="0"/>
                  <w:marTop w:val="0"/>
                  <w:marBottom w:val="0"/>
                  <w:divBdr>
                    <w:top w:val="none" w:sz="0" w:space="0" w:color="auto"/>
                    <w:left w:val="none" w:sz="0" w:space="0" w:color="auto"/>
                    <w:bottom w:val="none" w:sz="0" w:space="0" w:color="auto"/>
                    <w:right w:val="none" w:sz="0" w:space="0" w:color="auto"/>
                  </w:divBdr>
                  <w:divsChild>
                    <w:div w:id="1606309153">
                      <w:marLeft w:val="0"/>
                      <w:marRight w:val="0"/>
                      <w:marTop w:val="0"/>
                      <w:marBottom w:val="0"/>
                      <w:divBdr>
                        <w:top w:val="none" w:sz="0" w:space="0" w:color="auto"/>
                        <w:left w:val="none" w:sz="0" w:space="0" w:color="auto"/>
                        <w:bottom w:val="none" w:sz="0" w:space="0" w:color="auto"/>
                        <w:right w:val="none" w:sz="0" w:space="0" w:color="auto"/>
                      </w:divBdr>
                    </w:div>
                  </w:divsChild>
                </w:div>
                <w:div w:id="2074501715">
                  <w:marLeft w:val="0"/>
                  <w:marRight w:val="0"/>
                  <w:marTop w:val="0"/>
                  <w:marBottom w:val="0"/>
                  <w:divBdr>
                    <w:top w:val="none" w:sz="0" w:space="0" w:color="auto"/>
                    <w:left w:val="none" w:sz="0" w:space="0" w:color="auto"/>
                    <w:bottom w:val="none" w:sz="0" w:space="0" w:color="auto"/>
                    <w:right w:val="none" w:sz="0" w:space="0" w:color="auto"/>
                  </w:divBdr>
                  <w:divsChild>
                    <w:div w:id="256642686">
                      <w:marLeft w:val="0"/>
                      <w:marRight w:val="0"/>
                      <w:marTop w:val="0"/>
                      <w:marBottom w:val="0"/>
                      <w:divBdr>
                        <w:top w:val="none" w:sz="0" w:space="0" w:color="auto"/>
                        <w:left w:val="none" w:sz="0" w:space="0" w:color="auto"/>
                        <w:bottom w:val="none" w:sz="0" w:space="0" w:color="auto"/>
                        <w:right w:val="none" w:sz="0" w:space="0" w:color="auto"/>
                      </w:divBdr>
                    </w:div>
                  </w:divsChild>
                </w:div>
                <w:div w:id="1050767684">
                  <w:marLeft w:val="0"/>
                  <w:marRight w:val="0"/>
                  <w:marTop w:val="0"/>
                  <w:marBottom w:val="0"/>
                  <w:divBdr>
                    <w:top w:val="none" w:sz="0" w:space="0" w:color="auto"/>
                    <w:left w:val="none" w:sz="0" w:space="0" w:color="auto"/>
                    <w:bottom w:val="none" w:sz="0" w:space="0" w:color="auto"/>
                    <w:right w:val="none" w:sz="0" w:space="0" w:color="auto"/>
                  </w:divBdr>
                  <w:divsChild>
                    <w:div w:id="5758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176585">
      <w:bodyDiv w:val="1"/>
      <w:marLeft w:val="0"/>
      <w:marRight w:val="0"/>
      <w:marTop w:val="0"/>
      <w:marBottom w:val="0"/>
      <w:divBdr>
        <w:top w:val="none" w:sz="0" w:space="0" w:color="auto"/>
        <w:left w:val="none" w:sz="0" w:space="0" w:color="auto"/>
        <w:bottom w:val="none" w:sz="0" w:space="0" w:color="auto"/>
        <w:right w:val="none" w:sz="0" w:space="0" w:color="auto"/>
      </w:divBdr>
      <w:divsChild>
        <w:div w:id="853036632">
          <w:marLeft w:val="0"/>
          <w:marRight w:val="0"/>
          <w:marTop w:val="0"/>
          <w:marBottom w:val="0"/>
          <w:divBdr>
            <w:top w:val="none" w:sz="0" w:space="0" w:color="auto"/>
            <w:left w:val="none" w:sz="0" w:space="0" w:color="auto"/>
            <w:bottom w:val="none" w:sz="0" w:space="0" w:color="auto"/>
            <w:right w:val="none" w:sz="0" w:space="0" w:color="auto"/>
          </w:divBdr>
          <w:divsChild>
            <w:div w:id="2042853195">
              <w:marLeft w:val="0"/>
              <w:marRight w:val="0"/>
              <w:marTop w:val="0"/>
              <w:marBottom w:val="0"/>
              <w:divBdr>
                <w:top w:val="none" w:sz="0" w:space="0" w:color="auto"/>
                <w:left w:val="none" w:sz="0" w:space="0" w:color="auto"/>
                <w:bottom w:val="none" w:sz="0" w:space="0" w:color="auto"/>
                <w:right w:val="none" w:sz="0" w:space="0" w:color="auto"/>
              </w:divBdr>
              <w:divsChild>
                <w:div w:id="770244821">
                  <w:marLeft w:val="0"/>
                  <w:marRight w:val="0"/>
                  <w:marTop w:val="0"/>
                  <w:marBottom w:val="0"/>
                  <w:divBdr>
                    <w:top w:val="none" w:sz="0" w:space="0" w:color="auto"/>
                    <w:left w:val="none" w:sz="0" w:space="0" w:color="auto"/>
                    <w:bottom w:val="none" w:sz="0" w:space="0" w:color="auto"/>
                    <w:right w:val="none" w:sz="0" w:space="0" w:color="auto"/>
                  </w:divBdr>
                </w:div>
              </w:divsChild>
            </w:div>
            <w:div w:id="1783720641">
              <w:marLeft w:val="0"/>
              <w:marRight w:val="0"/>
              <w:marTop w:val="0"/>
              <w:marBottom w:val="0"/>
              <w:divBdr>
                <w:top w:val="none" w:sz="0" w:space="0" w:color="auto"/>
                <w:left w:val="none" w:sz="0" w:space="0" w:color="auto"/>
                <w:bottom w:val="none" w:sz="0" w:space="0" w:color="auto"/>
                <w:right w:val="none" w:sz="0" w:space="0" w:color="auto"/>
              </w:divBdr>
              <w:divsChild>
                <w:div w:id="357854752">
                  <w:marLeft w:val="0"/>
                  <w:marRight w:val="0"/>
                  <w:marTop w:val="0"/>
                  <w:marBottom w:val="0"/>
                  <w:divBdr>
                    <w:top w:val="none" w:sz="0" w:space="0" w:color="auto"/>
                    <w:left w:val="none" w:sz="0" w:space="0" w:color="auto"/>
                    <w:bottom w:val="none" w:sz="0" w:space="0" w:color="auto"/>
                    <w:right w:val="none" w:sz="0" w:space="0" w:color="auto"/>
                  </w:divBdr>
                </w:div>
              </w:divsChild>
            </w:div>
            <w:div w:id="1001809680">
              <w:marLeft w:val="0"/>
              <w:marRight w:val="0"/>
              <w:marTop w:val="0"/>
              <w:marBottom w:val="0"/>
              <w:divBdr>
                <w:top w:val="none" w:sz="0" w:space="0" w:color="auto"/>
                <w:left w:val="none" w:sz="0" w:space="0" w:color="auto"/>
                <w:bottom w:val="none" w:sz="0" w:space="0" w:color="auto"/>
                <w:right w:val="none" w:sz="0" w:space="0" w:color="auto"/>
              </w:divBdr>
              <w:divsChild>
                <w:div w:id="257176438">
                  <w:marLeft w:val="0"/>
                  <w:marRight w:val="0"/>
                  <w:marTop w:val="0"/>
                  <w:marBottom w:val="0"/>
                  <w:divBdr>
                    <w:top w:val="none" w:sz="0" w:space="0" w:color="auto"/>
                    <w:left w:val="none" w:sz="0" w:space="0" w:color="auto"/>
                    <w:bottom w:val="none" w:sz="0" w:space="0" w:color="auto"/>
                    <w:right w:val="none" w:sz="0" w:space="0" w:color="auto"/>
                  </w:divBdr>
                </w:div>
              </w:divsChild>
            </w:div>
            <w:div w:id="787940426">
              <w:marLeft w:val="0"/>
              <w:marRight w:val="0"/>
              <w:marTop w:val="0"/>
              <w:marBottom w:val="0"/>
              <w:divBdr>
                <w:top w:val="none" w:sz="0" w:space="0" w:color="auto"/>
                <w:left w:val="none" w:sz="0" w:space="0" w:color="auto"/>
                <w:bottom w:val="none" w:sz="0" w:space="0" w:color="auto"/>
                <w:right w:val="none" w:sz="0" w:space="0" w:color="auto"/>
              </w:divBdr>
              <w:divsChild>
                <w:div w:id="1736472499">
                  <w:marLeft w:val="0"/>
                  <w:marRight w:val="0"/>
                  <w:marTop w:val="0"/>
                  <w:marBottom w:val="0"/>
                  <w:divBdr>
                    <w:top w:val="none" w:sz="0" w:space="0" w:color="auto"/>
                    <w:left w:val="none" w:sz="0" w:space="0" w:color="auto"/>
                    <w:bottom w:val="none" w:sz="0" w:space="0" w:color="auto"/>
                    <w:right w:val="none" w:sz="0" w:space="0" w:color="auto"/>
                  </w:divBdr>
                </w:div>
              </w:divsChild>
            </w:div>
            <w:div w:id="128520074">
              <w:marLeft w:val="0"/>
              <w:marRight w:val="0"/>
              <w:marTop w:val="0"/>
              <w:marBottom w:val="0"/>
              <w:divBdr>
                <w:top w:val="none" w:sz="0" w:space="0" w:color="auto"/>
                <w:left w:val="none" w:sz="0" w:space="0" w:color="auto"/>
                <w:bottom w:val="none" w:sz="0" w:space="0" w:color="auto"/>
                <w:right w:val="none" w:sz="0" w:space="0" w:color="auto"/>
              </w:divBdr>
              <w:divsChild>
                <w:div w:id="491917850">
                  <w:marLeft w:val="0"/>
                  <w:marRight w:val="0"/>
                  <w:marTop w:val="0"/>
                  <w:marBottom w:val="0"/>
                  <w:divBdr>
                    <w:top w:val="none" w:sz="0" w:space="0" w:color="auto"/>
                    <w:left w:val="none" w:sz="0" w:space="0" w:color="auto"/>
                    <w:bottom w:val="none" w:sz="0" w:space="0" w:color="auto"/>
                    <w:right w:val="none" w:sz="0" w:space="0" w:color="auto"/>
                  </w:divBdr>
                </w:div>
              </w:divsChild>
            </w:div>
            <w:div w:id="1916621810">
              <w:marLeft w:val="0"/>
              <w:marRight w:val="0"/>
              <w:marTop w:val="0"/>
              <w:marBottom w:val="0"/>
              <w:divBdr>
                <w:top w:val="none" w:sz="0" w:space="0" w:color="auto"/>
                <w:left w:val="none" w:sz="0" w:space="0" w:color="auto"/>
                <w:bottom w:val="none" w:sz="0" w:space="0" w:color="auto"/>
                <w:right w:val="none" w:sz="0" w:space="0" w:color="auto"/>
              </w:divBdr>
              <w:divsChild>
                <w:div w:id="730662575">
                  <w:marLeft w:val="0"/>
                  <w:marRight w:val="0"/>
                  <w:marTop w:val="0"/>
                  <w:marBottom w:val="0"/>
                  <w:divBdr>
                    <w:top w:val="none" w:sz="0" w:space="0" w:color="auto"/>
                    <w:left w:val="none" w:sz="0" w:space="0" w:color="auto"/>
                    <w:bottom w:val="none" w:sz="0" w:space="0" w:color="auto"/>
                    <w:right w:val="none" w:sz="0" w:space="0" w:color="auto"/>
                  </w:divBdr>
                </w:div>
              </w:divsChild>
            </w:div>
            <w:div w:id="260264092">
              <w:marLeft w:val="0"/>
              <w:marRight w:val="0"/>
              <w:marTop w:val="0"/>
              <w:marBottom w:val="0"/>
              <w:divBdr>
                <w:top w:val="none" w:sz="0" w:space="0" w:color="auto"/>
                <w:left w:val="none" w:sz="0" w:space="0" w:color="auto"/>
                <w:bottom w:val="none" w:sz="0" w:space="0" w:color="auto"/>
                <w:right w:val="none" w:sz="0" w:space="0" w:color="auto"/>
              </w:divBdr>
              <w:divsChild>
                <w:div w:id="496190683">
                  <w:marLeft w:val="0"/>
                  <w:marRight w:val="0"/>
                  <w:marTop w:val="0"/>
                  <w:marBottom w:val="0"/>
                  <w:divBdr>
                    <w:top w:val="none" w:sz="0" w:space="0" w:color="auto"/>
                    <w:left w:val="none" w:sz="0" w:space="0" w:color="auto"/>
                    <w:bottom w:val="none" w:sz="0" w:space="0" w:color="auto"/>
                    <w:right w:val="none" w:sz="0" w:space="0" w:color="auto"/>
                  </w:divBdr>
                </w:div>
              </w:divsChild>
            </w:div>
            <w:div w:id="1908614260">
              <w:marLeft w:val="0"/>
              <w:marRight w:val="0"/>
              <w:marTop w:val="0"/>
              <w:marBottom w:val="0"/>
              <w:divBdr>
                <w:top w:val="none" w:sz="0" w:space="0" w:color="auto"/>
                <w:left w:val="none" w:sz="0" w:space="0" w:color="auto"/>
                <w:bottom w:val="none" w:sz="0" w:space="0" w:color="auto"/>
                <w:right w:val="none" w:sz="0" w:space="0" w:color="auto"/>
              </w:divBdr>
              <w:divsChild>
                <w:div w:id="5577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08920">
      <w:bodyDiv w:val="1"/>
      <w:marLeft w:val="0"/>
      <w:marRight w:val="0"/>
      <w:marTop w:val="0"/>
      <w:marBottom w:val="0"/>
      <w:divBdr>
        <w:top w:val="none" w:sz="0" w:space="0" w:color="auto"/>
        <w:left w:val="none" w:sz="0" w:space="0" w:color="auto"/>
        <w:bottom w:val="none" w:sz="0" w:space="0" w:color="auto"/>
        <w:right w:val="none" w:sz="0" w:space="0" w:color="auto"/>
      </w:divBdr>
      <w:divsChild>
        <w:div w:id="273951274">
          <w:marLeft w:val="0"/>
          <w:marRight w:val="0"/>
          <w:marTop w:val="0"/>
          <w:marBottom w:val="0"/>
          <w:divBdr>
            <w:top w:val="none" w:sz="0" w:space="0" w:color="auto"/>
            <w:left w:val="none" w:sz="0" w:space="0" w:color="auto"/>
            <w:bottom w:val="none" w:sz="0" w:space="0" w:color="auto"/>
            <w:right w:val="none" w:sz="0" w:space="0" w:color="auto"/>
          </w:divBdr>
          <w:divsChild>
            <w:div w:id="1739594157">
              <w:marLeft w:val="0"/>
              <w:marRight w:val="0"/>
              <w:marTop w:val="0"/>
              <w:marBottom w:val="0"/>
              <w:divBdr>
                <w:top w:val="none" w:sz="0" w:space="0" w:color="auto"/>
                <w:left w:val="none" w:sz="0" w:space="0" w:color="auto"/>
                <w:bottom w:val="none" w:sz="0" w:space="0" w:color="auto"/>
                <w:right w:val="none" w:sz="0" w:space="0" w:color="auto"/>
              </w:divBdr>
              <w:divsChild>
                <w:div w:id="886990614">
                  <w:marLeft w:val="0"/>
                  <w:marRight w:val="0"/>
                  <w:marTop w:val="0"/>
                  <w:marBottom w:val="0"/>
                  <w:divBdr>
                    <w:top w:val="none" w:sz="0" w:space="0" w:color="auto"/>
                    <w:left w:val="none" w:sz="0" w:space="0" w:color="auto"/>
                    <w:bottom w:val="none" w:sz="0" w:space="0" w:color="auto"/>
                    <w:right w:val="none" w:sz="0" w:space="0" w:color="auto"/>
                  </w:divBdr>
                  <w:divsChild>
                    <w:div w:id="10792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018551">
      <w:bodyDiv w:val="1"/>
      <w:marLeft w:val="0"/>
      <w:marRight w:val="0"/>
      <w:marTop w:val="0"/>
      <w:marBottom w:val="0"/>
      <w:divBdr>
        <w:top w:val="none" w:sz="0" w:space="0" w:color="auto"/>
        <w:left w:val="none" w:sz="0" w:space="0" w:color="auto"/>
        <w:bottom w:val="none" w:sz="0" w:space="0" w:color="auto"/>
        <w:right w:val="none" w:sz="0" w:space="0" w:color="auto"/>
      </w:divBdr>
      <w:divsChild>
        <w:div w:id="2028479375">
          <w:marLeft w:val="0"/>
          <w:marRight w:val="0"/>
          <w:marTop w:val="0"/>
          <w:marBottom w:val="0"/>
          <w:divBdr>
            <w:top w:val="none" w:sz="0" w:space="0" w:color="auto"/>
            <w:left w:val="none" w:sz="0" w:space="0" w:color="auto"/>
            <w:bottom w:val="none" w:sz="0" w:space="0" w:color="auto"/>
            <w:right w:val="none" w:sz="0" w:space="0" w:color="auto"/>
          </w:divBdr>
          <w:divsChild>
            <w:div w:id="2061438016">
              <w:marLeft w:val="0"/>
              <w:marRight w:val="0"/>
              <w:marTop w:val="0"/>
              <w:marBottom w:val="0"/>
              <w:divBdr>
                <w:top w:val="none" w:sz="0" w:space="0" w:color="auto"/>
                <w:left w:val="none" w:sz="0" w:space="0" w:color="auto"/>
                <w:bottom w:val="none" w:sz="0" w:space="0" w:color="auto"/>
                <w:right w:val="none" w:sz="0" w:space="0" w:color="auto"/>
              </w:divBdr>
              <w:divsChild>
                <w:div w:id="46996248">
                  <w:marLeft w:val="0"/>
                  <w:marRight w:val="0"/>
                  <w:marTop w:val="0"/>
                  <w:marBottom w:val="0"/>
                  <w:divBdr>
                    <w:top w:val="none" w:sz="0" w:space="0" w:color="auto"/>
                    <w:left w:val="none" w:sz="0" w:space="0" w:color="auto"/>
                    <w:bottom w:val="none" w:sz="0" w:space="0" w:color="auto"/>
                    <w:right w:val="none" w:sz="0" w:space="0" w:color="auto"/>
                  </w:divBdr>
                  <w:divsChild>
                    <w:div w:id="65040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4176">
      <w:bodyDiv w:val="1"/>
      <w:marLeft w:val="0"/>
      <w:marRight w:val="0"/>
      <w:marTop w:val="0"/>
      <w:marBottom w:val="0"/>
      <w:divBdr>
        <w:top w:val="none" w:sz="0" w:space="0" w:color="auto"/>
        <w:left w:val="none" w:sz="0" w:space="0" w:color="auto"/>
        <w:bottom w:val="none" w:sz="0" w:space="0" w:color="auto"/>
        <w:right w:val="none" w:sz="0" w:space="0" w:color="auto"/>
      </w:divBdr>
    </w:div>
    <w:div w:id="1088427979">
      <w:bodyDiv w:val="1"/>
      <w:marLeft w:val="0"/>
      <w:marRight w:val="0"/>
      <w:marTop w:val="0"/>
      <w:marBottom w:val="0"/>
      <w:divBdr>
        <w:top w:val="none" w:sz="0" w:space="0" w:color="auto"/>
        <w:left w:val="none" w:sz="0" w:space="0" w:color="auto"/>
        <w:bottom w:val="none" w:sz="0" w:space="0" w:color="auto"/>
        <w:right w:val="none" w:sz="0" w:space="0" w:color="auto"/>
      </w:divBdr>
      <w:divsChild>
        <w:div w:id="877736662">
          <w:marLeft w:val="0"/>
          <w:marRight w:val="0"/>
          <w:marTop w:val="0"/>
          <w:marBottom w:val="0"/>
          <w:divBdr>
            <w:top w:val="none" w:sz="0" w:space="0" w:color="auto"/>
            <w:left w:val="none" w:sz="0" w:space="0" w:color="auto"/>
            <w:bottom w:val="none" w:sz="0" w:space="0" w:color="auto"/>
            <w:right w:val="none" w:sz="0" w:space="0" w:color="auto"/>
          </w:divBdr>
          <w:divsChild>
            <w:div w:id="1515266464">
              <w:marLeft w:val="0"/>
              <w:marRight w:val="0"/>
              <w:marTop w:val="0"/>
              <w:marBottom w:val="0"/>
              <w:divBdr>
                <w:top w:val="none" w:sz="0" w:space="0" w:color="auto"/>
                <w:left w:val="none" w:sz="0" w:space="0" w:color="auto"/>
                <w:bottom w:val="none" w:sz="0" w:space="0" w:color="auto"/>
                <w:right w:val="none" w:sz="0" w:space="0" w:color="auto"/>
              </w:divBdr>
              <w:divsChild>
                <w:div w:id="770854783">
                  <w:marLeft w:val="0"/>
                  <w:marRight w:val="0"/>
                  <w:marTop w:val="0"/>
                  <w:marBottom w:val="0"/>
                  <w:divBdr>
                    <w:top w:val="none" w:sz="0" w:space="0" w:color="auto"/>
                    <w:left w:val="none" w:sz="0" w:space="0" w:color="auto"/>
                    <w:bottom w:val="none" w:sz="0" w:space="0" w:color="auto"/>
                    <w:right w:val="none" w:sz="0" w:space="0" w:color="auto"/>
                  </w:divBdr>
                </w:div>
              </w:divsChild>
            </w:div>
            <w:div w:id="536162677">
              <w:marLeft w:val="0"/>
              <w:marRight w:val="0"/>
              <w:marTop w:val="0"/>
              <w:marBottom w:val="0"/>
              <w:divBdr>
                <w:top w:val="none" w:sz="0" w:space="0" w:color="auto"/>
                <w:left w:val="none" w:sz="0" w:space="0" w:color="auto"/>
                <w:bottom w:val="none" w:sz="0" w:space="0" w:color="auto"/>
                <w:right w:val="none" w:sz="0" w:space="0" w:color="auto"/>
              </w:divBdr>
              <w:divsChild>
                <w:div w:id="240332087">
                  <w:marLeft w:val="0"/>
                  <w:marRight w:val="0"/>
                  <w:marTop w:val="0"/>
                  <w:marBottom w:val="0"/>
                  <w:divBdr>
                    <w:top w:val="none" w:sz="0" w:space="0" w:color="auto"/>
                    <w:left w:val="none" w:sz="0" w:space="0" w:color="auto"/>
                    <w:bottom w:val="none" w:sz="0" w:space="0" w:color="auto"/>
                    <w:right w:val="none" w:sz="0" w:space="0" w:color="auto"/>
                  </w:divBdr>
                </w:div>
              </w:divsChild>
            </w:div>
            <w:div w:id="646086007">
              <w:marLeft w:val="0"/>
              <w:marRight w:val="0"/>
              <w:marTop w:val="0"/>
              <w:marBottom w:val="0"/>
              <w:divBdr>
                <w:top w:val="none" w:sz="0" w:space="0" w:color="auto"/>
                <w:left w:val="none" w:sz="0" w:space="0" w:color="auto"/>
                <w:bottom w:val="none" w:sz="0" w:space="0" w:color="auto"/>
                <w:right w:val="none" w:sz="0" w:space="0" w:color="auto"/>
              </w:divBdr>
              <w:divsChild>
                <w:div w:id="1817723910">
                  <w:marLeft w:val="0"/>
                  <w:marRight w:val="0"/>
                  <w:marTop w:val="0"/>
                  <w:marBottom w:val="0"/>
                  <w:divBdr>
                    <w:top w:val="none" w:sz="0" w:space="0" w:color="auto"/>
                    <w:left w:val="none" w:sz="0" w:space="0" w:color="auto"/>
                    <w:bottom w:val="none" w:sz="0" w:space="0" w:color="auto"/>
                    <w:right w:val="none" w:sz="0" w:space="0" w:color="auto"/>
                  </w:divBdr>
                </w:div>
              </w:divsChild>
            </w:div>
            <w:div w:id="198932806">
              <w:marLeft w:val="0"/>
              <w:marRight w:val="0"/>
              <w:marTop w:val="0"/>
              <w:marBottom w:val="0"/>
              <w:divBdr>
                <w:top w:val="none" w:sz="0" w:space="0" w:color="auto"/>
                <w:left w:val="none" w:sz="0" w:space="0" w:color="auto"/>
                <w:bottom w:val="none" w:sz="0" w:space="0" w:color="auto"/>
                <w:right w:val="none" w:sz="0" w:space="0" w:color="auto"/>
              </w:divBdr>
              <w:divsChild>
                <w:div w:id="1823496549">
                  <w:marLeft w:val="0"/>
                  <w:marRight w:val="0"/>
                  <w:marTop w:val="0"/>
                  <w:marBottom w:val="0"/>
                  <w:divBdr>
                    <w:top w:val="none" w:sz="0" w:space="0" w:color="auto"/>
                    <w:left w:val="none" w:sz="0" w:space="0" w:color="auto"/>
                    <w:bottom w:val="none" w:sz="0" w:space="0" w:color="auto"/>
                    <w:right w:val="none" w:sz="0" w:space="0" w:color="auto"/>
                  </w:divBdr>
                </w:div>
              </w:divsChild>
            </w:div>
            <w:div w:id="1170873808">
              <w:marLeft w:val="0"/>
              <w:marRight w:val="0"/>
              <w:marTop w:val="0"/>
              <w:marBottom w:val="0"/>
              <w:divBdr>
                <w:top w:val="none" w:sz="0" w:space="0" w:color="auto"/>
                <w:left w:val="none" w:sz="0" w:space="0" w:color="auto"/>
                <w:bottom w:val="none" w:sz="0" w:space="0" w:color="auto"/>
                <w:right w:val="none" w:sz="0" w:space="0" w:color="auto"/>
              </w:divBdr>
              <w:divsChild>
                <w:div w:id="501506260">
                  <w:marLeft w:val="0"/>
                  <w:marRight w:val="0"/>
                  <w:marTop w:val="0"/>
                  <w:marBottom w:val="0"/>
                  <w:divBdr>
                    <w:top w:val="none" w:sz="0" w:space="0" w:color="auto"/>
                    <w:left w:val="none" w:sz="0" w:space="0" w:color="auto"/>
                    <w:bottom w:val="none" w:sz="0" w:space="0" w:color="auto"/>
                    <w:right w:val="none" w:sz="0" w:space="0" w:color="auto"/>
                  </w:divBdr>
                </w:div>
              </w:divsChild>
            </w:div>
            <w:div w:id="2058963770">
              <w:marLeft w:val="0"/>
              <w:marRight w:val="0"/>
              <w:marTop w:val="0"/>
              <w:marBottom w:val="0"/>
              <w:divBdr>
                <w:top w:val="none" w:sz="0" w:space="0" w:color="auto"/>
                <w:left w:val="none" w:sz="0" w:space="0" w:color="auto"/>
                <w:bottom w:val="none" w:sz="0" w:space="0" w:color="auto"/>
                <w:right w:val="none" w:sz="0" w:space="0" w:color="auto"/>
              </w:divBdr>
              <w:divsChild>
                <w:div w:id="9547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2264">
      <w:bodyDiv w:val="1"/>
      <w:marLeft w:val="0"/>
      <w:marRight w:val="0"/>
      <w:marTop w:val="0"/>
      <w:marBottom w:val="0"/>
      <w:divBdr>
        <w:top w:val="none" w:sz="0" w:space="0" w:color="auto"/>
        <w:left w:val="none" w:sz="0" w:space="0" w:color="auto"/>
        <w:bottom w:val="none" w:sz="0" w:space="0" w:color="auto"/>
        <w:right w:val="none" w:sz="0" w:space="0" w:color="auto"/>
      </w:divBdr>
      <w:divsChild>
        <w:div w:id="1226644657">
          <w:marLeft w:val="0"/>
          <w:marRight w:val="0"/>
          <w:marTop w:val="0"/>
          <w:marBottom w:val="0"/>
          <w:divBdr>
            <w:top w:val="none" w:sz="0" w:space="0" w:color="auto"/>
            <w:left w:val="none" w:sz="0" w:space="0" w:color="auto"/>
            <w:bottom w:val="none" w:sz="0" w:space="0" w:color="auto"/>
            <w:right w:val="none" w:sz="0" w:space="0" w:color="auto"/>
          </w:divBdr>
          <w:divsChild>
            <w:div w:id="946234570">
              <w:marLeft w:val="0"/>
              <w:marRight w:val="0"/>
              <w:marTop w:val="0"/>
              <w:marBottom w:val="0"/>
              <w:divBdr>
                <w:top w:val="none" w:sz="0" w:space="0" w:color="auto"/>
                <w:left w:val="none" w:sz="0" w:space="0" w:color="auto"/>
                <w:bottom w:val="none" w:sz="0" w:space="0" w:color="auto"/>
                <w:right w:val="none" w:sz="0" w:space="0" w:color="auto"/>
              </w:divBdr>
              <w:divsChild>
                <w:div w:id="1013535017">
                  <w:marLeft w:val="0"/>
                  <w:marRight w:val="0"/>
                  <w:marTop w:val="0"/>
                  <w:marBottom w:val="0"/>
                  <w:divBdr>
                    <w:top w:val="none" w:sz="0" w:space="0" w:color="auto"/>
                    <w:left w:val="none" w:sz="0" w:space="0" w:color="auto"/>
                    <w:bottom w:val="none" w:sz="0" w:space="0" w:color="auto"/>
                    <w:right w:val="none" w:sz="0" w:space="0" w:color="auto"/>
                  </w:divBdr>
                  <w:divsChild>
                    <w:div w:id="3564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359767">
      <w:bodyDiv w:val="1"/>
      <w:marLeft w:val="0"/>
      <w:marRight w:val="0"/>
      <w:marTop w:val="0"/>
      <w:marBottom w:val="0"/>
      <w:divBdr>
        <w:top w:val="none" w:sz="0" w:space="0" w:color="auto"/>
        <w:left w:val="none" w:sz="0" w:space="0" w:color="auto"/>
        <w:bottom w:val="none" w:sz="0" w:space="0" w:color="auto"/>
        <w:right w:val="none" w:sz="0" w:space="0" w:color="auto"/>
      </w:divBdr>
    </w:div>
    <w:div w:id="1176461137">
      <w:bodyDiv w:val="1"/>
      <w:marLeft w:val="0"/>
      <w:marRight w:val="0"/>
      <w:marTop w:val="0"/>
      <w:marBottom w:val="0"/>
      <w:divBdr>
        <w:top w:val="none" w:sz="0" w:space="0" w:color="auto"/>
        <w:left w:val="none" w:sz="0" w:space="0" w:color="auto"/>
        <w:bottom w:val="none" w:sz="0" w:space="0" w:color="auto"/>
        <w:right w:val="none" w:sz="0" w:space="0" w:color="auto"/>
      </w:divBdr>
      <w:divsChild>
        <w:div w:id="2059477707">
          <w:marLeft w:val="0"/>
          <w:marRight w:val="0"/>
          <w:marTop w:val="0"/>
          <w:marBottom w:val="0"/>
          <w:divBdr>
            <w:top w:val="none" w:sz="0" w:space="0" w:color="auto"/>
            <w:left w:val="none" w:sz="0" w:space="0" w:color="auto"/>
            <w:bottom w:val="none" w:sz="0" w:space="0" w:color="auto"/>
            <w:right w:val="none" w:sz="0" w:space="0" w:color="auto"/>
          </w:divBdr>
          <w:divsChild>
            <w:div w:id="875851040">
              <w:marLeft w:val="0"/>
              <w:marRight w:val="0"/>
              <w:marTop w:val="0"/>
              <w:marBottom w:val="0"/>
              <w:divBdr>
                <w:top w:val="none" w:sz="0" w:space="0" w:color="auto"/>
                <w:left w:val="none" w:sz="0" w:space="0" w:color="auto"/>
                <w:bottom w:val="none" w:sz="0" w:space="0" w:color="auto"/>
                <w:right w:val="none" w:sz="0" w:space="0" w:color="auto"/>
              </w:divBdr>
              <w:divsChild>
                <w:div w:id="932204050">
                  <w:marLeft w:val="0"/>
                  <w:marRight w:val="0"/>
                  <w:marTop w:val="0"/>
                  <w:marBottom w:val="0"/>
                  <w:divBdr>
                    <w:top w:val="none" w:sz="0" w:space="0" w:color="auto"/>
                    <w:left w:val="none" w:sz="0" w:space="0" w:color="auto"/>
                    <w:bottom w:val="none" w:sz="0" w:space="0" w:color="auto"/>
                    <w:right w:val="none" w:sz="0" w:space="0" w:color="auto"/>
                  </w:divBdr>
                  <w:divsChild>
                    <w:div w:id="12963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56565">
      <w:bodyDiv w:val="1"/>
      <w:marLeft w:val="0"/>
      <w:marRight w:val="0"/>
      <w:marTop w:val="0"/>
      <w:marBottom w:val="0"/>
      <w:divBdr>
        <w:top w:val="none" w:sz="0" w:space="0" w:color="auto"/>
        <w:left w:val="none" w:sz="0" w:space="0" w:color="auto"/>
        <w:bottom w:val="none" w:sz="0" w:space="0" w:color="auto"/>
        <w:right w:val="none" w:sz="0" w:space="0" w:color="auto"/>
      </w:divBdr>
      <w:divsChild>
        <w:div w:id="891959956">
          <w:marLeft w:val="0"/>
          <w:marRight w:val="0"/>
          <w:marTop w:val="0"/>
          <w:marBottom w:val="0"/>
          <w:divBdr>
            <w:top w:val="none" w:sz="0" w:space="0" w:color="auto"/>
            <w:left w:val="none" w:sz="0" w:space="0" w:color="auto"/>
            <w:bottom w:val="none" w:sz="0" w:space="0" w:color="auto"/>
            <w:right w:val="none" w:sz="0" w:space="0" w:color="auto"/>
          </w:divBdr>
          <w:divsChild>
            <w:div w:id="822964448">
              <w:marLeft w:val="0"/>
              <w:marRight w:val="0"/>
              <w:marTop w:val="0"/>
              <w:marBottom w:val="0"/>
              <w:divBdr>
                <w:top w:val="none" w:sz="0" w:space="0" w:color="auto"/>
                <w:left w:val="none" w:sz="0" w:space="0" w:color="auto"/>
                <w:bottom w:val="none" w:sz="0" w:space="0" w:color="auto"/>
                <w:right w:val="none" w:sz="0" w:space="0" w:color="auto"/>
              </w:divBdr>
              <w:divsChild>
                <w:div w:id="719284099">
                  <w:marLeft w:val="0"/>
                  <w:marRight w:val="0"/>
                  <w:marTop w:val="0"/>
                  <w:marBottom w:val="0"/>
                  <w:divBdr>
                    <w:top w:val="none" w:sz="0" w:space="0" w:color="auto"/>
                    <w:left w:val="none" w:sz="0" w:space="0" w:color="auto"/>
                    <w:bottom w:val="none" w:sz="0" w:space="0" w:color="auto"/>
                    <w:right w:val="none" w:sz="0" w:space="0" w:color="auto"/>
                  </w:divBdr>
                </w:div>
              </w:divsChild>
            </w:div>
            <w:div w:id="867572147">
              <w:marLeft w:val="0"/>
              <w:marRight w:val="0"/>
              <w:marTop w:val="0"/>
              <w:marBottom w:val="0"/>
              <w:divBdr>
                <w:top w:val="none" w:sz="0" w:space="0" w:color="auto"/>
                <w:left w:val="none" w:sz="0" w:space="0" w:color="auto"/>
                <w:bottom w:val="none" w:sz="0" w:space="0" w:color="auto"/>
                <w:right w:val="none" w:sz="0" w:space="0" w:color="auto"/>
              </w:divBdr>
              <w:divsChild>
                <w:div w:id="1676574320">
                  <w:marLeft w:val="0"/>
                  <w:marRight w:val="0"/>
                  <w:marTop w:val="0"/>
                  <w:marBottom w:val="0"/>
                  <w:divBdr>
                    <w:top w:val="none" w:sz="0" w:space="0" w:color="auto"/>
                    <w:left w:val="none" w:sz="0" w:space="0" w:color="auto"/>
                    <w:bottom w:val="none" w:sz="0" w:space="0" w:color="auto"/>
                    <w:right w:val="none" w:sz="0" w:space="0" w:color="auto"/>
                  </w:divBdr>
                </w:div>
              </w:divsChild>
            </w:div>
            <w:div w:id="882131453">
              <w:marLeft w:val="0"/>
              <w:marRight w:val="0"/>
              <w:marTop w:val="0"/>
              <w:marBottom w:val="0"/>
              <w:divBdr>
                <w:top w:val="none" w:sz="0" w:space="0" w:color="auto"/>
                <w:left w:val="none" w:sz="0" w:space="0" w:color="auto"/>
                <w:bottom w:val="none" w:sz="0" w:space="0" w:color="auto"/>
                <w:right w:val="none" w:sz="0" w:space="0" w:color="auto"/>
              </w:divBdr>
              <w:divsChild>
                <w:div w:id="1744335311">
                  <w:marLeft w:val="0"/>
                  <w:marRight w:val="0"/>
                  <w:marTop w:val="0"/>
                  <w:marBottom w:val="0"/>
                  <w:divBdr>
                    <w:top w:val="none" w:sz="0" w:space="0" w:color="auto"/>
                    <w:left w:val="none" w:sz="0" w:space="0" w:color="auto"/>
                    <w:bottom w:val="none" w:sz="0" w:space="0" w:color="auto"/>
                    <w:right w:val="none" w:sz="0" w:space="0" w:color="auto"/>
                  </w:divBdr>
                </w:div>
              </w:divsChild>
            </w:div>
            <w:div w:id="1249192639">
              <w:marLeft w:val="0"/>
              <w:marRight w:val="0"/>
              <w:marTop w:val="0"/>
              <w:marBottom w:val="0"/>
              <w:divBdr>
                <w:top w:val="none" w:sz="0" w:space="0" w:color="auto"/>
                <w:left w:val="none" w:sz="0" w:space="0" w:color="auto"/>
                <w:bottom w:val="none" w:sz="0" w:space="0" w:color="auto"/>
                <w:right w:val="none" w:sz="0" w:space="0" w:color="auto"/>
              </w:divBdr>
              <w:divsChild>
                <w:div w:id="291863686">
                  <w:marLeft w:val="0"/>
                  <w:marRight w:val="0"/>
                  <w:marTop w:val="0"/>
                  <w:marBottom w:val="0"/>
                  <w:divBdr>
                    <w:top w:val="none" w:sz="0" w:space="0" w:color="auto"/>
                    <w:left w:val="none" w:sz="0" w:space="0" w:color="auto"/>
                    <w:bottom w:val="none" w:sz="0" w:space="0" w:color="auto"/>
                    <w:right w:val="none" w:sz="0" w:space="0" w:color="auto"/>
                  </w:divBdr>
                </w:div>
              </w:divsChild>
            </w:div>
            <w:div w:id="346493031">
              <w:marLeft w:val="0"/>
              <w:marRight w:val="0"/>
              <w:marTop w:val="0"/>
              <w:marBottom w:val="0"/>
              <w:divBdr>
                <w:top w:val="none" w:sz="0" w:space="0" w:color="auto"/>
                <w:left w:val="none" w:sz="0" w:space="0" w:color="auto"/>
                <w:bottom w:val="none" w:sz="0" w:space="0" w:color="auto"/>
                <w:right w:val="none" w:sz="0" w:space="0" w:color="auto"/>
              </w:divBdr>
              <w:divsChild>
                <w:div w:id="141194202">
                  <w:marLeft w:val="0"/>
                  <w:marRight w:val="0"/>
                  <w:marTop w:val="0"/>
                  <w:marBottom w:val="0"/>
                  <w:divBdr>
                    <w:top w:val="none" w:sz="0" w:space="0" w:color="auto"/>
                    <w:left w:val="none" w:sz="0" w:space="0" w:color="auto"/>
                    <w:bottom w:val="none" w:sz="0" w:space="0" w:color="auto"/>
                    <w:right w:val="none" w:sz="0" w:space="0" w:color="auto"/>
                  </w:divBdr>
                </w:div>
              </w:divsChild>
            </w:div>
            <w:div w:id="444541690">
              <w:marLeft w:val="0"/>
              <w:marRight w:val="0"/>
              <w:marTop w:val="0"/>
              <w:marBottom w:val="0"/>
              <w:divBdr>
                <w:top w:val="none" w:sz="0" w:space="0" w:color="auto"/>
                <w:left w:val="none" w:sz="0" w:space="0" w:color="auto"/>
                <w:bottom w:val="none" w:sz="0" w:space="0" w:color="auto"/>
                <w:right w:val="none" w:sz="0" w:space="0" w:color="auto"/>
              </w:divBdr>
              <w:divsChild>
                <w:div w:id="1569462618">
                  <w:marLeft w:val="0"/>
                  <w:marRight w:val="0"/>
                  <w:marTop w:val="0"/>
                  <w:marBottom w:val="0"/>
                  <w:divBdr>
                    <w:top w:val="none" w:sz="0" w:space="0" w:color="auto"/>
                    <w:left w:val="none" w:sz="0" w:space="0" w:color="auto"/>
                    <w:bottom w:val="none" w:sz="0" w:space="0" w:color="auto"/>
                    <w:right w:val="none" w:sz="0" w:space="0" w:color="auto"/>
                  </w:divBdr>
                </w:div>
              </w:divsChild>
            </w:div>
            <w:div w:id="1874340368">
              <w:marLeft w:val="0"/>
              <w:marRight w:val="0"/>
              <w:marTop w:val="0"/>
              <w:marBottom w:val="0"/>
              <w:divBdr>
                <w:top w:val="none" w:sz="0" w:space="0" w:color="auto"/>
                <w:left w:val="none" w:sz="0" w:space="0" w:color="auto"/>
                <w:bottom w:val="none" w:sz="0" w:space="0" w:color="auto"/>
                <w:right w:val="none" w:sz="0" w:space="0" w:color="auto"/>
              </w:divBdr>
              <w:divsChild>
                <w:div w:id="1315523128">
                  <w:marLeft w:val="0"/>
                  <w:marRight w:val="0"/>
                  <w:marTop w:val="0"/>
                  <w:marBottom w:val="0"/>
                  <w:divBdr>
                    <w:top w:val="none" w:sz="0" w:space="0" w:color="auto"/>
                    <w:left w:val="none" w:sz="0" w:space="0" w:color="auto"/>
                    <w:bottom w:val="none" w:sz="0" w:space="0" w:color="auto"/>
                    <w:right w:val="none" w:sz="0" w:space="0" w:color="auto"/>
                  </w:divBdr>
                </w:div>
              </w:divsChild>
            </w:div>
            <w:div w:id="1122572821">
              <w:marLeft w:val="0"/>
              <w:marRight w:val="0"/>
              <w:marTop w:val="0"/>
              <w:marBottom w:val="0"/>
              <w:divBdr>
                <w:top w:val="none" w:sz="0" w:space="0" w:color="auto"/>
                <w:left w:val="none" w:sz="0" w:space="0" w:color="auto"/>
                <w:bottom w:val="none" w:sz="0" w:space="0" w:color="auto"/>
                <w:right w:val="none" w:sz="0" w:space="0" w:color="auto"/>
              </w:divBdr>
              <w:divsChild>
                <w:div w:id="742675907">
                  <w:marLeft w:val="0"/>
                  <w:marRight w:val="0"/>
                  <w:marTop w:val="0"/>
                  <w:marBottom w:val="0"/>
                  <w:divBdr>
                    <w:top w:val="none" w:sz="0" w:space="0" w:color="auto"/>
                    <w:left w:val="none" w:sz="0" w:space="0" w:color="auto"/>
                    <w:bottom w:val="none" w:sz="0" w:space="0" w:color="auto"/>
                    <w:right w:val="none" w:sz="0" w:space="0" w:color="auto"/>
                  </w:divBdr>
                </w:div>
              </w:divsChild>
            </w:div>
            <w:div w:id="5794816">
              <w:marLeft w:val="0"/>
              <w:marRight w:val="0"/>
              <w:marTop w:val="0"/>
              <w:marBottom w:val="0"/>
              <w:divBdr>
                <w:top w:val="none" w:sz="0" w:space="0" w:color="auto"/>
                <w:left w:val="none" w:sz="0" w:space="0" w:color="auto"/>
                <w:bottom w:val="none" w:sz="0" w:space="0" w:color="auto"/>
                <w:right w:val="none" w:sz="0" w:space="0" w:color="auto"/>
              </w:divBdr>
              <w:divsChild>
                <w:div w:id="900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17459">
      <w:bodyDiv w:val="1"/>
      <w:marLeft w:val="0"/>
      <w:marRight w:val="0"/>
      <w:marTop w:val="0"/>
      <w:marBottom w:val="0"/>
      <w:divBdr>
        <w:top w:val="none" w:sz="0" w:space="0" w:color="auto"/>
        <w:left w:val="none" w:sz="0" w:space="0" w:color="auto"/>
        <w:bottom w:val="none" w:sz="0" w:space="0" w:color="auto"/>
        <w:right w:val="none" w:sz="0" w:space="0" w:color="auto"/>
      </w:divBdr>
    </w:div>
    <w:div w:id="1714038401">
      <w:bodyDiv w:val="1"/>
      <w:marLeft w:val="0"/>
      <w:marRight w:val="0"/>
      <w:marTop w:val="0"/>
      <w:marBottom w:val="0"/>
      <w:divBdr>
        <w:top w:val="none" w:sz="0" w:space="0" w:color="auto"/>
        <w:left w:val="none" w:sz="0" w:space="0" w:color="auto"/>
        <w:bottom w:val="none" w:sz="0" w:space="0" w:color="auto"/>
        <w:right w:val="none" w:sz="0" w:space="0" w:color="auto"/>
      </w:divBdr>
      <w:divsChild>
        <w:div w:id="18971966">
          <w:marLeft w:val="0"/>
          <w:marRight w:val="0"/>
          <w:marTop w:val="0"/>
          <w:marBottom w:val="0"/>
          <w:divBdr>
            <w:top w:val="none" w:sz="0" w:space="0" w:color="auto"/>
            <w:left w:val="none" w:sz="0" w:space="0" w:color="auto"/>
            <w:bottom w:val="none" w:sz="0" w:space="0" w:color="auto"/>
            <w:right w:val="none" w:sz="0" w:space="0" w:color="auto"/>
          </w:divBdr>
          <w:divsChild>
            <w:div w:id="1949921351">
              <w:marLeft w:val="0"/>
              <w:marRight w:val="0"/>
              <w:marTop w:val="0"/>
              <w:marBottom w:val="0"/>
              <w:divBdr>
                <w:top w:val="none" w:sz="0" w:space="0" w:color="auto"/>
                <w:left w:val="none" w:sz="0" w:space="0" w:color="auto"/>
                <w:bottom w:val="none" w:sz="0" w:space="0" w:color="auto"/>
                <w:right w:val="none" w:sz="0" w:space="0" w:color="auto"/>
              </w:divBdr>
              <w:divsChild>
                <w:div w:id="53092107">
                  <w:marLeft w:val="0"/>
                  <w:marRight w:val="0"/>
                  <w:marTop w:val="0"/>
                  <w:marBottom w:val="0"/>
                  <w:divBdr>
                    <w:top w:val="none" w:sz="0" w:space="0" w:color="auto"/>
                    <w:left w:val="none" w:sz="0" w:space="0" w:color="auto"/>
                    <w:bottom w:val="none" w:sz="0" w:space="0" w:color="auto"/>
                    <w:right w:val="none" w:sz="0" w:space="0" w:color="auto"/>
                  </w:divBdr>
                  <w:divsChild>
                    <w:div w:id="7269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447515">
      <w:bodyDiv w:val="1"/>
      <w:marLeft w:val="0"/>
      <w:marRight w:val="0"/>
      <w:marTop w:val="0"/>
      <w:marBottom w:val="0"/>
      <w:divBdr>
        <w:top w:val="none" w:sz="0" w:space="0" w:color="auto"/>
        <w:left w:val="none" w:sz="0" w:space="0" w:color="auto"/>
        <w:bottom w:val="none" w:sz="0" w:space="0" w:color="auto"/>
        <w:right w:val="none" w:sz="0" w:space="0" w:color="auto"/>
      </w:divBdr>
    </w:div>
    <w:div w:id="2035425901">
      <w:bodyDiv w:val="1"/>
      <w:marLeft w:val="0"/>
      <w:marRight w:val="0"/>
      <w:marTop w:val="0"/>
      <w:marBottom w:val="0"/>
      <w:divBdr>
        <w:top w:val="none" w:sz="0" w:space="0" w:color="auto"/>
        <w:left w:val="none" w:sz="0" w:space="0" w:color="auto"/>
        <w:bottom w:val="none" w:sz="0" w:space="0" w:color="auto"/>
        <w:right w:val="none" w:sz="0" w:space="0" w:color="auto"/>
      </w:divBdr>
      <w:divsChild>
        <w:div w:id="1988509470">
          <w:marLeft w:val="0"/>
          <w:marRight w:val="0"/>
          <w:marTop w:val="0"/>
          <w:marBottom w:val="0"/>
          <w:divBdr>
            <w:top w:val="none" w:sz="0" w:space="0" w:color="auto"/>
            <w:left w:val="none" w:sz="0" w:space="0" w:color="auto"/>
            <w:bottom w:val="none" w:sz="0" w:space="0" w:color="auto"/>
            <w:right w:val="none" w:sz="0" w:space="0" w:color="auto"/>
          </w:divBdr>
          <w:divsChild>
            <w:div w:id="905989294">
              <w:marLeft w:val="0"/>
              <w:marRight w:val="0"/>
              <w:marTop w:val="0"/>
              <w:marBottom w:val="0"/>
              <w:divBdr>
                <w:top w:val="none" w:sz="0" w:space="0" w:color="auto"/>
                <w:left w:val="none" w:sz="0" w:space="0" w:color="auto"/>
                <w:bottom w:val="none" w:sz="0" w:space="0" w:color="auto"/>
                <w:right w:val="none" w:sz="0" w:space="0" w:color="auto"/>
              </w:divBdr>
              <w:divsChild>
                <w:div w:id="981614751">
                  <w:marLeft w:val="0"/>
                  <w:marRight w:val="0"/>
                  <w:marTop w:val="0"/>
                  <w:marBottom w:val="0"/>
                  <w:divBdr>
                    <w:top w:val="none" w:sz="0" w:space="0" w:color="auto"/>
                    <w:left w:val="none" w:sz="0" w:space="0" w:color="auto"/>
                    <w:bottom w:val="none" w:sz="0" w:space="0" w:color="auto"/>
                    <w:right w:val="none" w:sz="0" w:space="0" w:color="auto"/>
                  </w:divBdr>
                </w:div>
              </w:divsChild>
            </w:div>
            <w:div w:id="1392312768">
              <w:marLeft w:val="0"/>
              <w:marRight w:val="0"/>
              <w:marTop w:val="0"/>
              <w:marBottom w:val="0"/>
              <w:divBdr>
                <w:top w:val="none" w:sz="0" w:space="0" w:color="auto"/>
                <w:left w:val="none" w:sz="0" w:space="0" w:color="auto"/>
                <w:bottom w:val="none" w:sz="0" w:space="0" w:color="auto"/>
                <w:right w:val="none" w:sz="0" w:space="0" w:color="auto"/>
              </w:divBdr>
              <w:divsChild>
                <w:div w:id="1019553009">
                  <w:marLeft w:val="0"/>
                  <w:marRight w:val="0"/>
                  <w:marTop w:val="0"/>
                  <w:marBottom w:val="0"/>
                  <w:divBdr>
                    <w:top w:val="none" w:sz="0" w:space="0" w:color="auto"/>
                    <w:left w:val="none" w:sz="0" w:space="0" w:color="auto"/>
                    <w:bottom w:val="none" w:sz="0" w:space="0" w:color="auto"/>
                    <w:right w:val="none" w:sz="0" w:space="0" w:color="auto"/>
                  </w:divBdr>
                </w:div>
              </w:divsChild>
            </w:div>
            <w:div w:id="483426260">
              <w:marLeft w:val="0"/>
              <w:marRight w:val="0"/>
              <w:marTop w:val="0"/>
              <w:marBottom w:val="0"/>
              <w:divBdr>
                <w:top w:val="none" w:sz="0" w:space="0" w:color="auto"/>
                <w:left w:val="none" w:sz="0" w:space="0" w:color="auto"/>
                <w:bottom w:val="none" w:sz="0" w:space="0" w:color="auto"/>
                <w:right w:val="none" w:sz="0" w:space="0" w:color="auto"/>
              </w:divBdr>
              <w:divsChild>
                <w:div w:id="763648978">
                  <w:marLeft w:val="0"/>
                  <w:marRight w:val="0"/>
                  <w:marTop w:val="0"/>
                  <w:marBottom w:val="0"/>
                  <w:divBdr>
                    <w:top w:val="none" w:sz="0" w:space="0" w:color="auto"/>
                    <w:left w:val="none" w:sz="0" w:space="0" w:color="auto"/>
                    <w:bottom w:val="none" w:sz="0" w:space="0" w:color="auto"/>
                    <w:right w:val="none" w:sz="0" w:space="0" w:color="auto"/>
                  </w:divBdr>
                </w:div>
              </w:divsChild>
            </w:div>
            <w:div w:id="931206046">
              <w:marLeft w:val="0"/>
              <w:marRight w:val="0"/>
              <w:marTop w:val="0"/>
              <w:marBottom w:val="0"/>
              <w:divBdr>
                <w:top w:val="none" w:sz="0" w:space="0" w:color="auto"/>
                <w:left w:val="none" w:sz="0" w:space="0" w:color="auto"/>
                <w:bottom w:val="none" w:sz="0" w:space="0" w:color="auto"/>
                <w:right w:val="none" w:sz="0" w:space="0" w:color="auto"/>
              </w:divBdr>
              <w:divsChild>
                <w:div w:id="486868610">
                  <w:marLeft w:val="0"/>
                  <w:marRight w:val="0"/>
                  <w:marTop w:val="0"/>
                  <w:marBottom w:val="0"/>
                  <w:divBdr>
                    <w:top w:val="none" w:sz="0" w:space="0" w:color="auto"/>
                    <w:left w:val="none" w:sz="0" w:space="0" w:color="auto"/>
                    <w:bottom w:val="none" w:sz="0" w:space="0" w:color="auto"/>
                    <w:right w:val="none" w:sz="0" w:space="0" w:color="auto"/>
                  </w:divBdr>
                </w:div>
              </w:divsChild>
            </w:div>
            <w:div w:id="1434664705">
              <w:marLeft w:val="0"/>
              <w:marRight w:val="0"/>
              <w:marTop w:val="0"/>
              <w:marBottom w:val="0"/>
              <w:divBdr>
                <w:top w:val="none" w:sz="0" w:space="0" w:color="auto"/>
                <w:left w:val="none" w:sz="0" w:space="0" w:color="auto"/>
                <w:bottom w:val="none" w:sz="0" w:space="0" w:color="auto"/>
                <w:right w:val="none" w:sz="0" w:space="0" w:color="auto"/>
              </w:divBdr>
              <w:divsChild>
                <w:div w:id="417213228">
                  <w:marLeft w:val="0"/>
                  <w:marRight w:val="0"/>
                  <w:marTop w:val="0"/>
                  <w:marBottom w:val="0"/>
                  <w:divBdr>
                    <w:top w:val="none" w:sz="0" w:space="0" w:color="auto"/>
                    <w:left w:val="none" w:sz="0" w:space="0" w:color="auto"/>
                    <w:bottom w:val="none" w:sz="0" w:space="0" w:color="auto"/>
                    <w:right w:val="none" w:sz="0" w:space="0" w:color="auto"/>
                  </w:divBdr>
                </w:div>
              </w:divsChild>
            </w:div>
            <w:div w:id="154297325">
              <w:marLeft w:val="0"/>
              <w:marRight w:val="0"/>
              <w:marTop w:val="0"/>
              <w:marBottom w:val="0"/>
              <w:divBdr>
                <w:top w:val="none" w:sz="0" w:space="0" w:color="auto"/>
                <w:left w:val="none" w:sz="0" w:space="0" w:color="auto"/>
                <w:bottom w:val="none" w:sz="0" w:space="0" w:color="auto"/>
                <w:right w:val="none" w:sz="0" w:space="0" w:color="auto"/>
              </w:divBdr>
              <w:divsChild>
                <w:div w:id="675887231">
                  <w:marLeft w:val="0"/>
                  <w:marRight w:val="0"/>
                  <w:marTop w:val="0"/>
                  <w:marBottom w:val="0"/>
                  <w:divBdr>
                    <w:top w:val="none" w:sz="0" w:space="0" w:color="auto"/>
                    <w:left w:val="none" w:sz="0" w:space="0" w:color="auto"/>
                    <w:bottom w:val="none" w:sz="0" w:space="0" w:color="auto"/>
                    <w:right w:val="none" w:sz="0" w:space="0" w:color="auto"/>
                  </w:divBdr>
                </w:div>
              </w:divsChild>
            </w:div>
            <w:div w:id="1774738050">
              <w:marLeft w:val="0"/>
              <w:marRight w:val="0"/>
              <w:marTop w:val="0"/>
              <w:marBottom w:val="0"/>
              <w:divBdr>
                <w:top w:val="none" w:sz="0" w:space="0" w:color="auto"/>
                <w:left w:val="none" w:sz="0" w:space="0" w:color="auto"/>
                <w:bottom w:val="none" w:sz="0" w:space="0" w:color="auto"/>
                <w:right w:val="none" w:sz="0" w:space="0" w:color="auto"/>
              </w:divBdr>
              <w:divsChild>
                <w:div w:id="73304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3128">
      <w:bodyDiv w:val="1"/>
      <w:marLeft w:val="0"/>
      <w:marRight w:val="0"/>
      <w:marTop w:val="0"/>
      <w:marBottom w:val="0"/>
      <w:divBdr>
        <w:top w:val="none" w:sz="0" w:space="0" w:color="auto"/>
        <w:left w:val="none" w:sz="0" w:space="0" w:color="auto"/>
        <w:bottom w:val="none" w:sz="0" w:space="0" w:color="auto"/>
        <w:right w:val="none" w:sz="0" w:space="0" w:color="auto"/>
      </w:divBdr>
      <w:divsChild>
        <w:div w:id="1901280250">
          <w:marLeft w:val="0"/>
          <w:marRight w:val="0"/>
          <w:marTop w:val="0"/>
          <w:marBottom w:val="0"/>
          <w:divBdr>
            <w:top w:val="none" w:sz="0" w:space="0" w:color="auto"/>
            <w:left w:val="none" w:sz="0" w:space="0" w:color="auto"/>
            <w:bottom w:val="none" w:sz="0" w:space="0" w:color="auto"/>
            <w:right w:val="none" w:sz="0" w:space="0" w:color="auto"/>
          </w:divBdr>
          <w:divsChild>
            <w:div w:id="1319765443">
              <w:marLeft w:val="0"/>
              <w:marRight w:val="0"/>
              <w:marTop w:val="0"/>
              <w:marBottom w:val="0"/>
              <w:divBdr>
                <w:top w:val="none" w:sz="0" w:space="0" w:color="auto"/>
                <w:left w:val="none" w:sz="0" w:space="0" w:color="auto"/>
                <w:bottom w:val="none" w:sz="0" w:space="0" w:color="auto"/>
                <w:right w:val="none" w:sz="0" w:space="0" w:color="auto"/>
              </w:divBdr>
              <w:divsChild>
                <w:div w:id="194271774">
                  <w:marLeft w:val="0"/>
                  <w:marRight w:val="0"/>
                  <w:marTop w:val="0"/>
                  <w:marBottom w:val="0"/>
                  <w:divBdr>
                    <w:top w:val="none" w:sz="0" w:space="0" w:color="auto"/>
                    <w:left w:val="none" w:sz="0" w:space="0" w:color="auto"/>
                    <w:bottom w:val="none" w:sz="0" w:space="0" w:color="auto"/>
                    <w:right w:val="none" w:sz="0" w:space="0" w:color="auto"/>
                  </w:divBdr>
                </w:div>
              </w:divsChild>
            </w:div>
            <w:div w:id="1693147007">
              <w:marLeft w:val="0"/>
              <w:marRight w:val="0"/>
              <w:marTop w:val="0"/>
              <w:marBottom w:val="0"/>
              <w:divBdr>
                <w:top w:val="none" w:sz="0" w:space="0" w:color="auto"/>
                <w:left w:val="none" w:sz="0" w:space="0" w:color="auto"/>
                <w:bottom w:val="none" w:sz="0" w:space="0" w:color="auto"/>
                <w:right w:val="none" w:sz="0" w:space="0" w:color="auto"/>
              </w:divBdr>
              <w:divsChild>
                <w:div w:id="592202600">
                  <w:marLeft w:val="0"/>
                  <w:marRight w:val="0"/>
                  <w:marTop w:val="0"/>
                  <w:marBottom w:val="0"/>
                  <w:divBdr>
                    <w:top w:val="none" w:sz="0" w:space="0" w:color="auto"/>
                    <w:left w:val="none" w:sz="0" w:space="0" w:color="auto"/>
                    <w:bottom w:val="none" w:sz="0" w:space="0" w:color="auto"/>
                    <w:right w:val="none" w:sz="0" w:space="0" w:color="auto"/>
                  </w:divBdr>
                </w:div>
              </w:divsChild>
            </w:div>
            <w:div w:id="297027555">
              <w:marLeft w:val="0"/>
              <w:marRight w:val="0"/>
              <w:marTop w:val="0"/>
              <w:marBottom w:val="0"/>
              <w:divBdr>
                <w:top w:val="none" w:sz="0" w:space="0" w:color="auto"/>
                <w:left w:val="none" w:sz="0" w:space="0" w:color="auto"/>
                <w:bottom w:val="none" w:sz="0" w:space="0" w:color="auto"/>
                <w:right w:val="none" w:sz="0" w:space="0" w:color="auto"/>
              </w:divBdr>
              <w:divsChild>
                <w:div w:id="705639998">
                  <w:marLeft w:val="0"/>
                  <w:marRight w:val="0"/>
                  <w:marTop w:val="0"/>
                  <w:marBottom w:val="0"/>
                  <w:divBdr>
                    <w:top w:val="none" w:sz="0" w:space="0" w:color="auto"/>
                    <w:left w:val="none" w:sz="0" w:space="0" w:color="auto"/>
                    <w:bottom w:val="none" w:sz="0" w:space="0" w:color="auto"/>
                    <w:right w:val="none" w:sz="0" w:space="0" w:color="auto"/>
                  </w:divBdr>
                </w:div>
              </w:divsChild>
            </w:div>
            <w:div w:id="425922759">
              <w:marLeft w:val="0"/>
              <w:marRight w:val="0"/>
              <w:marTop w:val="0"/>
              <w:marBottom w:val="0"/>
              <w:divBdr>
                <w:top w:val="none" w:sz="0" w:space="0" w:color="auto"/>
                <w:left w:val="none" w:sz="0" w:space="0" w:color="auto"/>
                <w:bottom w:val="none" w:sz="0" w:space="0" w:color="auto"/>
                <w:right w:val="none" w:sz="0" w:space="0" w:color="auto"/>
              </w:divBdr>
              <w:divsChild>
                <w:div w:id="2123449526">
                  <w:marLeft w:val="0"/>
                  <w:marRight w:val="0"/>
                  <w:marTop w:val="0"/>
                  <w:marBottom w:val="0"/>
                  <w:divBdr>
                    <w:top w:val="none" w:sz="0" w:space="0" w:color="auto"/>
                    <w:left w:val="none" w:sz="0" w:space="0" w:color="auto"/>
                    <w:bottom w:val="none" w:sz="0" w:space="0" w:color="auto"/>
                    <w:right w:val="none" w:sz="0" w:space="0" w:color="auto"/>
                  </w:divBdr>
                </w:div>
              </w:divsChild>
            </w:div>
            <w:div w:id="566309970">
              <w:marLeft w:val="0"/>
              <w:marRight w:val="0"/>
              <w:marTop w:val="0"/>
              <w:marBottom w:val="0"/>
              <w:divBdr>
                <w:top w:val="none" w:sz="0" w:space="0" w:color="auto"/>
                <w:left w:val="none" w:sz="0" w:space="0" w:color="auto"/>
                <w:bottom w:val="none" w:sz="0" w:space="0" w:color="auto"/>
                <w:right w:val="none" w:sz="0" w:space="0" w:color="auto"/>
              </w:divBdr>
              <w:divsChild>
                <w:div w:id="742020893">
                  <w:marLeft w:val="0"/>
                  <w:marRight w:val="0"/>
                  <w:marTop w:val="0"/>
                  <w:marBottom w:val="0"/>
                  <w:divBdr>
                    <w:top w:val="none" w:sz="0" w:space="0" w:color="auto"/>
                    <w:left w:val="none" w:sz="0" w:space="0" w:color="auto"/>
                    <w:bottom w:val="none" w:sz="0" w:space="0" w:color="auto"/>
                    <w:right w:val="none" w:sz="0" w:space="0" w:color="auto"/>
                  </w:divBdr>
                </w:div>
              </w:divsChild>
            </w:div>
            <w:div w:id="496962848">
              <w:marLeft w:val="0"/>
              <w:marRight w:val="0"/>
              <w:marTop w:val="0"/>
              <w:marBottom w:val="0"/>
              <w:divBdr>
                <w:top w:val="none" w:sz="0" w:space="0" w:color="auto"/>
                <w:left w:val="none" w:sz="0" w:space="0" w:color="auto"/>
                <w:bottom w:val="none" w:sz="0" w:space="0" w:color="auto"/>
                <w:right w:val="none" w:sz="0" w:space="0" w:color="auto"/>
              </w:divBdr>
              <w:divsChild>
                <w:div w:id="12138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39575">
      <w:bodyDiv w:val="1"/>
      <w:marLeft w:val="0"/>
      <w:marRight w:val="0"/>
      <w:marTop w:val="0"/>
      <w:marBottom w:val="0"/>
      <w:divBdr>
        <w:top w:val="none" w:sz="0" w:space="0" w:color="auto"/>
        <w:left w:val="none" w:sz="0" w:space="0" w:color="auto"/>
        <w:bottom w:val="none" w:sz="0" w:space="0" w:color="auto"/>
        <w:right w:val="none" w:sz="0" w:space="0" w:color="auto"/>
      </w:divBdr>
    </w:div>
    <w:div w:id="2123911592">
      <w:bodyDiv w:val="1"/>
      <w:marLeft w:val="0"/>
      <w:marRight w:val="0"/>
      <w:marTop w:val="0"/>
      <w:marBottom w:val="0"/>
      <w:divBdr>
        <w:top w:val="none" w:sz="0" w:space="0" w:color="auto"/>
        <w:left w:val="none" w:sz="0" w:space="0" w:color="auto"/>
        <w:bottom w:val="none" w:sz="0" w:space="0" w:color="auto"/>
        <w:right w:val="none" w:sz="0" w:space="0" w:color="auto"/>
      </w:divBdr>
      <w:divsChild>
        <w:div w:id="911429848">
          <w:marLeft w:val="0"/>
          <w:marRight w:val="0"/>
          <w:marTop w:val="0"/>
          <w:marBottom w:val="0"/>
          <w:divBdr>
            <w:top w:val="none" w:sz="0" w:space="0" w:color="auto"/>
            <w:left w:val="none" w:sz="0" w:space="0" w:color="auto"/>
            <w:bottom w:val="none" w:sz="0" w:space="0" w:color="auto"/>
            <w:right w:val="none" w:sz="0" w:space="0" w:color="auto"/>
          </w:divBdr>
          <w:divsChild>
            <w:div w:id="15809121">
              <w:marLeft w:val="0"/>
              <w:marRight w:val="0"/>
              <w:marTop w:val="0"/>
              <w:marBottom w:val="0"/>
              <w:divBdr>
                <w:top w:val="none" w:sz="0" w:space="0" w:color="auto"/>
                <w:left w:val="none" w:sz="0" w:space="0" w:color="auto"/>
                <w:bottom w:val="none" w:sz="0" w:space="0" w:color="auto"/>
                <w:right w:val="none" w:sz="0" w:space="0" w:color="auto"/>
              </w:divBdr>
              <w:divsChild>
                <w:div w:id="435365554">
                  <w:marLeft w:val="0"/>
                  <w:marRight w:val="0"/>
                  <w:marTop w:val="0"/>
                  <w:marBottom w:val="0"/>
                  <w:divBdr>
                    <w:top w:val="none" w:sz="0" w:space="0" w:color="auto"/>
                    <w:left w:val="none" w:sz="0" w:space="0" w:color="auto"/>
                    <w:bottom w:val="none" w:sz="0" w:space="0" w:color="auto"/>
                    <w:right w:val="none" w:sz="0" w:space="0" w:color="auto"/>
                  </w:divBdr>
                  <w:divsChild>
                    <w:div w:id="3598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2" Type="http://schemas.openxmlformats.org/officeDocument/2006/relationships/fontTable" Target="fontTable.xml"/><Relationship Id="rId13"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header" Target="header1.xml"/><Relationship Id="rId17"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8" Type="http://schemas.openxmlformats.org/officeDocument/2006/relationships/footnotes" Target="footnotes.xml"/><Relationship Id="rId9" Type="http://schemas.openxmlformats.org/officeDocument/2006/relationships/endnotes" Target="endnote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7" Type="http://schemas.openxmlformats.org/officeDocument/2006/relationships/webSettings" Target="webSettings.xml"/><Relationship Id="rId14" Type="http://schemas.microsoft.com/office/2020/10/relationships/intelligence" Target="intelligence2.xm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FEEC24-9738-438B-AB9C-588D344F5DD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D73D82CE41E8E44A7BA473BE13F12E1" ma:contentTypeVersion="13" ma:contentTypeDescription="Create a new document." ma:contentTypeScope="" ma:versionID="ada59ed94ab2d15e94b540a49e0f93b6">
  <xsd:schema xmlns:xsd="http://www.w3.org/2001/XMLSchema" xmlns:xs="http://www.w3.org/2001/XMLSchema" xmlns:p="http://schemas.microsoft.com/office/2006/metadata/properties" xmlns:ns2="709e3651-9dc3-43c6-91fa-b8b9a02696ce" xmlns:ns3="67918ff3-b49c-4e76-a905-5f7f6a6d5bf4" targetNamespace="http://schemas.microsoft.com/office/2006/metadata/properties" ma:root="true" ma:fieldsID="50a571a876dadba5d89dd7f26c9d48e2" ns2:_="" ns3:_="">
    <xsd:import namespace="709e3651-9dc3-43c6-91fa-b8b9a02696ce"/>
    <xsd:import namespace="67918ff3-b49c-4e76-a905-5f7f6a6d5bf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9e3651-9dc3-43c6-91fa-b8b9a02696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918ff3-b49c-4e76-a905-5f7f6a6d5bf4"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8808A8-F7E0-4A89-A7DC-FADCAB336DA9}">
  <ds:schemaRefs>
    <ds:schemaRef ds:uri="http://schemas.microsoft.com/office/2006/documentManagement/types"/>
    <ds:schemaRef ds:uri="http://purl.org/dc/terms/"/>
    <ds:schemaRef ds:uri="709e3651-9dc3-43c6-91fa-b8b9a02696ce"/>
    <ds:schemaRef ds:uri="http://purl.org/dc/dcmitype/"/>
    <ds:schemaRef ds:uri="67918ff3-b49c-4e76-a905-5f7f6a6d5bf4"/>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A76902E9-718A-4696-9AD7-22F53C64D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9e3651-9dc3-43c6-91fa-b8b9a02696ce"/>
    <ds:schemaRef ds:uri="67918ff3-b49c-4e76-a905-5f7f6a6d5b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53DF4B-5D7D-4732-9401-9FD8FE1028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4</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WAES</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atulley</dc:creator>
  <cp:lastModifiedBy>anna zack</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0x0101003D73D82CE41E8E44A7BA473BE13F12E1</vt:lpwstr>
  </property>
</Properties>
</file>