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7806D8F0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  <w:r>
              <w:rPr>
                <w:color w:val="000000" w:themeColor="text1"/>
              </w:rPr>
              <w:t xml:space="preserve">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071EFCF1" w:rsidR="00CF19F1" w:rsidRDefault="008C79DD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</w:t>
            </w:r>
            <w:r w:rsidR="00CF19F1">
              <w:t xml:space="preserve">“Inertial lift forces on a particle in a straight microchannel of Newtonian, Power-law, and </w:t>
            </w:r>
            <w:proofErr w:type="spellStart"/>
            <w:r w:rsidR="00CF19F1">
              <w:t>Carreau</w:t>
            </w:r>
            <w:proofErr w:type="spellEnd"/>
            <w:r w:rsidR="00CF19F1">
              <w:t>-Yasuda fluids: a simulation study toward optimized particle separation</w:t>
            </w:r>
            <w:r>
              <w:t>,”</w:t>
            </w:r>
            <w:r w:rsidR="00CF19F1">
              <w:t xml:space="preserve"> </w:t>
            </w:r>
            <w:r w:rsidR="00D63105">
              <w:t>Phys. Fluids</w:t>
            </w:r>
            <w:r>
              <w:t xml:space="preserve"> </w:t>
            </w:r>
            <w:r w:rsidR="00CF19F1">
              <w:t>(</w:t>
            </w:r>
            <w:r w:rsidR="00CF19F1" w:rsidRPr="00EB5F1C">
              <w:rPr>
                <w:i/>
                <w:iCs/>
              </w:rPr>
              <w:t>to be submitted</w:t>
            </w:r>
            <w:r w:rsidR="00CF19F1">
              <w:t>)</w:t>
            </w:r>
            <w:r w:rsidR="00EA30D6">
              <w:t>.</w:t>
            </w:r>
          </w:p>
          <w:p w14:paraId="03A0D5D0" w14:textId="77777777" w:rsidR="00CF19F1" w:rsidRPr="00D63105" w:rsidRDefault="00CF19F1" w:rsidP="00CC77C5">
            <w:pPr>
              <w:ind w:left="29"/>
              <w:rPr>
                <w:sz w:val="10"/>
                <w:szCs w:val="10"/>
              </w:rPr>
            </w:pPr>
          </w:p>
        </w:tc>
      </w:tr>
      <w:tr w:rsidR="00D63105" w14:paraId="5B895C30" w14:textId="77777777" w:rsidTr="00CC77C5">
        <w:trPr>
          <w:trHeight w:val="625"/>
        </w:trPr>
        <w:tc>
          <w:tcPr>
            <w:tcW w:w="10828" w:type="dxa"/>
          </w:tcPr>
          <w:p w14:paraId="6D41258D" w14:textId="5B861885" w:rsidR="00D63105" w:rsidRDefault="00D63105" w:rsidP="00D6310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“A novel passive geometry for inertial focusing of different-sized particles,” </w:t>
            </w:r>
            <w:r>
              <w:t>Sci. Rep.</w:t>
            </w:r>
            <w:r>
              <w:t xml:space="preserve">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EA30D6">
              <w:t>.</w:t>
            </w:r>
          </w:p>
          <w:p w14:paraId="0ABEF9FF" w14:textId="34527CAF" w:rsidR="00D63105" w:rsidRPr="00D63105" w:rsidRDefault="00D63105" w:rsidP="00D63105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C3C11E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6D55D3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6D55D3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6D55D3" w:rsidP="00EA7AAB">
            <w:pPr>
              <w:spacing w:line="360" w:lineRule="auto"/>
            </w:pPr>
            <w:hyperlink r:id="rId18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9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4D397" w14:textId="77777777" w:rsidR="006D55D3" w:rsidRDefault="006D55D3" w:rsidP="0039360C">
      <w:pPr>
        <w:spacing w:after="0" w:line="240" w:lineRule="auto"/>
      </w:pPr>
      <w:r>
        <w:separator/>
      </w:r>
    </w:p>
  </w:endnote>
  <w:endnote w:type="continuationSeparator" w:id="0">
    <w:p w14:paraId="0C0132FE" w14:textId="77777777" w:rsidR="006D55D3" w:rsidRDefault="006D55D3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659F" w14:textId="77777777" w:rsidR="006D55D3" w:rsidRDefault="006D55D3" w:rsidP="0039360C">
      <w:pPr>
        <w:spacing w:after="0" w:line="240" w:lineRule="auto"/>
      </w:pPr>
      <w:r>
        <w:separator/>
      </w:r>
    </w:p>
  </w:footnote>
  <w:footnote w:type="continuationSeparator" w:id="0">
    <w:p w14:paraId="1140AC44" w14:textId="77777777" w:rsidR="006D55D3" w:rsidRDefault="006D55D3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q8FABu3j1U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978C5"/>
    <w:rsid w:val="000B1164"/>
    <w:rsid w:val="000B5DA4"/>
    <w:rsid w:val="000B5EA8"/>
    <w:rsid w:val="000C68D3"/>
    <w:rsid w:val="000E2BFD"/>
    <w:rsid w:val="00110E57"/>
    <w:rsid w:val="00121820"/>
    <w:rsid w:val="001254A6"/>
    <w:rsid w:val="0013158B"/>
    <w:rsid w:val="00134B8D"/>
    <w:rsid w:val="00135000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C7EDA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D55D3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C79DD"/>
    <w:rsid w:val="008E410B"/>
    <w:rsid w:val="008E5353"/>
    <w:rsid w:val="008E7ADC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1BC1"/>
    <w:rsid w:val="009F6F52"/>
    <w:rsid w:val="00A02D21"/>
    <w:rsid w:val="00A04322"/>
    <w:rsid w:val="00A04E09"/>
    <w:rsid w:val="00A13197"/>
    <w:rsid w:val="00A15AD8"/>
    <w:rsid w:val="00A32D35"/>
    <w:rsid w:val="00A33659"/>
    <w:rsid w:val="00A40C30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4424F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6B8A"/>
    <w:rsid w:val="00DC4B0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A30D6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5A0F-91A0-43A5-A805-144612F6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3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197</cp:revision>
  <cp:lastPrinted>2021-10-04T13:47:00Z</cp:lastPrinted>
  <dcterms:created xsi:type="dcterms:W3CDTF">2021-08-10T11:29:00Z</dcterms:created>
  <dcterms:modified xsi:type="dcterms:W3CDTF">2021-10-04T13:48:00Z</dcterms:modified>
</cp:coreProperties>
</file>