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Explaining the Cardinality of our Nomalized Database: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bdey9d5wlgbf" w:id="0"/>
      <w:bookmarkEnd w:id="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Reference.Country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Data.Customer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 country can have many customers.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Customer.CountryID → Country.CountryID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ksonjc9ydyd3" w:id="1"/>
      <w:bookmarkEnd w:id="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Reference.Color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Data.Stock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 color can be applied to many stock vehicles.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Stock.ColorID → Color.ColorID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yiwapea27waz" w:id="2"/>
      <w:bookmarkEnd w:id="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Reference.Country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Data.Make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1:N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 country can manufacture multiple car makes.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Make.CountryID → Country.CountryID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tgvex4kztjrt" w:id="3"/>
      <w:bookmarkEnd w:id="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Data.Make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Data.Model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One make can have many models.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Model.MakeID → Make.MakeID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7qcl16yhnbrk" w:id="4"/>
      <w:bookmarkEnd w:id="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Data.Model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Data.Stock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One model can have many stock entries.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Stock.ModelID → Model.ModelID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fatip2t3sisb" w:id="5"/>
      <w:bookmarkEnd w:id="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Data.Customer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Data.Sales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 customer can make multiple purchases.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Sales.CustomerID → Customer.CustomerID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mv030y6yjo9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rlkygp58n3ra" w:id="7"/>
      <w:bookmarkEnd w:id="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Data.Sales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Data.SalesDetails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1:N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 single sale can contain multiple line items.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SalesDetails.SalesID → Sales.SalesID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5dlv5xhuqena" w:id="8"/>
      <w:bookmarkEnd w:id="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Data.Stock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Data.SalesDetails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1:1 or 1:N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A stock vehicle can be part of one or more sales lines.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SalesDetails.StockID → Stock.StockCode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bookmarkStart w:colFirst="0" w:colLast="0" w:name="_ygfbn2bl0nvs" w:id="9"/>
      <w:bookmarkEnd w:id="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🔹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Reference.Color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Data.PivotTable 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1:1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omfortaa Medium" w:cs="Comfortaa Medium" w:eastAsia="Comfortaa Medium" w:hAnsi="Comfortaa Medium"/>
          <w:sz w:val="24"/>
          <w:szCs w:val="24"/>
        </w:rPr>
      </w:pP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One row per color with sales amounts for 2015–2018.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188038"/>
          <w:sz w:val="24"/>
          <w:szCs w:val="24"/>
          <w:rtl w:val="0"/>
        </w:rPr>
        <w:t xml:space="preserve">PivotTable.ColorID → Color.ColorID</w:t>
      </w:r>
      <w:r w:rsidDel="00000000" w:rsidR="00000000" w:rsidRPr="00000000">
        <w:rPr>
          <w:rFonts w:ascii="Comfortaa Medium" w:cs="Comfortaa Medium" w:eastAsia="Comfortaa Medium" w:hAnsi="Comfortaa Medium"/>
          <w:sz w:val="24"/>
          <w:szCs w:val="24"/>
          <w:rtl w:val="0"/>
        </w:rPr>
        <w:t xml:space="preserve"> (FK)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rowiv53wwpss" w:id="10"/>
      <w:bookmarkEnd w:id="10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📘 Summary Table</w:t>
      </w:r>
    </w:p>
    <w:tbl>
      <w:tblPr>
        <w:tblStyle w:val="Table1"/>
        <w:tblW w:w="8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520"/>
        <w:gridCol w:w="1415"/>
        <w:gridCol w:w="4340"/>
        <w:tblGridChange w:id="0">
          <w:tblGrid>
            <w:gridCol w:w="1415"/>
            <w:gridCol w:w="1520"/>
            <w:gridCol w:w="1415"/>
            <w:gridCol w:w="4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From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To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Cardinality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b w:val="1"/>
                <w:sz w:val="26"/>
                <w:szCs w:val="2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Each country has many customers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Each country can be origin of many makes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Each color used in many vehicles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A make has many models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A model maps to many stock vehicles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A customer can place many sales orders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SalesDetails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A sale has many line items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SalesDetails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1:1 or 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Ideally 1:1 (one car sold once)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PivotTable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1:1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omfortaa Medium" w:cs="Comfortaa Medium" w:eastAsia="Comfortaa Medium" w:hAnsi="Comfortaa Medium"/>
                <w:sz w:val="26"/>
                <w:szCs w:val="26"/>
              </w:rPr>
            </w:pPr>
            <w:r w:rsidDel="00000000" w:rsidR="00000000" w:rsidRPr="00000000">
              <w:rPr>
                <w:rFonts w:ascii="Comfortaa Medium" w:cs="Comfortaa Medium" w:eastAsia="Comfortaa Medium" w:hAnsi="Comfortaa Medium"/>
                <w:sz w:val="26"/>
                <w:szCs w:val="26"/>
                <w:rtl w:val="0"/>
              </w:rPr>
              <w:t xml:space="preserve">One color per Pivot row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