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4" w:lineRule="auto"/>
      </w:pPr>
      <w:r>
        <w:rPr>
          <w:rFonts w:ascii="Calibri" w:hAnsi="Calibri"/>
          <w:b/>
          <w:i w:val="0"/>
          <w:color w:val="0B2545"/>
          <w:sz w:val="20"/>
        </w:rPr>
        <w:t>ENTERPRISE ARCHITECTURE IMPLEMENTATION PLAYBOOK</w:t>
      </w:r>
    </w:p>
    <w:p>
      <w:pPr>
        <w:spacing w:after="80" w:before="0" w:line="264" w:lineRule="auto"/>
      </w:pPr>
      <w:r>
        <w:rPr>
          <w:rFonts w:ascii="Calibri" w:hAnsi="Calibri"/>
          <w:b/>
          <w:i w:val="0"/>
          <w:color w:val="000000"/>
          <w:sz w:val="46"/>
        </w:rPr>
        <w:t>Building the Full Cloud, Security, and Microsoft 365 Monster</w:t>
      </w:r>
    </w:p>
    <w:p>
      <w:pPr>
        <w:spacing w:after="240" w:before="0" w:line="264" w:lineRule="auto"/>
        <w:pBdr>
          <w:bottom w:val="single" w:sz="12" w:space="5" w:color="2E74B5"/>
        </w:pBdr>
      </w:pPr>
      <w:r>
        <w:rPr>
          <w:rFonts w:ascii="Calibri" w:hAnsi="Calibri"/>
          <w:b w:val="0"/>
          <w:i w:val="0"/>
          <w:color w:val="595959"/>
          <w:sz w:val="25"/>
        </w:rPr>
        <w:t>A one-person execution plan for initiating, codifying, deploying, governing, securing, and adopting an enterprise Azure and Microsoft 365 platform.</w:t>
      </w:r>
    </w:p>
    <w:tbl>
      <w:tblPr>
        <w:tblStyle w:val="TableGrid"/>
        <w:tblW w:type="dxa" w:w="9360"/>
        <w:tblLayout w:type="fixed"/>
        <w:tblLook w:firstColumn="1" w:firstRow="1" w:lastColumn="0" w:lastRow="0" w:noHBand="0" w:noVBand="1" w:val="04A0"/>
        <w:jc w:val="center"/>
        <w:tblInd w:type="dxa" w:w="120"/>
      </w:tblPr>
      <w:tblGrid>
        <w:gridCol w:w="2500"/>
        <w:gridCol w:w="2200"/>
        <w:gridCol w:w="2100"/>
        <w:gridCol w:w="2560"/>
      </w:tblGrid>
      <w:tr>
        <w:tc>
          <w:tcPr>
            <w:tcW w:type="dxa" w:w="2500"/>
            <w:vAlign w:val="center"/>
            <w:tcMar>
              <w:top w:w="80" w:type="dxa"/>
              <w:start w:w="120" w:type="dxa"/>
              <w:bottom w:w="80" w:type="dxa"/>
              <w:end w:w="120" w:type="dxa"/>
            </w:tcMar>
            <w:shd w:fill="E8EEF5"/>
          </w:tcPr>
          <w:p>
            <w:pPr>
              <w:jc w:val="center"/>
            </w:pPr>
            <w:r>
              <w:rPr>
                <w:rFonts w:ascii="Calibri" w:hAnsi="Calibri"/>
                <w:b/>
                <w:color w:val="0B2545"/>
                <w:sz w:val="19"/>
              </w:rPr>
              <w:t>Prepared For</w:t>
            </w:r>
          </w:p>
        </w:tc>
        <w:tc>
          <w:tcPr>
            <w:tcW w:type="dxa" w:w="2200"/>
            <w:vAlign w:val="center"/>
            <w:tcMar>
              <w:top w:w="80" w:type="dxa"/>
              <w:start w:w="120" w:type="dxa"/>
              <w:bottom w:w="80" w:type="dxa"/>
              <w:end w:w="120" w:type="dxa"/>
            </w:tcMar>
            <w:shd w:fill="E8EEF5"/>
          </w:tcPr>
          <w:p>
            <w:pPr>
              <w:jc w:val="center"/>
            </w:pPr>
            <w:r>
              <w:rPr>
                <w:rFonts w:ascii="Calibri" w:hAnsi="Calibri"/>
                <w:b/>
                <w:color w:val="0B2545"/>
                <w:sz w:val="19"/>
              </w:rPr>
              <w:t>Prepared By</w:t>
            </w:r>
          </w:p>
        </w:tc>
        <w:tc>
          <w:tcPr>
            <w:tcW w:type="dxa" w:w="2100"/>
            <w:vAlign w:val="center"/>
            <w:tcMar>
              <w:top w:w="80" w:type="dxa"/>
              <w:start w:w="120" w:type="dxa"/>
              <w:bottom w:w="80" w:type="dxa"/>
              <w:end w:w="120" w:type="dxa"/>
            </w:tcMar>
            <w:shd w:fill="E8EEF5"/>
          </w:tcPr>
          <w:p>
            <w:pPr>
              <w:jc w:val="center"/>
            </w:pPr>
            <w:r>
              <w:rPr>
                <w:rFonts w:ascii="Calibri" w:hAnsi="Calibri"/>
                <w:b/>
                <w:color w:val="0B2545"/>
                <w:sz w:val="19"/>
              </w:rPr>
              <w:t>Document Type</w:t>
            </w:r>
          </w:p>
        </w:tc>
        <w:tc>
          <w:tcPr>
            <w:tcW w:type="dxa" w:w="2560"/>
            <w:vAlign w:val="center"/>
            <w:tcMar>
              <w:top w:w="80" w:type="dxa"/>
              <w:start w:w="120" w:type="dxa"/>
              <w:bottom w:w="80" w:type="dxa"/>
              <w:end w:w="120" w:type="dxa"/>
            </w:tcMar>
            <w:shd w:fill="E8EEF5"/>
          </w:tcPr>
          <w:p>
            <w:pPr>
              <w:jc w:val="center"/>
            </w:pPr>
            <w:r>
              <w:rPr>
                <w:rFonts w:ascii="Calibri" w:hAnsi="Calibri"/>
                <w:b/>
                <w:color w:val="0B2545"/>
                <w:sz w:val="19"/>
              </w:rPr>
              <w:t>Status</w:t>
            </w:r>
          </w:p>
        </w:tc>
      </w:tr>
      <w:tr>
        <w:tc>
          <w:tcPr>
            <w:tcW w:type="dxa" w:w="2500"/>
            <w:tcMar>
              <w:top w:w="80" w:type="dxa"/>
              <w:start w:w="120" w:type="dxa"/>
              <w:bottom w:w="80" w:type="dxa"/>
              <w:end w:w="120" w:type="dxa"/>
            </w:tcMar>
            <w:vAlign w:val="center"/>
          </w:tcPr>
          <w:p>
            <w:pPr>
              <w:spacing w:after="0"/>
            </w:pPr>
            <w:r>
              <w:rPr>
                <w:rFonts w:ascii="Calibri" w:hAnsi="Calibri"/>
                <w:b/>
                <w:sz w:val="19"/>
              </w:rPr>
              <w:t>Executive decision makers and platform leadership</w:t>
            </w:r>
          </w:p>
        </w:tc>
        <w:tc>
          <w:tcPr>
            <w:tcW w:type="dxa" w:w="2200"/>
            <w:tcMar>
              <w:top w:w="80" w:type="dxa"/>
              <w:start w:w="120" w:type="dxa"/>
              <w:bottom w:w="80" w:type="dxa"/>
              <w:end w:w="120" w:type="dxa"/>
            </w:tcMar>
            <w:vAlign w:val="center"/>
          </w:tcPr>
          <w:p>
            <w:pPr>
              <w:spacing w:after="0"/>
            </w:pPr>
            <w:r>
              <w:rPr>
                <w:rFonts w:ascii="Calibri" w:hAnsi="Calibri"/>
                <w:sz w:val="19"/>
              </w:rPr>
              <w:t>Cloud architecture / IaC lead</w:t>
            </w:r>
          </w:p>
        </w:tc>
        <w:tc>
          <w:tcPr>
            <w:tcW w:type="dxa" w:w="2100"/>
            <w:tcMar>
              <w:top w:w="80" w:type="dxa"/>
              <w:start w:w="120" w:type="dxa"/>
              <w:bottom w:w="80" w:type="dxa"/>
              <w:end w:w="120" w:type="dxa"/>
            </w:tcMar>
            <w:vAlign w:val="center"/>
          </w:tcPr>
          <w:p>
            <w:pPr>
              <w:spacing w:after="0"/>
            </w:pPr>
            <w:r>
              <w:rPr>
                <w:rFonts w:ascii="Calibri" w:hAnsi="Calibri"/>
                <w:sz w:val="19"/>
              </w:rPr>
              <w:t>Implementation playbook</w:t>
            </w:r>
          </w:p>
        </w:tc>
        <w:tc>
          <w:tcPr>
            <w:tcW w:type="dxa" w:w="2560"/>
            <w:tcMar>
              <w:top w:w="80" w:type="dxa"/>
              <w:start w:w="120" w:type="dxa"/>
              <w:bottom w:w="80" w:type="dxa"/>
              <w:end w:w="120" w:type="dxa"/>
            </w:tcMar>
            <w:vAlign w:val="center"/>
          </w:tcPr>
          <w:p>
            <w:pPr>
              <w:spacing w:after="0"/>
            </w:pPr>
            <w:r>
              <w:rPr>
                <w:rFonts w:ascii="Calibri" w:hAnsi="Calibri"/>
                <w:sz w:val="19"/>
              </w:rPr>
              <w:t>Draft for planning</w:t>
            </w:r>
          </w:p>
        </w:tc>
      </w:tr>
    </w:tbl>
    <w:p>
      <w:pPr>
        <w:spacing w:after="8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DF4FB"/>
          </w:tcPr>
          <w:p>
            <w:pPr>
              <w:spacing w:after="60"/>
            </w:pPr>
            <w:r>
              <w:rPr>
                <w:rFonts w:ascii="Calibri" w:hAnsi="Calibri"/>
                <w:b/>
                <w:color w:val="0B2545"/>
                <w:sz w:val="22"/>
              </w:rPr>
              <w:t>Bottom Line</w:t>
            </w:r>
          </w:p>
          <w:p>
            <w:pPr>
              <w:spacing w:after="0"/>
            </w:pPr>
            <w:r>
              <w:rPr>
                <w:rFonts w:ascii="Calibri" w:hAnsi="Calibri"/>
                <w:color w:val="000000"/>
                <w:sz w:val="21"/>
              </w:rPr>
              <w:t>Yes, this can be built quickly by a one-person lead if the organization grants the right admin access, tooling, licensing, and decision authority. The work must still be deployed in rings: foundation first, pilot next, enforcement last. The monster is not chaos; it is disciplined automation with governance as the skeleton and security as the nervous system.</w:t>
            </w:r>
          </w:p>
        </w:tc>
      </w:tr>
    </w:tbl>
    <w:p>
      <w:pPr>
        <w:spacing w:after="80"/>
      </w:pPr>
    </w:p>
    <w:p>
      <w:pPr>
        <w:pStyle w:val="Heading1"/>
      </w:pPr>
      <w:r>
        <w:t>1. Mission</w:t>
      </w:r>
    </w:p>
    <w:p>
      <w:pPr>
        <w:spacing w:after="120" w:before="0" w:line="264" w:lineRule="auto"/>
      </w:pPr>
      <w:r>
        <w:rPr>
          <w:rFonts w:ascii="Calibri" w:hAnsi="Calibri"/>
          <w:b w:val="0"/>
          <w:i w:val="0"/>
        </w:rPr>
        <w:t>The mission is to establish a complete enterprise cloud operating environment covering Azure landing zones, Microsoft 365, Entra IAM, Okta integration, Intune, Defender, Sentinel-ready security operations, Exchange Online, Teams, SharePoint, AKS, CI/CD, governance, and automation.</w:t>
      </w:r>
    </w:p>
    <w:p>
      <w:pPr>
        <w:spacing w:after="120" w:before="0" w:line="264" w:lineRule="auto"/>
      </w:pPr>
      <w:r>
        <w:rPr>
          <w:rFonts w:ascii="Calibri" w:hAnsi="Calibri"/>
          <w:b w:val="0"/>
          <w:i w:val="0"/>
        </w:rPr>
        <w:t>The one-person lead acts as architect, platform engineer, automation engineer, security engineer, M365 engineer, and adoption lead. That does not mean acting recklessly. It means using strong defaults, reusable modules, phased rollout, documented exceptions, and decision checkpoints.</w:t>
      </w:r>
    </w:p>
    <w:p>
      <w:pPr>
        <w:pStyle w:val="Heading1"/>
      </w:pPr>
      <w:r>
        <w:t>2. Operating Assumptions</w:t>
      </w:r>
    </w:p>
    <w:tbl>
      <w:tblPr>
        <w:tblStyle w:val="TableGrid"/>
        <w:tblW w:type="dxa" w:w="9360"/>
        <w:tblLayout w:type="fixed"/>
        <w:tblLook w:firstColumn="1" w:firstRow="1" w:lastColumn="0" w:lastRow="0" w:noHBand="0" w:noVBand="1" w:val="04A0"/>
        <w:jc w:val="center"/>
        <w:tblInd w:type="dxa" w:w="120"/>
      </w:tblPr>
      <w:tblGrid>
        <w:gridCol w:w="2100"/>
        <w:gridCol w:w="7260"/>
      </w:tblGrid>
      <w:tr>
        <w:tc>
          <w:tcPr>
            <w:tcW w:type="dxa" w:w="2100"/>
            <w:vAlign w:val="center"/>
            <w:tcMar>
              <w:top w:w="80" w:type="dxa"/>
              <w:start w:w="120" w:type="dxa"/>
              <w:bottom w:w="80" w:type="dxa"/>
              <w:end w:w="120" w:type="dxa"/>
            </w:tcMar>
            <w:shd w:fill="F2F4F7"/>
          </w:tcPr>
          <w:p>
            <w:pPr>
              <w:jc w:val="center"/>
            </w:pPr>
            <w:r>
              <w:rPr>
                <w:rFonts w:ascii="Calibri" w:hAnsi="Calibri"/>
                <w:b/>
                <w:color w:val="0B2545"/>
                <w:sz w:val="18"/>
              </w:rPr>
              <w:t>Assumption</w:t>
            </w:r>
          </w:p>
        </w:tc>
        <w:tc>
          <w:tcPr>
            <w:tcW w:type="dxa" w:w="7260"/>
            <w:vAlign w:val="center"/>
            <w:tcMar>
              <w:top w:w="80" w:type="dxa"/>
              <w:start w:w="120" w:type="dxa"/>
              <w:bottom w:w="80" w:type="dxa"/>
              <w:end w:w="120" w:type="dxa"/>
            </w:tcMar>
            <w:shd w:fill="F2F4F7"/>
          </w:tcPr>
          <w:p>
            <w:pPr>
              <w:jc w:val="center"/>
            </w:pPr>
            <w:r>
              <w:rPr>
                <w:rFonts w:ascii="Calibri" w:hAnsi="Calibri"/>
                <w:b/>
                <w:color w:val="0B2545"/>
                <w:sz w:val="18"/>
              </w:rPr>
              <w:t>Position</w:t>
            </w:r>
          </w:p>
        </w:tc>
      </w:tr>
      <w:tr>
        <w:tc>
          <w:tcPr>
            <w:tcW w:type="dxa" w:w="2100"/>
            <w:tcMar>
              <w:top w:w="80" w:type="dxa"/>
              <w:start w:w="120" w:type="dxa"/>
              <w:bottom w:w="80" w:type="dxa"/>
              <w:end w:w="120" w:type="dxa"/>
            </w:tcMar>
            <w:vAlign w:val="center"/>
          </w:tcPr>
          <w:p>
            <w:pPr>
              <w:spacing w:after="0"/>
            </w:pPr>
            <w:r>
              <w:rPr>
                <w:rFonts w:ascii="Calibri" w:hAnsi="Calibri"/>
                <w:b/>
                <w:sz w:val="18"/>
              </w:rPr>
              <w:t>Access</w:t>
            </w:r>
          </w:p>
        </w:tc>
        <w:tc>
          <w:tcPr>
            <w:tcW w:type="dxa" w:w="7260"/>
            <w:tcMar>
              <w:top w:w="80" w:type="dxa"/>
              <w:start w:w="120" w:type="dxa"/>
              <w:bottom w:w="80" w:type="dxa"/>
              <w:end w:w="120" w:type="dxa"/>
            </w:tcMar>
            <w:vAlign w:val="center"/>
          </w:tcPr>
          <w:p>
            <w:pPr>
              <w:spacing w:after="0"/>
            </w:pPr>
            <w:r>
              <w:rPr>
                <w:rFonts w:ascii="Calibri" w:hAnsi="Calibri"/>
                <w:sz w:val="18"/>
              </w:rPr>
              <w:t>Privileged access is granted through PIM or time-bound elevation, not permanent standing admin.</w:t>
            </w:r>
          </w:p>
        </w:tc>
      </w:tr>
      <w:tr>
        <w:tc>
          <w:tcPr>
            <w:tcW w:type="dxa" w:w="2100"/>
            <w:tcMar>
              <w:top w:w="80" w:type="dxa"/>
              <w:start w:w="120" w:type="dxa"/>
              <w:bottom w:w="80" w:type="dxa"/>
              <w:end w:w="120" w:type="dxa"/>
            </w:tcMar>
            <w:vAlign w:val="center"/>
          </w:tcPr>
          <w:p>
            <w:pPr>
              <w:spacing w:after="0"/>
            </w:pPr>
            <w:r>
              <w:rPr>
                <w:rFonts w:ascii="Calibri" w:hAnsi="Calibri"/>
                <w:b/>
                <w:sz w:val="18"/>
              </w:rPr>
              <w:t>Source of truth</w:t>
            </w:r>
          </w:p>
        </w:tc>
        <w:tc>
          <w:tcPr>
            <w:tcW w:type="dxa" w:w="7260"/>
            <w:tcMar>
              <w:top w:w="80" w:type="dxa"/>
              <w:start w:w="120" w:type="dxa"/>
              <w:bottom w:w="80" w:type="dxa"/>
              <w:end w:w="120" w:type="dxa"/>
            </w:tcMar>
            <w:vAlign w:val="center"/>
          </w:tcPr>
          <w:p>
            <w:pPr>
              <w:spacing w:after="0"/>
            </w:pPr>
            <w:r>
              <w:rPr>
                <w:rFonts w:ascii="Calibri" w:hAnsi="Calibri"/>
                <w:sz w:val="18"/>
              </w:rPr>
              <w:t>GitHub is the source of truth for architecture, IaC, automation, standards, and runbooks.</w:t>
            </w:r>
          </w:p>
        </w:tc>
      </w:tr>
      <w:tr>
        <w:tc>
          <w:tcPr>
            <w:tcW w:type="dxa" w:w="2100"/>
            <w:tcMar>
              <w:top w:w="80" w:type="dxa"/>
              <w:start w:w="120" w:type="dxa"/>
              <w:bottom w:w="80" w:type="dxa"/>
              <w:end w:w="120" w:type="dxa"/>
            </w:tcMar>
            <w:vAlign w:val="center"/>
          </w:tcPr>
          <w:p>
            <w:pPr>
              <w:spacing w:after="0"/>
            </w:pPr>
            <w:r>
              <w:rPr>
                <w:rFonts w:ascii="Calibri" w:hAnsi="Calibri"/>
                <w:b/>
                <w:sz w:val="18"/>
              </w:rPr>
              <w:t>Deployment</w:t>
            </w:r>
          </w:p>
        </w:tc>
        <w:tc>
          <w:tcPr>
            <w:tcW w:type="dxa" w:w="7260"/>
            <w:tcMar>
              <w:top w:w="80" w:type="dxa"/>
              <w:start w:w="120" w:type="dxa"/>
              <w:bottom w:w="80" w:type="dxa"/>
              <w:end w:w="120" w:type="dxa"/>
            </w:tcMar>
            <w:vAlign w:val="center"/>
          </w:tcPr>
          <w:p>
            <w:pPr>
              <w:spacing w:after="0"/>
            </w:pPr>
            <w:r>
              <w:rPr>
                <w:rFonts w:ascii="Calibri" w:hAnsi="Calibri"/>
                <w:sz w:val="18"/>
              </w:rPr>
              <w:t>Production changes flow through pull request, plan, approval, and pipeline apply.</w:t>
            </w:r>
          </w:p>
        </w:tc>
      </w:tr>
      <w:tr>
        <w:tc>
          <w:tcPr>
            <w:tcW w:type="dxa" w:w="2100"/>
            <w:tcMar>
              <w:top w:w="80" w:type="dxa"/>
              <w:start w:w="120" w:type="dxa"/>
              <w:bottom w:w="80" w:type="dxa"/>
              <w:end w:w="120" w:type="dxa"/>
            </w:tcMar>
            <w:vAlign w:val="center"/>
          </w:tcPr>
          <w:p>
            <w:pPr>
              <w:spacing w:after="0"/>
            </w:pPr>
            <w:r>
              <w:rPr>
                <w:rFonts w:ascii="Calibri" w:hAnsi="Calibri"/>
                <w:b/>
                <w:sz w:val="18"/>
              </w:rPr>
              <w:t>Identity</w:t>
            </w:r>
          </w:p>
        </w:tc>
        <w:tc>
          <w:tcPr>
            <w:tcW w:type="dxa" w:w="7260"/>
            <w:tcMar>
              <w:top w:w="80" w:type="dxa"/>
              <w:start w:w="120" w:type="dxa"/>
              <w:bottom w:w="80" w:type="dxa"/>
              <w:end w:w="120" w:type="dxa"/>
            </w:tcMar>
            <w:vAlign w:val="center"/>
          </w:tcPr>
          <w:p>
            <w:pPr>
              <w:spacing w:after="0"/>
            </w:pPr>
            <w:r>
              <w:rPr>
                <w:rFonts w:ascii="Calibri" w:hAnsi="Calibri"/>
                <w:sz w:val="18"/>
              </w:rPr>
              <w:t>Okta may remain workforce identity source; Microsoft Entra ID is the Microsoft cloud control plane.</w:t>
            </w:r>
          </w:p>
        </w:tc>
      </w:tr>
      <w:tr>
        <w:tc>
          <w:tcPr>
            <w:tcW w:type="dxa" w:w="2100"/>
            <w:tcMar>
              <w:top w:w="80" w:type="dxa"/>
              <w:start w:w="120" w:type="dxa"/>
              <w:bottom w:w="80" w:type="dxa"/>
              <w:end w:w="120" w:type="dxa"/>
            </w:tcMar>
            <w:vAlign w:val="center"/>
          </w:tcPr>
          <w:p>
            <w:pPr>
              <w:spacing w:after="0"/>
            </w:pPr>
            <w:r>
              <w:rPr>
                <w:rFonts w:ascii="Calibri" w:hAnsi="Calibri"/>
                <w:b/>
                <w:sz w:val="18"/>
              </w:rPr>
              <w:t>Rollout</w:t>
            </w:r>
          </w:p>
        </w:tc>
        <w:tc>
          <w:tcPr>
            <w:tcW w:type="dxa" w:w="7260"/>
            <w:tcMar>
              <w:top w:w="80" w:type="dxa"/>
              <w:start w:w="120" w:type="dxa"/>
              <w:bottom w:w="80" w:type="dxa"/>
              <w:end w:w="120" w:type="dxa"/>
            </w:tcMar>
            <w:vAlign w:val="center"/>
          </w:tcPr>
          <w:p>
            <w:pPr>
              <w:spacing w:after="0"/>
            </w:pPr>
            <w:r>
              <w:rPr>
                <w:rFonts w:ascii="Calibri" w:hAnsi="Calibri"/>
                <w:sz w:val="18"/>
              </w:rPr>
              <w:t>Controls are introduced through pilot groups and rings before broad enforcement.</w:t>
            </w:r>
          </w:p>
        </w:tc>
      </w:tr>
      <w:tr>
        <w:tc>
          <w:tcPr>
            <w:tcW w:type="dxa" w:w="2100"/>
            <w:tcMar>
              <w:top w:w="80" w:type="dxa"/>
              <w:start w:w="120" w:type="dxa"/>
              <w:bottom w:w="80" w:type="dxa"/>
              <w:end w:w="120" w:type="dxa"/>
            </w:tcMar>
            <w:vAlign w:val="center"/>
          </w:tcPr>
          <w:p>
            <w:pPr>
              <w:spacing w:after="0"/>
            </w:pPr>
            <w:r>
              <w:rPr>
                <w:rFonts w:ascii="Calibri" w:hAnsi="Calibri"/>
                <w:b/>
                <w:sz w:val="18"/>
              </w:rPr>
              <w:t>Safety</w:t>
            </w:r>
          </w:p>
        </w:tc>
        <w:tc>
          <w:tcPr>
            <w:tcW w:type="dxa" w:w="7260"/>
            <w:tcMar>
              <w:top w:w="80" w:type="dxa"/>
              <w:start w:w="120" w:type="dxa"/>
              <w:bottom w:w="80" w:type="dxa"/>
              <w:end w:w="120" w:type="dxa"/>
            </w:tcMar>
            <w:vAlign w:val="center"/>
          </w:tcPr>
          <w:p>
            <w:pPr>
              <w:spacing w:after="0"/>
            </w:pPr>
            <w:r>
              <w:rPr>
                <w:rFonts w:ascii="Calibri" w:hAnsi="Calibri"/>
                <w:sz w:val="18"/>
              </w:rPr>
              <w:t>Break-glass accounts and rollback plans exist before Conditional Access or federation changes.</w:t>
            </w:r>
          </w:p>
        </w:tc>
      </w:tr>
    </w:tbl>
    <w:p>
      <w:pPr>
        <w:spacing w:after="80"/>
      </w:pPr>
    </w:p>
    <w:p>
      <w:pPr>
        <w:pStyle w:val="Heading1"/>
      </w:pPr>
      <w:r>
        <w:t>3. What I Would Use to Initiate the Monster</w:t>
      </w:r>
    </w:p>
    <w:p>
      <w:pPr>
        <w:spacing w:after="120" w:before="0" w:line="264" w:lineRule="auto"/>
      </w:pPr>
      <w:r>
        <w:rPr>
          <w:rFonts w:ascii="Calibri" w:hAnsi="Calibri"/>
          <w:b w:val="0"/>
          <w:i w:val="0"/>
        </w:rPr>
        <w:t>I would start with a controlled admin workstation or secure pipeline runner. The tooling must be installed before deployment begins.</w:t>
      </w:r>
    </w:p>
    <w:tbl>
      <w:tblPr>
        <w:tblStyle w:val="TableGrid"/>
        <w:tblW w:type="dxa" w:w="9360"/>
        <w:tblLayout w:type="fixed"/>
        <w:tblLook w:firstColumn="1" w:firstRow="1" w:lastColumn="0" w:lastRow="0" w:noHBand="0" w:noVBand="1" w:val="04A0"/>
        <w:jc w:val="center"/>
        <w:tblInd w:type="dxa" w:w="120"/>
      </w:tblPr>
      <w:tblGrid>
        <w:gridCol w:w="1650"/>
        <w:gridCol w:w="3250"/>
        <w:gridCol w:w="4460"/>
      </w:tblGrid>
      <w:tr>
        <w:tc>
          <w:tcPr>
            <w:tcW w:type="dxa" w:w="1650"/>
            <w:vAlign w:val="center"/>
            <w:tcMar>
              <w:top w:w="80" w:type="dxa"/>
              <w:start w:w="120" w:type="dxa"/>
              <w:bottom w:w="80" w:type="dxa"/>
              <w:end w:w="120" w:type="dxa"/>
            </w:tcMar>
            <w:shd w:fill="F2F4F7"/>
          </w:tcPr>
          <w:p>
            <w:pPr>
              <w:jc w:val="center"/>
            </w:pPr>
            <w:r>
              <w:rPr>
                <w:rFonts w:ascii="Calibri" w:hAnsi="Calibri"/>
                <w:b/>
                <w:color w:val="0B2545"/>
                <w:sz w:val="17"/>
              </w:rPr>
              <w:t>Tooling Area</w:t>
            </w:r>
          </w:p>
        </w:tc>
        <w:tc>
          <w:tcPr>
            <w:tcW w:type="dxa" w:w="3250"/>
            <w:vAlign w:val="center"/>
            <w:tcMar>
              <w:top w:w="80" w:type="dxa"/>
              <w:start w:w="120" w:type="dxa"/>
              <w:bottom w:w="80" w:type="dxa"/>
              <w:end w:w="120" w:type="dxa"/>
            </w:tcMar>
            <w:shd w:fill="F2F4F7"/>
          </w:tcPr>
          <w:p>
            <w:pPr>
              <w:jc w:val="center"/>
            </w:pPr>
            <w:r>
              <w:rPr>
                <w:rFonts w:ascii="Calibri" w:hAnsi="Calibri"/>
                <w:b/>
                <w:color w:val="0B2545"/>
                <w:sz w:val="17"/>
              </w:rPr>
              <w:t>Required Tools</w:t>
            </w:r>
          </w:p>
        </w:tc>
        <w:tc>
          <w:tcPr>
            <w:tcW w:type="dxa" w:w="4460"/>
            <w:vAlign w:val="center"/>
            <w:tcMar>
              <w:top w:w="80" w:type="dxa"/>
              <w:start w:w="120" w:type="dxa"/>
              <w:bottom w:w="80" w:type="dxa"/>
              <w:end w:w="120" w:type="dxa"/>
            </w:tcMar>
            <w:shd w:fill="F2F4F7"/>
          </w:tcPr>
          <w:p>
            <w:pPr>
              <w:jc w:val="center"/>
            </w:pPr>
            <w:r>
              <w:rPr>
                <w:rFonts w:ascii="Calibri" w:hAnsi="Calibri"/>
                <w:b/>
                <w:color w:val="0B2545"/>
                <w:sz w:val="17"/>
              </w:rPr>
              <w:t>Purpose</w:t>
            </w:r>
          </w:p>
        </w:tc>
      </w:tr>
      <w:tr>
        <w:tc>
          <w:tcPr>
            <w:tcW w:type="dxa" w:w="1650"/>
            <w:tcMar>
              <w:top w:w="80" w:type="dxa"/>
              <w:start w:w="120" w:type="dxa"/>
              <w:bottom w:w="80" w:type="dxa"/>
              <w:end w:w="120" w:type="dxa"/>
            </w:tcMar>
            <w:vAlign w:val="center"/>
          </w:tcPr>
          <w:p>
            <w:pPr>
              <w:spacing w:after="0"/>
            </w:pPr>
            <w:r>
              <w:rPr>
                <w:rFonts w:ascii="Calibri" w:hAnsi="Calibri"/>
                <w:b/>
                <w:sz w:val="17"/>
              </w:rPr>
              <w:t>Source control</w:t>
            </w:r>
          </w:p>
        </w:tc>
        <w:tc>
          <w:tcPr>
            <w:tcW w:type="dxa" w:w="3250"/>
            <w:tcMar>
              <w:top w:w="80" w:type="dxa"/>
              <w:start w:w="120" w:type="dxa"/>
              <w:bottom w:w="80" w:type="dxa"/>
              <w:end w:w="120" w:type="dxa"/>
            </w:tcMar>
            <w:vAlign w:val="center"/>
          </w:tcPr>
          <w:p>
            <w:pPr>
              <w:spacing w:after="0"/>
            </w:pPr>
            <w:r>
              <w:rPr>
                <w:rFonts w:ascii="Calibri" w:hAnsi="Calibri"/>
                <w:sz w:val="17"/>
              </w:rPr>
              <w:t>Git, GitHub CLI or GitHub App, GitHub Actions</w:t>
            </w:r>
          </w:p>
        </w:tc>
        <w:tc>
          <w:tcPr>
            <w:tcW w:type="dxa" w:w="4460"/>
            <w:tcMar>
              <w:top w:w="80" w:type="dxa"/>
              <w:start w:w="120" w:type="dxa"/>
              <w:bottom w:w="80" w:type="dxa"/>
              <w:end w:w="120" w:type="dxa"/>
            </w:tcMar>
            <w:vAlign w:val="center"/>
          </w:tcPr>
          <w:p>
            <w:pPr>
              <w:spacing w:after="0"/>
            </w:pPr>
            <w:r>
              <w:rPr>
                <w:rFonts w:ascii="Calibri" w:hAnsi="Calibri"/>
                <w:sz w:val="17"/>
              </w:rPr>
              <w:t>Version control, pull requests, approvals, automation.</w:t>
            </w:r>
          </w:p>
        </w:tc>
      </w:tr>
      <w:tr>
        <w:tc>
          <w:tcPr>
            <w:tcW w:type="dxa" w:w="1650"/>
            <w:tcMar>
              <w:top w:w="80" w:type="dxa"/>
              <w:start w:w="120" w:type="dxa"/>
              <w:bottom w:w="80" w:type="dxa"/>
              <w:end w:w="120" w:type="dxa"/>
            </w:tcMar>
            <w:vAlign w:val="center"/>
          </w:tcPr>
          <w:p>
            <w:pPr>
              <w:spacing w:after="0"/>
            </w:pPr>
            <w:r>
              <w:rPr>
                <w:rFonts w:ascii="Calibri" w:hAnsi="Calibri"/>
                <w:b/>
                <w:sz w:val="17"/>
              </w:rPr>
              <w:t>Azure IaC</w:t>
            </w:r>
          </w:p>
        </w:tc>
        <w:tc>
          <w:tcPr>
            <w:tcW w:type="dxa" w:w="3250"/>
            <w:tcMar>
              <w:top w:w="80" w:type="dxa"/>
              <w:start w:w="120" w:type="dxa"/>
              <w:bottom w:w="80" w:type="dxa"/>
              <w:end w:w="120" w:type="dxa"/>
            </w:tcMar>
            <w:vAlign w:val="center"/>
          </w:tcPr>
          <w:p>
            <w:pPr>
              <w:spacing w:after="0"/>
            </w:pPr>
            <w:r>
              <w:rPr>
                <w:rFonts w:ascii="Calibri" w:hAnsi="Calibri"/>
                <w:sz w:val="17"/>
              </w:rPr>
              <w:t>Terraform, Azure CLI, Bicep CLI, Az PowerShell</w:t>
            </w:r>
          </w:p>
        </w:tc>
        <w:tc>
          <w:tcPr>
            <w:tcW w:type="dxa" w:w="4460"/>
            <w:tcMar>
              <w:top w:w="80" w:type="dxa"/>
              <w:start w:w="120" w:type="dxa"/>
              <w:bottom w:w="80" w:type="dxa"/>
              <w:end w:w="120" w:type="dxa"/>
            </w:tcMar>
            <w:vAlign w:val="center"/>
          </w:tcPr>
          <w:p>
            <w:pPr>
              <w:spacing w:after="0"/>
            </w:pPr>
            <w:r>
              <w:rPr>
                <w:rFonts w:ascii="Calibri" w:hAnsi="Calibri"/>
                <w:sz w:val="17"/>
              </w:rPr>
              <w:t>Landing zones, policy, RBAC, network, AKS, Defender, logging.</w:t>
            </w:r>
          </w:p>
        </w:tc>
      </w:tr>
      <w:tr>
        <w:tc>
          <w:tcPr>
            <w:tcW w:type="dxa" w:w="1650"/>
            <w:tcMar>
              <w:top w:w="80" w:type="dxa"/>
              <w:start w:w="120" w:type="dxa"/>
              <w:bottom w:w="80" w:type="dxa"/>
              <w:end w:w="120" w:type="dxa"/>
            </w:tcMar>
            <w:vAlign w:val="center"/>
          </w:tcPr>
          <w:p>
            <w:pPr>
              <w:spacing w:after="0"/>
            </w:pPr>
            <w:r>
              <w:rPr>
                <w:rFonts w:ascii="Calibri" w:hAnsi="Calibri"/>
                <w:b/>
                <w:sz w:val="17"/>
              </w:rPr>
              <w:t>Microsoft 365</w:t>
            </w:r>
          </w:p>
        </w:tc>
        <w:tc>
          <w:tcPr>
            <w:tcW w:type="dxa" w:w="3250"/>
            <w:tcMar>
              <w:top w:w="80" w:type="dxa"/>
              <w:start w:w="120" w:type="dxa"/>
              <w:bottom w:w="80" w:type="dxa"/>
              <w:end w:w="120" w:type="dxa"/>
            </w:tcMar>
            <w:vAlign w:val="center"/>
          </w:tcPr>
          <w:p>
            <w:pPr>
              <w:spacing w:after="0"/>
            </w:pPr>
            <w:r>
              <w:rPr>
                <w:rFonts w:ascii="Calibri" w:hAnsi="Calibri"/>
                <w:sz w:val="17"/>
              </w:rPr>
              <w:t>Microsoft Graph PowerShell, ExchangeOnlineManagement, MicrosoftTeams, PnP.PowerShell</w:t>
            </w:r>
          </w:p>
        </w:tc>
        <w:tc>
          <w:tcPr>
            <w:tcW w:type="dxa" w:w="4460"/>
            <w:tcMar>
              <w:top w:w="80" w:type="dxa"/>
              <w:start w:w="120" w:type="dxa"/>
              <w:bottom w:w="80" w:type="dxa"/>
              <w:end w:w="120" w:type="dxa"/>
            </w:tcMar>
            <w:vAlign w:val="center"/>
          </w:tcPr>
          <w:p>
            <w:pPr>
              <w:spacing w:after="0"/>
            </w:pPr>
            <w:r>
              <w:rPr>
                <w:rFonts w:ascii="Calibri" w:hAnsi="Calibri"/>
                <w:sz w:val="17"/>
              </w:rPr>
              <w:t>M365, Exchange, Teams, SharePoint, Intune, Entra automation.</w:t>
            </w:r>
          </w:p>
        </w:tc>
      </w:tr>
      <w:tr>
        <w:tc>
          <w:tcPr>
            <w:tcW w:type="dxa" w:w="1650"/>
            <w:tcMar>
              <w:top w:w="80" w:type="dxa"/>
              <w:start w:w="120" w:type="dxa"/>
              <w:bottom w:w="80" w:type="dxa"/>
              <w:end w:w="120" w:type="dxa"/>
            </w:tcMar>
            <w:vAlign w:val="center"/>
          </w:tcPr>
          <w:p>
            <w:pPr>
              <w:spacing w:after="0"/>
            </w:pPr>
            <w:r>
              <w:rPr>
                <w:rFonts w:ascii="Calibri" w:hAnsi="Calibri"/>
                <w:b/>
                <w:sz w:val="17"/>
              </w:rPr>
              <w:t>Security</w:t>
            </w:r>
          </w:p>
        </w:tc>
        <w:tc>
          <w:tcPr>
            <w:tcW w:type="dxa" w:w="3250"/>
            <w:tcMar>
              <w:top w:w="80" w:type="dxa"/>
              <w:start w:w="120" w:type="dxa"/>
              <w:bottom w:w="80" w:type="dxa"/>
              <w:end w:w="120" w:type="dxa"/>
            </w:tcMar>
            <w:vAlign w:val="center"/>
          </w:tcPr>
          <w:p>
            <w:pPr>
              <w:spacing w:after="0"/>
            </w:pPr>
            <w:r>
              <w:rPr>
                <w:rFonts w:ascii="Calibri" w:hAnsi="Calibri"/>
                <w:sz w:val="17"/>
              </w:rPr>
              <w:t>Defender portal access, Sentinel/KQL, Az.Security, Graph Security</w:t>
            </w:r>
          </w:p>
        </w:tc>
        <w:tc>
          <w:tcPr>
            <w:tcW w:type="dxa" w:w="4460"/>
            <w:tcMar>
              <w:top w:w="80" w:type="dxa"/>
              <w:start w:w="120" w:type="dxa"/>
              <w:bottom w:w="80" w:type="dxa"/>
              <w:end w:w="120" w:type="dxa"/>
            </w:tcMar>
            <w:vAlign w:val="center"/>
          </w:tcPr>
          <w:p>
            <w:pPr>
              <w:spacing w:after="0"/>
            </w:pPr>
            <w:r>
              <w:rPr>
                <w:rFonts w:ascii="Calibri" w:hAnsi="Calibri"/>
                <w:sz w:val="17"/>
              </w:rPr>
              <w:t>Security posture, alerts, detection, investigation, response.</w:t>
            </w:r>
          </w:p>
        </w:tc>
      </w:tr>
      <w:tr>
        <w:tc>
          <w:tcPr>
            <w:tcW w:type="dxa" w:w="1650"/>
            <w:tcMar>
              <w:top w:w="80" w:type="dxa"/>
              <w:start w:w="120" w:type="dxa"/>
              <w:bottom w:w="80" w:type="dxa"/>
              <w:end w:w="120" w:type="dxa"/>
            </w:tcMar>
            <w:vAlign w:val="center"/>
          </w:tcPr>
          <w:p>
            <w:pPr>
              <w:spacing w:after="0"/>
            </w:pPr>
            <w:r>
              <w:rPr>
                <w:rFonts w:ascii="Calibri" w:hAnsi="Calibri"/>
                <w:b/>
                <w:sz w:val="17"/>
              </w:rPr>
              <w:t>Containers</w:t>
            </w:r>
          </w:p>
        </w:tc>
        <w:tc>
          <w:tcPr>
            <w:tcW w:type="dxa" w:w="3250"/>
            <w:tcMar>
              <w:top w:w="80" w:type="dxa"/>
              <w:start w:w="120" w:type="dxa"/>
              <w:bottom w:w="80" w:type="dxa"/>
              <w:end w:w="120" w:type="dxa"/>
            </w:tcMar>
            <w:vAlign w:val="center"/>
          </w:tcPr>
          <w:p>
            <w:pPr>
              <w:spacing w:after="0"/>
            </w:pPr>
            <w:r>
              <w:rPr>
                <w:rFonts w:ascii="Calibri" w:hAnsi="Calibri"/>
                <w:sz w:val="17"/>
              </w:rPr>
              <w:t>Docker, kubectl, Helm, Kustomize, KEDA tooling</w:t>
            </w:r>
          </w:p>
        </w:tc>
        <w:tc>
          <w:tcPr>
            <w:tcW w:type="dxa" w:w="4460"/>
            <w:tcMar>
              <w:top w:w="80" w:type="dxa"/>
              <w:start w:w="120" w:type="dxa"/>
              <w:bottom w:w="80" w:type="dxa"/>
              <w:end w:w="120" w:type="dxa"/>
            </w:tcMar>
            <w:vAlign w:val="center"/>
          </w:tcPr>
          <w:p>
            <w:pPr>
              <w:spacing w:after="0"/>
            </w:pPr>
            <w:r>
              <w:rPr>
                <w:rFonts w:ascii="Calibri" w:hAnsi="Calibri"/>
                <w:sz w:val="17"/>
              </w:rPr>
              <w:t>Build, deploy, scale, and operate AKS workloads.</w:t>
            </w:r>
          </w:p>
        </w:tc>
      </w:tr>
      <w:tr>
        <w:tc>
          <w:tcPr>
            <w:tcW w:type="dxa" w:w="1650"/>
            <w:tcMar>
              <w:top w:w="80" w:type="dxa"/>
              <w:start w:w="120" w:type="dxa"/>
              <w:bottom w:w="80" w:type="dxa"/>
              <w:end w:w="120" w:type="dxa"/>
            </w:tcMar>
            <w:vAlign w:val="center"/>
          </w:tcPr>
          <w:p>
            <w:pPr>
              <w:spacing w:after="0"/>
            </w:pPr>
            <w:r>
              <w:rPr>
                <w:rFonts w:ascii="Calibri" w:hAnsi="Calibri"/>
                <w:b/>
                <w:sz w:val="17"/>
              </w:rPr>
              <w:t>Quality gates</w:t>
            </w:r>
          </w:p>
        </w:tc>
        <w:tc>
          <w:tcPr>
            <w:tcW w:type="dxa" w:w="3250"/>
            <w:tcMar>
              <w:top w:w="80" w:type="dxa"/>
              <w:start w:w="120" w:type="dxa"/>
              <w:bottom w:w="80" w:type="dxa"/>
              <w:end w:w="120" w:type="dxa"/>
            </w:tcMar>
            <w:vAlign w:val="center"/>
          </w:tcPr>
          <w:p>
            <w:pPr>
              <w:spacing w:after="0"/>
            </w:pPr>
            <w:r>
              <w:rPr>
                <w:rFonts w:ascii="Calibri" w:hAnsi="Calibri"/>
                <w:sz w:val="17"/>
              </w:rPr>
              <w:t>TFLint, Checkov/tfsec, terraform-docs, secret scanning</w:t>
            </w:r>
          </w:p>
        </w:tc>
        <w:tc>
          <w:tcPr>
            <w:tcW w:type="dxa" w:w="4460"/>
            <w:tcMar>
              <w:top w:w="80" w:type="dxa"/>
              <w:start w:w="120" w:type="dxa"/>
              <w:bottom w:w="80" w:type="dxa"/>
              <w:end w:w="120" w:type="dxa"/>
            </w:tcMar>
            <w:vAlign w:val="center"/>
          </w:tcPr>
          <w:p>
            <w:pPr>
              <w:spacing w:after="0"/>
            </w:pPr>
            <w:r>
              <w:rPr>
                <w:rFonts w:ascii="Calibri" w:hAnsi="Calibri"/>
                <w:sz w:val="17"/>
              </w:rPr>
              <w:t>Prevent bad infrastructure from shipping.</w:t>
            </w:r>
          </w:p>
        </w:tc>
      </w:tr>
      <w:tr>
        <w:tc>
          <w:tcPr>
            <w:tcW w:type="dxa" w:w="1650"/>
            <w:tcMar>
              <w:top w:w="80" w:type="dxa"/>
              <w:start w:w="120" w:type="dxa"/>
              <w:bottom w:w="80" w:type="dxa"/>
              <w:end w:w="120" w:type="dxa"/>
            </w:tcMar>
            <w:vAlign w:val="center"/>
          </w:tcPr>
          <w:p>
            <w:pPr>
              <w:spacing w:after="0"/>
            </w:pPr>
            <w:r>
              <w:rPr>
                <w:rFonts w:ascii="Calibri" w:hAnsi="Calibri"/>
                <w:b/>
                <w:sz w:val="17"/>
              </w:rPr>
              <w:t>Documentation</w:t>
            </w:r>
          </w:p>
        </w:tc>
        <w:tc>
          <w:tcPr>
            <w:tcW w:type="dxa" w:w="3250"/>
            <w:tcMar>
              <w:top w:w="80" w:type="dxa"/>
              <w:start w:w="120" w:type="dxa"/>
              <w:bottom w:w="80" w:type="dxa"/>
              <w:end w:w="120" w:type="dxa"/>
            </w:tcMar>
            <w:vAlign w:val="center"/>
          </w:tcPr>
          <w:p>
            <w:pPr>
              <w:spacing w:after="0"/>
            </w:pPr>
            <w:r>
              <w:rPr>
                <w:rFonts w:ascii="Calibri" w:hAnsi="Calibri"/>
                <w:sz w:val="17"/>
              </w:rPr>
              <w:t>Word/Markdown repo docs, Mermaid, architecture decision records</w:t>
            </w:r>
          </w:p>
        </w:tc>
        <w:tc>
          <w:tcPr>
            <w:tcW w:type="dxa" w:w="4460"/>
            <w:tcMar>
              <w:top w:w="80" w:type="dxa"/>
              <w:start w:w="120" w:type="dxa"/>
              <w:bottom w:w="80" w:type="dxa"/>
              <w:end w:w="120" w:type="dxa"/>
            </w:tcMar>
            <w:vAlign w:val="center"/>
          </w:tcPr>
          <w:p>
            <w:pPr>
              <w:spacing w:after="0"/>
            </w:pPr>
            <w:r>
              <w:rPr>
                <w:rFonts w:ascii="Calibri" w:hAnsi="Calibri"/>
                <w:sz w:val="17"/>
              </w:rPr>
              <w:t>Make decisions traceable and reusable.</w:t>
            </w:r>
          </w:p>
        </w:tc>
      </w:tr>
    </w:tbl>
    <w:p>
      <w:pPr>
        <w:spacing w:after="80"/>
      </w:pPr>
    </w:p>
    <w:p>
      <w:pPr>
        <w:pStyle w:val="Heading1"/>
      </w:pPr>
      <w:r>
        <w:t>4. Access Model Needed</w:t>
      </w:r>
    </w:p>
    <w:p>
      <w:pPr>
        <w:spacing w:after="120" w:before="0" w:line="264" w:lineRule="auto"/>
      </w:pPr>
      <w:r>
        <w:rPr>
          <w:rFonts w:ascii="Calibri" w:hAnsi="Calibri"/>
          <w:b w:val="0"/>
          <w:i w:val="0"/>
        </w:rPr>
        <w:t>The lead does not need uncontrolled permanent Global Admin. The correct model is time-bound access with role separation and audit.</w:t>
      </w:r>
    </w:p>
    <w:tbl>
      <w:tblPr>
        <w:tblStyle w:val="TableGrid"/>
        <w:tblW w:type="dxa" w:w="9360"/>
        <w:tblLayout w:type="fixed"/>
        <w:tblLook w:firstColumn="1" w:firstRow="1" w:lastColumn="0" w:lastRow="0" w:noHBand="0" w:noVBand="1" w:val="04A0"/>
        <w:jc w:val="center"/>
        <w:tblInd w:type="dxa" w:w="120"/>
      </w:tblPr>
      <w:tblGrid>
        <w:gridCol w:w="1650"/>
        <w:gridCol w:w="3850"/>
        <w:gridCol w:w="3860"/>
      </w:tblGrid>
      <w:tr>
        <w:tc>
          <w:tcPr>
            <w:tcW w:type="dxa" w:w="1650"/>
            <w:vAlign w:val="center"/>
            <w:tcMar>
              <w:top w:w="80" w:type="dxa"/>
              <w:start w:w="120" w:type="dxa"/>
              <w:bottom w:w="80" w:type="dxa"/>
              <w:end w:w="120" w:type="dxa"/>
            </w:tcMar>
            <w:shd w:fill="F2F4F7"/>
          </w:tcPr>
          <w:p>
            <w:pPr>
              <w:jc w:val="center"/>
            </w:pPr>
            <w:r>
              <w:rPr>
                <w:rFonts w:ascii="Calibri" w:hAnsi="Calibri"/>
                <w:b/>
                <w:color w:val="0B2545"/>
                <w:sz w:val="17"/>
              </w:rPr>
              <w:t>Platform</w:t>
            </w:r>
          </w:p>
        </w:tc>
        <w:tc>
          <w:tcPr>
            <w:tcW w:type="dxa" w:w="3850"/>
            <w:vAlign w:val="center"/>
            <w:tcMar>
              <w:top w:w="80" w:type="dxa"/>
              <w:start w:w="120" w:type="dxa"/>
              <w:bottom w:w="80" w:type="dxa"/>
              <w:end w:w="120" w:type="dxa"/>
            </w:tcMar>
            <w:shd w:fill="F2F4F7"/>
          </w:tcPr>
          <w:p>
            <w:pPr>
              <w:jc w:val="center"/>
            </w:pPr>
            <w:r>
              <w:rPr>
                <w:rFonts w:ascii="Calibri" w:hAnsi="Calibri"/>
                <w:b/>
                <w:color w:val="0B2545"/>
                <w:sz w:val="17"/>
              </w:rPr>
              <w:t>Minimum Practical Role</w:t>
            </w:r>
          </w:p>
        </w:tc>
        <w:tc>
          <w:tcPr>
            <w:tcW w:type="dxa" w:w="3860"/>
            <w:vAlign w:val="center"/>
            <w:tcMar>
              <w:top w:w="80" w:type="dxa"/>
              <w:start w:w="120" w:type="dxa"/>
              <w:bottom w:w="80" w:type="dxa"/>
              <w:end w:w="120" w:type="dxa"/>
            </w:tcMar>
            <w:shd w:fill="F2F4F7"/>
          </w:tcPr>
          <w:p>
            <w:pPr>
              <w:jc w:val="center"/>
            </w:pPr>
            <w:r>
              <w:rPr>
                <w:rFonts w:ascii="Calibri" w:hAnsi="Calibri"/>
                <w:b/>
                <w:color w:val="0B2545"/>
                <w:sz w:val="17"/>
              </w:rPr>
              <w:t>Why Needed</w:t>
            </w:r>
          </w:p>
        </w:tc>
      </w:tr>
      <w:tr>
        <w:tc>
          <w:tcPr>
            <w:tcW w:type="dxa" w:w="1650"/>
            <w:tcMar>
              <w:top w:w="80" w:type="dxa"/>
              <w:start w:w="120" w:type="dxa"/>
              <w:bottom w:w="80" w:type="dxa"/>
              <w:end w:w="120" w:type="dxa"/>
            </w:tcMar>
            <w:vAlign w:val="center"/>
          </w:tcPr>
          <w:p>
            <w:pPr>
              <w:spacing w:after="0"/>
            </w:pPr>
            <w:r>
              <w:rPr>
                <w:rFonts w:ascii="Calibri" w:hAnsi="Calibri"/>
                <w:b/>
                <w:sz w:val="17"/>
              </w:rPr>
              <w:t>Azure</w:t>
            </w:r>
          </w:p>
        </w:tc>
        <w:tc>
          <w:tcPr>
            <w:tcW w:type="dxa" w:w="3850"/>
            <w:tcMar>
              <w:top w:w="80" w:type="dxa"/>
              <w:start w:w="120" w:type="dxa"/>
              <w:bottom w:w="80" w:type="dxa"/>
              <w:end w:w="120" w:type="dxa"/>
            </w:tcMar>
            <w:vAlign w:val="center"/>
          </w:tcPr>
          <w:p>
            <w:pPr>
              <w:spacing w:after="0"/>
            </w:pPr>
            <w:r>
              <w:rPr>
                <w:rFonts w:ascii="Calibri" w:hAnsi="Calibri"/>
                <w:sz w:val="17"/>
              </w:rPr>
              <w:t>Owner/User Access Administrator via PIM for bootstrap; Contributor/Policy Contributor after baseline</w:t>
            </w:r>
          </w:p>
        </w:tc>
        <w:tc>
          <w:tcPr>
            <w:tcW w:type="dxa" w:w="3860"/>
            <w:tcMar>
              <w:top w:w="80" w:type="dxa"/>
              <w:start w:w="120" w:type="dxa"/>
              <w:bottom w:w="80" w:type="dxa"/>
              <w:end w:w="120" w:type="dxa"/>
            </w:tcMar>
            <w:vAlign w:val="center"/>
          </w:tcPr>
          <w:p>
            <w:pPr>
              <w:spacing w:after="0"/>
            </w:pPr>
            <w:r>
              <w:rPr>
                <w:rFonts w:ascii="Calibri" w:hAnsi="Calibri"/>
                <w:sz w:val="17"/>
              </w:rPr>
              <w:t>Management groups, policy, RBAC, subscriptions, platform services.</w:t>
            </w:r>
          </w:p>
        </w:tc>
      </w:tr>
      <w:tr>
        <w:tc>
          <w:tcPr>
            <w:tcW w:type="dxa" w:w="1650"/>
            <w:tcMar>
              <w:top w:w="80" w:type="dxa"/>
              <w:start w:w="120" w:type="dxa"/>
              <w:bottom w:w="80" w:type="dxa"/>
              <w:end w:w="120" w:type="dxa"/>
            </w:tcMar>
            <w:vAlign w:val="center"/>
          </w:tcPr>
          <w:p>
            <w:pPr>
              <w:spacing w:after="0"/>
            </w:pPr>
            <w:r>
              <w:rPr>
                <w:rFonts w:ascii="Calibri" w:hAnsi="Calibri"/>
                <w:b/>
                <w:sz w:val="17"/>
              </w:rPr>
              <w:t>Entra ID</w:t>
            </w:r>
          </w:p>
        </w:tc>
        <w:tc>
          <w:tcPr>
            <w:tcW w:type="dxa" w:w="3850"/>
            <w:tcMar>
              <w:top w:w="80" w:type="dxa"/>
              <w:start w:w="120" w:type="dxa"/>
              <w:bottom w:w="80" w:type="dxa"/>
              <w:end w:w="120" w:type="dxa"/>
            </w:tcMar>
            <w:vAlign w:val="center"/>
          </w:tcPr>
          <w:p>
            <w:pPr>
              <w:spacing w:after="0"/>
            </w:pPr>
            <w:r>
              <w:rPr>
                <w:rFonts w:ascii="Calibri" w:hAnsi="Calibri"/>
                <w:sz w:val="17"/>
              </w:rPr>
              <w:t>Global Reader, Privileged Role Admin, Conditional Access Admin, Groups Admin as needed</w:t>
            </w:r>
          </w:p>
        </w:tc>
        <w:tc>
          <w:tcPr>
            <w:tcW w:type="dxa" w:w="3860"/>
            <w:tcMar>
              <w:top w:w="80" w:type="dxa"/>
              <w:start w:w="120" w:type="dxa"/>
              <w:bottom w:w="80" w:type="dxa"/>
              <w:end w:w="120" w:type="dxa"/>
            </w:tcMar>
            <w:vAlign w:val="center"/>
          </w:tcPr>
          <w:p>
            <w:pPr>
              <w:spacing w:after="0"/>
            </w:pPr>
            <w:r>
              <w:rPr>
                <w:rFonts w:ascii="Calibri" w:hAnsi="Calibri"/>
                <w:sz w:val="17"/>
              </w:rPr>
              <w:t>Identity, PIM, groups, CA, access reviews.</w:t>
            </w:r>
          </w:p>
        </w:tc>
      </w:tr>
      <w:tr>
        <w:tc>
          <w:tcPr>
            <w:tcW w:type="dxa" w:w="1650"/>
            <w:tcMar>
              <w:top w:w="80" w:type="dxa"/>
              <w:start w:w="120" w:type="dxa"/>
              <w:bottom w:w="80" w:type="dxa"/>
              <w:end w:w="120" w:type="dxa"/>
            </w:tcMar>
            <w:vAlign w:val="center"/>
          </w:tcPr>
          <w:p>
            <w:pPr>
              <w:spacing w:after="0"/>
            </w:pPr>
            <w:r>
              <w:rPr>
                <w:rFonts w:ascii="Calibri" w:hAnsi="Calibri"/>
                <w:b/>
                <w:sz w:val="17"/>
              </w:rPr>
              <w:t>Microsoft 365</w:t>
            </w:r>
          </w:p>
        </w:tc>
        <w:tc>
          <w:tcPr>
            <w:tcW w:type="dxa" w:w="3850"/>
            <w:tcMar>
              <w:top w:w="80" w:type="dxa"/>
              <w:start w:w="120" w:type="dxa"/>
              <w:bottom w:w="80" w:type="dxa"/>
              <w:end w:w="120" w:type="dxa"/>
            </w:tcMar>
            <w:vAlign w:val="center"/>
          </w:tcPr>
          <w:p>
            <w:pPr>
              <w:spacing w:after="0"/>
            </w:pPr>
            <w:r>
              <w:rPr>
                <w:rFonts w:ascii="Calibri" w:hAnsi="Calibri"/>
                <w:sz w:val="17"/>
              </w:rPr>
              <w:t>Global Reader plus scoped Exchange/Teams/SharePoint/Intune roles</w:t>
            </w:r>
          </w:p>
        </w:tc>
        <w:tc>
          <w:tcPr>
            <w:tcW w:type="dxa" w:w="3860"/>
            <w:tcMar>
              <w:top w:w="80" w:type="dxa"/>
              <w:start w:w="120" w:type="dxa"/>
              <w:bottom w:w="80" w:type="dxa"/>
              <w:end w:w="120" w:type="dxa"/>
            </w:tcMar>
            <w:vAlign w:val="center"/>
          </w:tcPr>
          <w:p>
            <w:pPr>
              <w:spacing w:after="0"/>
            </w:pPr>
            <w:r>
              <w:rPr>
                <w:rFonts w:ascii="Calibri" w:hAnsi="Calibri"/>
                <w:sz w:val="17"/>
              </w:rPr>
              <w:t>Assess and configure M365 workloads.</w:t>
            </w:r>
          </w:p>
        </w:tc>
      </w:tr>
      <w:tr>
        <w:tc>
          <w:tcPr>
            <w:tcW w:type="dxa" w:w="1650"/>
            <w:tcMar>
              <w:top w:w="80" w:type="dxa"/>
              <w:start w:w="120" w:type="dxa"/>
              <w:bottom w:w="80" w:type="dxa"/>
              <w:end w:w="120" w:type="dxa"/>
            </w:tcMar>
            <w:vAlign w:val="center"/>
          </w:tcPr>
          <w:p>
            <w:pPr>
              <w:spacing w:after="0"/>
            </w:pPr>
            <w:r>
              <w:rPr>
                <w:rFonts w:ascii="Calibri" w:hAnsi="Calibri"/>
                <w:b/>
                <w:sz w:val="17"/>
              </w:rPr>
              <w:t>Security</w:t>
            </w:r>
          </w:p>
        </w:tc>
        <w:tc>
          <w:tcPr>
            <w:tcW w:type="dxa" w:w="3850"/>
            <w:tcMar>
              <w:top w:w="80" w:type="dxa"/>
              <w:start w:w="120" w:type="dxa"/>
              <w:bottom w:w="80" w:type="dxa"/>
              <w:end w:w="120" w:type="dxa"/>
            </w:tcMar>
            <w:vAlign w:val="center"/>
          </w:tcPr>
          <w:p>
            <w:pPr>
              <w:spacing w:after="0"/>
            </w:pPr>
            <w:r>
              <w:rPr>
                <w:rFonts w:ascii="Calibri" w:hAnsi="Calibri"/>
                <w:sz w:val="17"/>
              </w:rPr>
              <w:t>Security Admin, Defender Admin, Sentinel Contributor</w:t>
            </w:r>
          </w:p>
        </w:tc>
        <w:tc>
          <w:tcPr>
            <w:tcW w:type="dxa" w:w="3860"/>
            <w:tcMar>
              <w:top w:w="80" w:type="dxa"/>
              <w:start w:w="120" w:type="dxa"/>
              <w:bottom w:w="80" w:type="dxa"/>
              <w:end w:w="120" w:type="dxa"/>
            </w:tcMar>
            <w:vAlign w:val="center"/>
          </w:tcPr>
          <w:p>
            <w:pPr>
              <w:spacing w:after="0"/>
            </w:pPr>
            <w:r>
              <w:rPr>
                <w:rFonts w:ascii="Calibri" w:hAnsi="Calibri"/>
                <w:sz w:val="17"/>
              </w:rPr>
              <w:t>Defender plans, alerts, Sentinel connectors, SOC workflows.</w:t>
            </w:r>
          </w:p>
        </w:tc>
      </w:tr>
      <w:tr>
        <w:tc>
          <w:tcPr>
            <w:tcW w:type="dxa" w:w="1650"/>
            <w:tcMar>
              <w:top w:w="80" w:type="dxa"/>
              <w:start w:w="120" w:type="dxa"/>
              <w:bottom w:w="80" w:type="dxa"/>
              <w:end w:w="120" w:type="dxa"/>
            </w:tcMar>
            <w:vAlign w:val="center"/>
          </w:tcPr>
          <w:p>
            <w:pPr>
              <w:spacing w:after="0"/>
            </w:pPr>
            <w:r>
              <w:rPr>
                <w:rFonts w:ascii="Calibri" w:hAnsi="Calibri"/>
                <w:b/>
                <w:sz w:val="17"/>
              </w:rPr>
              <w:t>GitHub</w:t>
            </w:r>
          </w:p>
        </w:tc>
        <w:tc>
          <w:tcPr>
            <w:tcW w:type="dxa" w:w="3850"/>
            <w:tcMar>
              <w:top w:w="80" w:type="dxa"/>
              <w:start w:w="120" w:type="dxa"/>
              <w:bottom w:w="80" w:type="dxa"/>
              <w:end w:w="120" w:type="dxa"/>
            </w:tcMar>
            <w:vAlign w:val="center"/>
          </w:tcPr>
          <w:p>
            <w:pPr>
              <w:spacing w:after="0"/>
            </w:pPr>
            <w:r>
              <w:rPr>
                <w:rFonts w:ascii="Calibri" w:hAnsi="Calibri"/>
                <w:sz w:val="17"/>
              </w:rPr>
              <w:t>Repo admin or maintainer plus environment admin</w:t>
            </w:r>
          </w:p>
        </w:tc>
        <w:tc>
          <w:tcPr>
            <w:tcW w:type="dxa" w:w="3860"/>
            <w:tcMar>
              <w:top w:w="80" w:type="dxa"/>
              <w:start w:w="120" w:type="dxa"/>
              <w:bottom w:w="80" w:type="dxa"/>
              <w:end w:w="120" w:type="dxa"/>
            </w:tcMar>
            <w:vAlign w:val="center"/>
          </w:tcPr>
          <w:p>
            <w:pPr>
              <w:spacing w:after="0"/>
            </w:pPr>
            <w:r>
              <w:rPr>
                <w:rFonts w:ascii="Calibri" w:hAnsi="Calibri"/>
                <w:sz w:val="17"/>
              </w:rPr>
              <w:t>Pipelines, OIDC, environments, branch protection, secrets/variables.</w:t>
            </w:r>
          </w:p>
        </w:tc>
      </w:tr>
      <w:tr>
        <w:tc>
          <w:tcPr>
            <w:tcW w:type="dxa" w:w="1650"/>
            <w:tcMar>
              <w:top w:w="80" w:type="dxa"/>
              <w:start w:w="120" w:type="dxa"/>
              <w:bottom w:w="80" w:type="dxa"/>
              <w:end w:w="120" w:type="dxa"/>
            </w:tcMar>
            <w:vAlign w:val="center"/>
          </w:tcPr>
          <w:p>
            <w:pPr>
              <w:spacing w:after="0"/>
            </w:pPr>
            <w:r>
              <w:rPr>
                <w:rFonts w:ascii="Calibri" w:hAnsi="Calibri"/>
                <w:b/>
                <w:sz w:val="17"/>
              </w:rPr>
              <w:t>Okta</w:t>
            </w:r>
          </w:p>
        </w:tc>
        <w:tc>
          <w:tcPr>
            <w:tcW w:type="dxa" w:w="3850"/>
            <w:tcMar>
              <w:top w:w="80" w:type="dxa"/>
              <w:start w:w="120" w:type="dxa"/>
              <w:bottom w:w="80" w:type="dxa"/>
              <w:end w:w="120" w:type="dxa"/>
            </w:tcMar>
            <w:vAlign w:val="center"/>
          </w:tcPr>
          <w:p>
            <w:pPr>
              <w:spacing w:after="0"/>
            </w:pPr>
            <w:r>
              <w:rPr>
                <w:rFonts w:ascii="Calibri" w:hAnsi="Calibri"/>
                <w:sz w:val="17"/>
              </w:rPr>
              <w:t>Read access for assessment; app/provisioning admin for integration</w:t>
            </w:r>
          </w:p>
        </w:tc>
        <w:tc>
          <w:tcPr>
            <w:tcW w:type="dxa" w:w="3860"/>
            <w:tcMar>
              <w:top w:w="80" w:type="dxa"/>
              <w:start w:w="120" w:type="dxa"/>
              <w:bottom w:w="80" w:type="dxa"/>
              <w:end w:w="120" w:type="dxa"/>
            </w:tcMar>
            <w:vAlign w:val="center"/>
          </w:tcPr>
          <w:p>
            <w:pPr>
              <w:spacing w:after="0"/>
            </w:pPr>
            <w:r>
              <w:rPr>
                <w:rFonts w:ascii="Calibri" w:hAnsi="Calibri"/>
                <w:sz w:val="17"/>
              </w:rPr>
              <w:t>SCIM, federation, group sync, rollback planning.</w:t>
            </w:r>
          </w:p>
        </w:tc>
      </w:tr>
      <w:tr>
        <w:tc>
          <w:tcPr>
            <w:tcW w:type="dxa" w:w="1650"/>
            <w:tcMar>
              <w:top w:w="80" w:type="dxa"/>
              <w:start w:w="120" w:type="dxa"/>
              <w:bottom w:w="80" w:type="dxa"/>
              <w:end w:w="120" w:type="dxa"/>
            </w:tcMar>
            <w:vAlign w:val="center"/>
          </w:tcPr>
          <w:p>
            <w:pPr>
              <w:spacing w:after="0"/>
            </w:pPr>
            <w:r>
              <w:rPr>
                <w:rFonts w:ascii="Calibri" w:hAnsi="Calibri"/>
                <w:b/>
                <w:sz w:val="17"/>
              </w:rPr>
              <w:t>DNS/Certificates</w:t>
            </w:r>
          </w:p>
        </w:tc>
        <w:tc>
          <w:tcPr>
            <w:tcW w:type="dxa" w:w="3850"/>
            <w:tcMar>
              <w:top w:w="80" w:type="dxa"/>
              <w:start w:w="120" w:type="dxa"/>
              <w:bottom w:w="80" w:type="dxa"/>
              <w:end w:w="120" w:type="dxa"/>
            </w:tcMar>
            <w:vAlign w:val="center"/>
          </w:tcPr>
          <w:p>
            <w:pPr>
              <w:spacing w:after="0"/>
            </w:pPr>
            <w:r>
              <w:rPr>
                <w:rFonts w:ascii="Calibri" w:hAnsi="Calibri"/>
                <w:sz w:val="17"/>
              </w:rPr>
              <w:t>Scoped DNS and certificate lifecycle permissions</w:t>
            </w:r>
          </w:p>
        </w:tc>
        <w:tc>
          <w:tcPr>
            <w:tcW w:type="dxa" w:w="3860"/>
            <w:tcMar>
              <w:top w:w="80" w:type="dxa"/>
              <w:start w:w="120" w:type="dxa"/>
              <w:bottom w:w="80" w:type="dxa"/>
              <w:end w:w="120" w:type="dxa"/>
            </w:tcMar>
            <w:vAlign w:val="center"/>
          </w:tcPr>
          <w:p>
            <w:pPr>
              <w:spacing w:after="0"/>
            </w:pPr>
            <w:r>
              <w:rPr>
                <w:rFonts w:ascii="Calibri" w:hAnsi="Calibri"/>
                <w:sz w:val="17"/>
              </w:rPr>
              <w:t>Application ingress, AVD, private DNS, certificates.</w:t>
            </w:r>
          </w:p>
        </w:tc>
      </w:tr>
    </w:tbl>
    <w:p>
      <w:pPr>
        <w:spacing w:after="80"/>
      </w:pPr>
    </w:p>
    <w:p>
      <w:pPr>
        <w:pStyle w:val="Heading1"/>
      </w:pPr>
      <w:r>
        <w:t>5. Phase 0: Readiness and Safety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8E8"/>
          </w:tcPr>
          <w:p>
            <w:pPr>
              <w:spacing w:after="60"/>
            </w:pPr>
            <w:r>
              <w:rPr>
                <w:rFonts w:ascii="Calibri" w:hAnsi="Calibri"/>
                <w:b/>
                <w:color w:val="0B2545"/>
                <w:sz w:val="22"/>
              </w:rPr>
              <w:t>Do This Before Touching Enforcement</w:t>
            </w:r>
          </w:p>
          <w:p>
            <w:pPr>
              <w:spacing w:after="0"/>
            </w:pPr>
            <w:r>
              <w:rPr>
                <w:rFonts w:ascii="Calibri" w:hAnsi="Calibri"/>
                <w:color w:val="000000"/>
                <w:sz w:val="21"/>
              </w:rPr>
              <w:t>Create break-glass accounts, validate licensing, confirm domains, capture tenant state, set GitHub controls, and define pilot groups. A monster build without safety gates becomes a lockout machine.</w:t>
            </w:r>
          </w:p>
        </w:tc>
      </w:tr>
    </w:tbl>
    <w:p>
      <w:pPr>
        <w:spacing w:after="80"/>
      </w:pPr>
    </w:p>
    <w:p>
      <w:pPr>
        <w:pStyle w:val="ListNumber"/>
        <w:spacing w:after="80" w:line="280" w:lineRule="auto"/>
      </w:pPr>
      <w:r>
        <w:t>Confirm tenant ID, primary domains, licensing, subscriptions, regions, and compliance requirements.</w:t>
      </w:r>
    </w:p>
    <w:p>
      <w:pPr>
        <w:pStyle w:val="ListNumber"/>
        <w:spacing w:after="80" w:line="280" w:lineRule="auto"/>
      </w:pPr>
      <w:r>
        <w:t>Create or validate two cloud-only break-glass accounts with strong authentication and monitoring.</w:t>
      </w:r>
    </w:p>
    <w:p>
      <w:pPr>
        <w:pStyle w:val="ListNumber"/>
        <w:spacing w:after="80" w:line="280" w:lineRule="auto"/>
      </w:pPr>
      <w:r>
        <w:t>Create GitHub repository structure, branch protection, environments, approvals, and OIDC plan.</w:t>
      </w:r>
    </w:p>
    <w:p>
      <w:pPr>
        <w:pStyle w:val="ListNumber"/>
        <w:spacing w:after="80" w:line="280" w:lineRule="auto"/>
      </w:pPr>
      <w:r>
        <w:t>Define pilot users, pilot devices, pilot subscriptions, pilot workloads, and rollback owners.</w:t>
      </w:r>
    </w:p>
    <w:p>
      <w:pPr>
        <w:pStyle w:val="ListNumber"/>
        <w:spacing w:after="80" w:line="280" w:lineRule="auto"/>
      </w:pPr>
      <w:r>
        <w:t>Document naming, tagging, region, identity, network, and data-classification standards.</w:t>
      </w:r>
    </w:p>
    <w:p>
      <w:pPr>
        <w:pStyle w:val="ListNumber"/>
        <w:spacing w:after="80" w:line="280" w:lineRule="auto"/>
      </w:pPr>
      <w:r>
        <w:t>Export current tenant and M365 settings before making changes.</w:t>
      </w:r>
    </w:p>
    <w:p>
      <w:pPr>
        <w:pStyle w:val="Heading1"/>
      </w:pPr>
      <w:r>
        <w:t>6. Phase 1: Governance Foundation</w:t>
      </w:r>
    </w:p>
    <w:p>
      <w:pPr>
        <w:spacing w:after="120" w:before="0" w:line="264" w:lineRule="auto"/>
      </w:pPr>
      <w:r>
        <w:rPr>
          <w:rFonts w:ascii="Calibri" w:hAnsi="Calibri"/>
          <w:b w:val="0"/>
          <w:i w:val="0"/>
        </w:rPr>
        <w:t>Governance is deployed first because every later workload should inherit the same operating contract.</w:t>
      </w:r>
    </w:p>
    <w:tbl>
      <w:tblPr>
        <w:tblStyle w:val="TableGrid"/>
        <w:tblW w:type="dxa" w:w="9360"/>
        <w:tblLayout w:type="fixed"/>
        <w:tblLook w:firstColumn="1" w:firstRow="1" w:lastColumn="0" w:lastRow="0" w:noHBand="0" w:noVBand="1" w:val="04A0"/>
        <w:jc w:val="center"/>
        <w:tblInd w:type="dxa" w:w="120"/>
      </w:tblPr>
      <w:tblGrid>
        <w:gridCol w:w="700"/>
        <w:gridCol w:w="5860"/>
        <w:gridCol w:w="2800"/>
      </w:tblGrid>
      <w:tr>
        <w:tc>
          <w:tcPr>
            <w:tcW w:type="dxa" w:w="700"/>
            <w:vAlign w:val="center"/>
            <w:tcMar>
              <w:top w:w="80" w:type="dxa"/>
              <w:start w:w="120" w:type="dxa"/>
              <w:bottom w:w="80" w:type="dxa"/>
              <w:end w:w="120" w:type="dxa"/>
            </w:tcMar>
            <w:shd w:fill="F2F4F7"/>
          </w:tcPr>
          <w:p>
            <w:pPr>
              <w:jc w:val="center"/>
            </w:pPr>
            <w:r>
              <w:rPr>
                <w:rFonts w:ascii="Calibri" w:hAnsi="Calibri"/>
                <w:b/>
                <w:color w:val="0B2545"/>
                <w:sz w:val="17"/>
              </w:rPr>
              <w:t>Step</w:t>
            </w:r>
          </w:p>
        </w:tc>
        <w:tc>
          <w:tcPr>
            <w:tcW w:type="dxa" w:w="5860"/>
            <w:vAlign w:val="center"/>
            <w:tcMar>
              <w:top w:w="80" w:type="dxa"/>
              <w:start w:w="120" w:type="dxa"/>
              <w:bottom w:w="80" w:type="dxa"/>
              <w:end w:w="120" w:type="dxa"/>
            </w:tcMar>
            <w:shd w:fill="F2F4F7"/>
          </w:tcPr>
          <w:p>
            <w:pPr>
              <w:jc w:val="center"/>
            </w:pPr>
            <w:r>
              <w:rPr>
                <w:rFonts w:ascii="Calibri" w:hAnsi="Calibri"/>
                <w:b/>
                <w:color w:val="0B2545"/>
                <w:sz w:val="17"/>
              </w:rPr>
              <w:t>Action</w:t>
            </w:r>
          </w:p>
        </w:tc>
        <w:tc>
          <w:tcPr>
            <w:tcW w:type="dxa" w:w="2800"/>
            <w:vAlign w:val="center"/>
            <w:tcMar>
              <w:top w:w="80" w:type="dxa"/>
              <w:start w:w="120" w:type="dxa"/>
              <w:bottom w:w="80" w:type="dxa"/>
              <w:end w:w="120" w:type="dxa"/>
            </w:tcMar>
            <w:shd w:fill="F2F4F7"/>
          </w:tcPr>
          <w:p>
            <w:pPr>
              <w:jc w:val="center"/>
            </w:pPr>
            <w:r>
              <w:rPr>
                <w:rFonts w:ascii="Calibri" w:hAnsi="Calibri"/>
                <w:b/>
                <w:color w:val="0B2545"/>
                <w:sz w:val="17"/>
              </w:rPr>
              <w:t>Automation</w:t>
            </w:r>
          </w:p>
        </w:tc>
      </w:tr>
      <w:tr>
        <w:tc>
          <w:tcPr>
            <w:tcW w:type="dxa" w:w="700"/>
            <w:tcMar>
              <w:top w:w="80" w:type="dxa"/>
              <w:start w:w="120" w:type="dxa"/>
              <w:bottom w:w="80" w:type="dxa"/>
              <w:end w:w="120" w:type="dxa"/>
            </w:tcMar>
            <w:vAlign w:val="center"/>
          </w:tcPr>
          <w:p>
            <w:pPr>
              <w:spacing w:after="0"/>
            </w:pPr>
            <w:r>
              <w:rPr>
                <w:rFonts w:ascii="Calibri" w:hAnsi="Calibri"/>
                <w:b/>
                <w:sz w:val="17"/>
              </w:rPr>
              <w:t>1</w:t>
            </w:r>
          </w:p>
        </w:tc>
        <w:tc>
          <w:tcPr>
            <w:tcW w:type="dxa" w:w="5860"/>
            <w:tcMar>
              <w:top w:w="80" w:type="dxa"/>
              <w:start w:w="120" w:type="dxa"/>
              <w:bottom w:w="80" w:type="dxa"/>
              <w:end w:w="120" w:type="dxa"/>
            </w:tcMar>
            <w:vAlign w:val="center"/>
          </w:tcPr>
          <w:p>
            <w:pPr>
              <w:spacing w:after="0"/>
            </w:pPr>
            <w:r>
              <w:rPr>
                <w:rFonts w:ascii="Calibri" w:hAnsi="Calibri"/>
                <w:sz w:val="17"/>
              </w:rPr>
              <w:t>Create management group hierarchy for platform, landing zones, AKS, data, AVD, sandbox, migration, decommissioned.</w:t>
            </w:r>
          </w:p>
        </w:tc>
        <w:tc>
          <w:tcPr>
            <w:tcW w:type="dxa" w:w="2800"/>
            <w:tcMar>
              <w:top w:w="80" w:type="dxa"/>
              <w:start w:w="120" w:type="dxa"/>
              <w:bottom w:w="80" w:type="dxa"/>
              <w:end w:w="120" w:type="dxa"/>
            </w:tcMar>
            <w:vAlign w:val="center"/>
          </w:tcPr>
          <w:p>
            <w:pPr>
              <w:spacing w:after="0"/>
            </w:pPr>
            <w:r>
              <w:rPr>
                <w:rFonts w:ascii="Calibri" w:hAnsi="Calibri"/>
                <w:sz w:val="17"/>
              </w:rPr>
              <w:t>Terraform</w:t>
            </w:r>
          </w:p>
        </w:tc>
      </w:tr>
      <w:tr>
        <w:tc>
          <w:tcPr>
            <w:tcW w:type="dxa" w:w="700"/>
            <w:tcMar>
              <w:top w:w="80" w:type="dxa"/>
              <w:start w:w="120" w:type="dxa"/>
              <w:bottom w:w="80" w:type="dxa"/>
              <w:end w:w="120" w:type="dxa"/>
            </w:tcMar>
            <w:vAlign w:val="center"/>
          </w:tcPr>
          <w:p>
            <w:pPr>
              <w:spacing w:after="0"/>
            </w:pPr>
            <w:r>
              <w:rPr>
                <w:rFonts w:ascii="Calibri" w:hAnsi="Calibri"/>
                <w:b/>
                <w:sz w:val="17"/>
              </w:rPr>
              <w:t>2</w:t>
            </w:r>
          </w:p>
        </w:tc>
        <w:tc>
          <w:tcPr>
            <w:tcW w:type="dxa" w:w="5860"/>
            <w:tcMar>
              <w:top w:w="80" w:type="dxa"/>
              <w:start w:w="120" w:type="dxa"/>
              <w:bottom w:w="80" w:type="dxa"/>
              <w:end w:w="120" w:type="dxa"/>
            </w:tcMar>
            <w:vAlign w:val="center"/>
          </w:tcPr>
          <w:p>
            <w:pPr>
              <w:spacing w:after="0"/>
            </w:pPr>
            <w:r>
              <w:rPr>
                <w:rFonts w:ascii="Calibri" w:hAnsi="Calibri"/>
                <w:sz w:val="17"/>
              </w:rPr>
              <w:t>Define policy initiatives for regions, tags, storage, Key Vault, public IPs, AKS, Defender, diagnostics.</w:t>
            </w:r>
          </w:p>
        </w:tc>
        <w:tc>
          <w:tcPr>
            <w:tcW w:type="dxa" w:w="2800"/>
            <w:tcMar>
              <w:top w:w="80" w:type="dxa"/>
              <w:start w:w="120" w:type="dxa"/>
              <w:bottom w:w="80" w:type="dxa"/>
              <w:end w:w="120" w:type="dxa"/>
            </w:tcMar>
            <w:vAlign w:val="center"/>
          </w:tcPr>
          <w:p>
            <w:pPr>
              <w:spacing w:after="0"/>
            </w:pPr>
            <w:r>
              <w:rPr>
                <w:rFonts w:ascii="Calibri" w:hAnsi="Calibri"/>
                <w:sz w:val="17"/>
              </w:rPr>
              <w:t>Terraform/Azure Policy</w:t>
            </w:r>
          </w:p>
        </w:tc>
      </w:tr>
      <w:tr>
        <w:tc>
          <w:tcPr>
            <w:tcW w:type="dxa" w:w="700"/>
            <w:tcMar>
              <w:top w:w="80" w:type="dxa"/>
              <w:start w:w="120" w:type="dxa"/>
              <w:bottom w:w="80" w:type="dxa"/>
              <w:end w:w="120" w:type="dxa"/>
            </w:tcMar>
            <w:vAlign w:val="center"/>
          </w:tcPr>
          <w:p>
            <w:pPr>
              <w:spacing w:after="0"/>
            </w:pPr>
            <w:r>
              <w:rPr>
                <w:rFonts w:ascii="Calibri" w:hAnsi="Calibri"/>
                <w:b/>
                <w:sz w:val="17"/>
              </w:rPr>
              <w:t>3</w:t>
            </w:r>
          </w:p>
        </w:tc>
        <w:tc>
          <w:tcPr>
            <w:tcW w:type="dxa" w:w="5860"/>
            <w:tcMar>
              <w:top w:w="80" w:type="dxa"/>
              <w:start w:w="120" w:type="dxa"/>
              <w:bottom w:w="80" w:type="dxa"/>
              <w:end w:w="120" w:type="dxa"/>
            </w:tcMar>
            <w:vAlign w:val="center"/>
          </w:tcPr>
          <w:p>
            <w:pPr>
              <w:spacing w:after="0"/>
            </w:pPr>
            <w:r>
              <w:rPr>
                <w:rFonts w:ascii="Calibri" w:hAnsi="Calibri"/>
                <w:sz w:val="17"/>
              </w:rPr>
              <w:t>Create RBAC groups and assign roles by management group/subscription scope.</w:t>
            </w:r>
          </w:p>
        </w:tc>
        <w:tc>
          <w:tcPr>
            <w:tcW w:type="dxa" w:w="2800"/>
            <w:tcMar>
              <w:top w:w="80" w:type="dxa"/>
              <w:start w:w="120" w:type="dxa"/>
              <w:bottom w:w="80" w:type="dxa"/>
              <w:end w:w="120" w:type="dxa"/>
            </w:tcMar>
            <w:vAlign w:val="center"/>
          </w:tcPr>
          <w:p>
            <w:pPr>
              <w:spacing w:after="0"/>
            </w:pPr>
            <w:r>
              <w:rPr>
                <w:rFonts w:ascii="Calibri" w:hAnsi="Calibri"/>
                <w:sz w:val="17"/>
              </w:rPr>
              <w:t>Terraform/Graph</w:t>
            </w:r>
          </w:p>
        </w:tc>
      </w:tr>
      <w:tr>
        <w:tc>
          <w:tcPr>
            <w:tcW w:type="dxa" w:w="700"/>
            <w:tcMar>
              <w:top w:w="80" w:type="dxa"/>
              <w:start w:w="120" w:type="dxa"/>
              <w:bottom w:w="80" w:type="dxa"/>
              <w:end w:w="120" w:type="dxa"/>
            </w:tcMar>
            <w:vAlign w:val="center"/>
          </w:tcPr>
          <w:p>
            <w:pPr>
              <w:spacing w:after="0"/>
            </w:pPr>
            <w:r>
              <w:rPr>
                <w:rFonts w:ascii="Calibri" w:hAnsi="Calibri"/>
                <w:b/>
                <w:sz w:val="17"/>
              </w:rPr>
              <w:t>4</w:t>
            </w:r>
          </w:p>
        </w:tc>
        <w:tc>
          <w:tcPr>
            <w:tcW w:type="dxa" w:w="5860"/>
            <w:tcMar>
              <w:top w:w="80" w:type="dxa"/>
              <w:start w:w="120" w:type="dxa"/>
              <w:bottom w:w="80" w:type="dxa"/>
              <w:end w:w="120" w:type="dxa"/>
            </w:tcMar>
            <w:vAlign w:val="center"/>
          </w:tcPr>
          <w:p>
            <w:pPr>
              <w:spacing w:after="0"/>
            </w:pPr>
            <w:r>
              <w:rPr>
                <w:rFonts w:ascii="Calibri" w:hAnsi="Calibri"/>
                <w:sz w:val="17"/>
              </w:rPr>
              <w:t>Create budgets, alerts, and ownership tags.</w:t>
            </w:r>
          </w:p>
        </w:tc>
        <w:tc>
          <w:tcPr>
            <w:tcW w:type="dxa" w:w="2800"/>
            <w:tcMar>
              <w:top w:w="80" w:type="dxa"/>
              <w:start w:w="120" w:type="dxa"/>
              <w:bottom w:w="80" w:type="dxa"/>
              <w:end w:w="120" w:type="dxa"/>
            </w:tcMar>
            <w:vAlign w:val="center"/>
          </w:tcPr>
          <w:p>
            <w:pPr>
              <w:spacing w:after="0"/>
            </w:pPr>
            <w:r>
              <w:rPr>
                <w:rFonts w:ascii="Calibri" w:hAnsi="Calibri"/>
                <w:sz w:val="17"/>
              </w:rPr>
              <w:t>Terraform/Az</w:t>
            </w:r>
          </w:p>
        </w:tc>
      </w:tr>
      <w:tr>
        <w:tc>
          <w:tcPr>
            <w:tcW w:type="dxa" w:w="700"/>
            <w:tcMar>
              <w:top w:w="80" w:type="dxa"/>
              <w:start w:w="120" w:type="dxa"/>
              <w:bottom w:w="80" w:type="dxa"/>
              <w:end w:w="120" w:type="dxa"/>
            </w:tcMar>
            <w:vAlign w:val="center"/>
          </w:tcPr>
          <w:p>
            <w:pPr>
              <w:spacing w:after="0"/>
            </w:pPr>
            <w:r>
              <w:rPr>
                <w:rFonts w:ascii="Calibri" w:hAnsi="Calibri"/>
                <w:b/>
                <w:sz w:val="17"/>
              </w:rPr>
              <w:t>5</w:t>
            </w:r>
          </w:p>
        </w:tc>
        <w:tc>
          <w:tcPr>
            <w:tcW w:type="dxa" w:w="5860"/>
            <w:tcMar>
              <w:top w:w="80" w:type="dxa"/>
              <w:start w:w="120" w:type="dxa"/>
              <w:bottom w:w="80" w:type="dxa"/>
              <w:end w:w="120" w:type="dxa"/>
            </w:tcMar>
            <w:vAlign w:val="center"/>
          </w:tcPr>
          <w:p>
            <w:pPr>
              <w:spacing w:after="0"/>
            </w:pPr>
            <w:r>
              <w:rPr>
                <w:rFonts w:ascii="Calibri" w:hAnsi="Calibri"/>
                <w:sz w:val="17"/>
              </w:rPr>
              <w:t>Publish governance standards and exception process.</w:t>
            </w:r>
          </w:p>
        </w:tc>
        <w:tc>
          <w:tcPr>
            <w:tcW w:type="dxa" w:w="2800"/>
            <w:tcMar>
              <w:top w:w="80" w:type="dxa"/>
              <w:start w:w="120" w:type="dxa"/>
              <w:bottom w:w="80" w:type="dxa"/>
              <w:end w:w="120" w:type="dxa"/>
            </w:tcMar>
            <w:vAlign w:val="center"/>
          </w:tcPr>
          <w:p>
            <w:pPr>
              <w:spacing w:after="0"/>
            </w:pPr>
            <w:r>
              <w:rPr>
                <w:rFonts w:ascii="Calibri" w:hAnsi="Calibri"/>
                <w:sz w:val="17"/>
              </w:rPr>
              <w:t>Markdown/DOCX</w:t>
            </w:r>
          </w:p>
        </w:tc>
      </w:tr>
    </w:tbl>
    <w:p>
      <w:pPr>
        <w:spacing w:after="80"/>
      </w:pPr>
    </w:p>
    <w:p>
      <w:pPr>
        <w:pStyle w:val="Heading1"/>
      </w:pPr>
      <w:r>
        <w:t>7. Phase 2: Identity and IAM</w:t>
      </w:r>
    </w:p>
    <w:p>
      <w:pPr>
        <w:spacing w:after="120" w:before="0" w:line="264" w:lineRule="auto"/>
      </w:pPr>
      <w:r>
        <w:rPr>
          <w:rFonts w:ascii="Calibri" w:hAnsi="Calibri"/>
          <w:b w:val="0"/>
          <w:i w:val="0"/>
        </w:rPr>
        <w:t>Identity controls the whole estate. The platform should assume Entra ID is the authorization plane for Azure and Microsoft 365.</w:t>
      </w:r>
    </w:p>
    <w:p>
      <w:pPr>
        <w:pStyle w:val="ListBullet"/>
        <w:spacing w:after="80" w:line="280" w:lineRule="auto"/>
      </w:pPr>
      <w:r>
        <w:t>Create role-based groups for platform, security, network, M365, AVD, app, and AKS administration.</w:t>
      </w:r>
    </w:p>
    <w:p>
      <w:pPr>
        <w:pStyle w:val="ListBullet"/>
        <w:spacing w:after="80" w:line="280" w:lineRule="auto"/>
      </w:pPr>
      <w:r>
        <w:t>Implement PIM for privileged Azure and Entra roles.</w:t>
      </w:r>
    </w:p>
    <w:p>
      <w:pPr>
        <w:pStyle w:val="ListBullet"/>
        <w:spacing w:after="80" w:line="280" w:lineRule="auto"/>
      </w:pPr>
      <w:r>
        <w:t>Define Okta to Entra provisioning and federation pattern with rollback plan.</w:t>
      </w:r>
    </w:p>
    <w:p>
      <w:pPr>
        <w:pStyle w:val="ListBullet"/>
        <w:spacing w:after="80" w:line="280" w:lineRule="auto"/>
      </w:pPr>
      <w:r>
        <w:t>Create Conditional Access in report-only first, then pilot enforcement, then broad rollout.</w:t>
      </w:r>
    </w:p>
    <w:p>
      <w:pPr>
        <w:pStyle w:val="ListBullet"/>
        <w:spacing w:after="80" w:line="280" w:lineRule="auto"/>
      </w:pPr>
      <w:r>
        <w:t>Require phishing-resistant MFA for privileged roles and MFA for all users.</w:t>
      </w:r>
    </w:p>
    <w:p>
      <w:pPr>
        <w:pStyle w:val="ListBullet"/>
        <w:spacing w:after="80" w:line="280" w:lineRule="auto"/>
      </w:pPr>
      <w:r>
        <w:t>Enable access reviews for privileged groups and guest access.</w:t>
      </w:r>
    </w:p>
    <w:p>
      <w:pPr>
        <w:pStyle w:val="Heading1"/>
      </w:pPr>
      <w:r>
        <w:t>8. Phase 3: Network and Connectivity</w:t>
      </w:r>
    </w:p>
    <w:p>
      <w:pPr>
        <w:spacing w:after="120" w:before="0" w:line="264" w:lineRule="auto"/>
      </w:pPr>
      <w:r>
        <w:rPr>
          <w:rFonts w:ascii="Calibri" w:hAnsi="Calibri"/>
          <w:b w:val="0"/>
          <w:i w:val="0"/>
        </w:rPr>
        <w:t>The network model is hub-spoke with controlled egress, private DNS, private endpoints, and approved ingress patterns.</w:t>
      </w:r>
    </w:p>
    <w:tbl>
      <w:tblPr>
        <w:tblStyle w:val="TableGrid"/>
        <w:tblW w:type="dxa" w:w="9360"/>
        <w:tblLayout w:type="fixed"/>
        <w:tblLook w:firstColumn="1" w:firstRow="1" w:lastColumn="0" w:lastRow="0" w:noHBand="0" w:noVBand="1" w:val="04A0"/>
        <w:jc w:val="center"/>
        <w:tblInd w:type="dxa" w:w="120"/>
      </w:tblPr>
      <w:tblGrid>
        <w:gridCol w:w="2200"/>
        <w:gridCol w:w="7160"/>
      </w:tblGrid>
      <w:tr>
        <w:tc>
          <w:tcPr>
            <w:tcW w:type="dxa" w:w="2200"/>
            <w:vAlign w:val="center"/>
            <w:tcMar>
              <w:top w:w="80" w:type="dxa"/>
              <w:start w:w="120" w:type="dxa"/>
              <w:bottom w:w="80" w:type="dxa"/>
              <w:end w:w="120" w:type="dxa"/>
            </w:tcMar>
            <w:shd w:fill="F2F4F7"/>
          </w:tcPr>
          <w:p>
            <w:pPr>
              <w:jc w:val="center"/>
            </w:pPr>
            <w:r>
              <w:rPr>
                <w:rFonts w:ascii="Calibri" w:hAnsi="Calibri"/>
                <w:b/>
                <w:color w:val="0B2545"/>
                <w:sz w:val="18"/>
              </w:rPr>
              <w:t>Component</w:t>
            </w:r>
          </w:p>
        </w:tc>
        <w:tc>
          <w:tcPr>
            <w:tcW w:type="dxa" w:w="7160"/>
            <w:vAlign w:val="center"/>
            <w:tcMar>
              <w:top w:w="80" w:type="dxa"/>
              <w:start w:w="120" w:type="dxa"/>
              <w:bottom w:w="80" w:type="dxa"/>
              <w:end w:w="120" w:type="dxa"/>
            </w:tcMar>
            <w:shd w:fill="F2F4F7"/>
          </w:tcPr>
          <w:p>
            <w:pPr>
              <w:jc w:val="center"/>
            </w:pPr>
            <w:r>
              <w:rPr>
                <w:rFonts w:ascii="Calibri" w:hAnsi="Calibri"/>
                <w:b/>
                <w:color w:val="0B2545"/>
                <w:sz w:val="18"/>
              </w:rPr>
              <w:t>Enterprise Standard</w:t>
            </w:r>
          </w:p>
        </w:tc>
      </w:tr>
      <w:tr>
        <w:tc>
          <w:tcPr>
            <w:tcW w:type="dxa" w:w="2200"/>
            <w:tcMar>
              <w:top w:w="80" w:type="dxa"/>
              <w:start w:w="120" w:type="dxa"/>
              <w:bottom w:w="80" w:type="dxa"/>
              <w:end w:w="120" w:type="dxa"/>
            </w:tcMar>
            <w:vAlign w:val="center"/>
          </w:tcPr>
          <w:p>
            <w:pPr>
              <w:spacing w:after="0"/>
            </w:pPr>
            <w:r>
              <w:rPr>
                <w:rFonts w:ascii="Calibri" w:hAnsi="Calibri"/>
                <w:b/>
                <w:sz w:val="18"/>
              </w:rPr>
              <w:t>Hub VNet</w:t>
            </w:r>
          </w:p>
        </w:tc>
        <w:tc>
          <w:tcPr>
            <w:tcW w:type="dxa" w:w="7160"/>
            <w:tcMar>
              <w:top w:w="80" w:type="dxa"/>
              <w:start w:w="120" w:type="dxa"/>
              <w:bottom w:w="80" w:type="dxa"/>
              <w:end w:w="120" w:type="dxa"/>
            </w:tcMar>
            <w:vAlign w:val="center"/>
          </w:tcPr>
          <w:p>
            <w:pPr>
              <w:spacing w:after="0"/>
            </w:pPr>
            <w:r>
              <w:rPr>
                <w:rFonts w:ascii="Calibri" w:hAnsi="Calibri"/>
                <w:sz w:val="18"/>
              </w:rPr>
              <w:t>Connectivity subscription owns firewall, DNS resolver, Bastion, VPN/ExpressRoute, shared services.</w:t>
            </w:r>
          </w:p>
        </w:tc>
      </w:tr>
      <w:tr>
        <w:tc>
          <w:tcPr>
            <w:tcW w:type="dxa" w:w="2200"/>
            <w:tcMar>
              <w:top w:w="80" w:type="dxa"/>
              <w:start w:w="120" w:type="dxa"/>
              <w:bottom w:w="80" w:type="dxa"/>
              <w:end w:w="120" w:type="dxa"/>
            </w:tcMar>
            <w:vAlign w:val="center"/>
          </w:tcPr>
          <w:p>
            <w:pPr>
              <w:spacing w:after="0"/>
            </w:pPr>
            <w:r>
              <w:rPr>
                <w:rFonts w:ascii="Calibri" w:hAnsi="Calibri"/>
                <w:b/>
                <w:sz w:val="18"/>
              </w:rPr>
              <w:t>Spokes</w:t>
            </w:r>
          </w:p>
        </w:tc>
        <w:tc>
          <w:tcPr>
            <w:tcW w:type="dxa" w:w="7160"/>
            <w:tcMar>
              <w:top w:w="80" w:type="dxa"/>
              <w:start w:w="120" w:type="dxa"/>
              <w:bottom w:w="80" w:type="dxa"/>
              <w:end w:w="120" w:type="dxa"/>
            </w:tcMar>
            <w:vAlign w:val="center"/>
          </w:tcPr>
          <w:p>
            <w:pPr>
              <w:spacing w:after="0"/>
            </w:pPr>
            <w:r>
              <w:rPr>
                <w:rFonts w:ascii="Calibri" w:hAnsi="Calibri"/>
                <w:sz w:val="18"/>
              </w:rPr>
              <w:t>Workload subscriptions receive spoke VNets; app teams do not create arbitrary peerings.</w:t>
            </w:r>
          </w:p>
        </w:tc>
      </w:tr>
      <w:tr>
        <w:tc>
          <w:tcPr>
            <w:tcW w:type="dxa" w:w="2200"/>
            <w:tcMar>
              <w:top w:w="80" w:type="dxa"/>
              <w:start w:w="120" w:type="dxa"/>
              <w:bottom w:w="80" w:type="dxa"/>
              <w:end w:w="120" w:type="dxa"/>
            </w:tcMar>
            <w:vAlign w:val="center"/>
          </w:tcPr>
          <w:p>
            <w:pPr>
              <w:spacing w:after="0"/>
            </w:pPr>
            <w:r>
              <w:rPr>
                <w:rFonts w:ascii="Calibri" w:hAnsi="Calibri"/>
                <w:b/>
                <w:sz w:val="18"/>
              </w:rPr>
              <w:t>Egress</w:t>
            </w:r>
          </w:p>
        </w:tc>
        <w:tc>
          <w:tcPr>
            <w:tcW w:type="dxa" w:w="7160"/>
            <w:tcMar>
              <w:top w:w="80" w:type="dxa"/>
              <w:start w:w="120" w:type="dxa"/>
              <w:bottom w:w="80" w:type="dxa"/>
              <w:end w:w="120" w:type="dxa"/>
            </w:tcMar>
            <w:vAlign w:val="center"/>
          </w:tcPr>
          <w:p>
            <w:pPr>
              <w:spacing w:after="0"/>
            </w:pPr>
            <w:r>
              <w:rPr>
                <w:rFonts w:ascii="Calibri" w:hAnsi="Calibri"/>
                <w:sz w:val="18"/>
              </w:rPr>
              <w:t>Internet-bound traffic routes through Azure Firewall or approved equivalent.</w:t>
            </w:r>
          </w:p>
        </w:tc>
      </w:tr>
      <w:tr>
        <w:tc>
          <w:tcPr>
            <w:tcW w:type="dxa" w:w="2200"/>
            <w:tcMar>
              <w:top w:w="80" w:type="dxa"/>
              <w:start w:w="120" w:type="dxa"/>
              <w:bottom w:w="80" w:type="dxa"/>
              <w:end w:w="120" w:type="dxa"/>
            </w:tcMar>
            <w:vAlign w:val="center"/>
          </w:tcPr>
          <w:p>
            <w:pPr>
              <w:spacing w:after="0"/>
            </w:pPr>
            <w:r>
              <w:rPr>
                <w:rFonts w:ascii="Calibri" w:hAnsi="Calibri"/>
                <w:b/>
                <w:sz w:val="18"/>
              </w:rPr>
              <w:t>Ingress</w:t>
            </w:r>
          </w:p>
        </w:tc>
        <w:tc>
          <w:tcPr>
            <w:tcW w:type="dxa" w:w="7160"/>
            <w:tcMar>
              <w:top w:w="80" w:type="dxa"/>
              <w:start w:w="120" w:type="dxa"/>
              <w:bottom w:w="80" w:type="dxa"/>
              <w:end w:w="120" w:type="dxa"/>
            </w:tcMar>
            <w:vAlign w:val="center"/>
          </w:tcPr>
          <w:p>
            <w:pPr>
              <w:spacing w:after="0"/>
            </w:pPr>
            <w:r>
              <w:rPr>
                <w:rFonts w:ascii="Calibri" w:hAnsi="Calibri"/>
                <w:sz w:val="18"/>
              </w:rPr>
              <w:t>Public apps use Front Door WAF, Application Gateway WAF, or approved ingress controller.</w:t>
            </w:r>
          </w:p>
        </w:tc>
      </w:tr>
      <w:tr>
        <w:tc>
          <w:tcPr>
            <w:tcW w:type="dxa" w:w="2200"/>
            <w:tcMar>
              <w:top w:w="80" w:type="dxa"/>
              <w:start w:w="120" w:type="dxa"/>
              <w:bottom w:w="80" w:type="dxa"/>
              <w:end w:w="120" w:type="dxa"/>
            </w:tcMar>
            <w:vAlign w:val="center"/>
          </w:tcPr>
          <w:p>
            <w:pPr>
              <w:spacing w:after="0"/>
            </w:pPr>
            <w:r>
              <w:rPr>
                <w:rFonts w:ascii="Calibri" w:hAnsi="Calibri"/>
                <w:b/>
                <w:sz w:val="18"/>
              </w:rPr>
              <w:t>Private endpoints</w:t>
            </w:r>
          </w:p>
        </w:tc>
        <w:tc>
          <w:tcPr>
            <w:tcW w:type="dxa" w:w="7160"/>
            <w:tcMar>
              <w:top w:w="80" w:type="dxa"/>
              <w:start w:w="120" w:type="dxa"/>
              <w:bottom w:w="80" w:type="dxa"/>
              <w:end w:w="120" w:type="dxa"/>
            </w:tcMar>
            <w:vAlign w:val="center"/>
          </w:tcPr>
          <w:p>
            <w:pPr>
              <w:spacing w:after="0"/>
            </w:pPr>
            <w:r>
              <w:rPr>
                <w:rFonts w:ascii="Calibri" w:hAnsi="Calibri"/>
                <w:sz w:val="18"/>
              </w:rPr>
              <w:t>Required for restricted data and production PaaS services.</w:t>
            </w:r>
          </w:p>
        </w:tc>
      </w:tr>
      <w:tr>
        <w:tc>
          <w:tcPr>
            <w:tcW w:type="dxa" w:w="2200"/>
            <w:tcMar>
              <w:top w:w="80" w:type="dxa"/>
              <w:start w:w="120" w:type="dxa"/>
              <w:bottom w:w="80" w:type="dxa"/>
              <w:end w:w="120" w:type="dxa"/>
            </w:tcMar>
            <w:vAlign w:val="center"/>
          </w:tcPr>
          <w:p>
            <w:pPr>
              <w:spacing w:after="0"/>
            </w:pPr>
            <w:r>
              <w:rPr>
                <w:rFonts w:ascii="Calibri" w:hAnsi="Calibri"/>
                <w:b/>
                <w:sz w:val="18"/>
              </w:rPr>
              <w:t>DNS</w:t>
            </w:r>
          </w:p>
        </w:tc>
        <w:tc>
          <w:tcPr>
            <w:tcW w:type="dxa" w:w="7160"/>
            <w:tcMar>
              <w:top w:w="80" w:type="dxa"/>
              <w:start w:w="120" w:type="dxa"/>
              <w:bottom w:w="80" w:type="dxa"/>
              <w:end w:w="120" w:type="dxa"/>
            </w:tcMar>
            <w:vAlign w:val="center"/>
          </w:tcPr>
          <w:p>
            <w:pPr>
              <w:spacing w:after="0"/>
            </w:pPr>
            <w:r>
              <w:rPr>
                <w:rFonts w:ascii="Calibri" w:hAnsi="Calibri"/>
                <w:sz w:val="18"/>
              </w:rPr>
              <w:t>Private DNS zones centrally managed and linked through platform process.</w:t>
            </w:r>
          </w:p>
        </w:tc>
      </w:tr>
    </w:tbl>
    <w:p>
      <w:pPr>
        <w:spacing w:after="80"/>
      </w:pPr>
    </w:p>
    <w:p>
      <w:pPr>
        <w:pStyle w:val="Heading1"/>
      </w:pPr>
      <w:r>
        <w:t>9. Phase 4: Security, Defender, and Sentinel</w:t>
      </w:r>
    </w:p>
    <w:p>
      <w:pPr>
        <w:spacing w:after="120" w:before="0" w:line="264" w:lineRule="auto"/>
      </w:pPr>
      <w:r>
        <w:rPr>
          <w:rFonts w:ascii="Calibri" w:hAnsi="Calibri"/>
          <w:b w:val="0"/>
          <w:i w:val="0"/>
        </w:rPr>
        <w:t>Security is not a dashboard after deployment. It is part of the landing zone contract.</w:t>
      </w:r>
    </w:p>
    <w:tbl>
      <w:tblPr>
        <w:tblStyle w:val="TableGrid"/>
        <w:tblW w:type="dxa" w:w="9360"/>
        <w:tblLayout w:type="fixed"/>
        <w:tblLook w:firstColumn="1" w:firstRow="1" w:lastColumn="0" w:lastRow="0" w:noHBand="0" w:noVBand="1" w:val="04A0"/>
        <w:jc w:val="center"/>
        <w:tblInd w:type="dxa" w:w="120"/>
      </w:tblPr>
      <w:tblGrid>
        <w:gridCol w:w="2300"/>
        <w:gridCol w:w="7060"/>
      </w:tblGrid>
      <w:tr>
        <w:tc>
          <w:tcPr>
            <w:tcW w:type="dxa" w:w="2300"/>
            <w:vAlign w:val="center"/>
            <w:tcMar>
              <w:top w:w="80" w:type="dxa"/>
              <w:start w:w="120" w:type="dxa"/>
              <w:bottom w:w="80" w:type="dxa"/>
              <w:end w:w="120" w:type="dxa"/>
            </w:tcMar>
            <w:shd w:fill="F2F4F7"/>
          </w:tcPr>
          <w:p>
            <w:pPr>
              <w:jc w:val="center"/>
            </w:pPr>
            <w:r>
              <w:rPr>
                <w:rFonts w:ascii="Calibri" w:hAnsi="Calibri"/>
                <w:b/>
                <w:color w:val="0B2545"/>
                <w:sz w:val="18"/>
              </w:rPr>
              <w:t>Security Layer</w:t>
            </w:r>
          </w:p>
        </w:tc>
        <w:tc>
          <w:tcPr>
            <w:tcW w:type="dxa" w:w="7060"/>
            <w:vAlign w:val="center"/>
            <w:tcMar>
              <w:top w:w="80" w:type="dxa"/>
              <w:start w:w="120" w:type="dxa"/>
              <w:bottom w:w="80" w:type="dxa"/>
              <w:end w:w="120" w:type="dxa"/>
            </w:tcMar>
            <w:shd w:fill="F2F4F7"/>
          </w:tcPr>
          <w:p>
            <w:pPr>
              <w:jc w:val="center"/>
            </w:pPr>
            <w:r>
              <w:rPr>
                <w:rFonts w:ascii="Calibri" w:hAnsi="Calibri"/>
                <w:b/>
                <w:color w:val="0B2545"/>
                <w:sz w:val="18"/>
              </w:rPr>
              <w:t>What I Would Enable</w:t>
            </w:r>
          </w:p>
        </w:tc>
      </w:tr>
      <w:tr>
        <w:tc>
          <w:tcPr>
            <w:tcW w:type="dxa" w:w="2300"/>
            <w:tcMar>
              <w:top w:w="80" w:type="dxa"/>
              <w:start w:w="120" w:type="dxa"/>
              <w:bottom w:w="80" w:type="dxa"/>
              <w:end w:w="120" w:type="dxa"/>
            </w:tcMar>
            <w:vAlign w:val="center"/>
          </w:tcPr>
          <w:p>
            <w:pPr>
              <w:spacing w:after="0"/>
            </w:pPr>
            <w:r>
              <w:rPr>
                <w:rFonts w:ascii="Calibri" w:hAnsi="Calibri"/>
                <w:b/>
                <w:sz w:val="18"/>
              </w:rPr>
              <w:t>Defender for Cloud</w:t>
            </w:r>
          </w:p>
        </w:tc>
        <w:tc>
          <w:tcPr>
            <w:tcW w:type="dxa" w:w="7060"/>
            <w:tcMar>
              <w:top w:w="80" w:type="dxa"/>
              <w:start w:w="120" w:type="dxa"/>
              <w:bottom w:w="80" w:type="dxa"/>
              <w:end w:w="120" w:type="dxa"/>
            </w:tcMar>
            <w:vAlign w:val="center"/>
          </w:tcPr>
          <w:p>
            <w:pPr>
              <w:spacing w:after="0"/>
            </w:pPr>
            <w:r>
              <w:rPr>
                <w:rFonts w:ascii="Calibri" w:hAnsi="Calibri"/>
                <w:sz w:val="18"/>
              </w:rPr>
              <w:t>Defender CSPM, Servers, Containers, Storage, Key Vault, SQL, App Service, Resource Manager, APIs where applicable.</w:t>
            </w:r>
          </w:p>
        </w:tc>
      </w:tr>
      <w:tr>
        <w:tc>
          <w:tcPr>
            <w:tcW w:type="dxa" w:w="2300"/>
            <w:tcMar>
              <w:top w:w="80" w:type="dxa"/>
              <w:start w:w="120" w:type="dxa"/>
              <w:bottom w:w="80" w:type="dxa"/>
              <w:end w:w="120" w:type="dxa"/>
            </w:tcMar>
            <w:vAlign w:val="center"/>
          </w:tcPr>
          <w:p>
            <w:pPr>
              <w:spacing w:after="0"/>
            </w:pPr>
            <w:r>
              <w:rPr>
                <w:rFonts w:ascii="Calibri" w:hAnsi="Calibri"/>
                <w:b/>
                <w:sz w:val="18"/>
              </w:rPr>
              <w:t>Defender XDR</w:t>
            </w:r>
          </w:p>
        </w:tc>
        <w:tc>
          <w:tcPr>
            <w:tcW w:type="dxa" w:w="7060"/>
            <w:tcMar>
              <w:top w:w="80" w:type="dxa"/>
              <w:start w:w="120" w:type="dxa"/>
              <w:bottom w:w="80" w:type="dxa"/>
              <w:end w:w="120" w:type="dxa"/>
            </w:tcMar>
            <w:vAlign w:val="center"/>
          </w:tcPr>
          <w:p>
            <w:pPr>
              <w:spacing w:after="0"/>
            </w:pPr>
            <w:r>
              <w:rPr>
                <w:rFonts w:ascii="Calibri" w:hAnsi="Calibri"/>
                <w:sz w:val="18"/>
              </w:rPr>
              <w:t>Unified incidents across endpoint, identity, cloud apps, Office 365, and cloud alerts.</w:t>
            </w:r>
          </w:p>
        </w:tc>
      </w:tr>
      <w:tr>
        <w:tc>
          <w:tcPr>
            <w:tcW w:type="dxa" w:w="2300"/>
            <w:tcMar>
              <w:top w:w="80" w:type="dxa"/>
              <w:start w:w="120" w:type="dxa"/>
              <w:bottom w:w="80" w:type="dxa"/>
              <w:end w:w="120" w:type="dxa"/>
            </w:tcMar>
            <w:vAlign w:val="center"/>
          </w:tcPr>
          <w:p>
            <w:pPr>
              <w:spacing w:after="0"/>
            </w:pPr>
            <w:r>
              <w:rPr>
                <w:rFonts w:ascii="Calibri" w:hAnsi="Calibri"/>
                <w:b/>
                <w:sz w:val="18"/>
              </w:rPr>
              <w:t>Sentinel</w:t>
            </w:r>
          </w:p>
        </w:tc>
        <w:tc>
          <w:tcPr>
            <w:tcW w:type="dxa" w:w="7060"/>
            <w:tcMar>
              <w:top w:w="80" w:type="dxa"/>
              <w:start w:w="120" w:type="dxa"/>
              <w:bottom w:w="80" w:type="dxa"/>
              <w:end w:w="120" w:type="dxa"/>
            </w:tcMar>
            <w:vAlign w:val="center"/>
          </w:tcPr>
          <w:p>
            <w:pPr>
              <w:spacing w:after="0"/>
            </w:pPr>
            <w:r>
              <w:rPr>
                <w:rFonts w:ascii="Calibri" w:hAnsi="Calibri"/>
                <w:sz w:val="18"/>
              </w:rPr>
              <w:t>Connect Defender, Entra, Azure Activity, Firewall, Key Vault, Storage, AKS, AVD, and GitHub audit logs.</w:t>
            </w:r>
          </w:p>
        </w:tc>
      </w:tr>
      <w:tr>
        <w:tc>
          <w:tcPr>
            <w:tcW w:type="dxa" w:w="2300"/>
            <w:tcMar>
              <w:top w:w="80" w:type="dxa"/>
              <w:start w:w="120" w:type="dxa"/>
              <w:bottom w:w="80" w:type="dxa"/>
              <w:end w:w="120" w:type="dxa"/>
            </w:tcMar>
            <w:vAlign w:val="center"/>
          </w:tcPr>
          <w:p>
            <w:pPr>
              <w:spacing w:after="0"/>
            </w:pPr>
            <w:r>
              <w:rPr>
                <w:rFonts w:ascii="Calibri" w:hAnsi="Calibri"/>
                <w:b/>
                <w:sz w:val="18"/>
              </w:rPr>
              <w:t>Endpoint</w:t>
            </w:r>
          </w:p>
        </w:tc>
        <w:tc>
          <w:tcPr>
            <w:tcW w:type="dxa" w:w="7060"/>
            <w:tcMar>
              <w:top w:w="80" w:type="dxa"/>
              <w:start w:w="120" w:type="dxa"/>
              <w:bottom w:w="80" w:type="dxa"/>
              <w:end w:w="120" w:type="dxa"/>
            </w:tcMar>
            <w:vAlign w:val="center"/>
          </w:tcPr>
          <w:p>
            <w:pPr>
              <w:spacing w:after="0"/>
            </w:pPr>
            <w:r>
              <w:rPr>
                <w:rFonts w:ascii="Calibri" w:hAnsi="Calibri"/>
                <w:sz w:val="18"/>
              </w:rPr>
              <w:t>Defender for Endpoint, Intune compliance, ASR rules, BitLocker, EDR in block mode where licensed.</w:t>
            </w:r>
          </w:p>
        </w:tc>
      </w:tr>
      <w:tr>
        <w:tc>
          <w:tcPr>
            <w:tcW w:type="dxa" w:w="2300"/>
            <w:tcMar>
              <w:top w:w="80" w:type="dxa"/>
              <w:start w:w="120" w:type="dxa"/>
              <w:bottom w:w="80" w:type="dxa"/>
              <w:end w:w="120" w:type="dxa"/>
            </w:tcMar>
            <w:vAlign w:val="center"/>
          </w:tcPr>
          <w:p>
            <w:pPr>
              <w:spacing w:after="0"/>
            </w:pPr>
            <w:r>
              <w:rPr>
                <w:rFonts w:ascii="Calibri" w:hAnsi="Calibri"/>
                <w:b/>
                <w:sz w:val="18"/>
              </w:rPr>
              <w:t>Identity</w:t>
            </w:r>
          </w:p>
        </w:tc>
        <w:tc>
          <w:tcPr>
            <w:tcW w:type="dxa" w:w="7060"/>
            <w:tcMar>
              <w:top w:w="80" w:type="dxa"/>
              <w:start w:w="120" w:type="dxa"/>
              <w:bottom w:w="80" w:type="dxa"/>
              <w:end w:w="120" w:type="dxa"/>
            </w:tcMar>
            <w:vAlign w:val="center"/>
          </w:tcPr>
          <w:p>
            <w:pPr>
              <w:spacing w:after="0"/>
            </w:pPr>
            <w:r>
              <w:rPr>
                <w:rFonts w:ascii="Calibri" w:hAnsi="Calibri"/>
                <w:sz w:val="18"/>
              </w:rPr>
              <w:t>Identity Protection, risky sign-in policies, PIM alerts, break-glass monitoring.</w:t>
            </w:r>
          </w:p>
        </w:tc>
      </w:tr>
      <w:tr>
        <w:tc>
          <w:tcPr>
            <w:tcW w:type="dxa" w:w="2300"/>
            <w:tcMar>
              <w:top w:w="80" w:type="dxa"/>
              <w:start w:w="120" w:type="dxa"/>
              <w:bottom w:w="80" w:type="dxa"/>
              <w:end w:w="120" w:type="dxa"/>
            </w:tcMar>
            <w:vAlign w:val="center"/>
          </w:tcPr>
          <w:p>
            <w:pPr>
              <w:spacing w:after="0"/>
            </w:pPr>
            <w:r>
              <w:rPr>
                <w:rFonts w:ascii="Calibri" w:hAnsi="Calibri"/>
                <w:b/>
                <w:sz w:val="18"/>
              </w:rPr>
              <w:t>Cloud workload</w:t>
            </w:r>
          </w:p>
        </w:tc>
        <w:tc>
          <w:tcPr>
            <w:tcW w:type="dxa" w:w="7060"/>
            <w:tcMar>
              <w:top w:w="80" w:type="dxa"/>
              <w:start w:w="120" w:type="dxa"/>
              <w:bottom w:w="80" w:type="dxa"/>
              <w:end w:w="120" w:type="dxa"/>
            </w:tcMar>
            <w:vAlign w:val="center"/>
          </w:tcPr>
          <w:p>
            <w:pPr>
              <w:spacing w:after="0"/>
            </w:pPr>
            <w:r>
              <w:rPr>
                <w:rFonts w:ascii="Calibri" w:hAnsi="Calibri"/>
                <w:sz w:val="18"/>
              </w:rPr>
              <w:t>Runtime alerts, vulnerability management, container image scanning, policy compliance.</w:t>
            </w:r>
          </w:p>
        </w:tc>
      </w:tr>
    </w:tbl>
    <w:p>
      <w:pPr>
        <w:spacing w:after="80"/>
      </w:pPr>
    </w:p>
    <w:p>
      <w:pPr>
        <w:pStyle w:val="Heading1"/>
      </w:pPr>
      <w:r>
        <w:t>10. Phase 5: Microsoft 365 Workloads</w:t>
      </w:r>
    </w:p>
    <w:p>
      <w:pPr>
        <w:spacing w:after="120" w:before="0" w:line="264" w:lineRule="auto"/>
      </w:pPr>
      <w:r>
        <w:rPr>
          <w:rFonts w:ascii="Calibri" w:hAnsi="Calibri"/>
          <w:b w:val="0"/>
          <w:i w:val="0"/>
        </w:rPr>
        <w:t>Microsoft 365 is part of the enterprise landing zone because collaboration, identity, endpoint, and data controls are inseparable.</w:t>
      </w:r>
    </w:p>
    <w:tbl>
      <w:tblPr>
        <w:tblStyle w:val="TableGrid"/>
        <w:tblW w:type="dxa" w:w="9360"/>
        <w:tblLayout w:type="fixed"/>
        <w:tblLook w:firstColumn="1" w:firstRow="1" w:lastColumn="0" w:lastRow="0" w:noHBand="0" w:noVBand="1" w:val="04A0"/>
        <w:jc w:val="center"/>
        <w:tblInd w:type="dxa" w:w="120"/>
      </w:tblPr>
      <w:tblGrid>
        <w:gridCol w:w="2300"/>
        <w:gridCol w:w="7060"/>
      </w:tblGrid>
      <w:tr>
        <w:tc>
          <w:tcPr>
            <w:tcW w:type="dxa" w:w="2300"/>
            <w:vAlign w:val="center"/>
            <w:tcMar>
              <w:top w:w="80" w:type="dxa"/>
              <w:start w:w="120" w:type="dxa"/>
              <w:bottom w:w="80" w:type="dxa"/>
              <w:end w:w="120" w:type="dxa"/>
            </w:tcMar>
            <w:shd w:fill="F2F4F7"/>
          </w:tcPr>
          <w:p>
            <w:pPr>
              <w:jc w:val="center"/>
            </w:pPr>
            <w:r>
              <w:rPr>
                <w:rFonts w:ascii="Calibri" w:hAnsi="Calibri"/>
                <w:b/>
                <w:color w:val="0B2545"/>
                <w:sz w:val="18"/>
              </w:rPr>
              <w:t>Workload</w:t>
            </w:r>
          </w:p>
        </w:tc>
        <w:tc>
          <w:tcPr>
            <w:tcW w:type="dxa" w:w="7060"/>
            <w:vAlign w:val="center"/>
            <w:tcMar>
              <w:top w:w="80" w:type="dxa"/>
              <w:start w:w="120" w:type="dxa"/>
              <w:bottom w:w="80" w:type="dxa"/>
              <w:end w:w="120" w:type="dxa"/>
            </w:tcMar>
            <w:shd w:fill="F2F4F7"/>
          </w:tcPr>
          <w:p>
            <w:pPr>
              <w:jc w:val="center"/>
            </w:pPr>
            <w:r>
              <w:rPr>
                <w:rFonts w:ascii="Calibri" w:hAnsi="Calibri"/>
                <w:b/>
                <w:color w:val="0B2545"/>
                <w:sz w:val="18"/>
              </w:rPr>
              <w:t>Baseline I Would Build</w:t>
            </w:r>
          </w:p>
        </w:tc>
      </w:tr>
      <w:tr>
        <w:tc>
          <w:tcPr>
            <w:tcW w:type="dxa" w:w="2300"/>
            <w:tcMar>
              <w:top w:w="80" w:type="dxa"/>
              <w:start w:w="120" w:type="dxa"/>
              <w:bottom w:w="80" w:type="dxa"/>
              <w:end w:w="120" w:type="dxa"/>
            </w:tcMar>
            <w:vAlign w:val="center"/>
          </w:tcPr>
          <w:p>
            <w:pPr>
              <w:spacing w:after="0"/>
            </w:pPr>
            <w:r>
              <w:rPr>
                <w:rFonts w:ascii="Calibri" w:hAnsi="Calibri"/>
                <w:b/>
                <w:sz w:val="18"/>
              </w:rPr>
              <w:t>Exchange Online</w:t>
            </w:r>
          </w:p>
        </w:tc>
        <w:tc>
          <w:tcPr>
            <w:tcW w:type="dxa" w:w="7060"/>
            <w:tcMar>
              <w:top w:w="80" w:type="dxa"/>
              <w:start w:w="120" w:type="dxa"/>
              <w:bottom w:w="80" w:type="dxa"/>
              <w:end w:w="120" w:type="dxa"/>
            </w:tcMar>
            <w:vAlign w:val="center"/>
          </w:tcPr>
          <w:p>
            <w:pPr>
              <w:spacing w:after="0"/>
            </w:pPr>
            <w:r>
              <w:rPr>
                <w:rFonts w:ascii="Calibri" w:hAnsi="Calibri"/>
                <w:sz w:val="18"/>
              </w:rPr>
              <w:t>Anti-phishing, anti-malware, anti-spam, safe links/attachments, SPF/DKIM/DMARC alignment, transport rules, external sender tagging.</w:t>
            </w:r>
          </w:p>
        </w:tc>
      </w:tr>
      <w:tr>
        <w:tc>
          <w:tcPr>
            <w:tcW w:type="dxa" w:w="2300"/>
            <w:tcMar>
              <w:top w:w="80" w:type="dxa"/>
              <w:start w:w="120" w:type="dxa"/>
              <w:bottom w:w="80" w:type="dxa"/>
              <w:end w:w="120" w:type="dxa"/>
            </w:tcMar>
            <w:vAlign w:val="center"/>
          </w:tcPr>
          <w:p>
            <w:pPr>
              <w:spacing w:after="0"/>
            </w:pPr>
            <w:r>
              <w:rPr>
                <w:rFonts w:ascii="Calibri" w:hAnsi="Calibri"/>
                <w:b/>
                <w:sz w:val="18"/>
              </w:rPr>
              <w:t>Teams</w:t>
            </w:r>
          </w:p>
        </w:tc>
        <w:tc>
          <w:tcPr>
            <w:tcW w:type="dxa" w:w="7060"/>
            <w:tcMar>
              <w:top w:w="80" w:type="dxa"/>
              <w:start w:w="120" w:type="dxa"/>
              <w:bottom w:w="80" w:type="dxa"/>
              <w:end w:w="120" w:type="dxa"/>
            </w:tcMar>
            <w:vAlign w:val="center"/>
          </w:tcPr>
          <w:p>
            <w:pPr>
              <w:spacing w:after="0"/>
            </w:pPr>
            <w:r>
              <w:rPr>
                <w:rFonts w:ascii="Calibri" w:hAnsi="Calibri"/>
                <w:sz w:val="18"/>
              </w:rPr>
              <w:t>Guest/external access standards, meeting policy, app governance, recording/transcription policy, lifecycle controls.</w:t>
            </w:r>
          </w:p>
        </w:tc>
      </w:tr>
      <w:tr>
        <w:tc>
          <w:tcPr>
            <w:tcW w:type="dxa" w:w="2300"/>
            <w:tcMar>
              <w:top w:w="80" w:type="dxa"/>
              <w:start w:w="120" w:type="dxa"/>
              <w:bottom w:w="80" w:type="dxa"/>
              <w:end w:w="120" w:type="dxa"/>
            </w:tcMar>
            <w:vAlign w:val="center"/>
          </w:tcPr>
          <w:p>
            <w:pPr>
              <w:spacing w:after="0"/>
            </w:pPr>
            <w:r>
              <w:rPr>
                <w:rFonts w:ascii="Calibri" w:hAnsi="Calibri"/>
                <w:b/>
                <w:sz w:val="18"/>
              </w:rPr>
              <w:t>SharePoint/OneDrive</w:t>
            </w:r>
          </w:p>
        </w:tc>
        <w:tc>
          <w:tcPr>
            <w:tcW w:type="dxa" w:w="7060"/>
            <w:tcMar>
              <w:top w:w="80" w:type="dxa"/>
              <w:start w:w="120" w:type="dxa"/>
              <w:bottom w:w="80" w:type="dxa"/>
              <w:end w:w="120" w:type="dxa"/>
            </w:tcMar>
            <w:vAlign w:val="center"/>
          </w:tcPr>
          <w:p>
            <w:pPr>
              <w:spacing w:after="0"/>
            </w:pPr>
            <w:r>
              <w:rPr>
                <w:rFonts w:ascii="Calibri" w:hAnsi="Calibri"/>
                <w:sz w:val="18"/>
              </w:rPr>
              <w:t>External sharing restrictions, site templates, sensitivity labels, default link settings, retention and access reviews.</w:t>
            </w:r>
          </w:p>
        </w:tc>
      </w:tr>
      <w:tr>
        <w:tc>
          <w:tcPr>
            <w:tcW w:type="dxa" w:w="2300"/>
            <w:tcMar>
              <w:top w:w="80" w:type="dxa"/>
              <w:start w:w="120" w:type="dxa"/>
              <w:bottom w:w="80" w:type="dxa"/>
              <w:end w:w="120" w:type="dxa"/>
            </w:tcMar>
            <w:vAlign w:val="center"/>
          </w:tcPr>
          <w:p>
            <w:pPr>
              <w:spacing w:after="0"/>
            </w:pPr>
            <w:r>
              <w:rPr>
                <w:rFonts w:ascii="Calibri" w:hAnsi="Calibri"/>
                <w:b/>
                <w:sz w:val="18"/>
              </w:rPr>
              <w:t>Purview</w:t>
            </w:r>
          </w:p>
        </w:tc>
        <w:tc>
          <w:tcPr>
            <w:tcW w:type="dxa" w:w="7060"/>
            <w:tcMar>
              <w:top w:w="80" w:type="dxa"/>
              <w:start w:w="120" w:type="dxa"/>
              <w:bottom w:w="80" w:type="dxa"/>
              <w:end w:w="120" w:type="dxa"/>
            </w:tcMar>
            <w:vAlign w:val="center"/>
          </w:tcPr>
          <w:p>
            <w:pPr>
              <w:spacing w:after="0"/>
            </w:pPr>
            <w:r>
              <w:rPr>
                <w:rFonts w:ascii="Calibri" w:hAnsi="Calibri"/>
                <w:sz w:val="18"/>
              </w:rPr>
              <w:t>Sensitivity labels, data classification, retention labels, audit, DLP roadmap.</w:t>
            </w:r>
          </w:p>
        </w:tc>
      </w:tr>
      <w:tr>
        <w:tc>
          <w:tcPr>
            <w:tcW w:type="dxa" w:w="2300"/>
            <w:tcMar>
              <w:top w:w="80" w:type="dxa"/>
              <w:start w:w="120" w:type="dxa"/>
              <w:bottom w:w="80" w:type="dxa"/>
              <w:end w:w="120" w:type="dxa"/>
            </w:tcMar>
            <w:vAlign w:val="center"/>
          </w:tcPr>
          <w:p>
            <w:pPr>
              <w:spacing w:after="0"/>
            </w:pPr>
            <w:r>
              <w:rPr>
                <w:rFonts w:ascii="Calibri" w:hAnsi="Calibri"/>
                <w:b/>
                <w:sz w:val="18"/>
              </w:rPr>
              <w:t>Intune</w:t>
            </w:r>
          </w:p>
        </w:tc>
        <w:tc>
          <w:tcPr>
            <w:tcW w:type="dxa" w:w="7060"/>
            <w:tcMar>
              <w:top w:w="80" w:type="dxa"/>
              <w:start w:w="120" w:type="dxa"/>
              <w:bottom w:w="80" w:type="dxa"/>
              <w:end w:w="120" w:type="dxa"/>
            </w:tcMar>
            <w:vAlign w:val="center"/>
          </w:tcPr>
          <w:p>
            <w:pPr>
              <w:spacing w:after="0"/>
            </w:pPr>
            <w:r>
              <w:rPr>
                <w:rFonts w:ascii="Calibri" w:hAnsi="Calibri"/>
                <w:sz w:val="18"/>
              </w:rPr>
              <w:t>Compliance policies, security baselines, Autopilot, update rings, app deployment, endpoint privilege controls.</w:t>
            </w:r>
          </w:p>
        </w:tc>
      </w:tr>
      <w:tr>
        <w:tc>
          <w:tcPr>
            <w:tcW w:type="dxa" w:w="2300"/>
            <w:tcMar>
              <w:top w:w="80" w:type="dxa"/>
              <w:start w:w="120" w:type="dxa"/>
              <w:bottom w:w="80" w:type="dxa"/>
              <w:end w:w="120" w:type="dxa"/>
            </w:tcMar>
            <w:vAlign w:val="center"/>
          </w:tcPr>
          <w:p>
            <w:pPr>
              <w:spacing w:after="0"/>
            </w:pPr>
            <w:r>
              <w:rPr>
                <w:rFonts w:ascii="Calibri" w:hAnsi="Calibri"/>
                <w:b/>
                <w:sz w:val="18"/>
              </w:rPr>
              <w:t>Defender XDR</w:t>
            </w:r>
          </w:p>
        </w:tc>
        <w:tc>
          <w:tcPr>
            <w:tcW w:type="dxa" w:w="7060"/>
            <w:tcMar>
              <w:top w:w="80" w:type="dxa"/>
              <w:start w:w="120" w:type="dxa"/>
              <w:bottom w:w="80" w:type="dxa"/>
              <w:end w:w="120" w:type="dxa"/>
            </w:tcMar>
            <w:vAlign w:val="center"/>
          </w:tcPr>
          <w:p>
            <w:pPr>
              <w:spacing w:after="0"/>
            </w:pPr>
            <w:r>
              <w:rPr>
                <w:rFonts w:ascii="Calibri" w:hAnsi="Calibri"/>
                <w:sz w:val="18"/>
              </w:rPr>
              <w:t>Cross-workload incidents and SOC triage model.</w:t>
            </w:r>
          </w:p>
        </w:tc>
      </w:tr>
    </w:tbl>
    <w:p>
      <w:pPr>
        <w:spacing w:after="80"/>
      </w:pPr>
    </w:p>
    <w:p>
      <w:pPr>
        <w:pStyle w:val="Heading1"/>
      </w:pPr>
      <w:r>
        <w:t>11. Phase 6: Application Platform and AKS</w:t>
      </w:r>
    </w:p>
    <w:p>
      <w:pPr>
        <w:spacing w:after="120" w:before="0" w:line="264" w:lineRule="auto"/>
      </w:pPr>
      <w:r>
        <w:rPr>
          <w:rFonts w:ascii="Calibri" w:hAnsi="Calibri"/>
          <w:b w:val="0"/>
          <w:i w:val="0"/>
        </w:rPr>
        <w:t>The first application platform should prove that the landing zone can host a real elastic workload.</w:t>
      </w:r>
    </w:p>
    <w:p>
      <w:pPr>
        <w:pStyle w:val="ListBullet"/>
        <w:spacing w:after="80" w:line="280" w:lineRule="auto"/>
      </w:pPr>
      <w:r>
        <w:t>Deploy private AKS with Azure CNI, network policy, Azure RBAC, workload identity, OIDC issuer, and Azure Policy add-on.</w:t>
      </w:r>
    </w:p>
    <w:p>
      <w:pPr>
        <w:pStyle w:val="ListBullet"/>
        <w:spacing w:after="80" w:line="280" w:lineRule="auto"/>
      </w:pPr>
      <w:r>
        <w:t>Create ACR Premium with admin disabled and image scanning process.</w:t>
      </w:r>
    </w:p>
    <w:p>
      <w:pPr>
        <w:pStyle w:val="ListBullet"/>
        <w:spacing w:after="80" w:line="280" w:lineRule="auto"/>
      </w:pPr>
      <w:r>
        <w:t>Use Key Vault with private endpoint, RBAC, purge protection, and workload identity.</w:t>
      </w:r>
    </w:p>
    <w:p>
      <w:pPr>
        <w:pStyle w:val="ListBullet"/>
        <w:spacing w:after="80" w:line="280" w:lineRule="auto"/>
      </w:pPr>
      <w:r>
        <w:t>Implement cluster autoscaler, user node pools, HPA, and KEDA for event-driven scaling.</w:t>
      </w:r>
    </w:p>
    <w:p>
      <w:pPr>
        <w:pStyle w:val="ListBullet"/>
        <w:spacing w:after="80" w:line="280" w:lineRule="auto"/>
      </w:pPr>
      <w:r>
        <w:t>Deploy ingress through WAF-approved pattern.</w:t>
      </w:r>
    </w:p>
    <w:p>
      <w:pPr>
        <w:pStyle w:val="ListBullet"/>
        <w:spacing w:after="80" w:line="280" w:lineRule="auto"/>
      </w:pPr>
      <w:r>
        <w:t>Add CI/CD for image build, scan, push, deploy, and approval.</w:t>
      </w:r>
    </w:p>
    <w:p>
      <w:pPr>
        <w:pStyle w:val="Heading1"/>
      </w:pPr>
      <w:r>
        <w:t>12. Phase 7: Automation and CI/CD</w:t>
      </w:r>
    </w:p>
    <w:tbl>
      <w:tblPr>
        <w:tblStyle w:val="TableGrid"/>
        <w:tblW w:type="dxa" w:w="9360"/>
        <w:tblLayout w:type="fixed"/>
        <w:tblLook w:firstColumn="1" w:firstRow="1" w:lastColumn="0" w:lastRow="0" w:noHBand="0" w:noVBand="1" w:val="04A0"/>
        <w:jc w:val="center"/>
        <w:tblInd w:type="dxa" w:w="120"/>
      </w:tblPr>
      <w:tblGrid>
        <w:gridCol w:w="1900"/>
        <w:gridCol w:w="4960"/>
        <w:gridCol w:w="2500"/>
      </w:tblGrid>
      <w:tr>
        <w:tc>
          <w:tcPr>
            <w:tcW w:type="dxa" w:w="1900"/>
            <w:vAlign w:val="center"/>
            <w:tcMar>
              <w:top w:w="80" w:type="dxa"/>
              <w:start w:w="120" w:type="dxa"/>
              <w:bottom w:w="80" w:type="dxa"/>
              <w:end w:w="120" w:type="dxa"/>
            </w:tcMar>
            <w:shd w:fill="F2F4F7"/>
          </w:tcPr>
          <w:p>
            <w:pPr>
              <w:jc w:val="center"/>
            </w:pPr>
            <w:r>
              <w:rPr>
                <w:rFonts w:ascii="Calibri" w:hAnsi="Calibri"/>
                <w:b/>
                <w:color w:val="0B2545"/>
                <w:sz w:val="17"/>
              </w:rPr>
              <w:t>Pipeline</w:t>
            </w:r>
          </w:p>
        </w:tc>
        <w:tc>
          <w:tcPr>
            <w:tcW w:type="dxa" w:w="4960"/>
            <w:vAlign w:val="center"/>
            <w:tcMar>
              <w:top w:w="80" w:type="dxa"/>
              <w:start w:w="120" w:type="dxa"/>
              <w:bottom w:w="80" w:type="dxa"/>
              <w:end w:w="120" w:type="dxa"/>
            </w:tcMar>
            <w:shd w:fill="F2F4F7"/>
          </w:tcPr>
          <w:p>
            <w:pPr>
              <w:jc w:val="center"/>
            </w:pPr>
            <w:r>
              <w:rPr>
                <w:rFonts w:ascii="Calibri" w:hAnsi="Calibri"/>
                <w:b/>
                <w:color w:val="0B2545"/>
                <w:sz w:val="17"/>
              </w:rPr>
              <w:t>Purpose</w:t>
            </w:r>
          </w:p>
        </w:tc>
        <w:tc>
          <w:tcPr>
            <w:tcW w:type="dxa" w:w="2500"/>
            <w:vAlign w:val="center"/>
            <w:tcMar>
              <w:top w:w="80" w:type="dxa"/>
              <w:start w:w="120" w:type="dxa"/>
              <w:bottom w:w="80" w:type="dxa"/>
              <w:end w:w="120" w:type="dxa"/>
            </w:tcMar>
            <w:shd w:fill="F2F4F7"/>
          </w:tcPr>
          <w:p>
            <w:pPr>
              <w:jc w:val="center"/>
            </w:pPr>
            <w:r>
              <w:rPr>
                <w:rFonts w:ascii="Calibri" w:hAnsi="Calibri"/>
                <w:b/>
                <w:color w:val="0B2545"/>
                <w:sz w:val="17"/>
              </w:rPr>
              <w:t>Gate</w:t>
            </w:r>
          </w:p>
        </w:tc>
      </w:tr>
      <w:tr>
        <w:tc>
          <w:tcPr>
            <w:tcW w:type="dxa" w:w="1900"/>
            <w:tcMar>
              <w:top w:w="80" w:type="dxa"/>
              <w:start w:w="120" w:type="dxa"/>
              <w:bottom w:w="80" w:type="dxa"/>
              <w:end w:w="120" w:type="dxa"/>
            </w:tcMar>
            <w:vAlign w:val="center"/>
          </w:tcPr>
          <w:p>
            <w:pPr>
              <w:spacing w:after="0"/>
            </w:pPr>
            <w:r>
              <w:rPr>
                <w:rFonts w:ascii="Calibri" w:hAnsi="Calibri"/>
                <w:b/>
                <w:sz w:val="17"/>
              </w:rPr>
              <w:t>Terraform plan</w:t>
            </w:r>
          </w:p>
        </w:tc>
        <w:tc>
          <w:tcPr>
            <w:tcW w:type="dxa" w:w="4960"/>
            <w:tcMar>
              <w:top w:w="80" w:type="dxa"/>
              <w:start w:w="120" w:type="dxa"/>
              <w:bottom w:w="80" w:type="dxa"/>
              <w:end w:w="120" w:type="dxa"/>
            </w:tcMar>
            <w:vAlign w:val="center"/>
          </w:tcPr>
          <w:p>
            <w:pPr>
              <w:spacing w:after="0"/>
            </w:pPr>
            <w:r>
              <w:rPr>
                <w:rFonts w:ascii="Calibri" w:hAnsi="Calibri"/>
                <w:sz w:val="17"/>
              </w:rPr>
              <w:t>Validate and preview landing-zone changes.</w:t>
            </w:r>
          </w:p>
        </w:tc>
        <w:tc>
          <w:tcPr>
            <w:tcW w:type="dxa" w:w="2500"/>
            <w:tcMar>
              <w:top w:w="80" w:type="dxa"/>
              <w:start w:w="120" w:type="dxa"/>
              <w:bottom w:w="80" w:type="dxa"/>
              <w:end w:w="120" w:type="dxa"/>
            </w:tcMar>
            <w:vAlign w:val="center"/>
          </w:tcPr>
          <w:p>
            <w:pPr>
              <w:spacing w:after="0"/>
            </w:pPr>
            <w:r>
              <w:rPr>
                <w:rFonts w:ascii="Calibri" w:hAnsi="Calibri"/>
                <w:sz w:val="17"/>
              </w:rPr>
              <w:t>Pull request required.</w:t>
            </w:r>
          </w:p>
        </w:tc>
      </w:tr>
      <w:tr>
        <w:tc>
          <w:tcPr>
            <w:tcW w:type="dxa" w:w="1900"/>
            <w:tcMar>
              <w:top w:w="80" w:type="dxa"/>
              <w:start w:w="120" w:type="dxa"/>
              <w:bottom w:w="80" w:type="dxa"/>
              <w:end w:w="120" w:type="dxa"/>
            </w:tcMar>
            <w:vAlign w:val="center"/>
          </w:tcPr>
          <w:p>
            <w:pPr>
              <w:spacing w:after="0"/>
            </w:pPr>
            <w:r>
              <w:rPr>
                <w:rFonts w:ascii="Calibri" w:hAnsi="Calibri"/>
                <w:b/>
                <w:sz w:val="17"/>
              </w:rPr>
              <w:t>Terraform apply</w:t>
            </w:r>
          </w:p>
        </w:tc>
        <w:tc>
          <w:tcPr>
            <w:tcW w:type="dxa" w:w="4960"/>
            <w:tcMar>
              <w:top w:w="80" w:type="dxa"/>
              <w:start w:w="120" w:type="dxa"/>
              <w:bottom w:w="80" w:type="dxa"/>
              <w:end w:w="120" w:type="dxa"/>
            </w:tcMar>
            <w:vAlign w:val="center"/>
          </w:tcPr>
          <w:p>
            <w:pPr>
              <w:spacing w:after="0"/>
            </w:pPr>
            <w:r>
              <w:rPr>
                <w:rFonts w:ascii="Calibri" w:hAnsi="Calibri"/>
                <w:sz w:val="17"/>
              </w:rPr>
              <w:t>Apply approved infrastructure changes.</w:t>
            </w:r>
          </w:p>
        </w:tc>
        <w:tc>
          <w:tcPr>
            <w:tcW w:type="dxa" w:w="2500"/>
            <w:tcMar>
              <w:top w:w="80" w:type="dxa"/>
              <w:start w:w="120" w:type="dxa"/>
              <w:bottom w:w="80" w:type="dxa"/>
              <w:end w:w="120" w:type="dxa"/>
            </w:tcMar>
            <w:vAlign w:val="center"/>
          </w:tcPr>
          <w:p>
            <w:pPr>
              <w:spacing w:after="0"/>
            </w:pPr>
            <w:r>
              <w:rPr>
                <w:rFonts w:ascii="Calibri" w:hAnsi="Calibri"/>
                <w:sz w:val="17"/>
              </w:rPr>
              <w:t>GitHub environment manual approval.</w:t>
            </w:r>
          </w:p>
        </w:tc>
      </w:tr>
      <w:tr>
        <w:tc>
          <w:tcPr>
            <w:tcW w:type="dxa" w:w="1900"/>
            <w:tcMar>
              <w:top w:w="80" w:type="dxa"/>
              <w:start w:w="120" w:type="dxa"/>
              <w:bottom w:w="80" w:type="dxa"/>
              <w:end w:w="120" w:type="dxa"/>
            </w:tcMar>
            <w:vAlign w:val="center"/>
          </w:tcPr>
          <w:p>
            <w:pPr>
              <w:spacing w:after="0"/>
            </w:pPr>
            <w:r>
              <w:rPr>
                <w:rFonts w:ascii="Calibri" w:hAnsi="Calibri"/>
                <w:b/>
                <w:sz w:val="17"/>
              </w:rPr>
              <w:t>M365 baseline</w:t>
            </w:r>
          </w:p>
        </w:tc>
        <w:tc>
          <w:tcPr>
            <w:tcW w:type="dxa" w:w="4960"/>
            <w:tcMar>
              <w:top w:w="80" w:type="dxa"/>
              <w:start w:w="120" w:type="dxa"/>
              <w:bottom w:w="80" w:type="dxa"/>
              <w:end w:w="120" w:type="dxa"/>
            </w:tcMar>
            <w:vAlign w:val="center"/>
          </w:tcPr>
          <w:p>
            <w:pPr>
              <w:spacing w:after="0"/>
            </w:pPr>
            <w:r>
              <w:rPr>
                <w:rFonts w:ascii="Calibri" w:hAnsi="Calibri"/>
                <w:sz w:val="17"/>
              </w:rPr>
              <w:t>Apply Graph/PowerShell configuration changes.</w:t>
            </w:r>
          </w:p>
        </w:tc>
        <w:tc>
          <w:tcPr>
            <w:tcW w:type="dxa" w:w="2500"/>
            <w:tcMar>
              <w:top w:w="80" w:type="dxa"/>
              <w:start w:w="120" w:type="dxa"/>
              <w:bottom w:w="80" w:type="dxa"/>
              <w:end w:w="120" w:type="dxa"/>
            </w:tcMar>
            <w:vAlign w:val="center"/>
          </w:tcPr>
          <w:p>
            <w:pPr>
              <w:spacing w:after="0"/>
            </w:pPr>
            <w:r>
              <w:rPr>
                <w:rFonts w:ascii="Calibri" w:hAnsi="Calibri"/>
                <w:sz w:val="17"/>
              </w:rPr>
              <w:t>Pilot ring and approval.</w:t>
            </w:r>
          </w:p>
        </w:tc>
      </w:tr>
      <w:tr>
        <w:tc>
          <w:tcPr>
            <w:tcW w:type="dxa" w:w="1900"/>
            <w:tcMar>
              <w:top w:w="80" w:type="dxa"/>
              <w:start w:w="120" w:type="dxa"/>
              <w:bottom w:w="80" w:type="dxa"/>
              <w:end w:w="120" w:type="dxa"/>
            </w:tcMar>
            <w:vAlign w:val="center"/>
          </w:tcPr>
          <w:p>
            <w:pPr>
              <w:spacing w:after="0"/>
            </w:pPr>
            <w:r>
              <w:rPr>
                <w:rFonts w:ascii="Calibri" w:hAnsi="Calibri"/>
                <w:b/>
                <w:sz w:val="17"/>
              </w:rPr>
              <w:t>Container build</w:t>
            </w:r>
          </w:p>
        </w:tc>
        <w:tc>
          <w:tcPr>
            <w:tcW w:type="dxa" w:w="4960"/>
            <w:tcMar>
              <w:top w:w="80" w:type="dxa"/>
              <w:start w:w="120" w:type="dxa"/>
              <w:bottom w:w="80" w:type="dxa"/>
              <w:end w:w="120" w:type="dxa"/>
            </w:tcMar>
            <w:vAlign w:val="center"/>
          </w:tcPr>
          <w:p>
            <w:pPr>
              <w:spacing w:after="0"/>
            </w:pPr>
            <w:r>
              <w:rPr>
                <w:rFonts w:ascii="Calibri" w:hAnsi="Calibri"/>
                <w:sz w:val="17"/>
              </w:rPr>
              <w:t>Build, tag, scan, and push app images.</w:t>
            </w:r>
          </w:p>
        </w:tc>
        <w:tc>
          <w:tcPr>
            <w:tcW w:type="dxa" w:w="2500"/>
            <w:tcMar>
              <w:top w:w="80" w:type="dxa"/>
              <w:start w:w="120" w:type="dxa"/>
              <w:bottom w:w="80" w:type="dxa"/>
              <w:end w:w="120" w:type="dxa"/>
            </w:tcMar>
            <w:vAlign w:val="center"/>
          </w:tcPr>
          <w:p>
            <w:pPr>
              <w:spacing w:after="0"/>
            </w:pPr>
            <w:r>
              <w:rPr>
                <w:rFonts w:ascii="Calibri" w:hAnsi="Calibri"/>
                <w:sz w:val="17"/>
              </w:rPr>
              <w:t>Secret scanning and image policy.</w:t>
            </w:r>
          </w:p>
        </w:tc>
      </w:tr>
      <w:tr>
        <w:tc>
          <w:tcPr>
            <w:tcW w:type="dxa" w:w="1900"/>
            <w:tcMar>
              <w:top w:w="80" w:type="dxa"/>
              <w:start w:w="120" w:type="dxa"/>
              <w:bottom w:w="80" w:type="dxa"/>
              <w:end w:w="120" w:type="dxa"/>
            </w:tcMar>
            <w:vAlign w:val="center"/>
          </w:tcPr>
          <w:p>
            <w:pPr>
              <w:spacing w:after="0"/>
            </w:pPr>
            <w:r>
              <w:rPr>
                <w:rFonts w:ascii="Calibri" w:hAnsi="Calibri"/>
                <w:b/>
                <w:sz w:val="17"/>
              </w:rPr>
              <w:t>Kubernetes deploy</w:t>
            </w:r>
          </w:p>
        </w:tc>
        <w:tc>
          <w:tcPr>
            <w:tcW w:type="dxa" w:w="4960"/>
            <w:tcMar>
              <w:top w:w="80" w:type="dxa"/>
              <w:start w:w="120" w:type="dxa"/>
              <w:bottom w:w="80" w:type="dxa"/>
              <w:end w:w="120" w:type="dxa"/>
            </w:tcMar>
            <w:vAlign w:val="center"/>
          </w:tcPr>
          <w:p>
            <w:pPr>
              <w:spacing w:after="0"/>
            </w:pPr>
            <w:r>
              <w:rPr>
                <w:rFonts w:ascii="Calibri" w:hAnsi="Calibri"/>
                <w:sz w:val="17"/>
              </w:rPr>
              <w:t>Deploy manifests/Helm/GitOps changes.</w:t>
            </w:r>
          </w:p>
        </w:tc>
        <w:tc>
          <w:tcPr>
            <w:tcW w:type="dxa" w:w="2500"/>
            <w:tcMar>
              <w:top w:w="80" w:type="dxa"/>
              <w:start w:w="120" w:type="dxa"/>
              <w:bottom w:w="80" w:type="dxa"/>
              <w:end w:w="120" w:type="dxa"/>
            </w:tcMar>
            <w:vAlign w:val="center"/>
          </w:tcPr>
          <w:p>
            <w:pPr>
              <w:spacing w:after="0"/>
            </w:pPr>
            <w:r>
              <w:rPr>
                <w:rFonts w:ascii="Calibri" w:hAnsi="Calibri"/>
                <w:sz w:val="17"/>
              </w:rPr>
              <w:t>Environment approval and rollout checks.</w:t>
            </w:r>
          </w:p>
        </w:tc>
      </w:tr>
      <w:tr>
        <w:tc>
          <w:tcPr>
            <w:tcW w:type="dxa" w:w="1900"/>
            <w:tcMar>
              <w:top w:w="80" w:type="dxa"/>
              <w:start w:w="120" w:type="dxa"/>
              <w:bottom w:w="80" w:type="dxa"/>
              <w:end w:w="120" w:type="dxa"/>
            </w:tcMar>
            <w:vAlign w:val="center"/>
          </w:tcPr>
          <w:p>
            <w:pPr>
              <w:spacing w:after="0"/>
            </w:pPr>
            <w:r>
              <w:rPr>
                <w:rFonts w:ascii="Calibri" w:hAnsi="Calibri"/>
                <w:b/>
                <w:sz w:val="17"/>
              </w:rPr>
              <w:t>Drift detection</w:t>
            </w:r>
          </w:p>
        </w:tc>
        <w:tc>
          <w:tcPr>
            <w:tcW w:type="dxa" w:w="4960"/>
            <w:tcMar>
              <w:top w:w="80" w:type="dxa"/>
              <w:start w:w="120" w:type="dxa"/>
              <w:bottom w:w="80" w:type="dxa"/>
              <w:end w:w="120" w:type="dxa"/>
            </w:tcMar>
            <w:vAlign w:val="center"/>
          </w:tcPr>
          <w:p>
            <w:pPr>
              <w:spacing w:after="0"/>
            </w:pPr>
            <w:r>
              <w:rPr>
                <w:rFonts w:ascii="Calibri" w:hAnsi="Calibri"/>
                <w:sz w:val="17"/>
              </w:rPr>
              <w:t>Scheduled plan/check jobs detect manual drift.</w:t>
            </w:r>
          </w:p>
        </w:tc>
        <w:tc>
          <w:tcPr>
            <w:tcW w:type="dxa" w:w="2500"/>
            <w:tcMar>
              <w:top w:w="80" w:type="dxa"/>
              <w:start w:w="120" w:type="dxa"/>
              <w:bottom w:w="80" w:type="dxa"/>
              <w:end w:w="120" w:type="dxa"/>
            </w:tcMar>
            <w:vAlign w:val="center"/>
          </w:tcPr>
          <w:p>
            <w:pPr>
              <w:spacing w:after="0"/>
            </w:pPr>
            <w:r>
              <w:rPr>
                <w:rFonts w:ascii="Calibri" w:hAnsi="Calibri"/>
                <w:sz w:val="17"/>
              </w:rPr>
              <w:t>Ticket or PR remediation.</w:t>
            </w:r>
          </w:p>
        </w:tc>
      </w:tr>
    </w:tbl>
    <w:p>
      <w:pPr>
        <w:spacing w:after="80"/>
      </w:pPr>
    </w:p>
    <w:p>
      <w:pPr>
        <w:pStyle w:val="Heading1"/>
      </w:pPr>
      <w:r>
        <w:t>13. Phase 8: Adoption and Operating Model</w:t>
      </w:r>
    </w:p>
    <w:p>
      <w:pPr>
        <w:spacing w:after="120" w:before="0" w:line="264" w:lineRule="auto"/>
      </w:pPr>
      <w:r>
        <w:rPr>
          <w:rFonts w:ascii="Calibri" w:hAnsi="Calibri"/>
          <w:b w:val="0"/>
          <w:i w:val="0"/>
        </w:rPr>
        <w:t>The work is not complete when the code deploys. The company needs a cloud operating model that people can follow.</w:t>
      </w:r>
    </w:p>
    <w:tbl>
      <w:tblPr>
        <w:tblStyle w:val="TableGrid"/>
        <w:tblW w:type="dxa" w:w="9360"/>
        <w:tblLayout w:type="fixed"/>
        <w:tblLook w:firstColumn="1" w:firstRow="1" w:lastColumn="0" w:lastRow="0" w:noHBand="0" w:noVBand="1" w:val="04A0"/>
        <w:jc w:val="center"/>
        <w:tblInd w:type="dxa" w:w="120"/>
      </w:tblPr>
      <w:tblGrid>
        <w:gridCol w:w="2400"/>
        <w:gridCol w:w="6960"/>
      </w:tblGrid>
      <w:tr>
        <w:tc>
          <w:tcPr>
            <w:tcW w:type="dxa" w:w="2400"/>
            <w:vAlign w:val="center"/>
            <w:tcMar>
              <w:top w:w="80" w:type="dxa"/>
              <w:start w:w="120" w:type="dxa"/>
              <w:bottom w:w="80" w:type="dxa"/>
              <w:end w:w="120" w:type="dxa"/>
            </w:tcMar>
            <w:shd w:fill="F2F4F7"/>
          </w:tcPr>
          <w:p>
            <w:pPr>
              <w:jc w:val="center"/>
            </w:pPr>
            <w:r>
              <w:rPr>
                <w:rFonts w:ascii="Calibri" w:hAnsi="Calibri"/>
                <w:b/>
                <w:color w:val="0B2545"/>
                <w:sz w:val="18"/>
              </w:rPr>
              <w:t>Artifact</w:t>
            </w:r>
          </w:p>
        </w:tc>
        <w:tc>
          <w:tcPr>
            <w:tcW w:type="dxa" w:w="6960"/>
            <w:vAlign w:val="center"/>
            <w:tcMar>
              <w:top w:w="80" w:type="dxa"/>
              <w:start w:w="120" w:type="dxa"/>
              <w:bottom w:w="80" w:type="dxa"/>
              <w:end w:w="120" w:type="dxa"/>
            </w:tcMar>
            <w:shd w:fill="F2F4F7"/>
          </w:tcPr>
          <w:p>
            <w:pPr>
              <w:jc w:val="center"/>
            </w:pPr>
            <w:r>
              <w:rPr>
                <w:rFonts w:ascii="Calibri" w:hAnsi="Calibri"/>
                <w:b/>
                <w:color w:val="0B2545"/>
                <w:sz w:val="18"/>
              </w:rPr>
              <w:t>Why It Matters</w:t>
            </w:r>
          </w:p>
        </w:tc>
      </w:tr>
      <w:tr>
        <w:tc>
          <w:tcPr>
            <w:tcW w:type="dxa" w:w="2400"/>
            <w:tcMar>
              <w:top w:w="80" w:type="dxa"/>
              <w:start w:w="120" w:type="dxa"/>
              <w:bottom w:w="80" w:type="dxa"/>
              <w:end w:w="120" w:type="dxa"/>
            </w:tcMar>
            <w:vAlign w:val="center"/>
          </w:tcPr>
          <w:p>
            <w:pPr>
              <w:spacing w:after="0"/>
            </w:pPr>
            <w:r>
              <w:rPr>
                <w:rFonts w:ascii="Calibri" w:hAnsi="Calibri"/>
                <w:b/>
                <w:sz w:val="18"/>
              </w:rPr>
              <w:t>Executive decision pack</w:t>
            </w:r>
          </w:p>
        </w:tc>
        <w:tc>
          <w:tcPr>
            <w:tcW w:type="dxa" w:w="6960"/>
            <w:tcMar>
              <w:top w:w="80" w:type="dxa"/>
              <w:start w:w="120" w:type="dxa"/>
              <w:bottom w:w="80" w:type="dxa"/>
              <w:end w:w="120" w:type="dxa"/>
            </w:tcMar>
            <w:vAlign w:val="center"/>
          </w:tcPr>
          <w:p>
            <w:pPr>
              <w:spacing w:after="0"/>
            </w:pPr>
            <w:r>
              <w:rPr>
                <w:rFonts w:ascii="Calibri" w:hAnsi="Calibri"/>
                <w:sz w:val="18"/>
              </w:rPr>
              <w:t>Shows what leadership approved and why.</w:t>
            </w:r>
          </w:p>
        </w:tc>
      </w:tr>
      <w:tr>
        <w:tc>
          <w:tcPr>
            <w:tcW w:type="dxa" w:w="2400"/>
            <w:tcMar>
              <w:top w:w="80" w:type="dxa"/>
              <w:start w:w="120" w:type="dxa"/>
              <w:bottom w:w="80" w:type="dxa"/>
              <w:end w:w="120" w:type="dxa"/>
            </w:tcMar>
            <w:vAlign w:val="center"/>
          </w:tcPr>
          <w:p>
            <w:pPr>
              <w:spacing w:after="0"/>
            </w:pPr>
            <w:r>
              <w:rPr>
                <w:rFonts w:ascii="Calibri" w:hAnsi="Calibri"/>
                <w:b/>
                <w:sz w:val="18"/>
              </w:rPr>
              <w:t>Architecture standards</w:t>
            </w:r>
          </w:p>
        </w:tc>
        <w:tc>
          <w:tcPr>
            <w:tcW w:type="dxa" w:w="6960"/>
            <w:tcMar>
              <w:top w:w="80" w:type="dxa"/>
              <w:start w:w="120" w:type="dxa"/>
              <w:bottom w:w="80" w:type="dxa"/>
              <w:end w:w="120" w:type="dxa"/>
            </w:tcMar>
            <w:vAlign w:val="center"/>
          </w:tcPr>
          <w:p>
            <w:pPr>
              <w:spacing w:after="0"/>
            </w:pPr>
            <w:r>
              <w:rPr>
                <w:rFonts w:ascii="Calibri" w:hAnsi="Calibri"/>
                <w:sz w:val="18"/>
              </w:rPr>
              <w:t>Defines the company cloud contract.</w:t>
            </w:r>
          </w:p>
        </w:tc>
      </w:tr>
      <w:tr>
        <w:tc>
          <w:tcPr>
            <w:tcW w:type="dxa" w:w="2400"/>
            <w:tcMar>
              <w:top w:w="80" w:type="dxa"/>
              <w:start w:w="120" w:type="dxa"/>
              <w:bottom w:w="80" w:type="dxa"/>
              <w:end w:w="120" w:type="dxa"/>
            </w:tcMar>
            <w:vAlign w:val="center"/>
          </w:tcPr>
          <w:p>
            <w:pPr>
              <w:spacing w:after="0"/>
            </w:pPr>
            <w:r>
              <w:rPr>
                <w:rFonts w:ascii="Calibri" w:hAnsi="Calibri"/>
                <w:b/>
                <w:sz w:val="18"/>
              </w:rPr>
              <w:t>Runbooks</w:t>
            </w:r>
          </w:p>
        </w:tc>
        <w:tc>
          <w:tcPr>
            <w:tcW w:type="dxa" w:w="6960"/>
            <w:tcMar>
              <w:top w:w="80" w:type="dxa"/>
              <w:start w:w="120" w:type="dxa"/>
              <w:bottom w:w="80" w:type="dxa"/>
              <w:end w:w="120" w:type="dxa"/>
            </w:tcMar>
            <w:vAlign w:val="center"/>
          </w:tcPr>
          <w:p>
            <w:pPr>
              <w:spacing w:after="0"/>
            </w:pPr>
            <w:r>
              <w:rPr>
                <w:rFonts w:ascii="Calibri" w:hAnsi="Calibri"/>
                <w:sz w:val="18"/>
              </w:rPr>
              <w:t>Tells operators how to respond, recover, rotate, upgrade, and onboard.</w:t>
            </w:r>
          </w:p>
        </w:tc>
      </w:tr>
      <w:tr>
        <w:tc>
          <w:tcPr>
            <w:tcW w:type="dxa" w:w="2400"/>
            <w:tcMar>
              <w:top w:w="80" w:type="dxa"/>
              <w:start w:w="120" w:type="dxa"/>
              <w:bottom w:w="80" w:type="dxa"/>
              <w:end w:w="120" w:type="dxa"/>
            </w:tcMar>
            <w:vAlign w:val="center"/>
          </w:tcPr>
          <w:p>
            <w:pPr>
              <w:spacing w:after="0"/>
            </w:pPr>
            <w:r>
              <w:rPr>
                <w:rFonts w:ascii="Calibri" w:hAnsi="Calibri"/>
                <w:b/>
                <w:sz w:val="18"/>
              </w:rPr>
              <w:t>Subscription vending form</w:t>
            </w:r>
          </w:p>
        </w:tc>
        <w:tc>
          <w:tcPr>
            <w:tcW w:type="dxa" w:w="6960"/>
            <w:tcMar>
              <w:top w:w="80" w:type="dxa"/>
              <w:start w:w="120" w:type="dxa"/>
              <w:bottom w:w="80" w:type="dxa"/>
              <w:end w:w="120" w:type="dxa"/>
            </w:tcMar>
            <w:vAlign w:val="center"/>
          </w:tcPr>
          <w:p>
            <w:pPr>
              <w:spacing w:after="0"/>
            </w:pPr>
            <w:r>
              <w:rPr>
                <w:rFonts w:ascii="Calibri" w:hAnsi="Calibri"/>
                <w:sz w:val="18"/>
              </w:rPr>
              <w:t>Turns new cloud demand into a repeatable intake.</w:t>
            </w:r>
          </w:p>
        </w:tc>
      </w:tr>
      <w:tr>
        <w:tc>
          <w:tcPr>
            <w:tcW w:type="dxa" w:w="2400"/>
            <w:tcMar>
              <w:top w:w="80" w:type="dxa"/>
              <w:start w:w="120" w:type="dxa"/>
              <w:bottom w:w="80" w:type="dxa"/>
              <w:end w:w="120" w:type="dxa"/>
            </w:tcMar>
            <w:vAlign w:val="center"/>
          </w:tcPr>
          <w:p>
            <w:pPr>
              <w:spacing w:after="0"/>
            </w:pPr>
            <w:r>
              <w:rPr>
                <w:rFonts w:ascii="Calibri" w:hAnsi="Calibri"/>
                <w:b/>
                <w:sz w:val="18"/>
              </w:rPr>
              <w:t>Exception register</w:t>
            </w:r>
          </w:p>
        </w:tc>
        <w:tc>
          <w:tcPr>
            <w:tcW w:type="dxa" w:w="6960"/>
            <w:tcMar>
              <w:top w:w="80" w:type="dxa"/>
              <w:start w:w="120" w:type="dxa"/>
              <w:bottom w:w="80" w:type="dxa"/>
              <w:end w:w="120" w:type="dxa"/>
            </w:tcMar>
            <w:vAlign w:val="center"/>
          </w:tcPr>
          <w:p>
            <w:pPr>
              <w:spacing w:after="0"/>
            </w:pPr>
            <w:r>
              <w:rPr>
                <w:rFonts w:ascii="Calibri" w:hAnsi="Calibri"/>
                <w:sz w:val="18"/>
              </w:rPr>
              <w:t>Makes risk visible and time-bound.</w:t>
            </w:r>
          </w:p>
        </w:tc>
      </w:tr>
      <w:tr>
        <w:tc>
          <w:tcPr>
            <w:tcW w:type="dxa" w:w="2400"/>
            <w:tcMar>
              <w:top w:w="80" w:type="dxa"/>
              <w:start w:w="120" w:type="dxa"/>
              <w:bottom w:w="80" w:type="dxa"/>
              <w:end w:w="120" w:type="dxa"/>
            </w:tcMar>
            <w:vAlign w:val="center"/>
          </w:tcPr>
          <w:p>
            <w:pPr>
              <w:spacing w:after="0"/>
            </w:pPr>
            <w:r>
              <w:rPr>
                <w:rFonts w:ascii="Calibri" w:hAnsi="Calibri"/>
                <w:b/>
                <w:sz w:val="18"/>
              </w:rPr>
              <w:t>Dashboards</w:t>
            </w:r>
          </w:p>
        </w:tc>
        <w:tc>
          <w:tcPr>
            <w:tcW w:type="dxa" w:w="6960"/>
            <w:tcMar>
              <w:top w:w="80" w:type="dxa"/>
              <w:start w:w="120" w:type="dxa"/>
              <w:bottom w:w="80" w:type="dxa"/>
              <w:end w:w="120" w:type="dxa"/>
            </w:tcMar>
            <w:vAlign w:val="center"/>
          </w:tcPr>
          <w:p>
            <w:pPr>
              <w:spacing w:after="0"/>
            </w:pPr>
            <w:r>
              <w:rPr>
                <w:rFonts w:ascii="Calibri" w:hAnsi="Calibri"/>
                <w:sz w:val="18"/>
              </w:rPr>
              <w:t>Shows compliance, spend, security posture, and adoption progress.</w:t>
            </w:r>
          </w:p>
        </w:tc>
      </w:tr>
      <w:tr>
        <w:tc>
          <w:tcPr>
            <w:tcW w:type="dxa" w:w="2400"/>
            <w:tcMar>
              <w:top w:w="80" w:type="dxa"/>
              <w:start w:w="120" w:type="dxa"/>
              <w:bottom w:w="80" w:type="dxa"/>
              <w:end w:w="120" w:type="dxa"/>
            </w:tcMar>
            <w:vAlign w:val="center"/>
          </w:tcPr>
          <w:p>
            <w:pPr>
              <w:spacing w:after="0"/>
            </w:pPr>
            <w:r>
              <w:rPr>
                <w:rFonts w:ascii="Calibri" w:hAnsi="Calibri"/>
                <w:b/>
                <w:sz w:val="18"/>
              </w:rPr>
              <w:t>Training path</w:t>
            </w:r>
          </w:p>
        </w:tc>
        <w:tc>
          <w:tcPr>
            <w:tcW w:type="dxa" w:w="6960"/>
            <w:tcMar>
              <w:top w:w="80" w:type="dxa"/>
              <w:start w:w="120" w:type="dxa"/>
              <w:bottom w:w="80" w:type="dxa"/>
              <w:end w:w="120" w:type="dxa"/>
            </w:tcMar>
            <w:vAlign w:val="center"/>
          </w:tcPr>
          <w:p>
            <w:pPr>
              <w:spacing w:after="0"/>
            </w:pPr>
            <w:r>
              <w:rPr>
                <w:rFonts w:ascii="Calibri" w:hAnsi="Calibri"/>
                <w:sz w:val="18"/>
              </w:rPr>
              <w:t>Turns the one-person build into an operating capability.</w:t>
            </w:r>
          </w:p>
        </w:tc>
      </w:tr>
    </w:tbl>
    <w:p>
      <w:pPr>
        <w:spacing w:after="80"/>
      </w:pPr>
    </w:p>
    <w:p>
      <w:pPr>
        <w:pStyle w:val="Heading1"/>
      </w:pPr>
      <w:r>
        <w:t>14. Safety Gates</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FFF8E8"/>
          </w:tcPr>
          <w:p>
            <w:pPr>
              <w:spacing w:after="60"/>
            </w:pPr>
            <w:r>
              <w:rPr>
                <w:rFonts w:ascii="Calibri" w:hAnsi="Calibri"/>
                <w:b/>
                <w:color w:val="0B2545"/>
                <w:sz w:val="22"/>
              </w:rPr>
              <w:t>Controls That Must Never Be Skipped</w:t>
            </w:r>
          </w:p>
          <w:p>
            <w:pPr>
              <w:spacing w:after="0"/>
            </w:pPr>
            <w:r>
              <w:rPr>
                <w:rFonts w:ascii="Calibri" w:hAnsi="Calibri"/>
                <w:color w:val="000000"/>
                <w:sz w:val="21"/>
              </w:rPr>
              <w:t>Break-glass tested, report-only first for Conditional Access, pilot rings for Intune, audit-first policy where migration risk exists, and manual production approval for infrastructure changes.</w:t>
            </w:r>
          </w:p>
        </w:tc>
      </w:tr>
    </w:tbl>
    <w:p>
      <w:pPr>
        <w:spacing w:after="80"/>
      </w:pPr>
    </w:p>
    <w:tbl>
      <w:tblPr>
        <w:tblStyle w:val="TableGrid"/>
        <w:tblW w:type="dxa" w:w="9360"/>
        <w:tblLayout w:type="fixed"/>
        <w:tblLook w:firstColumn="1" w:firstRow="1" w:lastColumn="0" w:lastRow="0" w:noHBand="0" w:noVBand="1" w:val="04A0"/>
        <w:jc w:val="center"/>
        <w:tblInd w:type="dxa" w:w="120"/>
      </w:tblPr>
      <w:tblGrid>
        <w:gridCol w:w="2200"/>
        <w:gridCol w:w="7160"/>
      </w:tblGrid>
      <w:tr>
        <w:tc>
          <w:tcPr>
            <w:tcW w:type="dxa" w:w="2200"/>
            <w:vAlign w:val="center"/>
            <w:tcMar>
              <w:top w:w="80" w:type="dxa"/>
              <w:start w:w="120" w:type="dxa"/>
              <w:bottom w:w="80" w:type="dxa"/>
              <w:end w:w="120" w:type="dxa"/>
            </w:tcMar>
            <w:shd w:fill="F2F4F7"/>
          </w:tcPr>
          <w:p>
            <w:pPr>
              <w:jc w:val="center"/>
            </w:pPr>
            <w:r>
              <w:rPr>
                <w:rFonts w:ascii="Calibri" w:hAnsi="Calibri"/>
                <w:b/>
                <w:color w:val="0B2545"/>
                <w:sz w:val="18"/>
              </w:rPr>
              <w:t>Gate</w:t>
            </w:r>
          </w:p>
        </w:tc>
        <w:tc>
          <w:tcPr>
            <w:tcW w:type="dxa" w:w="7160"/>
            <w:vAlign w:val="center"/>
            <w:tcMar>
              <w:top w:w="80" w:type="dxa"/>
              <w:start w:w="120" w:type="dxa"/>
              <w:bottom w:w="80" w:type="dxa"/>
              <w:end w:w="120" w:type="dxa"/>
            </w:tcMar>
            <w:shd w:fill="F2F4F7"/>
          </w:tcPr>
          <w:p>
            <w:pPr>
              <w:jc w:val="center"/>
            </w:pPr>
            <w:r>
              <w:rPr>
                <w:rFonts w:ascii="Calibri" w:hAnsi="Calibri"/>
                <w:b/>
                <w:color w:val="0B2545"/>
                <w:sz w:val="18"/>
              </w:rPr>
              <w:t>Pass Criteria</w:t>
            </w:r>
          </w:p>
        </w:tc>
      </w:tr>
      <w:tr>
        <w:tc>
          <w:tcPr>
            <w:tcW w:type="dxa" w:w="2200"/>
            <w:tcMar>
              <w:top w:w="80" w:type="dxa"/>
              <w:start w:w="120" w:type="dxa"/>
              <w:bottom w:w="80" w:type="dxa"/>
              <w:end w:w="120" w:type="dxa"/>
            </w:tcMar>
            <w:vAlign w:val="center"/>
          </w:tcPr>
          <w:p>
            <w:pPr>
              <w:spacing w:after="0"/>
            </w:pPr>
            <w:r>
              <w:rPr>
                <w:rFonts w:ascii="Calibri" w:hAnsi="Calibri"/>
                <w:b/>
                <w:sz w:val="18"/>
              </w:rPr>
              <w:t>Break-glass</w:t>
            </w:r>
          </w:p>
        </w:tc>
        <w:tc>
          <w:tcPr>
            <w:tcW w:type="dxa" w:w="7160"/>
            <w:tcMar>
              <w:top w:w="80" w:type="dxa"/>
              <w:start w:w="120" w:type="dxa"/>
              <w:bottom w:w="80" w:type="dxa"/>
              <w:end w:w="120" w:type="dxa"/>
            </w:tcMar>
            <w:vAlign w:val="center"/>
          </w:tcPr>
          <w:p>
            <w:pPr>
              <w:spacing w:after="0"/>
            </w:pPr>
            <w:r>
              <w:rPr>
                <w:rFonts w:ascii="Calibri" w:hAnsi="Calibri"/>
                <w:sz w:val="18"/>
              </w:rPr>
              <w:t>Two accounts tested, monitored, documented, and excluded from federation failure paths.</w:t>
            </w:r>
          </w:p>
        </w:tc>
      </w:tr>
      <w:tr>
        <w:tc>
          <w:tcPr>
            <w:tcW w:type="dxa" w:w="2200"/>
            <w:tcMar>
              <w:top w:w="80" w:type="dxa"/>
              <w:start w:w="120" w:type="dxa"/>
              <w:bottom w:w="80" w:type="dxa"/>
              <w:end w:w="120" w:type="dxa"/>
            </w:tcMar>
            <w:vAlign w:val="center"/>
          </w:tcPr>
          <w:p>
            <w:pPr>
              <w:spacing w:after="0"/>
            </w:pPr>
            <w:r>
              <w:rPr>
                <w:rFonts w:ascii="Calibri" w:hAnsi="Calibri"/>
                <w:b/>
                <w:sz w:val="18"/>
              </w:rPr>
              <w:t>Conditional Access</w:t>
            </w:r>
          </w:p>
        </w:tc>
        <w:tc>
          <w:tcPr>
            <w:tcW w:type="dxa" w:w="7160"/>
            <w:tcMar>
              <w:top w:w="80" w:type="dxa"/>
              <w:start w:w="120" w:type="dxa"/>
              <w:bottom w:w="80" w:type="dxa"/>
              <w:end w:w="120" w:type="dxa"/>
            </w:tcMar>
            <w:vAlign w:val="center"/>
          </w:tcPr>
          <w:p>
            <w:pPr>
              <w:spacing w:after="0"/>
            </w:pPr>
            <w:r>
              <w:rPr>
                <w:rFonts w:ascii="Calibri" w:hAnsi="Calibri"/>
                <w:sz w:val="18"/>
              </w:rPr>
              <w:t>Report-only results reviewed before enforcement.</w:t>
            </w:r>
          </w:p>
        </w:tc>
      </w:tr>
      <w:tr>
        <w:tc>
          <w:tcPr>
            <w:tcW w:type="dxa" w:w="2200"/>
            <w:tcMar>
              <w:top w:w="80" w:type="dxa"/>
              <w:start w:w="120" w:type="dxa"/>
              <w:bottom w:w="80" w:type="dxa"/>
              <w:end w:w="120" w:type="dxa"/>
            </w:tcMar>
            <w:vAlign w:val="center"/>
          </w:tcPr>
          <w:p>
            <w:pPr>
              <w:spacing w:after="0"/>
            </w:pPr>
            <w:r>
              <w:rPr>
                <w:rFonts w:ascii="Calibri" w:hAnsi="Calibri"/>
                <w:b/>
                <w:sz w:val="18"/>
              </w:rPr>
              <w:t>Intune</w:t>
            </w:r>
          </w:p>
        </w:tc>
        <w:tc>
          <w:tcPr>
            <w:tcW w:type="dxa" w:w="7160"/>
            <w:tcMar>
              <w:top w:w="80" w:type="dxa"/>
              <w:start w:w="120" w:type="dxa"/>
              <w:bottom w:w="80" w:type="dxa"/>
              <w:end w:w="120" w:type="dxa"/>
            </w:tcMar>
            <w:vAlign w:val="center"/>
          </w:tcPr>
          <w:p>
            <w:pPr>
              <w:spacing w:after="0"/>
            </w:pPr>
            <w:r>
              <w:rPr>
                <w:rFonts w:ascii="Calibri" w:hAnsi="Calibri"/>
                <w:sz w:val="18"/>
              </w:rPr>
              <w:t>Pilot group validates compliance and baselines before broad rollout.</w:t>
            </w:r>
          </w:p>
        </w:tc>
      </w:tr>
      <w:tr>
        <w:tc>
          <w:tcPr>
            <w:tcW w:type="dxa" w:w="2200"/>
            <w:tcMar>
              <w:top w:w="80" w:type="dxa"/>
              <w:start w:w="120" w:type="dxa"/>
              <w:bottom w:w="80" w:type="dxa"/>
              <w:end w:w="120" w:type="dxa"/>
            </w:tcMar>
            <w:vAlign w:val="center"/>
          </w:tcPr>
          <w:p>
            <w:pPr>
              <w:spacing w:after="0"/>
            </w:pPr>
            <w:r>
              <w:rPr>
                <w:rFonts w:ascii="Calibri" w:hAnsi="Calibri"/>
                <w:b/>
                <w:sz w:val="18"/>
              </w:rPr>
              <w:t>Defender</w:t>
            </w:r>
          </w:p>
        </w:tc>
        <w:tc>
          <w:tcPr>
            <w:tcW w:type="dxa" w:w="7160"/>
            <w:tcMar>
              <w:top w:w="80" w:type="dxa"/>
              <w:start w:w="120" w:type="dxa"/>
              <w:bottom w:w="80" w:type="dxa"/>
              <w:end w:w="120" w:type="dxa"/>
            </w:tcMar>
            <w:vAlign w:val="center"/>
          </w:tcPr>
          <w:p>
            <w:pPr>
              <w:spacing w:after="0"/>
            </w:pPr>
            <w:r>
              <w:rPr>
                <w:rFonts w:ascii="Calibri" w:hAnsi="Calibri"/>
                <w:sz w:val="18"/>
              </w:rPr>
              <w:t>Plans enabled in pilot subscriptions and alert routing validated.</w:t>
            </w:r>
          </w:p>
        </w:tc>
      </w:tr>
      <w:tr>
        <w:tc>
          <w:tcPr>
            <w:tcW w:type="dxa" w:w="2200"/>
            <w:tcMar>
              <w:top w:w="80" w:type="dxa"/>
              <w:start w:w="120" w:type="dxa"/>
              <w:bottom w:w="80" w:type="dxa"/>
              <w:end w:w="120" w:type="dxa"/>
            </w:tcMar>
            <w:vAlign w:val="center"/>
          </w:tcPr>
          <w:p>
            <w:pPr>
              <w:spacing w:after="0"/>
            </w:pPr>
            <w:r>
              <w:rPr>
                <w:rFonts w:ascii="Calibri" w:hAnsi="Calibri"/>
                <w:b/>
                <w:sz w:val="18"/>
              </w:rPr>
              <w:t>Azure Policy</w:t>
            </w:r>
          </w:p>
        </w:tc>
        <w:tc>
          <w:tcPr>
            <w:tcW w:type="dxa" w:w="7160"/>
            <w:tcMar>
              <w:top w:w="80" w:type="dxa"/>
              <w:start w:w="120" w:type="dxa"/>
              <w:bottom w:w="80" w:type="dxa"/>
              <w:end w:w="120" w:type="dxa"/>
            </w:tcMar>
            <w:vAlign w:val="center"/>
          </w:tcPr>
          <w:p>
            <w:pPr>
              <w:spacing w:after="0"/>
            </w:pPr>
            <w:r>
              <w:rPr>
                <w:rFonts w:ascii="Calibri" w:hAnsi="Calibri"/>
                <w:sz w:val="18"/>
              </w:rPr>
              <w:t>Deny policies tested in nonprod or scoped pilot before enterprise enforcement.</w:t>
            </w:r>
          </w:p>
        </w:tc>
      </w:tr>
      <w:tr>
        <w:tc>
          <w:tcPr>
            <w:tcW w:type="dxa" w:w="2200"/>
            <w:tcMar>
              <w:top w:w="80" w:type="dxa"/>
              <w:start w:w="120" w:type="dxa"/>
              <w:bottom w:w="80" w:type="dxa"/>
              <w:end w:w="120" w:type="dxa"/>
            </w:tcMar>
            <w:vAlign w:val="center"/>
          </w:tcPr>
          <w:p>
            <w:pPr>
              <w:spacing w:after="0"/>
            </w:pPr>
            <w:r>
              <w:rPr>
                <w:rFonts w:ascii="Calibri" w:hAnsi="Calibri"/>
                <w:b/>
                <w:sz w:val="18"/>
              </w:rPr>
              <w:t>Terraform</w:t>
            </w:r>
          </w:p>
        </w:tc>
        <w:tc>
          <w:tcPr>
            <w:tcW w:type="dxa" w:w="7160"/>
            <w:tcMar>
              <w:top w:w="80" w:type="dxa"/>
              <w:start w:w="120" w:type="dxa"/>
              <w:bottom w:w="80" w:type="dxa"/>
              <w:end w:w="120" w:type="dxa"/>
            </w:tcMar>
            <w:vAlign w:val="center"/>
          </w:tcPr>
          <w:p>
            <w:pPr>
              <w:spacing w:after="0"/>
            </w:pPr>
            <w:r>
              <w:rPr>
                <w:rFonts w:ascii="Calibri" w:hAnsi="Calibri"/>
                <w:sz w:val="18"/>
              </w:rPr>
              <w:t>Plan reviewed and approved before apply.</w:t>
            </w:r>
          </w:p>
        </w:tc>
      </w:tr>
      <w:tr>
        <w:tc>
          <w:tcPr>
            <w:tcW w:type="dxa" w:w="2200"/>
            <w:tcMar>
              <w:top w:w="80" w:type="dxa"/>
              <w:start w:w="120" w:type="dxa"/>
              <w:bottom w:w="80" w:type="dxa"/>
              <w:end w:w="120" w:type="dxa"/>
            </w:tcMar>
            <w:vAlign w:val="center"/>
          </w:tcPr>
          <w:p>
            <w:pPr>
              <w:spacing w:after="0"/>
            </w:pPr>
            <w:r>
              <w:rPr>
                <w:rFonts w:ascii="Calibri" w:hAnsi="Calibri"/>
                <w:b/>
                <w:sz w:val="18"/>
              </w:rPr>
              <w:t>M365</w:t>
            </w:r>
          </w:p>
        </w:tc>
        <w:tc>
          <w:tcPr>
            <w:tcW w:type="dxa" w:w="7160"/>
            <w:tcMar>
              <w:top w:w="80" w:type="dxa"/>
              <w:start w:w="120" w:type="dxa"/>
              <w:bottom w:w="80" w:type="dxa"/>
              <w:end w:w="120" w:type="dxa"/>
            </w:tcMar>
            <w:vAlign w:val="center"/>
          </w:tcPr>
          <w:p>
            <w:pPr>
              <w:spacing w:after="0"/>
            </w:pPr>
            <w:r>
              <w:rPr>
                <w:rFonts w:ascii="Calibri" w:hAnsi="Calibri"/>
                <w:sz w:val="18"/>
              </w:rPr>
              <w:t>Configuration changes exported before modification.</w:t>
            </w:r>
          </w:p>
        </w:tc>
      </w:tr>
    </w:tbl>
    <w:p>
      <w:pPr>
        <w:spacing w:after="80"/>
      </w:pPr>
    </w:p>
    <w:p>
      <w:pPr>
        <w:pStyle w:val="Heading1"/>
      </w:pPr>
      <w:r>
        <w:t>15. First 30/60/90 Days</w:t>
      </w:r>
    </w:p>
    <w:tbl>
      <w:tblPr>
        <w:tblStyle w:val="TableGrid"/>
        <w:tblW w:type="dxa" w:w="9360"/>
        <w:tblLayout w:type="fixed"/>
        <w:tblLook w:firstColumn="1" w:firstRow="1" w:lastColumn="0" w:lastRow="0" w:noHBand="0" w:noVBand="1" w:val="04A0"/>
        <w:jc w:val="center"/>
        <w:tblInd w:type="dxa" w:w="120"/>
      </w:tblPr>
      <w:tblGrid>
        <w:gridCol w:w="1600"/>
        <w:gridCol w:w="7760"/>
      </w:tblGrid>
      <w:tr>
        <w:tc>
          <w:tcPr>
            <w:tcW w:type="dxa" w:w="1600"/>
            <w:vAlign w:val="center"/>
            <w:tcMar>
              <w:top w:w="80" w:type="dxa"/>
              <w:start w:w="120" w:type="dxa"/>
              <w:bottom w:w="80" w:type="dxa"/>
              <w:end w:w="120" w:type="dxa"/>
            </w:tcMar>
            <w:shd w:fill="F2F4F7"/>
          </w:tcPr>
          <w:p>
            <w:pPr>
              <w:jc w:val="center"/>
            </w:pPr>
            <w:r>
              <w:rPr>
                <w:rFonts w:ascii="Calibri" w:hAnsi="Calibri"/>
                <w:b/>
                <w:color w:val="0B2545"/>
                <w:sz w:val="18"/>
              </w:rPr>
              <w:t>Window</w:t>
            </w:r>
          </w:p>
        </w:tc>
        <w:tc>
          <w:tcPr>
            <w:tcW w:type="dxa" w:w="7760"/>
            <w:vAlign w:val="center"/>
            <w:tcMar>
              <w:top w:w="80" w:type="dxa"/>
              <w:start w:w="120" w:type="dxa"/>
              <w:bottom w:w="80" w:type="dxa"/>
              <w:end w:w="120" w:type="dxa"/>
            </w:tcMar>
            <w:shd w:fill="F2F4F7"/>
          </w:tcPr>
          <w:p>
            <w:pPr>
              <w:jc w:val="center"/>
            </w:pPr>
            <w:r>
              <w:rPr>
                <w:rFonts w:ascii="Calibri" w:hAnsi="Calibri"/>
                <w:b/>
                <w:color w:val="0B2545"/>
                <w:sz w:val="18"/>
              </w:rPr>
              <w:t>Primary Outcomes</w:t>
            </w:r>
          </w:p>
        </w:tc>
      </w:tr>
      <w:tr>
        <w:tc>
          <w:tcPr>
            <w:tcW w:type="dxa" w:w="1600"/>
            <w:tcMar>
              <w:top w:w="80" w:type="dxa"/>
              <w:start w:w="120" w:type="dxa"/>
              <w:bottom w:w="80" w:type="dxa"/>
              <w:end w:w="120" w:type="dxa"/>
            </w:tcMar>
            <w:vAlign w:val="center"/>
          </w:tcPr>
          <w:p>
            <w:pPr>
              <w:spacing w:after="0"/>
            </w:pPr>
            <w:r>
              <w:rPr>
                <w:rFonts w:ascii="Calibri" w:hAnsi="Calibri"/>
                <w:b/>
                <w:sz w:val="18"/>
              </w:rPr>
              <w:t>Days 1-30</w:t>
            </w:r>
          </w:p>
        </w:tc>
        <w:tc>
          <w:tcPr>
            <w:tcW w:type="dxa" w:w="7760"/>
            <w:tcMar>
              <w:top w:w="80" w:type="dxa"/>
              <w:start w:w="120" w:type="dxa"/>
              <w:bottom w:w="80" w:type="dxa"/>
              <w:end w:w="120" w:type="dxa"/>
            </w:tcMar>
            <w:vAlign w:val="center"/>
          </w:tcPr>
          <w:p>
            <w:pPr>
              <w:spacing w:after="0"/>
            </w:pPr>
            <w:r>
              <w:rPr>
                <w:rFonts w:ascii="Calibri" w:hAnsi="Calibri"/>
                <w:sz w:val="18"/>
              </w:rPr>
              <w:t>Tenant assessment, repo setup, tooling, break-glass, standards, management groups, initial policy/RBAC, remote state.</w:t>
            </w:r>
          </w:p>
        </w:tc>
      </w:tr>
      <w:tr>
        <w:tc>
          <w:tcPr>
            <w:tcW w:type="dxa" w:w="1600"/>
            <w:tcMar>
              <w:top w:w="80" w:type="dxa"/>
              <w:start w:w="120" w:type="dxa"/>
              <w:bottom w:w="80" w:type="dxa"/>
              <w:end w:w="120" w:type="dxa"/>
            </w:tcMar>
            <w:vAlign w:val="center"/>
          </w:tcPr>
          <w:p>
            <w:pPr>
              <w:spacing w:after="0"/>
            </w:pPr>
            <w:r>
              <w:rPr>
                <w:rFonts w:ascii="Calibri" w:hAnsi="Calibri"/>
                <w:b/>
                <w:sz w:val="18"/>
              </w:rPr>
              <w:t>Days 31-60</w:t>
            </w:r>
          </w:p>
        </w:tc>
        <w:tc>
          <w:tcPr>
            <w:tcW w:type="dxa" w:w="7760"/>
            <w:tcMar>
              <w:top w:w="80" w:type="dxa"/>
              <w:start w:w="120" w:type="dxa"/>
              <w:bottom w:w="80" w:type="dxa"/>
              <w:end w:w="120" w:type="dxa"/>
            </w:tcMar>
            <w:vAlign w:val="center"/>
          </w:tcPr>
          <w:p>
            <w:pPr>
              <w:spacing w:after="0"/>
            </w:pPr>
            <w:r>
              <w:rPr>
                <w:rFonts w:ascii="Calibri" w:hAnsi="Calibri"/>
                <w:sz w:val="18"/>
              </w:rPr>
              <w:t>Hub network, central logging, Defender baseline, Sentinel connectors, Conditional Access pilots, Intune pilots, first AKS landing zone.</w:t>
            </w:r>
          </w:p>
        </w:tc>
      </w:tr>
      <w:tr>
        <w:tc>
          <w:tcPr>
            <w:tcW w:type="dxa" w:w="1600"/>
            <w:tcMar>
              <w:top w:w="80" w:type="dxa"/>
              <w:start w:w="120" w:type="dxa"/>
              <w:bottom w:w="80" w:type="dxa"/>
              <w:end w:w="120" w:type="dxa"/>
            </w:tcMar>
            <w:vAlign w:val="center"/>
          </w:tcPr>
          <w:p>
            <w:pPr>
              <w:spacing w:after="0"/>
            </w:pPr>
            <w:r>
              <w:rPr>
                <w:rFonts w:ascii="Calibri" w:hAnsi="Calibri"/>
                <w:b/>
                <w:sz w:val="18"/>
              </w:rPr>
              <w:t>Days 61-90</w:t>
            </w:r>
          </w:p>
        </w:tc>
        <w:tc>
          <w:tcPr>
            <w:tcW w:type="dxa" w:w="7760"/>
            <w:tcMar>
              <w:top w:w="80" w:type="dxa"/>
              <w:start w:w="120" w:type="dxa"/>
              <w:bottom w:w="80" w:type="dxa"/>
              <w:end w:w="120" w:type="dxa"/>
            </w:tcMar>
            <w:vAlign w:val="center"/>
          </w:tcPr>
          <w:p>
            <w:pPr>
              <w:spacing w:after="0"/>
            </w:pPr>
            <w:r>
              <w:rPr>
                <w:rFonts w:ascii="Calibri" w:hAnsi="Calibri"/>
                <w:sz w:val="18"/>
              </w:rPr>
              <w:t>M365 hardening rings, subscription vending, AVD pilot, workload onboarding, dashboards, runbooks, executive adoption reporting.</w:t>
            </w:r>
          </w:p>
        </w:tc>
      </w:tr>
    </w:tbl>
    <w:p>
      <w:pPr>
        <w:spacing w:after="80"/>
      </w:pPr>
    </w:p>
    <w:p>
      <w:pPr>
        <w:pStyle w:val="Heading1"/>
      </w:pPr>
      <w:r>
        <w:t>16. Definition of Done</w:t>
      </w:r>
    </w:p>
    <w:p>
      <w:pPr>
        <w:pStyle w:val="ListBullet"/>
        <w:spacing w:after="80" w:line="280" w:lineRule="auto"/>
      </w:pPr>
      <w:r>
        <w:t>Architecture and executive decision pack approved.</w:t>
      </w:r>
    </w:p>
    <w:p>
      <w:pPr>
        <w:pStyle w:val="ListBullet"/>
        <w:spacing w:after="80" w:line="280" w:lineRule="auto"/>
      </w:pPr>
      <w:r>
        <w:t>GitHub repo contains IaC, scripts, standards, runbooks, and deployment pipelines.</w:t>
      </w:r>
    </w:p>
    <w:p>
      <w:pPr>
        <w:pStyle w:val="ListBullet"/>
        <w:spacing w:after="80" w:line="280" w:lineRule="auto"/>
      </w:pPr>
      <w:r>
        <w:t>Management groups, policies, RBAC, budgets, logging, and Defender are deployed.</w:t>
      </w:r>
    </w:p>
    <w:p>
      <w:pPr>
        <w:pStyle w:val="ListBullet"/>
        <w:spacing w:after="80" w:line="280" w:lineRule="auto"/>
      </w:pPr>
      <w:r>
        <w:t>Identity and Conditional Access baselines are piloted and staged for enforcement.</w:t>
      </w:r>
    </w:p>
    <w:p>
      <w:pPr>
        <w:pStyle w:val="ListBullet"/>
        <w:spacing w:after="80" w:line="280" w:lineRule="auto"/>
      </w:pPr>
      <w:r>
        <w:t>M365 security baselines are documented, piloted, and automated where safe.</w:t>
      </w:r>
    </w:p>
    <w:p>
      <w:pPr>
        <w:pStyle w:val="ListBullet"/>
        <w:spacing w:after="80" w:line="280" w:lineRule="auto"/>
      </w:pPr>
      <w:r>
        <w:t>First AKS landing zone is deployed with private networking, ACR, Key Vault, autoscaling, and monitoring.</w:t>
      </w:r>
    </w:p>
    <w:p>
      <w:pPr>
        <w:pStyle w:val="ListBullet"/>
        <w:spacing w:after="80" w:line="280" w:lineRule="auto"/>
      </w:pPr>
      <w:r>
        <w:t>Subscription vending and exception processes are operational.</w:t>
      </w:r>
    </w:p>
    <w:p>
      <w:pPr>
        <w:pStyle w:val="ListBullet"/>
        <w:spacing w:after="80" w:line="280" w:lineRule="auto"/>
      </w:pPr>
      <w:r>
        <w:t>Dashboards show cost, compliance, security posture, and adoption metrics.</w:t>
      </w:r>
    </w:p>
    <w:p>
      <w:pPr>
        <w:pStyle w:val="Heading1"/>
      </w:pPr>
      <w:r>
        <w:t>17. Final Position</w:t>
      </w:r>
    </w:p>
    <w:p>
      <w:pPr>
        <w:spacing w:after="120" w:before="0" w:line="264" w:lineRule="auto"/>
      </w:pPr>
      <w:r>
        <w:rPr>
          <w:rFonts w:ascii="Calibri" w:hAnsi="Calibri"/>
          <w:b w:val="0"/>
          <w:i w:val="0"/>
        </w:rPr>
        <w:t>A one-person show can initiate this monster if the person operates like a platform organization: standards first, Git as source of truth, automation everywhere, security embedded, and rollout controlled through rings. The work scales because the decisions are encoded into policy, modules, pipelines, and runbooks.</w:t>
      </w:r>
    </w:p>
    <w:p>
      <w:pPr>
        <w:spacing w:after="120" w:before="0" w:line="264" w:lineRule="auto"/>
      </w:pPr>
      <w:r>
        <w:rPr>
          <w:rFonts w:ascii="Calibri" w:hAnsi="Calibri"/>
          <w:b/>
          <w:i w:val="0"/>
          <w:color w:val="0B2545"/>
        </w:rPr>
        <w:t>The right posture is aggressive but disciplined: move fast on architecture and automation, move carefully on tenant-wide enforcement, and make every control measurable.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Confidential architecture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D7DBE2"/>
      </w:pBdr>
    </w:pPr>
    <w:r>
      <w:rPr>
        <w:color w:val="595959"/>
        <w:sz w:val="18"/>
      </w:rPr>
      <w:t>Enterprise Cloud Monster Build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