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Filter Head Ablation Study</w:t>
      </w:r>
    </w:p>
    <w:p>
      <w:pPr>
        <w:spacing w:after="400"/>
      </w:pPr>
      <w:r>
        <w:rPr>
          <w:i/>
          <w:iCs/>
          <w:color w:val="5F5E5A"/>
          <w:sz w:val="22"/>
          <w:szCs w:val="22"/>
        </w:rPr>
        <w:t xml:space="preserve">Comparing input-token filtering strategies for CBM-style concept alignment on CheXpert, using a frozen Qwen3.5-2B backbone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60"/>
      </w:pPr>
      <w:r>
        <w:t xml:space="preserve">Determine which input-token filtering strategy best supports a frozen-backbone, CBM-style concept alignment head on CheXpert chest X-rays, without fine-tuning the underlying vision-language model. Five candidate filter heads are compared against a common alignment head, training pipeline, and evaluation protocol so that differences in results are attributable to the filtering mechanism itself.</w:t>
      </w:r>
    </w:p>
    <w:p>
      <w:pPr>
        <w:pStyle w:val="Heading1"/>
        <w:spacing w:after="150" w:before="300"/>
      </w:pPr>
      <w:r>
        <w:t xml:space="preserve">2. Architecture overview</w:t>
      </w:r>
    </w:p>
    <w:p>
      <w:pPr>
        <w:spacing w:after="160"/>
      </w:pPr>
      <w:r>
        <w:t xml:space="preserve">The backbone (Qwen3.5-2B) stays frozen throughout every experiment — forward-only, no gradients ever reach it. Only the filter head and the alignment head are trained. The filter head is the only component that changes between experimental arms; the alignment head, loss weighting, and training schedule are held constant across all five variants to isolate the effect of the filtering mechanism.</w:t>
      </w:r>
    </w:p>
    <w:p>
      <w:pPr>
        <w:spacing w:after="200"/>
        <w:jc w:val="center"/>
      </w:pPr>
      <w:r>
        <w:drawing>
          <wp:inline distT="0" distB="0" distL="0" distR="0">
            <wp:extent cx="4572000" cy="559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F5E5A"/>
          <w:sz w:val="20"/>
          <w:szCs w:val="20"/>
        </w:rPr>
        <w:t xml:space="preserve">Gray = frozen backbone (never trained). Teal = filter head (the experimental variable). Coral = alignment head (held constant). Amber = the two points where CheXpert's 14 labels supply supervision — a bag-level loss shaping the filter's attention, and a direct loss on the alignment head's concept predictions using only the tokens that survive filtering.</w:t>
      </w:r>
    </w:p>
    <w:p>
      <w:pPr>
        <w:pStyle w:val="Heading1"/>
        <w:spacing w:after="150" w:before="300"/>
      </w:pPr>
      <w:r>
        <w:t xml:space="preserve">3. Filter head variants</w:t>
      </w:r>
    </w:p>
    <w:p>
      <w:pPr>
        <w:pStyle w:val="Heading2"/>
        <w:spacing w:after="120" w:before="240"/>
      </w:pPr>
      <w:r>
        <w:t xml:space="preserve">3.1  MIL gated attention (primary hypothesis)</w:t>
      </w:r>
    </w:p>
    <w:p>
      <w:pPr>
        <w:spacing w:after="160"/>
      </w:pPr>
      <w:r>
        <w:t xml:space="preserve">Gated attention Multiple Instance Learning [1], as used in weakly supervised histopathology models such as CLAM [2]. Learns a scorer  softmax(w · (tanh(Vx) ⊙ sigmoid(Ux)))  over image tokens, trained only on image-level bag labels — no token-level annotation required. Includes its own bag-level auxiliary classifier used purely to supervise the attention weights.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Trainable parameters: attention gate (V, U, w) + bag classifier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Supervision: bag-level CheXpert labels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strength: learns task-specific relevance beyond what the backbone's native attention captures</w:t>
      </w:r>
    </w:p>
    <w:p>
      <w:pPr>
        <w:pStyle w:val="Heading2"/>
        <w:spacing w:after="120" w:before="240"/>
      </w:pPr>
      <w:r>
        <w:t xml:space="preserve">3.2  Backbone's own attention (zero-training baseline)</w:t>
      </w:r>
    </w:p>
    <w:p>
      <w:pPr>
        <w:spacing w:after="160"/>
      </w:pPr>
      <w:r>
        <w:t xml:space="preserve">Reuses the frozen backbone's last-layer attention weights directly (via output_attentions=True), aggregated over image-token positions. No new trainable parameters at all — the cheapest possible baseline, run first to establish whether a trained filter is earning its cost.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Trainable parameters: none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Supervision: none (read directly from the frozen forward pass)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Purpose: sanity-check floor for all other variants</w:t>
      </w:r>
    </w:p>
    <w:p>
      <w:pPr>
        <w:pStyle w:val="Heading2"/>
        <w:spacing w:after="120" w:before="240"/>
      </w:pPr>
      <w:r>
        <w:t xml:space="preserve">3.3  Concept-prototype similarity</w:t>
      </w:r>
    </w:p>
    <w:p>
      <w:pPr>
        <w:spacing w:after="160"/>
      </w:pPr>
      <w:r>
        <w:t xml:space="preserve">Scores each image token by cosine similarity to the alignment head's own 14 concept vectors (the concept_layer weight rows), taking the max similarity across concepts as the token's relevance score. Reuses weights already being trained elsewhere in the pipeline rather than introducing a new mechanism, and is directly interpretable — a kept token can be traced back to the specific finding it matched.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Trainable parameters: none beyond the existing alignment head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Supervision: implicit, inherited from the alignment head's own training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strength: best interpretability-to-cost ratio</w:t>
      </w:r>
    </w:p>
    <w:p>
      <w:pPr>
        <w:pStyle w:val="Heading2"/>
        <w:spacing w:after="120" w:before="240"/>
      </w:pPr>
      <w:r>
        <w:t xml:space="preserve">3.4  MLP scorer + Gumbel-Softmax</w:t>
      </w:r>
    </w:p>
    <w:p>
      <w:pPr>
        <w:spacing w:after="160"/>
      </w:pPr>
      <w:r>
        <w:t xml:space="preserve">A small two-layer MLP scores each token independently (no cross-token interaction), with a Gumbel-Softmax (Concrete distribution) relaxation [3] making the discrete keep/drop decision differentiable during training, without needing a separate straight-through step at the 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Trainable parameters: small MLP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Supervision: bag-level CheXpert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weakness: no token-to-token context informing relevance</w:t>
      </w:r>
    </w:p>
    <w:p>
      <w:pPr>
        <w:pStyle w:val="Heading2"/>
        <w:spacing w:after="120" w:before="240"/>
      </w:pPr>
      <w:r>
        <w:t xml:space="preserve">3.5  Cross-attention with learnable queries</w:t>
      </w:r>
    </w:p>
    <w:p>
      <w:pPr>
        <w:spacing w:after="160"/>
      </w:pPr>
      <w:r>
        <w:t xml:space="preserve">A small set of learnable query vectors (one per CheXpert finding) cross-attend into the image tokens and pull out the most relevant ones per query — similar in spirit to DETR-style or Perceiver-style query attention. Most expressive variant; only worth its added complexity if 3.1–3.4 prove insufficiently selective.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Trainable parameters: 14 query vectors + cross-attention weights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Supervision: bag-level CheXpert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strength: per-finding specialization</w:t>
      </w:r>
    </w:p>
    <w:p>
      <w:pPr>
        <w:pStyle w:val="Heading1"/>
        <w:spacing w:after="150" w:before="300"/>
      </w:pPr>
      <w:r>
        <w:t xml:space="preserve">4. Shared training pipeline</w:t>
      </w:r>
    </w:p>
    <w:p>
      <w:pPr>
        <w:spacing w:after="160"/>
      </w:pPr>
      <w:r>
        <w:t xml:space="preserve">Identical for every variant, so results are comparable: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1 — soft attention. Filter head runs in soft mode (reweight, don't drop); alignment head sees the full token set, reweighted. Stabilizes gradients before any hard selection is introduced.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2 — hardening. Switch to hard top-k selection (straight-through estimator for the trainable variants; direct top-k for the training-free baseline). Fine-tune briefly so heads adapt to genuinely losing information from dropped tokens.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3 — calibration. Sweep token budget k ∈ {16, 32, 64, 128} on held-out validation data; report the smallest k that does not meaningfully reduce concept-prediction AUROC relative to using the full token set.</w:t>
      </w:r>
    </w:p>
    <w:p>
      <w:pPr>
        <w:spacing w:after="160"/>
      </w:pPr>
      <w:r>
        <w:t xml:space="preserve">Loss (variants with trainable filters): total = 1.0 × concept_loss + 0.3 × bag_loss + 0.01 × entropy_regularizer, where entropy_regularizer pushes the attention distribution toward a peaky, few-token shape.</w:t>
      </w:r>
    </w:p>
    <w:p>
      <w:pPr>
        <w:pStyle w:val="Heading1"/>
        <w:spacing w:after="150" w:before="300"/>
      </w:pPr>
      <w:r>
        <w:t xml:space="preserve">5. Dataset and label handling</w:t>
      </w:r>
    </w:p>
    <w:p>
      <w:pPr>
        <w:spacing w:after="160"/>
      </w:pPr>
      <w:r>
        <w:t xml:space="preserve">CheXpert [4]: 224,316 chest radiographs from 65,240 patients, 14 automatically extracted observations per study, each labeled positive, negative, uncertain, or not mentioned.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Frontal-only for the primary runs; frontal+lateral as a secondary ablation, since lateral views help some findings (e.g. effusion) and hurt others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Uncertainty policy: report results under both U-Ones and U-Zeros mappings for the labels most sensitive to this choice, rather than defaulting silently — the original CheXpert paper found the best policy differs by pathology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Official CheXpert train/valid splits; the 200-study radiologist-annotated validation set is reserved for the final AUROC comparison across variants</w:t>
      </w:r>
    </w:p>
    <w:p>
      <w:pPr>
        <w:pStyle w:val="Heading1"/>
        <w:spacing w:after="150" w:before="300"/>
      </w:pPr>
      <w:r>
        <w:t xml:space="preserve">6. Evaluation protocol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Primary metric: per-label AUROC and macro-averaged AUROC across all 14 findings, at each calibrated token budget 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Efficiency metric: tokens retained vs. AUROC retained, to compare the filtering-quality/compute tradeoff across variants directly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Interpretability check: for any available radiologist-marked regions of interest (even a small sample), compare kept-token maps against marked regions across variants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Calibration sanity check: verify concept probability outputs are not systematically over- or under-confident post-filtering, relative to the unfiltered baseline</w:t>
      </w:r>
    </w:p>
    <w:p>
      <w:pPr>
        <w:pStyle w:val="Heading1"/>
        <w:spacing w:after="150" w:before="300"/>
      </w:pPr>
      <w:r>
        <w:t xml:space="preserve">7. Ablation matrix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1400"/>
        <w:gridCol w:w="1900"/>
        <w:gridCol w:w="1750"/>
      </w:tblGrid>
      <w:tr>
        <w:trPr>
          <w:tblHeader/>
        </w:trPr>
        <w:tc>
          <w:tcPr>
            <w:tcW w:type="dxa" w:w="2900"/>
            <w:shd w:fill="F1EF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Filter variant</w:t>
            </w:r>
          </w:p>
        </w:tc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19"/>
                <w:szCs w:val="19"/>
              </w:rPr>
              <w:t xml:space="preserve">New params</w:t>
            </w:r>
          </w:p>
        </w:tc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Training cost</w:t>
            </w:r>
          </w:p>
        </w:tc>
        <w:tc>
          <w:tcPr>
            <w:tcW w:type="dxa" w:w="1900"/>
            <w:shd w:fill="F1EF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Interpretability</w:t>
            </w:r>
          </w:p>
        </w:tc>
        <w:tc>
          <w:tcPr>
            <w:tcW w:type="dxa" w:w="1750"/>
            <w:shd w:fill="F1EFE8" w:val="clear"/>
          </w:tcPr>
          <w:p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Backbone attention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first (baseline)</w:t>
            </w:r>
          </w:p>
        </w:tc>
      </w:tr>
      <w:tr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Concept-prototype similarity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new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Very low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second</w:t>
            </w:r>
          </w:p>
        </w:tc>
      </w:tr>
      <w:tr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MIL gated attention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hypothesis</w:t>
            </w:r>
          </w:p>
        </w:tc>
      </w:tr>
      <w:tr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MLP + Gumbel-Softmax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if 3.1 underperforms</w:t>
            </w:r>
          </w:p>
        </w:tc>
      </w:tr>
      <w:tr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Cross-attention queries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only if needed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8. Risks and mitigations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Bag-level supervision is weaker than token-level supervision — the filter may need more data or a stronger sparsity term than pure classification training to converge on genuinely diagnostic regions rather than spurious correlates.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Qwen3.5's mm_token_type_ids field and its exact image-type integer value need verification against the actual processor output before training — do not assume the value without printing a sample batch.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CheXpert's uncertainty-label policy materially changes per-label results; report both policies for sensitive labels rather than picking one silently.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Hardened (top-k) training can be unstable immediately after switching from soft attention — keep the phase-2 learning rate lower than phase-1.</w:t>
      </w:r>
    </w:p>
    <w:p>
      <w:pPr>
        <w:pStyle w:val="Heading1"/>
        <w:spacing w:after="150" w:before="300"/>
      </w:pPr>
      <w:r>
        <w:t xml:space="preserve">References</w:t>
      </w:r>
    </w:p>
    <w:p>
      <w:pPr>
        <w:spacing w:after="140"/>
      </w:pPr>
      <w:r>
        <w:rPr>
          <w:b/>
          <w:bCs/>
        </w:rPr>
        <w:t xml:space="preserve">[1] </w:t>
      </w:r>
      <w:r>
        <w:t xml:space="preserve">Ilse, M., Tomczak, J. M., &amp; Welling, M. (2018). Attention-based Deep Multiple Instance Learning. ICML 2018.  </w:t>
      </w:r>
      <w:hyperlink w:history="1" r:id="rIdksy0wbuycknut3witj6hg">
        <w:r>
          <w:rPr>
            <w:rStyle w:val="Hyperlink"/>
          </w:rPr>
          <w:t xml:space="preserve">https://arxiv.org/abs/1802.04712</w:t>
        </w:r>
      </w:hyperlink>
    </w:p>
    <w:p>
      <w:pPr>
        <w:spacing w:after="140"/>
      </w:pPr>
      <w:r>
        <w:rPr>
          <w:b/>
          <w:bCs/>
        </w:rPr>
        <w:t xml:space="preserve">[2] </w:t>
      </w:r>
      <w:r>
        <w:t xml:space="preserve">Lu, M. Y., Williamson, D. F. K., Chen, T. Y., Chen, R. J., Barbieri, M., &amp; Mahmood, F. (2021). Data-efficient and weakly supervised computational pathology on whole-slide images. Nature Biomedical Engineering.  </w:t>
      </w:r>
      <w:hyperlink w:history="1" r:id="rIdi-ohr2jliwc5ii9xa5rr5">
        <w:r>
          <w:rPr>
            <w:rStyle w:val="Hyperlink"/>
          </w:rPr>
          <w:t xml:space="preserve">https://arxiv.org/abs/2004.09666</w:t>
        </w:r>
      </w:hyperlink>
    </w:p>
    <w:p>
      <w:pPr>
        <w:spacing w:after="140"/>
      </w:pPr>
      <w:r>
        <w:rPr>
          <w:b/>
          <w:bCs/>
        </w:rPr>
        <w:t xml:space="preserve">[3] </w:t>
      </w:r>
      <w:r>
        <w:t xml:space="preserve">Rao, Y., Zhao, W., Liu, B., Lu, J., Zhou, J., &amp; Hsieh, C.-J. (2021). DynamicViT: Efficient Vision Transformers with Dynamic Token Sparsification. NeurIPS 2021.  </w:t>
      </w:r>
      <w:hyperlink w:history="1" r:id="rIdh-iegxtjbci0yqxgin66e">
        <w:r>
          <w:rPr>
            <w:rStyle w:val="Hyperlink"/>
          </w:rPr>
          <w:t xml:space="preserve">https://arxiv.org/abs/2106.02034</w:t>
        </w:r>
      </w:hyperlink>
    </w:p>
    <w:p>
      <w:pPr>
        <w:spacing w:after="140"/>
      </w:pPr>
      <w:r>
        <w:rPr>
          <w:b/>
          <w:bCs/>
        </w:rPr>
        <w:t xml:space="preserve">[4] </w:t>
      </w:r>
      <w:r>
        <w:t xml:space="preserve">Irvin, J., Rajpurkar, P., Ko, M., et al. (2019). CheXpert: A Large Chest Radiograph Dataset with Uncertainty Labels and Expert Comparison. AAAI 2019.  </w:t>
      </w:r>
      <w:hyperlink w:history="1" r:id="rIdjct8h7jgtysosjxqtz0cd">
        <w:r>
          <w:rPr>
            <w:rStyle w:val="Hyperlink"/>
          </w:rPr>
          <w:t xml:space="preserve">https://arxiv.org/abs/1901.07031</w:t>
        </w:r>
      </w:hyperlink>
    </w:p>
    <w:p>
      <w:pPr>
        <w:spacing w:after="140"/>
      </w:pPr>
      <w:r>
        <w:rPr>
          <w:b/>
          <w:bCs/>
        </w:rPr>
        <w:t xml:space="preserve">[5] </w:t>
      </w:r>
      <w:r>
        <w:t xml:space="preserve">Koh, P. W., Nguyen, T., Tang, Y. S., Mussmann, S., Pierson, E., Kim, B., &amp; Liang, P. (2020). Concept Bottleneck Models. ICML 2020.  </w:t>
      </w:r>
      <w:hyperlink w:history="1" r:id="rIdxshrlkg3a0c8cxizt_74b">
        <w:r>
          <w:rPr>
            <w:rStyle w:val="Hyperlink"/>
          </w:rPr>
          <w:t xml:space="preserve">https://arxiv.org/abs/2007.04612</w:t>
        </w:r>
      </w:hyperlink>
    </w:p>
    <w:p>
      <w:pPr>
        <w:spacing w:after="140"/>
      </w:pPr>
      <w:r>
        <w:rPr>
          <w:b/>
          <w:bCs/>
        </w:rPr>
        <w:t xml:space="preserve">[6] </w:t>
      </w:r>
      <w:r>
        <w:t xml:space="preserve">Chen, L., et al. (2024). An Image is Worth 1/2 Tokens After Layer 2: Plug-and-Play Inference Acceleration for Large Vision-Language Models (FastV).  </w:t>
      </w:r>
      <w:hyperlink w:history="1" r:id="rIdd2m96hnvqnp2d1ybcvyzi">
        <w:r>
          <w:rPr>
            <w:rStyle w:val="Hyperlink"/>
          </w:rPr>
          <w:t xml:space="preserve">https://arxiv.org/abs/2403.06764</w:t>
        </w:r>
      </w:hyperlink>
    </w:p>
    <w:p>
      <w:pPr>
        <w:spacing w:after="140"/>
      </w:pPr>
      <w:r>
        <w:rPr>
          <w:b/>
          <w:bCs/>
        </w:rPr>
        <w:t xml:space="preserve">[7] </w:t>
      </w:r>
      <w:r>
        <w:t xml:space="preserve">DSpark: Confidence-Scheduled Speculative Decoding with Semi-Autoregressive Generation (2026) — origin of the frozen-backbone / trained-side-module design pattern this plan adapts.  </w:t>
      </w:r>
      <w:hyperlink w:history="1" r:id="rIdnf_cavudozmhez3sjtlmr">
        <w:r>
          <w:rPr>
            <w:rStyle w:val="Hyperlink"/>
          </w:rPr>
          <w:t xml:space="preserve">https://www.alphaxiv.org/abs/2026.dspark</w:t>
        </w:r>
      </w:hyperlink>
    </w:p>
    <w:p>
      <w:pPr>
        <w:spacing w:after="140"/>
      </w:pPr>
      <w:r>
        <w:rPr>
          <w:b/>
          <w:bCs/>
        </w:rPr>
        <w:t xml:space="preserve">[8] </w:t>
      </w:r>
      <w:r>
        <w:t xml:space="preserve">Qwen3.5 model documentation, Hugging Face Transformers — processor fields (mm_token_type_ids, image_grid_thw) referenced in Section 8.  </w:t>
      </w:r>
      <w:hyperlink w:history="1" r:id="rId9qrjpv3rl9chnlv1ftile">
        <w:r>
          <w:rPr>
            <w:rStyle w:val="Hyperlink"/>
          </w:rPr>
          <w:t xml:space="preserve">https://huggingface.co/docs/transformers/en/model_doc/qwen3_5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sy0wbuycknut3witj6hg" Type="http://schemas.openxmlformats.org/officeDocument/2006/relationships/hyperlink" Target="https://arxiv.org/abs/1802.04712" TargetMode="External"/><Relationship Id="rIdi-ohr2jliwc5ii9xa5rr5" Type="http://schemas.openxmlformats.org/officeDocument/2006/relationships/hyperlink" Target="https://arxiv.org/abs/2004.09666" TargetMode="External"/><Relationship Id="rIdh-iegxtjbci0yqxgin66e" Type="http://schemas.openxmlformats.org/officeDocument/2006/relationships/hyperlink" Target="https://arxiv.org/abs/2106.02034" TargetMode="External"/><Relationship Id="rIdjct8h7jgtysosjxqtz0cd" Type="http://schemas.openxmlformats.org/officeDocument/2006/relationships/hyperlink" Target="https://arxiv.org/abs/1901.07031" TargetMode="External"/><Relationship Id="rIdxshrlkg3a0c8cxizt_74b" Type="http://schemas.openxmlformats.org/officeDocument/2006/relationships/hyperlink" Target="https://arxiv.org/abs/2007.04612" TargetMode="External"/><Relationship Id="rIdd2m96hnvqnp2d1ybcvyzi" Type="http://schemas.openxmlformats.org/officeDocument/2006/relationships/hyperlink" Target="https://arxiv.org/abs/2403.06764" TargetMode="External"/><Relationship Id="rIdnf_cavudozmhez3sjtlmr" Type="http://schemas.openxmlformats.org/officeDocument/2006/relationships/hyperlink" Target="https://www.alphaxiv.org/abs/2026.dspark" TargetMode="External"/><Relationship Id="rId9qrjpv3rl9chnlv1ftile" Type="http://schemas.openxmlformats.org/officeDocument/2006/relationships/hyperlink" Target="https://huggingface.co/docs/transformers/en/model_doc/qwen3_5" TargetMode="External"/><Relationship Id="rId7" Type="http://schemas.openxmlformats.org/officeDocument/2006/relationships/image" Target="media/7174d9f8d975ed8c2c6d2d479a55a76b6330b82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2026-07-07T09:45:12.260Z</dcterms:created>
  <dcterms:modified xsi:type="dcterms:W3CDTF">2026-07-07T09:45:12.260Z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