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40" w:rsidRPr="00A03A40" w:rsidRDefault="00A03A40" w:rsidP="00A03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Nirmala UI" w:eastAsia="Times New Roman" w:hAnsi="Nirmala UI" w:cs="Nirmala UI"/>
          <w:b/>
          <w:sz w:val="30"/>
          <w:szCs w:val="30"/>
          <w:lang w:eastAsia="en-IN"/>
        </w:rPr>
      </w:pPr>
      <w:r w:rsidRPr="00A03A40">
        <w:rPr>
          <w:rFonts w:ascii="Nirmala UI" w:eastAsia="Times New Roman" w:hAnsi="Nirmala UI" w:cs="Nirmala UI"/>
          <w:b/>
          <w:sz w:val="30"/>
          <w:szCs w:val="30"/>
          <w:lang w:eastAsia="en-IN"/>
        </w:rPr>
        <w:t>Two Letter Words with Definitions</w:t>
      </w:r>
      <w:r>
        <w:rPr>
          <w:rFonts w:ascii="Nirmala UI" w:eastAsia="Times New Roman" w:hAnsi="Nirmala UI" w:cs="Nirmala UI"/>
          <w:b/>
          <w:sz w:val="30"/>
          <w:szCs w:val="30"/>
          <w:lang w:eastAsia="en-IN"/>
        </w:rPr>
        <w:t xml:space="preserve"> (CSW 19)</w:t>
      </w:r>
      <w:bookmarkStart w:id="0" w:name="_GoBack"/>
      <w:bookmarkEnd w:id="0"/>
    </w:p>
    <w:p w:rsidR="00A03A40" w:rsidRPr="00A03A40" w:rsidRDefault="00A03A40" w:rsidP="00A03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</w:p>
    <w:p w:rsidR="00A03A40" w:rsidRPr="00A03A40" w:rsidRDefault="00A03A40" w:rsidP="00A03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  <w:lang w:eastAsia="en-IN"/>
        </w:rPr>
      </w:pP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>AA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rough jagged lava found in Hawaiian volcanos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AB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 abdominal muscle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AD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short form of advertisement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AE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one (Scots.)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 xml:space="preserve">AG       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    agriculture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AH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say "Ah" for joy etc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AI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thr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ee-toed South American sloth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AL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 East Indian tree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>
        <w:rPr>
          <w:rFonts w:ascii="Nirmala UI" w:eastAsia="Times New Roman" w:hAnsi="Nirmala UI" w:cs="Nirmala UI"/>
          <w:bCs/>
          <w:sz w:val="20"/>
          <w:szCs w:val="20"/>
          <w:lang w:eastAsia="en-IN"/>
        </w:rPr>
        <w:t>AM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p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resent tense of the verb be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AN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as in ifs and ans, things that might have happe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ned, but which did not [adj]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AR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 xml:space="preserve">the 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letter "R"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AS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to that extent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AT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in the position of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AW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exclamation of disappointment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AX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verb) to work on with an axe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AY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affirmative vote (also AYE)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BA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  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    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 the eternal 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spirit in Egyptian mythology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BE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exist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BI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bisexual pers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BO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Amer. slang for friend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BY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near; a side issue (pl. BYS)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CH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English dial. for I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DA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Burmese heavy knife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>
        <w:rPr>
          <w:rFonts w:ascii="Nirmala UI" w:eastAsia="Times New Roman" w:hAnsi="Nirmala UI" w:cs="Nirmala UI"/>
          <w:bCs/>
          <w:sz w:val="20"/>
          <w:szCs w:val="20"/>
          <w:lang w:eastAsia="en-IN"/>
        </w:rPr>
        <w:t>DE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 xml:space="preserve">preposition 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meaning of or from, in names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DI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plural of deus (a god)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DO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achieve; a celebration (pl. DOS)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EA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river (dial.)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ED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education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EE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Scots. dial. for eye (pl. EEN)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EF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the letter "F"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EH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say "Eh" for surpris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e etc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EL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an elevated railway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EM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printer's measure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prin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ter's measure, half of an EM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an expression of hesitation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the letter "S"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ET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past tense of eat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EW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used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to express disgust [interj]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EX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the letter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"X"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FA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FE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Hebrew letter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FY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 interj. 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xpressing disgust (also FIE)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GI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judo or karate costume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GO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depart; a J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apanese board game (pl. GOS)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GU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simple violin used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in Shetland (also GJU, GUE)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HA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 exclamation of surprise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HE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male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HI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 exclamation of greeting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HM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expressing thoughtful consideration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lastRenderedPageBreak/>
        <w:t>HO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calling attention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ID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part of the psyche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IF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condition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IN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harvest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IO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cry of joy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IS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present tense of be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IT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impersonal pronoun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JA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yes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JO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sweet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heart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KA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serve (also KAE)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KI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the spirit of Japanese martial art, see QI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KO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Maori digging stick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KY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 xml:space="preserve">cows (also KYE) 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LA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LI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Chinese d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istance unit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LO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look, behold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MA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mother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ME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 (also MI)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MI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same as ME, above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MM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xclamation of satisfaction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MO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moment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MU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Greek letter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MY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belonging to me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 xml:space="preserve">NA       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    interj. of disbelief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NE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arch. form of not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NO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 xml:space="preserve">a no vote (pl. 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also NOES)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NU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Greek letter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NY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) to approach (pl. also NYS)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OB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an objection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OD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mystic universal force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OE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grandchild in Scotland (also OY, OYE)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OF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belonging to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OH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exclaim "Oh" for surprise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OI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NZ bird, petrel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OK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expressing assent [interj]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OM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syllable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 xml:space="preserve"> intoned as part of a mantra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to go on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OO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wool (Scots.)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OP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an abstract art style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OR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the heraldic colour gold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bone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OU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bloke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OW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expressing pain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OX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mammal with hooves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OY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same as OE, above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PA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father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PE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ab/>
        <w:t>a Hebrew letter (also PEH)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PI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jumble or disorder (pr.p. PIEING, PIING)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PO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chamber pot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QI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Chinese life for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t>ce</w:t>
      </w:r>
      <w:r>
        <w:rPr>
          <w:rFonts w:ascii="Nirmala UI" w:eastAsia="Times New Roman" w:hAnsi="Nirmala UI" w:cs="Nirmala UI"/>
          <w:sz w:val="20"/>
          <w:szCs w:val="20"/>
          <w:lang w:eastAsia="en-IN"/>
        </w:rPr>
        <w:br/>
        <w:t>RE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SH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requesting silence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lastRenderedPageBreak/>
        <w:t>SI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SO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 (also SOH)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ST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an exclamation of impatience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 xml:space="preserve">TA  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thanks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TE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TI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small tree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TO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as far as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UG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cause hatred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UH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expressing disbelief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UM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of hesitation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UN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one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UP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(verb) to increase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UR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interj. expressing hesitation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US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third person pronoun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UT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musical note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WE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third person pronoun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WO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curse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XI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Greek letter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XU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Vietnamese coin (pl. XU)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YA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you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YE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you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YO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call for effort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YU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precious jade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ZA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contraction of "pizza"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</w:r>
      <w:r w:rsidRPr="00A03A40">
        <w:rPr>
          <w:rFonts w:ascii="Nirmala UI" w:eastAsia="Times New Roman" w:hAnsi="Nirmala UI" w:cs="Nirmala UI"/>
          <w:bCs/>
          <w:sz w:val="20"/>
          <w:szCs w:val="20"/>
          <w:lang w:eastAsia="en-IN"/>
        </w:rPr>
        <w:t>ZE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gender-neutral subjective pronoun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br/>
        <w:t>ZO</w:t>
      </w:r>
      <w:r w:rsidRPr="00A03A40">
        <w:rPr>
          <w:rFonts w:ascii="Nirmala UI" w:eastAsia="Times New Roman" w:hAnsi="Nirmala UI" w:cs="Nirmala UI"/>
          <w:sz w:val="20"/>
          <w:szCs w:val="20"/>
          <w:lang w:eastAsia="en-IN"/>
        </w:rPr>
        <w:tab/>
        <w:t>a Himalayan cross between a yak and a cow (also DZO, DSO, ZHO, DZHO)</w:t>
      </w:r>
    </w:p>
    <w:p w:rsidR="00F36226" w:rsidRPr="00A03A40" w:rsidRDefault="00F36226" w:rsidP="00A03A40">
      <w:pPr>
        <w:rPr>
          <w:rFonts w:ascii="Nirmala UI" w:hAnsi="Nirmala UI" w:cs="Nirmala UI"/>
        </w:rPr>
      </w:pPr>
    </w:p>
    <w:sectPr w:rsidR="00F36226" w:rsidRPr="00A0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35"/>
    <w:rsid w:val="00A03A40"/>
    <w:rsid w:val="00B10E35"/>
    <w:rsid w:val="00F3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39608-C736-4DE8-83BC-9EDEC991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A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2019-08-12T09:44:00Z</dcterms:created>
  <dcterms:modified xsi:type="dcterms:W3CDTF">2019-08-12T09:49:00Z</dcterms:modified>
</cp:coreProperties>
</file>