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Confidentiality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MOD-CONF.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lib/confidentiality.php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conf_undertaking_live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conf_coverage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conf_ndas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conf_nda_obligation_ends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conf_breach_create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conf_breach_close_missing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ops_confidentiality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lib/disclosure.php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disclosure_save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ops_disclosure</w:t>
      </w:r>
      <w:r>
        <w:rPr>
          <w:color w:val="445566"/>
          <w:sz w:val="20"/>
        </w:rPr>
        <w:t xml:space="preserve">), the visibility engine </w:t>
      </w:r>
      <w:r>
        <w:rPr>
          <w:rFonts w:ascii="Consolas" w:hAnsi="Consolas"/>
          <w:color w:val="445566"/>
          <w:sz w:val="20"/>
        </w:rPr>
        <w:t>lib/cvp.php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cvp_can_see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cvp_visible_codes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cvp_visibility_sql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CVP_VISIBILITY_AUDIENCE</w:t>
      </w:r>
      <w:r>
        <w:rPr>
          <w:color w:val="445566"/>
          <w:sz w:val="20"/>
        </w:rPr>
        <w:t xml:space="preserve">), codes in </w:t>
      </w:r>
      <w:r>
        <w:rPr>
          <w:rFonts w:ascii="Consolas" w:hAnsi="Consolas"/>
          <w:color w:val="445566"/>
          <w:sz w:val="20"/>
        </w:rPr>
        <w:t>lib/ncdca.php</w:t>
      </w:r>
      <w:r>
        <w:rPr>
          <w:color w:val="445566"/>
          <w:sz w:val="20"/>
        </w:rPr>
        <w:t xml:space="preserve">. Views </w:t>
      </w:r>
      <w:r>
        <w:rPr>
          <w:rFonts w:ascii="Consolas" w:hAnsi="Consolas"/>
          <w:color w:val="445566"/>
          <w:sz w:val="20"/>
        </w:rPr>
        <w:t>confidentiality.php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conf_breach.php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disclosure.php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Confidentiality (MOD-CONF) · Area Accreditation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P-QA/P-QM (undertakings, breaches), P-ADMIN (NDAs, disclosure),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§4.2; a breach or a wrong disclosure damages client trust and accreditation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breach close gate, visibility gating, NDA enforcement)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Three cooperating parts: (1) </w:t>
      </w:r>
      <w:r>
        <w:rPr>
          <w:b/>
        </w:rPr>
        <w:t>confidentiality undertakings</w:t>
      </w:r>
      <w:r>
        <w:t xml:space="preserve"> (</w:t>
      </w:r>
      <w:r>
        <w:rPr>
          <w:rFonts w:ascii="Consolas" w:hAnsi="Consolas"/>
          <w:color w:val="0B3A66"/>
          <w:sz w:val="18"/>
        </w:rPr>
        <w:t>confidentiality_undertakings</w:t>
      </w:r>
      <w:r>
        <w:t xml:space="preserve">) — per-person signings (employee/subcon/contractor/visitor), renewal = a new row, coverage engine reports who is </w:t>
      </w:r>
      <w:r>
        <w:rPr>
          <w:b/>
        </w:rPr>
        <w:t>not</w:t>
      </w:r>
      <w:r>
        <w:t xml:space="preserve"> covered; (2) </w:t>
      </w:r>
      <w:r>
        <w:rPr>
          <w:b/>
        </w:rPr>
        <w:t>client NDAs</w:t>
      </w:r>
      <w:r>
        <w:t xml:space="preserve"> (</w:t>
      </w:r>
      <w:r>
        <w:rPr>
          <w:rFonts w:ascii="Consolas" w:hAnsi="Consolas"/>
          <w:color w:val="0B3A66"/>
          <w:sz w:val="18"/>
        </w:rPr>
        <w:t>client_ndas</w:t>
      </w:r>
      <w:r>
        <w:t xml:space="preserve">) — recorded with a </w:t>
      </w:r>
      <w:r>
        <w:rPr>
          <w:rFonts w:ascii="Consolas" w:hAnsi="Consolas"/>
          <w:color w:val="0B3A66"/>
          <w:sz w:val="18"/>
        </w:rPr>
        <w:t>survives_months</w:t>
      </w:r>
      <w:r>
        <w:t xml:space="preserve"> tail so the obligation outlives the contract (a filing record — </w:t>
      </w:r>
      <w:r>
        <w:rPr>
          <w:b/>
        </w:rPr>
        <w:t>not enforced by the visibility engine</w:t>
      </w:r>
      <w:r>
        <w:t xml:space="preserve">, GAP); and (3) a </w:t>
      </w:r>
      <w:r>
        <w:rPr>
          <w:b/>
        </w:rPr>
        <w:t>breach register</w:t>
      </w:r>
      <w:r>
        <w:t xml:space="preserve"> (</w:t>
      </w:r>
      <w:r>
        <w:rPr>
          <w:rFonts w:ascii="Consolas" w:hAnsi="Consolas"/>
          <w:color w:val="0B3A66"/>
          <w:sz w:val="18"/>
        </w:rPr>
        <w:t>confidentiality_breaches</w:t>
      </w:r>
      <w:r>
        <w:t xml:space="preserve">) — a breach auto-raises a </w:t>
      </w:r>
      <w:r>
        <w:rPr>
          <w:b/>
        </w:rPr>
        <w:t>MAJOR NCR (clause 4.2)</w:t>
      </w:r>
      <w:r>
        <w:t xml:space="preserve">, moves OPEN → CONTAINED → CLOSED, and </w:t>
      </w:r>
      <w:r>
        <w:rPr>
          <w:b/>
        </w:rPr>
        <w:t>cannot close</w:t>
      </w:r>
      <w:r>
        <w:t xml:space="preserve"> without containment + a decision on whether the affected party was told + (if not) a reason + the linked NCR closed. Plus </w:t>
      </w:r>
      <w:r>
        <w:rPr>
          <w:b/>
        </w:rPr>
        <w:t>advance public-disclosure consent</w:t>
      </w:r>
      <w:r>
        <w:t xml:space="preserve"> (</w:t>
      </w:r>
      <w:r>
        <w:rPr>
          <w:rFonts w:ascii="Consolas" w:hAnsi="Consolas"/>
          <w:color w:val="0B3A66"/>
          <w:sz w:val="18"/>
        </w:rPr>
        <w:t>disclosure_consents</w:t>
      </w:r>
      <w:r>
        <w:t xml:space="preserve">, §4.2) and the shared </w:t>
      </w:r>
      <w:r>
        <w:rPr>
          <w:b/>
        </w:rPr>
        <w:t>classification/ visibility engine</w:t>
      </w:r>
      <w:r>
        <w:t xml:space="preserve"> (INTERNAL / CLIENT_VISIBLE / VENDOR_VISIBLE / RESTRICTED / MGMT_ONLY) that gates what each portal audience may read (fail-closed for unknown codes).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/confidentiality?t=people|ndas|breaches</w:t>
      </w:r>
      <w:r>
        <w:t xml:space="preserve">, </w:t>
      </w:r>
      <w:r>
        <w:rPr>
          <w:rFonts w:ascii="Consolas" w:hAnsi="Consolas"/>
          <w:color w:val="0B3A66"/>
          <w:sz w:val="18"/>
        </w:rPr>
        <w:t>/conf-*</w:t>
      </w:r>
      <w:r>
        <w:t xml:space="preserve">, </w:t>
      </w:r>
      <w:r>
        <w:rPr>
          <w:rFonts w:ascii="Consolas" w:hAnsi="Consolas"/>
          <w:color w:val="0B3A66"/>
          <w:sz w:val="18"/>
        </w:rPr>
        <w:t>/conf-breach?id=</w:t>
      </w:r>
      <w:r>
        <w:t xml:space="preserve">, </w:t>
      </w:r>
      <w:r>
        <w:rPr>
          <w:rFonts w:ascii="Consolas" w:hAnsi="Consolas"/>
          <w:color w:val="0B3A66"/>
          <w:sz w:val="18"/>
        </w:rPr>
        <w:t>/disclosure*</w:t>
      </w:r>
      <w:r>
        <w:t xml:space="preserve">. Tables: </w:t>
      </w:r>
      <w:r>
        <w:rPr>
          <w:rFonts w:ascii="Consolas" w:hAnsi="Consolas"/>
          <w:color w:val="0B3A66"/>
          <w:sz w:val="18"/>
        </w:rPr>
        <w:t>confidentiality_undertakings</w:t>
      </w:r>
      <w:r>
        <w:t xml:space="preserve">, </w:t>
      </w:r>
      <w:r>
        <w:rPr>
          <w:rFonts w:ascii="Consolas" w:hAnsi="Consolas"/>
          <w:color w:val="0B3A66"/>
          <w:sz w:val="18"/>
        </w:rPr>
        <w:t>client_ndas</w:t>
      </w:r>
      <w:r>
        <w:t xml:space="preserve">, </w:t>
      </w:r>
      <w:r>
        <w:rPr>
          <w:rFonts w:ascii="Consolas" w:hAnsi="Consolas"/>
          <w:color w:val="0B3A66"/>
          <w:sz w:val="18"/>
        </w:rPr>
        <w:t>confidentiality_breaches</w:t>
      </w:r>
      <w:r>
        <w:t xml:space="preserve">, </w:t>
      </w:r>
      <w:r>
        <w:rPr>
          <w:rFonts w:ascii="Consolas" w:hAnsi="Consolas"/>
          <w:color w:val="0B3A66"/>
          <w:sz w:val="18"/>
        </w:rPr>
        <w:t>disclosure_consents</w:t>
      </w:r>
      <w:r>
        <w:t xml:space="preserve">; consumes </w:t>
      </w:r>
      <w:r>
        <w:rPr>
          <w:rFonts w:ascii="Consolas" w:hAnsi="Consolas"/>
          <w:color w:val="0B3A66"/>
          <w:sz w:val="18"/>
        </w:rPr>
        <w:t>nonconformities.visibility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`/confidentiality`</w:t>
      </w:r>
      <w:r>
        <w:t xml:space="preserve"> — tabs: </w:t>
      </w:r>
      <w:r>
        <w:rPr>
          <w:b/>
        </w:rPr>
        <w:t>people</w:t>
      </w:r>
      <w:r>
        <w:t xml:space="preserve"> (undertaking coverage, ok/lapsed/none), </w:t>
      </w:r>
      <w:r>
        <w:rPr>
          <w:b/>
        </w:rPr>
        <w:t>NDAs</w:t>
      </w:r>
      <w:r>
        <w:t xml:space="preserve"> (client-imposed, obligation-end), </w:t>
      </w:r>
      <w:r>
        <w:rPr>
          <w:b/>
        </w:rPr>
        <w:t>breaches</w:t>
      </w:r>
      <w:r>
        <w:t xml:space="preserve"> (office-scoped register). </w:t>
      </w:r>
      <w:r>
        <w:rPr>
          <w:b/>
        </w:rPr>
        <w:t>`/conf-breach`</w:t>
      </w:r>
      <w:r>
        <w:t xml:space="preserve"> — breach detail: containment, party-told (yes/no + note), regulator-told, linked NCR, close (gated). </w:t>
      </w:r>
      <w:r>
        <w:rPr>
          <w:b/>
        </w:rPr>
        <w:t>`/disclosure`</w:t>
      </w:r>
      <w:r>
        <w:t xml:space="preserve"> — advance public-disclosure consent (requested/consented/ declined/withdrawn).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TC-CONF-form-001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Undertaking: person required; kind whitelisted; file MIME-gated.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TC-CONF-form-002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NDA: partner required; </w:t>
            </w:r>
            <w:r>
              <w:rPr>
                <w:rFonts w:ascii="Consolas" w:hAnsi="Consolas"/>
                <w:color w:val="0B3A66"/>
                <w:sz w:val="17"/>
              </w:rPr>
              <w:t>survives_months</w:t>
            </w:r>
            <w:r>
              <w:rPr>
                <w:sz w:val="17"/>
              </w:rPr>
              <w:t xml:space="preserve"> ≥ 0.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TC-CONF-form-003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Breach: </w:t>
            </w:r>
            <w:r>
              <w:rPr>
                <w:rFonts w:ascii="Consolas" w:hAnsi="Consolas"/>
                <w:color w:val="0B3A66"/>
                <w:sz w:val="17"/>
              </w:rPr>
              <w:t>what_got_out</w:t>
            </w:r>
            <w:r>
              <w:rPr>
                <w:sz w:val="17"/>
              </w:rPr>
              <w:t xml:space="preserve"> required; auto-raises a MAJOR NCR.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TC-CONF-form-004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Breach close: containment + party-told decision + (if no) reason + NCR closed.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(breach + visibility — highest scrutiny)</w:t>
      </w:r>
    </w:p>
    <w:p>
      <w:pPr>
        <w:pStyle w:val="ListBullet"/>
      </w:pPr>
      <w:r>
        <w:rPr>
          <w:b/>
        </w:rPr>
        <w:t>Coverage</w:t>
      </w:r>
      <w:r>
        <w:t xml:space="preserve"> (</w:t>
      </w:r>
      <w:r>
        <w:rPr>
          <w:rFonts w:ascii="Consolas" w:hAnsi="Consolas"/>
          <w:color w:val="0B3A66"/>
          <w:sz w:val="18"/>
        </w:rPr>
        <w:t>conf_coverage</w:t>
      </w:r>
      <w:r>
        <w:t>): joins inspectors to their live/lapsed undertaking; lapsed</w:t>
      </w:r>
    </w:p>
    <w:p>
      <w:r>
        <w:t xml:space="preserve">  reported as lapsed, not silently signed. </w:t>
      </w:r>
      <w:r>
        <w:rPr>
          <w:b/>
        </w:rPr>
        <w:t>TC-CONF-fn-001</w:t>
      </w:r>
      <w:r>
        <w:t xml:space="preserve"> — an uncovered person surfaces.</w:t>
      </w:r>
    </w:p>
    <w:p>
      <w:pPr>
        <w:pStyle w:val="ListBullet"/>
      </w:pPr>
      <w:r>
        <w:rPr>
          <w:b/>
        </w:rPr>
        <w:t>Breach → NCR</w:t>
      </w:r>
      <w:r>
        <w:t xml:space="preserve"> (</w:t>
      </w:r>
      <w:r>
        <w:rPr>
          <w:rFonts w:ascii="Consolas" w:hAnsi="Consolas"/>
          <w:color w:val="0B3A66"/>
          <w:sz w:val="18"/>
        </w:rPr>
        <w:t>conf_breach_create</w:t>
      </w:r>
      <w:r>
        <w:t>): every breach auto-raises a MAJOR NCR (clause 4.2)</w:t>
      </w:r>
    </w:p>
    <w:p>
      <w:r>
        <w:t xml:space="preserve">  and links it. </w:t>
      </w:r>
      <w:r>
        <w:rPr>
          <w:b/>
        </w:rPr>
        <w:t>TC-CONF-fn-002.</w:t>
      </w:r>
    </w:p>
    <w:p>
      <w:pPr>
        <w:pStyle w:val="ListBullet"/>
      </w:pPr>
      <w:r>
        <w:rPr>
          <w:b/>
        </w:rPr>
        <w:t>Breach close gate</w:t>
      </w:r>
      <w:r>
        <w:t xml:space="preserve"> (</w:t>
      </w:r>
      <w:r>
        <w:rPr>
          <w:rFonts w:ascii="Consolas" w:hAnsi="Consolas"/>
          <w:color w:val="0B3A66"/>
          <w:sz w:val="18"/>
        </w:rPr>
        <w:t>conf_breach_close_missing</w:t>
      </w:r>
      <w:r>
        <w:t>): containment + party-told decision +</w:t>
      </w:r>
    </w:p>
    <w:p>
      <w:r>
        <w:t xml:space="preserve">  reason-if-no + </w:t>
      </w:r>
      <w:r>
        <w:rPr>
          <w:b/>
        </w:rPr>
        <w:t>NCR closed first</w:t>
      </w:r>
      <w:r>
        <w:t xml:space="preserve">. </w:t>
      </w:r>
      <w:r>
        <w:rPr>
          <w:b/>
        </w:rPr>
        <w:t>TC-CONF-fn-003</w:t>
      </w:r>
      <w:r>
        <w:t xml:space="preserve"> — each missing element blocks close.</w:t>
      </w:r>
    </w:p>
    <w:p>
      <w:pPr>
        <w:pStyle w:val="ListBullet"/>
      </w:pPr>
      <w:r>
        <w:rPr>
          <w:b/>
        </w:rPr>
        <w:t>Visibility gate</w:t>
      </w:r>
      <w:r>
        <w:t xml:space="preserve"> (</w:t>
      </w:r>
      <w:r>
        <w:rPr>
          <w:rFonts w:ascii="Consolas" w:hAnsi="Consolas"/>
          <w:color w:val="0B3A66"/>
          <w:sz w:val="18"/>
        </w:rPr>
        <w:t>cvp_visibility_sql</w:t>
      </w:r>
      <w:r>
        <w:t xml:space="preserve">, </w:t>
      </w:r>
      <w:r>
        <w:rPr>
          <w:rFonts w:ascii="Consolas" w:hAnsi="Consolas"/>
          <w:color w:val="0B3A66"/>
          <w:sz w:val="18"/>
        </w:rPr>
        <w:t>CVP_VISIBILITY_AUDIENCE</w:t>
      </w:r>
      <w:r>
        <w:t>): every external</w:t>
      </w:r>
    </w:p>
    <w:p>
      <w:r>
        <w:t xml:space="preserve">  portal read passes the code→audience map; unknown/blank → fail-closed (</w:t>
      </w:r>
      <w:r>
        <w:rPr>
          <w:rFonts w:ascii="Consolas" w:hAnsi="Consolas"/>
          <w:color w:val="0B3A66"/>
          <w:sz w:val="18"/>
        </w:rPr>
        <w:t>1=0</w:t>
      </w:r>
      <w:r>
        <w:t xml:space="preserve">); reports   reach vendors only when staff set </w:t>
      </w:r>
      <w:r>
        <w:rPr>
          <w:rFonts w:ascii="Consolas" w:hAnsi="Consolas"/>
          <w:color w:val="0B3A66"/>
          <w:sz w:val="18"/>
        </w:rPr>
        <w:t>vendor_visible=1</w:t>
      </w:r>
      <w:r>
        <w:t xml:space="preserve">. </w:t>
      </w:r>
      <w:r>
        <w:rPr>
          <w:b/>
        </w:rPr>
        <w:t>TC-CONF-fn-004</w:t>
      </w:r>
      <w:r>
        <w:t xml:space="preserve"> — a RESTRICTED/   INTERNAL item is never returned to a portal audience.</w:t>
      </w:r>
    </w:p>
    <w:p>
      <w:pPr>
        <w:pStyle w:val="ListBullet"/>
      </w:pPr>
      <w:r>
        <w:rPr>
          <w:b/>
        </w:rPr>
        <w:t>Disclosure consent</w:t>
      </w:r>
      <w:r>
        <w:t xml:space="preserve"> (</w:t>
      </w:r>
      <w:r>
        <w:rPr>
          <w:rFonts w:ascii="Consolas" w:hAnsi="Consolas"/>
          <w:color w:val="0B3A66"/>
          <w:sz w:val="18"/>
        </w:rPr>
        <w:t>disclosure_save</w:t>
      </w:r>
      <w:r>
        <w:t>): records advance §4.2 public-domain consent,</w:t>
      </w:r>
    </w:p>
    <w:p>
      <w:r>
        <w:t xml:space="preserve">  logged. </w:t>
      </w:r>
      <w:r>
        <w:rPr>
          <w:b/>
        </w:rPr>
        <w:t>TC-CONF-fn-005.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undertaking → ok/lapsed/none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derived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signed on/before + not expired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breach OPEN → CONTAINED → CLOSED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gate + NCR closed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disclosure REQUESTED → CONSENTED/DECLINED/WITHDRAWN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classification set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on the record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code→audience map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TC-CONF-life-001:</w:t>
      </w:r>
      <w:r>
        <w:t xml:space="preserve"> a breach cannot close while its NCR is open or the party-told</w:t>
      </w:r>
    </w:p>
    <w:p>
      <w:r>
        <w:t xml:space="preserve">  decision is missing.</w:t>
      </w:r>
    </w:p>
    <w:p>
      <w:pPr>
        <w:pStyle w:val="ListBullet"/>
      </w:pPr>
      <w:r>
        <w:rPr>
          <w:b/>
        </w:rPr>
        <w:t>TC-CONF-life-002:</w:t>
      </w:r>
      <w:r>
        <w:t xml:space="preserve"> a lapsed undertaking is reported, not treated as signed.</w:t>
      </w:r>
    </w:p>
    <w:p>
      <w:pPr>
        <w:pStyle w:val="Heading2"/>
      </w:pPr>
      <w:r>
        <w:t>F. Roles, permissions &amp; data scope</w:t>
      </w:r>
    </w:p>
    <w:p>
      <w:r>
        <w:t>View (</w:t>
      </w:r>
      <w:r>
        <w:rPr>
          <w:rFonts w:ascii="Consolas" w:hAnsi="Consolas"/>
          <w:color w:val="0B3A66"/>
          <w:sz w:val="18"/>
        </w:rPr>
        <w:t>conf_can_view</w:t>
      </w:r>
      <w:r>
        <w:t xml:space="preserve">): </w:t>
      </w:r>
      <w:r>
        <w:rPr>
          <w:rFonts w:ascii="Consolas" w:hAnsi="Consolas"/>
          <w:color w:val="0B3A66"/>
          <w:sz w:val="18"/>
        </w:rPr>
        <w:t>mod.confidentiality.view</w:t>
      </w:r>
      <w:r>
        <w:t>/</w:t>
      </w:r>
      <w:r>
        <w:rPr>
          <w:rFonts w:ascii="Consolas" w:hAnsi="Consolas"/>
          <w:color w:val="0B3A66"/>
          <w:sz w:val="18"/>
        </w:rPr>
        <w:t>mod.identity.view</w:t>
      </w:r>
      <w:r>
        <w:t xml:space="preserve">/master. Manage: </w:t>
      </w:r>
      <w:r>
        <w:rPr>
          <w:rFonts w:ascii="Consolas" w:hAnsi="Consolas"/>
          <w:color w:val="0B3A66"/>
          <w:sz w:val="18"/>
        </w:rPr>
        <w:t>mod.confidentiality.edit</w:t>
      </w:r>
      <w:r>
        <w:t>/</w:t>
      </w:r>
      <w:r>
        <w:rPr>
          <w:rFonts w:ascii="Consolas" w:hAnsi="Consolas"/>
          <w:color w:val="0B3A66"/>
          <w:sz w:val="18"/>
        </w:rPr>
        <w:t>mod.identity.edit</w:t>
      </w:r>
      <w:r>
        <w:t xml:space="preserve">/master. Disclosure adds </w:t>
      </w:r>
      <w:r>
        <w:rPr>
          <w:rFonts w:ascii="Consolas" w:hAnsi="Consolas"/>
          <w:color w:val="0B3A66"/>
          <w:sz w:val="18"/>
        </w:rPr>
        <w:t>mod.datacontrol. view</w:t>
      </w:r>
      <w:r>
        <w:t>/</w:t>
      </w:r>
      <w:r>
        <w:rPr>
          <w:rFonts w:ascii="Consolas" w:hAnsi="Consolas"/>
          <w:color w:val="0B3A66"/>
          <w:sz w:val="18"/>
        </w:rPr>
        <w:t>mod.clients.view</w:t>
      </w:r>
      <w:r>
        <w:t xml:space="preserve">. Breaches office-scoped. Portal audiences kept in separate identity tables (vendor </w:t>
      </w:r>
      <w:r>
        <w:rPr>
          <w:rFonts w:ascii="Consolas" w:hAnsi="Consolas"/>
          <w:color w:val="0B3A66"/>
          <w:sz w:val="18"/>
        </w:rPr>
        <w:t>vuid</w:t>
      </w:r>
      <w:r>
        <w:t xml:space="preserve"> never returned by </w:t>
      </w:r>
      <w:r>
        <w:rPr>
          <w:rFonts w:ascii="Consolas" w:hAnsi="Consolas"/>
          <w:color w:val="0B3A66"/>
          <w:sz w:val="18"/>
        </w:rPr>
        <w:t>current_user</w:t>
      </w:r>
      <w:r>
        <w:t>).</w:t>
      </w:r>
    </w:p>
    <w:p>
      <w:pPr>
        <w:pStyle w:val="ListBullet"/>
      </w:pPr>
      <w:r>
        <w:t>TC-CONF-perm-001 (manage without permission) → refused.</w:t>
      </w:r>
    </w:p>
    <w:p>
      <w:pPr>
        <w:pStyle w:val="ListBullet"/>
      </w:pPr>
      <w:r>
        <w:t>TC-CONF-scope-001: breaches office-scoped.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vendor_portal_enabled</w:t>
      </w:r>
      <w:r>
        <w:t>, visibility codes (</w:t>
      </w:r>
      <w:r>
        <w:rPr>
          <w:rFonts w:ascii="Consolas" w:hAnsi="Consolas"/>
          <w:color w:val="0B3A66"/>
          <w:sz w:val="18"/>
        </w:rPr>
        <w:t>issue_visibility</w:t>
      </w:r>
      <w:r>
        <w:t xml:space="preserve"> lookup), </w:t>
      </w:r>
      <w:r>
        <w:rPr>
          <w:rFonts w:ascii="Consolas" w:hAnsi="Consolas"/>
          <w:color w:val="0B3A66"/>
          <w:sz w:val="18"/>
        </w:rPr>
        <w:t>access_expires</w:t>
      </w:r>
      <w:r>
        <w:t xml:space="preserve"> per portal user. </w:t>
      </w:r>
      <w:r>
        <w:rPr>
          <w:b/>
        </w:rPr>
        <w:t>TC-CONF-set-001:</w:t>
      </w:r>
      <w:r>
        <w:t xml:space="preserve"> changing a report's visibility from VENDOR_VISIBLE removes it from the vendor's list.</w:t>
      </w:r>
    </w:p>
    <w:p>
      <w:pPr>
        <w:pStyle w:val="Heading2"/>
      </w:pPr>
      <w:r>
        <w:t>H. Cross-module integration</w:t>
      </w:r>
    </w:p>
    <w:p>
      <w:r>
        <w:rPr>
          <w:b/>
        </w:rPr>
        <w:t>NCR</w:t>
      </w:r>
      <w:r>
        <w:t xml:space="preserve"> (breach → MAJOR NCR; close dependency — MOD-12), </w:t>
      </w:r>
      <w:r>
        <w:rPr>
          <w:b/>
        </w:rPr>
        <w:t>Portals</w:t>
      </w:r>
      <w:r>
        <w:t xml:space="preserve"> (visibility gate for client/vendor reads — MOD-10/11), </w:t>
      </w:r>
      <w:r>
        <w:rPr>
          <w:b/>
        </w:rPr>
        <w:t>Personnel</w:t>
      </w:r>
      <w:r>
        <w:t xml:space="preserve"> (undertaking coverage from inspectors), </w:t>
      </w:r>
      <w:r>
        <w:rPr>
          <w:b/>
        </w:rPr>
        <w:t>Clients</w:t>
      </w:r>
      <w:r>
        <w:t xml:space="preserve"> (NDAs; disclosure consent), </w:t>
      </w:r>
      <w:r>
        <w:rPr>
          <w:b/>
        </w:rPr>
        <w:t>Data control</w:t>
      </w:r>
      <w:r>
        <w:t xml:space="preserve"> (disclosure register). Idempotency: a breach raises one NCR.</w:t>
      </w:r>
    </w:p>
    <w:p>
      <w:pPr>
        <w:pStyle w:val="Heading2"/>
      </w:pPr>
      <w:r>
        <w:t>I. Data integrity &amp; audit</w:t>
      </w:r>
    </w:p>
    <w:p>
      <w:r>
        <w:t xml:space="preserve">Breach ↔ NCR bidirectional link; disclosure logged via </w:t>
      </w:r>
      <w:r>
        <w:rPr>
          <w:rFonts w:ascii="Consolas" w:hAnsi="Consolas"/>
          <w:color w:val="0B3A66"/>
          <w:sz w:val="18"/>
        </w:rPr>
        <w:t>idems_log</w:t>
      </w:r>
      <w:r>
        <w:t xml:space="preserve">. Undertaking state is </w:t>
      </w:r>
      <w:r>
        <w:rPr>
          <w:b/>
        </w:rPr>
        <w:t>computed only, never persisted, with no expiry cron</w:t>
      </w:r>
      <w:r>
        <w:t xml:space="preserve"> — a lapse surfaces only when the screen is opened (GAP). NDA terms are a </w:t>
      </w:r>
      <w:r>
        <w:rPr>
          <w:b/>
        </w:rPr>
        <w:t>filing record not enforced</w:t>
      </w:r>
      <w:r>
        <w:t xml:space="preserve"> by the visibility engine (GAP-CONF-002). Breach/NDA file uploads not all MIME-validated (GAP). </w:t>
      </w:r>
      <w:r>
        <w:rPr>
          <w:b/>
        </w:rPr>
        <w:t>TC-CONF-int-010:</w:t>
      </w:r>
      <w:r>
        <w:t xml:space="preserve"> a breach's NCR must close before the breach closes.</w:t>
      </w:r>
    </w:p>
    <w:p>
      <w:pPr>
        <w:pStyle w:val="Heading2"/>
      </w:pPr>
      <w:r>
        <w:t>J. Reports &amp; outputs</w:t>
      </w:r>
    </w:p>
    <w:p>
      <w:r>
        <w:t xml:space="preserve">Coverage report, NDA obligation-end, breach register, disclosure register, the visibility gate on every portal read. </w:t>
      </w:r>
      <w:r>
        <w:rPr>
          <w:b/>
        </w:rPr>
        <w:t>TC-CONF-out-001:</w:t>
      </w:r>
      <w:r>
        <w:t xml:space="preserve"> the breach record shows containment, party notified, and the linked NCR.</w:t>
      </w:r>
    </w:p>
    <w:p>
      <w:pPr>
        <w:pStyle w:val="Heading2"/>
      </w:pPr>
      <w:r>
        <w:t>K. Negative, edge &amp; resilience</w:t>
      </w:r>
    </w:p>
    <w:p>
      <w:r>
        <w:t>A lapsed undertaking (reported); a breach closed with an open NCR (refused); a breach with no party-told decision (refused); an NDA past its survival (obligation-end shown but not enforced); a RESTRICTED report requested via a portal (fail-closed); a LEGAL/PUBLICATION breach closed without regulator notification (allowed — GAP); a hard-deleted disclosure.</w:t>
      </w:r>
    </w:p>
    <w:p>
      <w:pPr>
        <w:pStyle w:val="Heading2"/>
      </w:pPr>
      <w:r>
        <w:t>L. TPIA operational suitability</w:t>
      </w:r>
    </w:p>
    <w:p>
      <w:r>
        <w:t>Covers §4.2: staff undertakings with coverage tracking, client NDAs with survival, a breach register that forces containment/notification and escalates to a MAJOR NCR, advance public-disclosure consent, and a fail-closed classification engine driving portal disclosure. Strong on breach discipline; NDA enforcement and undertaking-lapse alerting are the soft spots.</w:t>
      </w:r>
    </w:p>
    <w:p>
      <w:pPr>
        <w:pStyle w:val="Heading2"/>
      </w:pPr>
      <w:r>
        <w:t>M. Management usefulness</w:t>
      </w:r>
    </w:p>
    <w:p>
      <w:r>
        <w:rPr>
          <w:rFonts w:ascii="Consolas" w:hAnsi="Consolas"/>
          <w:color w:val="0B3A66"/>
          <w:sz w:val="18"/>
        </w:rPr>
        <w:t>conf_readiness</w:t>
      </w:r>
      <w:r>
        <w:t xml:space="preserve"> (people/covered/lapsed/none) and the breach register surface confidentiality risk; disclosure consents evidence §4.2 handling. Confirm lapses are seen without opening the screen.</w:t>
      </w:r>
    </w:p>
    <w:p>
      <w:pPr>
        <w:pStyle w:val="Heading2"/>
      </w:pPr>
      <w:r>
        <w:t>N. UI/UX</w:t>
      </w:r>
    </w:p>
    <w:p>
      <w:r>
        <w:t xml:space="preserve">Tabbed register, breach workflow, classification set on the record.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Manage gated; breach close gate holds; visibility engine fail-closed and audience-separated; but NDA terms unenforced, undertaking lapse not alerted, and some uploads unvalidated — harden these.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breaches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breach close + visibility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NCR/portals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NDA/lapse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§4.2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no lapse cron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undertaking/NDA validity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GAP-CONF-001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Undertaking state is </w:t>
            </w:r>
            <w:r>
              <w:rPr>
                <w:b/>
                <w:sz w:val="17"/>
              </w:rPr>
              <w:t>computed only, no expiry cron/alert</w:t>
            </w:r>
            <w:r>
              <w:rPr>
                <w:sz w:val="17"/>
              </w:rPr>
              <w:t xml:space="preserve"> — a lapse surfaces only when the coverage screen is opened. Add a reminder; and non-inspector person kinds (subcon/contractor/visitor) are never surfaced as uncovered.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GAP-CONF-002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 NDA terms/expiry are a filing record only</w:t>
            </w:r>
            <w:r>
              <w:rPr>
                <w:sz w:val="17"/>
              </w:rPr>
              <w:t xml:space="preserve"> — they do not tighten the visibility engine. Either enforce or clearly mark as non-enforcing.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GAP-CONF-003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visibility engine fail-closes</w:t>
            </w:r>
            <w:r>
              <w:rPr>
                <w:sz w:val="17"/>
              </w:rPr>
              <w:t xml:space="preserve"> for every portal read (INTERNAL/RESTRICTED/MGMT_ONLY never reach client/vendor) and that regulator notification is required to close a LEGAL/PUBLICATION breach; validate breach/NDA uploads.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/confidentiality</w:t>
      </w:r>
      <w:r>
        <w:t xml:space="preserve">, </w:t>
      </w:r>
      <w:r>
        <w:rPr>
          <w:rFonts w:ascii="Consolas" w:hAnsi="Consolas"/>
          <w:color w:val="0B3A66"/>
          <w:sz w:val="18"/>
        </w:rPr>
        <w:t>/conf-*</w:t>
      </w:r>
      <w:r>
        <w:t xml:space="preserve">, </w:t>
      </w:r>
      <w:r>
        <w:rPr>
          <w:rFonts w:ascii="Consolas" w:hAnsi="Consolas"/>
          <w:color w:val="0B3A66"/>
          <w:sz w:val="18"/>
        </w:rPr>
        <w:t>/disclosure*</w:t>
      </w:r>
      <w:r>
        <w:t xml:space="preserve">, portal visibility × dims 1–29 → TC-CONF-* → results → DEF/GAP. </w:t>
      </w:r>
      <w:r>
        <w:rPr>
          <w:b/>
        </w:rPr>
        <w:t>Verdict: Complete-with-defects</w:t>
      </w:r>
      <w:r>
        <w:t xml:space="preserve"> — breach close discipline, fail-closed visibility, and NDA/lapse handling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