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Nonconformities (NCR)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MOD-NCR.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lib/ncr.php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ops_ncr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ncr_create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ncr_close_missing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ncr_close_block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ncr_to_capa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ncr_ref_next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ncr_where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ncr_all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ncr_counts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ncr_is_overdue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ncr_run_reminders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ncr_can_view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ncr_can_raise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ncr_can_close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ncr_log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NCR_SOURCES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NCR_SEVERITY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NCR_DISPOSITIONS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NCR_STATUS</w:t>
      </w:r>
      <w:r>
        <w:rPr>
          <w:color w:val="445566"/>
          <w:sz w:val="20"/>
        </w:rPr>
        <w:t>), integration points (</w:t>
      </w:r>
      <w:r>
        <w:rPr>
          <w:rFonts w:ascii="Consolas" w:hAnsi="Consolas"/>
          <w:color w:val="445566"/>
          <w:sz w:val="20"/>
        </w:rPr>
        <w:t>idems_raise_ncrs_from_audit</w:t>
      </w:r>
      <w:r>
        <w:rPr>
          <w:color w:val="445566"/>
          <w:sz w:val="20"/>
        </w:rPr>
        <w:t xml:space="preserve">, report-issue signatory NCR, complaints, equipment, portals), views </w:t>
      </w:r>
      <w:r>
        <w:rPr>
          <w:rFonts w:ascii="Consolas" w:hAnsi="Consolas"/>
          <w:color w:val="445566"/>
          <w:sz w:val="20"/>
        </w:rPr>
        <w:t>ncr/register.php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ncr/item.php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ncr/new.php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Nonconformities / NCR (MOD-NCR) · Area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P-QA (</w:t>
            </w:r>
            <w:r>
              <w:rPr>
                <w:rFonts w:ascii="Consolas" w:hAnsi="Consolas"/>
                <w:color w:val="0B3A66"/>
                <w:sz w:val="17"/>
              </w:rPr>
              <w:t>mod.ncr.edit</w:t>
            </w:r>
            <w:r>
              <w:rPr>
                <w:sz w:val="17"/>
              </w:rPr>
              <w:t>), P-QM (</w:t>
            </w:r>
            <w:r>
              <w:rPr>
                <w:rFonts w:ascii="Consolas" w:hAnsi="Consolas"/>
                <w:color w:val="0B3A66"/>
                <w:sz w:val="17"/>
              </w:rPr>
              <w:t>ncr.close</w:t>
            </w:r>
            <w:r>
              <w:rPr>
                <w:sz w:val="17"/>
              </w:rPr>
              <w:t>), P-INSP/P-COORD (raise), P-VENDOR/P-CLIENT (respond — portals),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the ISO 17020 §7/§8 control; closing one without cause/CAPA is an audit finding in itself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close gating, MAJOR→CAPA, single-way-in numbering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The NCR register records anything that did not meet a requirement, from </w:t>
      </w:r>
      <w:r>
        <w:rPr>
          <w:b/>
        </w:rPr>
        <w:t>any source</w:t>
      </w:r>
      <w:r>
        <w:t xml:space="preserve"> through </w:t>
      </w:r>
      <w:r>
        <w:rPr>
          <w:b/>
        </w:rPr>
        <w:t>one way in</w:t>
      </w:r>
      <w:r>
        <w:t xml:space="preserve"> (</w:t>
      </w:r>
      <w:r>
        <w:rPr>
          <w:rFonts w:ascii="Consolas" w:hAnsi="Consolas"/>
          <w:color w:val="0B3A66"/>
          <w:sz w:val="18"/>
        </w:rPr>
        <w:t>ncr_create</w:t>
      </w:r>
      <w:r>
        <w:t xml:space="preserve">): internal, an issued </w:t>
      </w:r>
      <w:r>
        <w:rPr>
          <w:b/>
        </w:rPr>
        <w:t>report</w:t>
      </w:r>
      <w:r>
        <w:t xml:space="preserve">, a </w:t>
      </w:r>
      <w:r>
        <w:rPr>
          <w:b/>
        </w:rPr>
        <w:t>complaint</w:t>
      </w:r>
      <w:r>
        <w:t xml:space="preserve">, an </w:t>
      </w:r>
      <w:r>
        <w:rPr>
          <w:b/>
        </w:rPr>
        <w:t>audit finding</w:t>
      </w:r>
      <w:r>
        <w:t xml:space="preserve">, the </w:t>
      </w:r>
      <w:r>
        <w:rPr>
          <w:b/>
        </w:rPr>
        <w:t>equipment</w:t>
      </w:r>
      <w:r>
        <w:t xml:space="preserve"> register, or a </w:t>
      </w:r>
      <w:r>
        <w:rPr>
          <w:b/>
        </w:rPr>
        <w:t>client/vendor</w:t>
      </w:r>
      <w:r>
        <w:t xml:space="preserve"> via the portals. Every caller gets the same reference numbering, branch derivation (lands on the office that did the work), and opening event. A nonconformity moves </w:t>
      </w:r>
      <w:r>
        <w:rPr>
          <w:b/>
        </w:rPr>
        <w:t>OPEN → CONTAINED → DISPOSITIONED → CLOSED</w:t>
      </w:r>
      <w:r>
        <w:t xml:space="preserve">, carries a </w:t>
      </w:r>
      <w:r>
        <w:rPr>
          <w:b/>
        </w:rPr>
        <w:t>severity</w:t>
      </w:r>
      <w:r>
        <w:t xml:space="preserve"> (Major / Minor / Observation) and a </w:t>
      </w:r>
      <w:r>
        <w:rPr>
          <w:b/>
        </w:rPr>
        <w:t>disposition</w:t>
      </w:r>
      <w:r>
        <w:t xml:space="preserve"> (rework / re-issue / accept-with-reason / withdraw / void / none), and a </w:t>
      </w:r>
      <w:r>
        <w:rPr>
          <w:b/>
        </w:rPr>
        <w:t>MAJOR one cannot be closed without a corrective action (CAPA)</w:t>
      </w:r>
      <w:r>
        <w:t>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/ncr</w:t>
      </w:r>
      <w:r>
        <w:t xml:space="preserve"> (register: open/overdue/closed filters, counts), </w:t>
      </w:r>
      <w:r>
        <w:rPr>
          <w:rFonts w:ascii="Consolas" w:hAnsi="Consolas"/>
          <w:color w:val="0B3A66"/>
          <w:sz w:val="18"/>
        </w:rPr>
        <w:t>/ncr-item?id=</w:t>
      </w:r>
      <w:r>
        <w:t xml:space="preserve">, </w:t>
      </w:r>
      <w:r>
        <w:rPr>
          <w:rFonts w:ascii="Consolas" w:hAnsi="Consolas"/>
          <w:color w:val="0B3A66"/>
          <w:sz w:val="18"/>
        </w:rPr>
        <w:t>/ncr-new</w:t>
      </w:r>
      <w:r>
        <w:t xml:space="preserve">, and the action routes </w:t>
      </w:r>
      <w:r>
        <w:rPr>
          <w:rFonts w:ascii="Consolas" w:hAnsi="Consolas"/>
          <w:color w:val="0B3A66"/>
          <w:sz w:val="18"/>
        </w:rPr>
        <w:t>/ncr-contain</w:t>
      </w:r>
      <w:r>
        <w:t xml:space="preserve">, </w:t>
      </w:r>
      <w:r>
        <w:rPr>
          <w:rFonts w:ascii="Consolas" w:hAnsi="Consolas"/>
          <w:color w:val="0B3A66"/>
          <w:sz w:val="18"/>
        </w:rPr>
        <w:t>/ncr-disposition</w:t>
      </w:r>
      <w:r>
        <w:t xml:space="preserve">, </w:t>
      </w:r>
      <w:r>
        <w:rPr>
          <w:rFonts w:ascii="Consolas" w:hAnsi="Consolas"/>
          <w:color w:val="0B3A66"/>
          <w:sz w:val="18"/>
        </w:rPr>
        <w:t>/ncr-capa</w:t>
      </w:r>
      <w:r>
        <w:t xml:space="preserve">, </w:t>
      </w:r>
      <w:r>
        <w:rPr>
          <w:rFonts w:ascii="Consolas" w:hAnsi="Consolas"/>
          <w:color w:val="0B3A66"/>
          <w:sz w:val="18"/>
        </w:rPr>
        <w:t>/ncr-assign</w:t>
      </w:r>
      <w:r>
        <w:t xml:space="preserve">, </w:t>
      </w:r>
      <w:r>
        <w:rPr>
          <w:rFonts w:ascii="Consolas" w:hAnsi="Consolas"/>
          <w:color w:val="0B3A66"/>
          <w:sz w:val="18"/>
        </w:rPr>
        <w:t>/ncr-close</w:t>
      </w:r>
      <w:r>
        <w:t xml:space="preserve">, </w:t>
      </w:r>
      <w:r>
        <w:rPr>
          <w:rFonts w:ascii="Consolas" w:hAnsi="Consolas"/>
          <w:color w:val="0B3A66"/>
          <w:sz w:val="18"/>
        </w:rPr>
        <w:t>/ncr-reopen</w:t>
      </w:r>
      <w:r>
        <w:t xml:space="preserve">. Tables: </w:t>
      </w:r>
      <w:r>
        <w:rPr>
          <w:rFonts w:ascii="Consolas" w:hAnsi="Consolas"/>
          <w:color w:val="0B3A66"/>
          <w:sz w:val="18"/>
        </w:rPr>
        <w:t>nonconformities</w:t>
      </w:r>
      <w:r>
        <w:t xml:space="preserve">, </w:t>
      </w:r>
      <w:r>
        <w:rPr>
          <w:rFonts w:ascii="Consolas" w:hAnsi="Consolas"/>
          <w:color w:val="0B3A66"/>
          <w:sz w:val="18"/>
        </w:rPr>
        <w:t>ncr_events</w:t>
      </w:r>
      <w:r>
        <w:t xml:space="preserve">, links to </w:t>
      </w:r>
      <w:r>
        <w:rPr>
          <w:rFonts w:ascii="Consolas" w:hAnsi="Consolas"/>
          <w:color w:val="0B3A66"/>
          <w:sz w:val="18"/>
        </w:rPr>
        <w:t>capa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`/ncr`</w:t>
      </w:r>
      <w:r>
        <w:t xml:space="preserve"> — register scoped by office/SBU; filter open / overdue / closed; counts; each row shows ref, source, severity, status pill, due/overdue. </w:t>
      </w:r>
      <w:r>
        <w:rPr>
          <w:b/>
        </w:rPr>
        <w:t>`/ncr-new`</w:t>
      </w:r>
      <w:r>
        <w:t xml:space="preserve"> — source, linked job/report/complaint/equipment/partner, title, description, clause, severity, detected-on/ by, owner, due-on. </w:t>
      </w:r>
      <w:r>
        <w:rPr>
          <w:b/>
        </w:rPr>
        <w:t>`/ncr-item`</w:t>
      </w:r>
      <w:r>
        <w:t xml:space="preserve"> — full record + events; actions: </w:t>
      </w:r>
      <w:r>
        <w:rPr>
          <w:b/>
        </w:rPr>
        <w:t>contain</w:t>
      </w:r>
      <w:r>
        <w:t xml:space="preserve"> (immediate action), </w:t>
      </w:r>
      <w:r>
        <w:rPr>
          <w:b/>
        </w:rPr>
        <w:t>disposition</w:t>
      </w:r>
      <w:r>
        <w:t xml:space="preserve"> (what happened to the wrong work; ACCEPT needs a reason), </w:t>
      </w:r>
      <w:r>
        <w:rPr>
          <w:b/>
        </w:rPr>
        <w:t>escalate to CAPA</w:t>
      </w:r>
      <w:r>
        <w:t xml:space="preserve">, </w:t>
      </w:r>
      <w:r>
        <w:rPr>
          <w:b/>
        </w:rPr>
        <w:t>assign</w:t>
      </w:r>
      <w:r>
        <w:t xml:space="preserve"> owner/due, </w:t>
      </w:r>
      <w:r>
        <w:rPr>
          <w:b/>
        </w:rPr>
        <w:t>close</w:t>
      </w:r>
      <w:r>
        <w:t xml:space="preserve"> (gated), </w:t>
      </w:r>
      <w:r>
        <w:rPr>
          <w:b/>
        </w:rPr>
        <w:t>reopen</w:t>
      </w:r>
      <w:r>
        <w:t>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TC-NCR-form-001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Title + severity required; severity defaults to MINOR when unset.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TC-NCR-form-002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valid; a linked entity (job/report/complaint/equipment/partner) recorded and navigable.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TC-NCR-form-003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Due-on drives overdue; detected-on ≤ today.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TC-NCR-form-004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Disposition = ACCEPT </w:t>
            </w:r>
            <w:r>
              <w:rPr>
                <w:b/>
                <w:sz w:val="17"/>
              </w:rPr>
              <w:t>requires a reason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disposition_note</w:t>
            </w:r>
            <w:r>
              <w:rPr>
                <w:sz w:val="17"/>
              </w:rPr>
              <w:t>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(close gating — highest scrutiny)</w:t>
      </w:r>
    </w:p>
    <w:p>
      <w:pPr>
        <w:pStyle w:val="ListBullet"/>
      </w:pPr>
      <w:r>
        <w:rPr>
          <w:b/>
        </w:rPr>
        <w:t>Single way in</w:t>
      </w:r>
      <w:r>
        <w:t xml:space="preserve"> (</w:t>
      </w:r>
      <w:r>
        <w:rPr>
          <w:rFonts w:ascii="Consolas" w:hAnsi="Consolas"/>
          <w:color w:val="0B3A66"/>
          <w:sz w:val="18"/>
        </w:rPr>
        <w:t>ncr_create</w:t>
      </w:r>
      <w:r>
        <w:t xml:space="preserve">): shared </w:t>
      </w:r>
      <w:r>
        <w:rPr>
          <w:rFonts w:ascii="Consolas" w:hAnsi="Consolas"/>
          <w:color w:val="0B3A66"/>
          <w:sz w:val="18"/>
        </w:rPr>
        <w:t>ncr_ref_next()</w:t>
      </w:r>
      <w:r>
        <w:t xml:space="preserve"> numbering, branch derived from</w:t>
      </w:r>
    </w:p>
    <w:p>
      <w:r>
        <w:t xml:space="preserve">  the job's executing office (fallback raiser's office), one opening event — whoever   raises it (portal, complaint, audit, equipment, manual). </w:t>
      </w:r>
      <w:r>
        <w:rPr>
          <w:b/>
        </w:rPr>
        <w:t>TC-NCR-fn-001</w:t>
      </w:r>
      <w:r>
        <w:t xml:space="preserve"> — two   different sources produce consistent refs/branch/events.</w:t>
      </w:r>
    </w:p>
    <w:p>
      <w:pPr>
        <w:pStyle w:val="ListBullet"/>
      </w:pPr>
      <w:r>
        <w:rPr>
          <w:b/>
        </w:rPr>
        <w:t>Close gating</w:t>
      </w:r>
      <w:r>
        <w:t xml:space="preserve"> (</w:t>
      </w:r>
      <w:r>
        <w:rPr>
          <w:rFonts w:ascii="Consolas" w:hAnsi="Consolas"/>
          <w:color w:val="0B3A66"/>
          <w:sz w:val="18"/>
        </w:rPr>
        <w:t>ncr_close_missing</w:t>
      </w:r>
      <w:r>
        <w:t xml:space="preserve">): closing requires </w:t>
      </w:r>
      <w:r>
        <w:rPr>
          <w:b/>
        </w:rPr>
        <w:t>disposition</w:t>
      </w:r>
      <w:r>
        <w:t xml:space="preserve">, </w:t>
      </w:r>
      <w:r>
        <w:rPr>
          <w:b/>
        </w:rPr>
        <w:t>containment</w:t>
      </w:r>
      <w:r>
        <w:t>,</w:t>
      </w:r>
    </w:p>
    <w:p>
      <w:r>
        <w:t xml:space="preserve">  a </w:t>
      </w:r>
      <w:r>
        <w:rPr>
          <w:b/>
        </w:rPr>
        <w:t>reason if ACCEPT</w:t>
      </w:r>
      <w:r>
        <w:t xml:space="preserve">, and for a </w:t>
      </w:r>
      <w:r>
        <w:rPr>
          <w:b/>
        </w:rPr>
        <w:t>MAJOR</w:t>
      </w:r>
      <w:r>
        <w:t xml:space="preserve"> a </w:t>
      </w:r>
      <w:r>
        <w:rPr>
          <w:b/>
        </w:rPr>
        <w:t>CAPA that is itself closed first</w:t>
      </w:r>
      <w:r>
        <w:t xml:space="preserve">.   </w:t>
      </w:r>
      <w:r>
        <w:rPr>
          <w:b/>
        </w:rPr>
        <w:t>TC-NCR-fn-002..005</w:t>
      </w:r>
      <w:r>
        <w:t xml:space="preserve"> — each missing element blocks close with the exact reason;   </w:t>
      </w:r>
      <w:r>
        <w:rPr>
          <w:b/>
        </w:rPr>
        <w:t>TC-NCR-fn-006</w:t>
      </w:r>
      <w:r>
        <w:t xml:space="preserve"> — a MAJOR with no CAPA, or an open CAPA, cannot close.</w:t>
      </w:r>
    </w:p>
    <w:p>
      <w:pPr>
        <w:pStyle w:val="ListBullet"/>
      </w:pPr>
      <w:r>
        <w:rPr>
          <w:b/>
        </w:rPr>
        <w:t>Escalation</w:t>
      </w:r>
      <w:r>
        <w:t xml:space="preserve"> (</w:t>
      </w:r>
      <w:r>
        <w:rPr>
          <w:rFonts w:ascii="Consolas" w:hAnsi="Consolas"/>
          <w:color w:val="0B3A66"/>
          <w:sz w:val="18"/>
        </w:rPr>
        <w:t>ncr_to_capa</w:t>
      </w:r>
      <w:r>
        <w:t>): creates a linked CAPA, navigable both ways (</w:t>
      </w:r>
      <w:r>
        <w:rPr>
          <w:rFonts w:ascii="Consolas" w:hAnsi="Consolas"/>
          <w:color w:val="0B3A66"/>
          <w:sz w:val="18"/>
        </w:rPr>
        <w:t>capa.ncr_id</w:t>
      </w:r>
    </w:p>
    <w:p>
      <w:r>
        <w:t xml:space="preserve">  / </w:t>
      </w:r>
      <w:r>
        <w:rPr>
          <w:rFonts w:ascii="Consolas" w:hAnsi="Consolas"/>
          <w:color w:val="0B3A66"/>
          <w:sz w:val="18"/>
        </w:rPr>
        <w:t>nonconformities.capa_id</w:t>
      </w:r>
      <w:r>
        <w:t xml:space="preserve">). </w:t>
      </w:r>
      <w:r>
        <w:rPr>
          <w:b/>
        </w:rPr>
        <w:t>TC-NCR-fn-007</w:t>
      </w:r>
      <w:r>
        <w:t xml:space="preserve"> — one-to-one, no duplicate.</w:t>
      </w:r>
    </w:p>
    <w:p>
      <w:pPr>
        <w:pStyle w:val="ListBullet"/>
      </w:pPr>
      <w:r>
        <w:rPr>
          <w:b/>
        </w:rPr>
        <w:t>Overdue + reminders</w:t>
      </w:r>
      <w:r>
        <w:t xml:space="preserve"> (</w:t>
      </w:r>
      <w:r>
        <w:rPr>
          <w:rFonts w:ascii="Consolas" w:hAnsi="Consolas"/>
          <w:color w:val="0B3A66"/>
          <w:sz w:val="18"/>
        </w:rPr>
        <w:t>ncr_is_overdue</w:t>
      </w:r>
      <w:r>
        <w:t xml:space="preserve">, </w:t>
      </w:r>
      <w:r>
        <w:rPr>
          <w:rFonts w:ascii="Consolas" w:hAnsi="Consolas"/>
          <w:color w:val="0B3A66"/>
          <w:sz w:val="18"/>
        </w:rPr>
        <w:t>ncr_run_reminders</w:t>
      </w:r>
      <w:r>
        <w:t>): past due &amp; not closed →</w:t>
      </w:r>
    </w:p>
    <w:p>
      <w:r>
        <w:t xml:space="preserve">  flagged and reminded. </w:t>
      </w:r>
      <w:r>
        <w:rPr>
          <w:b/>
        </w:rPr>
        <w:t>TC-NCR-fn-008.</w:t>
      </w:r>
    </w:p>
    <w:p>
      <w:pPr>
        <w:pStyle w:val="ListBullet"/>
      </w:pPr>
      <w:r>
        <w:rPr>
          <w:b/>
        </w:rPr>
        <w:t>Auto-raise</w:t>
      </w:r>
      <w:r>
        <w:t xml:space="preserve"> (</w:t>
      </w:r>
      <w:r>
        <w:rPr>
          <w:rFonts w:ascii="Consolas" w:hAnsi="Consolas"/>
          <w:color w:val="0B3A66"/>
          <w:sz w:val="18"/>
        </w:rPr>
        <w:t>idems_raise_ncrs_from_audit</w:t>
      </w:r>
      <w:r>
        <w:t>, report-issue signatory rule): a</w:t>
      </w:r>
    </w:p>
    <w:p>
      <w:r>
        <w:t xml:space="preserve">  Major/Minor audit finding and an unauthorised-signatory issue become NCRs. </w:t>
      </w:r>
      <w:r>
        <w:rPr>
          <w:b/>
        </w:rPr>
        <w:t>TC-NCR-fn-009.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(new)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raise (any source)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title + severity; ref + branch + event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CONTAINED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contain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immediate action recorded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CONTAINED → DISPOSITIONED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disposition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 needs a reason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CLOSED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disposition + containment + (MAJOR ⇒ closed CAPA)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CLOSED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authorised; audited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TC-NCR-life-001:</w:t>
      </w:r>
      <w:r>
        <w:t xml:space="preserve"> a MAJOR nonconformity cannot be closed without a corrective action.</w:t>
      </w:r>
    </w:p>
    <w:p>
      <w:pPr>
        <w:pStyle w:val="ListBullet"/>
      </w:pPr>
      <w:r>
        <w:rPr>
          <w:b/>
        </w:rPr>
        <w:t>TC-NCR-life-002:</w:t>
      </w:r>
      <w:r>
        <w:t xml:space="preserve"> closing while its CAPA is still open is refused.</w:t>
      </w:r>
    </w:p>
    <w:p>
      <w:pPr>
        <w:pStyle w:val="ListBullet"/>
      </w:pPr>
      <w:r>
        <w:rPr>
          <w:b/>
        </w:rPr>
        <w:t>TC-NCR-life-003:</w:t>
      </w:r>
      <w:r>
        <w:t xml:space="preserve"> reopen is authorised and logged.</w:t>
      </w:r>
    </w:p>
    <w:p>
      <w:pPr>
        <w:pStyle w:val="Heading2"/>
      </w:pPr>
      <w:r>
        <w:t>F. Roles, permissions &amp; data scope</w:t>
      </w:r>
    </w:p>
    <w:p>
      <w:r>
        <w:t xml:space="preserve">View: </w:t>
      </w:r>
      <w:r>
        <w:rPr>
          <w:rFonts w:ascii="Consolas" w:hAnsi="Consolas"/>
          <w:color w:val="0B3A66"/>
          <w:sz w:val="18"/>
        </w:rPr>
        <w:t>ncr_can_view</w:t>
      </w:r>
      <w:r>
        <w:t xml:space="preserve"> (</w:t>
      </w:r>
      <w:r>
        <w:rPr>
          <w:rFonts w:ascii="Consolas" w:hAnsi="Consolas"/>
          <w:color w:val="0B3A66"/>
          <w:sz w:val="18"/>
        </w:rPr>
        <w:t>mod.ncr.view</w:t>
      </w:r>
      <w:r>
        <w:t>/</w:t>
      </w:r>
      <w:r>
        <w:rPr>
          <w:rFonts w:ascii="Consolas" w:hAnsi="Consolas"/>
          <w:color w:val="0B3A66"/>
          <w:sz w:val="18"/>
        </w:rPr>
        <w:t>mod.capa.view</w:t>
      </w:r>
      <w:r>
        <w:t xml:space="preserve">/master-of). Raise: </w:t>
      </w:r>
      <w:r>
        <w:rPr>
          <w:rFonts w:ascii="Consolas" w:hAnsi="Consolas"/>
          <w:color w:val="0B3A66"/>
          <w:sz w:val="18"/>
        </w:rPr>
        <w:t>ncr_can_raise</w:t>
      </w:r>
      <w:r>
        <w:t xml:space="preserve"> (</w:t>
      </w:r>
      <w:r>
        <w:rPr>
          <w:rFonts w:ascii="Consolas" w:hAnsi="Consolas"/>
          <w:color w:val="0B3A66"/>
          <w:sz w:val="18"/>
        </w:rPr>
        <w:t>mod.ncr.edit</w:t>
      </w:r>
      <w:r>
        <w:t>/</w:t>
      </w:r>
      <w:r>
        <w:rPr>
          <w:rFonts w:ascii="Consolas" w:hAnsi="Consolas"/>
          <w:color w:val="0B3A66"/>
          <w:sz w:val="18"/>
        </w:rPr>
        <w:t>mod.capa.edit</w:t>
      </w:r>
      <w:r>
        <w:t xml:space="preserve">). Close/reopen: </w:t>
      </w:r>
      <w:r>
        <w:rPr>
          <w:rFonts w:ascii="Consolas" w:hAnsi="Consolas"/>
          <w:color w:val="0B3A66"/>
          <w:sz w:val="18"/>
        </w:rPr>
        <w:t>ncr_can_close</w:t>
      </w:r>
      <w:r>
        <w:t xml:space="preserve"> (</w:t>
      </w:r>
      <w:r>
        <w:rPr>
          <w:rFonts w:ascii="Consolas" w:hAnsi="Consolas"/>
          <w:color w:val="0B3A66"/>
          <w:sz w:val="18"/>
        </w:rPr>
        <w:t>ncr.close</w:t>
      </w:r>
      <w:r>
        <w:t>/</w:t>
      </w:r>
      <w:r>
        <w:rPr>
          <w:rFonts w:ascii="Consolas" w:hAnsi="Consolas"/>
          <w:color w:val="0B3A66"/>
          <w:sz w:val="18"/>
        </w:rPr>
        <w:t>capa.close</w:t>
      </w:r>
      <w:r>
        <w:t>/ master). Register scoped by office/SBU. External responders (vendor/client) see only their own vendor-/client-visible NCRs (MOD-10/11).</w:t>
      </w:r>
    </w:p>
    <w:p>
      <w:pPr>
        <w:pStyle w:val="ListBullet"/>
      </w:pPr>
      <w:r>
        <w:t>TC-NCR-perm-001 (raise without permission) → refused.</w:t>
      </w:r>
    </w:p>
    <w:p>
      <w:pPr>
        <w:pStyle w:val="ListBullet"/>
      </w:pPr>
      <w:r>
        <w:t xml:space="preserve">TC-NCR-perm-002 (close without </w:t>
      </w:r>
      <w:r>
        <w:rPr>
          <w:rFonts w:ascii="Consolas" w:hAnsi="Consolas"/>
          <w:color w:val="0B3A66"/>
          <w:sz w:val="18"/>
        </w:rPr>
        <w:t>ncr.close</w:t>
      </w:r>
      <w:r>
        <w:t>) → refused.</w:t>
      </w:r>
    </w:p>
    <w:p>
      <w:pPr>
        <w:pStyle w:val="ListBullet"/>
      </w:pPr>
      <w:r>
        <w:t>TC-NCR-scope-001: only own-office NCRs in register/counts.</w:t>
      </w:r>
    </w:p>
    <w:p>
      <w:pPr>
        <w:pStyle w:val="Heading2"/>
      </w:pPr>
      <w:r>
        <w:t>G. Settings</w:t>
      </w:r>
    </w:p>
    <w:p>
      <w:r>
        <w:t xml:space="preserve">Severity/disposition/source vocabularies (lookup-configurable), clause references, due/SLA defaults, reminder cadence, portal visibility of an NCR. </w:t>
      </w:r>
      <w:r>
        <w:rPr>
          <w:b/>
        </w:rPr>
        <w:t>TC-NCR-set-001:</w:t>
      </w:r>
      <w:r>
        <w:t xml:space="preserve"> the MAJOR→CAPA close rule is enforced regardless of configuration (it is a control, not a toggle).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</w:t>
      </w:r>
      <w:r>
        <w:t xml:space="preserve"> (report/audit auto-raise; report reference), </w:t>
      </w:r>
      <w:r>
        <w:rPr>
          <w:b/>
        </w:rPr>
        <w:t>CAPA</w:t>
      </w:r>
      <w:r>
        <w:t xml:space="preserve"> (escalation, close dependency — MOD-13), </w:t>
      </w:r>
      <w:r>
        <w:rPr>
          <w:b/>
        </w:rPr>
        <w:t>Complaints</w:t>
      </w:r>
      <w:r>
        <w:t xml:space="preserve"> (complaint → NCR), </w:t>
      </w:r>
      <w:r>
        <w:rPr>
          <w:b/>
        </w:rPr>
        <w:t>Equipment</w:t>
      </w:r>
      <w:r>
        <w:t xml:space="preserve"> (calibration/failure → NCR), </w:t>
      </w:r>
      <w:r>
        <w:rPr>
          <w:b/>
        </w:rPr>
        <w:t>Jobs</w:t>
      </w:r>
      <w:r>
        <w:t xml:space="preserve"> (branch derivation), </w:t>
      </w:r>
      <w:r>
        <w:rPr>
          <w:b/>
        </w:rPr>
        <w:t>Portals</w:t>
      </w:r>
      <w:r>
        <w:t xml:space="preserve"> (vendor/client response loop), </w:t>
      </w:r>
      <w:r>
        <w:rPr>
          <w:b/>
        </w:rPr>
        <w:t>Audits</w:t>
      </w:r>
      <w:r>
        <w:t xml:space="preserve"> (findings → NCR). Idempotency: an auto-raise must not create duplicate NCRs for the same finding — TC-NCR-int-001.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ncr_events</w:t>
      </w:r>
      <w:r>
        <w:t xml:space="preserve"> logs raise / contain / disposition / assign / escalate / close / reopen with actor + note. The NCR↔CAPA link is one-to-one and navigable both ways. The close gate guarantees no MAJOR closes without a closed CAPA — the auditable invariant. </w:t>
      </w:r>
      <w:r>
        <w:rPr>
          <w:b/>
        </w:rPr>
        <w:t>TC-NCR-int-010:</w:t>
      </w:r>
      <w:r>
        <w:t xml:space="preserve"> every state change is evented; </w:t>
      </w:r>
      <w:r>
        <w:rPr>
          <w:b/>
        </w:rPr>
        <w:t>TC-NCR-int-011:</w:t>
      </w:r>
      <w:r>
        <w:t xml:space="preserve"> counts (</w:t>
      </w:r>
      <w:r>
        <w:rPr>
          <w:rFonts w:ascii="Consolas" w:hAnsi="Consolas"/>
          <w:color w:val="0B3A66"/>
          <w:sz w:val="18"/>
        </w:rPr>
        <w:t>ncr_counts</w:t>
      </w:r>
      <w:r>
        <w:t>) reconcile with the register rows.</w:t>
      </w:r>
    </w:p>
    <w:p>
      <w:pPr>
        <w:pStyle w:val="Heading2"/>
      </w:pPr>
      <w:r>
        <w:t>J. Reports &amp; outputs</w:t>
      </w:r>
    </w:p>
    <w:p>
      <w:r>
        <w:t xml:space="preserve">The register (open/overdue/closed) + counts, the NCR item sheet, reminder emails, and the feed into the CAPA register and the quality dashboard. </w:t>
      </w:r>
      <w:r>
        <w:rPr>
          <w:b/>
        </w:rPr>
        <w:t>TC-NCR-out-001:</w:t>
      </w:r>
      <w:r>
        <w:t xml:space="preserve"> overdue and open counts match the rows; </w:t>
      </w:r>
      <w:r>
        <w:rPr>
          <w:b/>
        </w:rPr>
        <w:t>TC-NCR-out-002:</w:t>
      </w:r>
      <w:r>
        <w:t xml:space="preserve"> a portal-raised NCR appears with its source correctly attributed.</w:t>
      </w:r>
    </w:p>
    <w:p>
      <w:pPr>
        <w:pStyle w:val="Heading2"/>
      </w:pPr>
      <w:r>
        <w:t>K. Negative, edge &amp; resilience</w:t>
      </w:r>
    </w:p>
    <w:p>
      <w:r>
        <w:t>Close with no disposition; close a MAJOR with no CAPA; close with an open CAPA; ACCEPT with no reason; a duplicate auto-raise from one finding; an overdue NCR; reopening a closed NCR; a portal response on a not-visible NCR (blocked — MOD-11).</w:t>
      </w:r>
    </w:p>
    <w:p>
      <w:pPr>
        <w:pStyle w:val="Heading2"/>
      </w:pPr>
      <w:r>
        <w:t>L. TPIA operational suitability</w:t>
      </w:r>
    </w:p>
    <w:p>
      <w:r>
        <w:t>Directly serves ISO/IEC 17020 §7.6/§8.7: one register, every source funnelled through it, containment then root-cause via CAPA for majors, dispositions that answer the assessor's question ("what happened to the work that was already wrong?"), and a close gate that prevents a nonconformity being waved through. The external response loop closes it with the vendor/client.</w:t>
      </w:r>
    </w:p>
    <w:p>
      <w:pPr>
        <w:pStyle w:val="Heading2"/>
      </w:pPr>
      <w:r>
        <w:t>M. Management usefulness</w:t>
      </w:r>
    </w:p>
    <w:p>
      <w:r>
        <w:t>Open/overdue counts, ageing, severity mix, source analysis, and the CAPA linkage give QA and management a live view of quality control. Confirm overdue reconciles with due dates.</w:t>
      </w:r>
    </w:p>
    <w:p>
      <w:pPr>
        <w:pStyle w:val="Heading2"/>
      </w:pPr>
      <w:r>
        <w:t>N. UI/UX</w:t>
      </w:r>
    </w:p>
    <w:p>
      <w:r>
        <w:t xml:space="preserve">One register, clear status pills, guided item sheet (contain → disposition → close), and a single "raise" path.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Raise/close/reopen authorised server-side; the MAJOR→CAPA close gate holds on a crafted close POST; scope enforced; portal responders confined to their visible NCRs; events immutable.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close gate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MAJOR→CAPA invariant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ncr_events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(17020 §7/§8)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auditor feeds NCR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NCR/CAPA module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due/overdue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GAP-NCR-001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close gate</w:t>
            </w:r>
            <w:r>
              <w:rPr>
                <w:sz w:val="17"/>
              </w:rPr>
              <w:t xml:space="preserve"> (disposition + containment + ACCEPT-reason + MAJOR-needs-closed-CAPA) is enforced on the close POST for a crafted request, not only in the UI.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GAP-NCR-002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single-way-in</w:t>
            </w:r>
            <w:r>
              <w:rPr>
                <w:sz w:val="17"/>
              </w:rPr>
              <w:t xml:space="preserve"> numbering and branch derivation are consistent across all sources (portal / complaint / audit / equipment / manual), with no gaps or duplicate refs.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GAP-NCR-003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auto-raise (audit findings, unauthorised signatory) does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duplicate NCRs for the same finding on re-issue.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/ncr</w:t>
      </w:r>
      <w:r>
        <w:t xml:space="preserve">, </w:t>
      </w:r>
      <w:r>
        <w:rPr>
          <w:rFonts w:ascii="Consolas" w:hAnsi="Consolas"/>
          <w:color w:val="0B3A66"/>
          <w:sz w:val="18"/>
        </w:rPr>
        <w:t>/ncr-*</w:t>
      </w:r>
      <w:r>
        <w:t xml:space="preserve"> × dims 1–29 → TC-NCR-* → results → DEF/GAP. </w:t>
      </w:r>
      <w:r>
        <w:rPr>
          <w:b/>
        </w:rPr>
        <w:t>Verdict: Complete-with-defects</w:t>
      </w:r>
      <w:r>
        <w:t xml:space="preserve"> — close gating (esp. MAJOR→CAPA), single-way-in integrity, and no-duplicate auto-raise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