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Inspection Ops — Gap, Risk &amp; Readiness Assessment</w:t>
      </w:r>
    </w:p>
    <w:p>
      <w:pPr>
        <w:spacing w:before="80" w:after="80"/>
        <w:ind w:left="360"/>
      </w:pPr>
      <w:r>
        <w:rPr>
          <w:b/>
          <w:color w:val="445566"/>
          <w:sz w:val="20"/>
        </w:rPr>
        <w:t>Prompt 5 · Gap / Risk / Readiness.</w:t>
      </w:r>
      <w:r>
        <w:rPr>
          <w:color w:val="445566"/>
          <w:sz w:val="20"/>
        </w:rPr>
        <w:t xml:space="preserve"> Consolidates every DEF/GAP raised across the 31 module reports (MOD-01…MOD-36) and the 9 end-to-end threads (Prompt 4) into one risk-ranked register, grouped by theme, with a per-area readiness verdict and an overall release recommendation. Traces to Inventory v1.0 and Governance v1.0.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  <w:tc>
          <w:tcPr>
            <w:tcW w:type="dxa" w:w="432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Inputs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sz w:val="17"/>
              </w:rPr>
              <w:t>31 module reports · 9 E2E threads · automated suite (</w:t>
            </w:r>
            <w:r>
              <w:rPr>
                <w:rFonts w:ascii="Consolas" w:hAnsi="Consolas"/>
                <w:color w:val="0B3A66"/>
                <w:sz w:val="17"/>
              </w:rPr>
              <w:t>php tests/run.php</w:t>
            </w:r>
            <w:r>
              <w:rPr>
                <w:sz w:val="17"/>
              </w:rPr>
              <w:t xml:space="preserve">, </w:t>
            </w:r>
            <w:r>
              <w:rPr>
                <w:b/>
                <w:sz w:val="17"/>
              </w:rPr>
              <w:t>1532 passing</w:t>
            </w:r>
            <w:r>
              <w:rPr>
                <w:sz w:val="17"/>
              </w:rPr>
              <w:t>, 3 accepted pre-existing NCDCA failures)</w:t>
            </w:r>
          </w:p>
        </w:tc>
      </w:tr>
      <w:tr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Findings</w:t>
            </w:r>
          </w:p>
        </w:tc>
        <w:tc>
          <w:tcPr>
            <w:tcW w:type="dxa" w:w="432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~70 verify-items across 10 themes; </w:t>
            </w:r>
            <w:r>
              <w:rPr>
                <w:b/>
                <w:sz w:val="17"/>
              </w:rPr>
              <w:t>2 Critical, ~18 Major, the remainder Moderate/Low</w:t>
            </w:r>
          </w:p>
        </w:tc>
      </w:tr>
      <w:tr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Overall verdict</w:t>
            </w:r>
          </w:p>
        </w:tc>
        <w:tc>
          <w:tcPr>
            <w:tcW w:type="dxa" w:w="432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Strong release candidate with conditions</w:t>
            </w:r>
            <w:r>
              <w:rPr>
                <w:sz w:val="17"/>
              </w:rPr>
              <w:t xml:space="preserve"> — operational spine and accreditation controls present and mostly enforced server-side; residual risk concentrated in cross-tenant isolation, cross-module money consistency, and a set of enforce-on-POST / independence / evidence items</w:t>
            </w:r>
          </w:p>
        </w:tc>
      </w:tr>
    </w:tbl>
    <w:p>
      <w:pPr>
        <w:spacing w:after="40"/>
      </w:pPr>
    </w:p>
    <w:p>
      <w:pPr>
        <w:pStyle w:val="Heading2"/>
      </w:pPr>
      <w:r>
        <w:t>A. How to read this</w:t>
      </w:r>
    </w:p>
    <w:p>
      <w:r>
        <w:t xml:space="preserve">Every finding is a </w:t>
      </w:r>
      <w:r>
        <w:rPr>
          <w:b/>
        </w:rPr>
        <w:t>verify-item</w:t>
      </w:r>
      <w:r>
        <w:t xml:space="preserve">, not a confirmed live defect — the module reads establish the code path and the risk; runtime confirmation on the crafted-POST / money-reconciliation cases is the closing evidence. Severity is the impact if the risk is real; Priority is the order to verify. </w:t>
      </w:r>
      <w:r>
        <w:rPr>
          <w:b/>
        </w:rPr>
        <w:t>Critical</w:t>
      </w:r>
      <w:r>
        <w:t xml:space="preserve"> = data leak or an unforgeable control defeated; </w:t>
      </w:r>
      <w:r>
        <w:rPr>
          <w:b/>
        </w:rPr>
        <w:t>Major</w:t>
      </w:r>
      <w:r>
        <w:t xml:space="preserve"> = wrong money, a bypassable control, or a broken independence/evidence guarantee; </w:t>
      </w:r>
      <w:r>
        <w:rPr>
          <w:b/>
        </w:rPr>
        <w:t>Moderate</w:t>
      </w:r>
      <w:r>
        <w:t xml:space="preserve"> = scoping/atomicity/config integrity; </w:t>
      </w:r>
      <w:r>
        <w:rPr>
          <w:b/>
        </w:rPr>
        <w:t>Low</w:t>
      </w:r>
      <w:r>
        <w:t xml:space="preserve"> = robustness/validation hardening.</w:t>
      </w:r>
    </w:p>
    <w:p>
      <w:pPr>
        <w:pStyle w:val="Heading2"/>
      </w:pPr>
      <w:r>
        <w:t>B. Risk register by theme (ranked)</w:t>
      </w:r>
    </w:p>
    <w:p>
      <w:pPr>
        <w:pStyle w:val="Heading3"/>
      </w:pPr>
      <w:r>
        <w:t>Theme 1 — Cross-tenant isolation (external surfaces) · CRITICAL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no client can reach another client's call/report/invoice/deputation by crafted id on any route incl. the PDF endpoint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GAP-VP-001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Critical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no vendor can list/open an INTERNAL/CLIENT_VISIBLE report or another vendor's report/NCR (visibility engine)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GAP-PORTAL-002 / VP-002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Invite/session security: single-use expiring tokens, clean session, access-window enforced every request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10,11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GAP-CONF-003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Visibility engine fail-closes for every portal read (INTERNAL/RESTRICTED/MGMT_ONLY never reach a portal)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</w:tr>
    </w:tbl>
    <w:p>
      <w:pPr>
        <w:spacing w:after="40"/>
      </w:pPr>
    </w:p>
    <w:p>
      <w:pPr>
        <w:pStyle w:val="Heading3"/>
      </w:pPr>
      <w:r>
        <w:t>Theme 2 — Money &amp; figure consistency · MAJOR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job_profit</w:t>
            </w:r>
            <w:r>
              <w:rPr>
                <w:sz w:val="17"/>
              </w:rPr>
              <w:t xml:space="preserve"> labour divisor uses the *current* month's working days, not the job's — historical labour cost drifts and diverges from </w:t>
            </w:r>
            <w:r>
              <w:rPr>
                <w:rFonts w:ascii="Consolas" w:hAnsi="Consolas"/>
                <w:color w:val="0B3A66"/>
                <w:sz w:val="17"/>
              </w:rPr>
              <w:t>costing_run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32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MIS aggregates a hand-rolled cost (drops overhead/voucher/other/contingency/recovered) — MIS profit ≠ call-profit profit for the same jobs; breaks "same figure everywhere"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32,34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Two unreconciled overhead models — office expense heads never reduce contract-level profit; CONTINGENCY head vs contingency% double-count risk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GST IGST-vs-CGST+SGST split + per-line rounding reconcile to the paisa across invoice/ledger/PDF/export; unknown state defaults local (not guessed)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GAP-INV-002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GST-safe numbering: gap-free series, issued invoice immutable, corrections are credit notes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09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Editing an APPROVED quote must re-open approval, not silently change a sent price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03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GAP-QUOTES-003 / GAP-CON-002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Amount-in-words == total; contract quantity </w:t>
            </w:r>
            <w:r>
              <w:rPr>
                <w:rFonts w:ascii="Consolas" w:hAnsi="Consolas"/>
                <w:color w:val="0B3A66"/>
                <w:sz w:val="17"/>
              </w:rPr>
              <w:t>used</w:t>
            </w:r>
            <w:r>
              <w:rPr>
                <w:sz w:val="17"/>
              </w:rPr>
              <w:t xml:space="preserve"> (man-days) vs </w:t>
            </w:r>
            <w:r>
              <w:rPr>
                <w:rFonts w:ascii="Consolas" w:hAnsi="Consolas"/>
                <w:color w:val="0B3A66"/>
                <w:sz w:val="17"/>
              </w:rPr>
              <w:t>total</w:t>
            </w:r>
            <w:r>
              <w:rPr>
                <w:sz w:val="17"/>
              </w:rPr>
              <w:t xml:space="preserve"> (countable lines) unit consistency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03,18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GAP-REC-003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Inter-office credit reconciled in bulk, not matched expected→received per job; </w:t>
            </w:r>
            <w:r>
              <w:rPr>
                <w:rFonts w:ascii="Consolas" w:hAnsi="Consolas"/>
                <w:color w:val="0B3A66"/>
                <w:sz w:val="17"/>
              </w:rPr>
              <w:t>credit_received</w:t>
            </w:r>
            <w:r>
              <w:rPr>
                <w:sz w:val="17"/>
              </w:rPr>
              <w:t xml:space="preserve"> unverified across offices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GAP-PRF-003 / GAP-OVH-003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SBU-P&amp;L mixes live revenue with frozen allocations; freeze drift undetected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32,33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GAP-OVH-002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No ledger/books link for office overheads (manual GL reconciliation)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33</w:t>
            </w:r>
          </w:p>
        </w:tc>
      </w:tr>
    </w:tbl>
    <w:p>
      <w:pPr>
        <w:spacing w:after="40"/>
      </w:pPr>
    </w:p>
    <w:p>
      <w:pPr>
        <w:pStyle w:val="Heading3"/>
      </w:pPr>
      <w:r>
        <w:t>Theme 3 — Control enforcement on crafted POSTs (not just hidden buttons) · MAJOR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Completeness gate + edit-lock enforced on </w:t>
            </w:r>
            <w:r>
              <w:rPr>
                <w:rFonts w:ascii="Consolas" w:hAnsi="Consolas"/>
                <w:color w:val="0B3A66"/>
                <w:sz w:val="17"/>
              </w:rPr>
              <w:t>document-submit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-edit</w:t>
            </w:r>
            <w:r>
              <w:rPr>
                <w:sz w:val="17"/>
              </w:rPr>
              <w:t xml:space="preserve"> POST; override always logged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06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Every RN blocker (issued-source, flag, HWP, NCR, client-rejected, acceptance) enforced on the raise POST; master override logged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GAP-APPR-002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Can-act enforced on the approve POST (non-current-step / non-approver refused); no concurrent double-advance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07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IRN uniqueness under concurrency; twin/PO guards hold on a crafted POST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 gate + override two-signature enforced on allocation/grant POST (EXHAUSTED not master-grantable)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GAP-CLI-001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Blocked/on-hold client gate enforced on the quote/call POST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15,03,04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GAP-NCR-001 / GAP-CAPA-001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Close gates (MAJOR→closed-CAPA; verified-effective) enforced on the close POST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12,13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GAP-JOBS-001/002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Contract/scheduling gate on allocation POST; close idempotency (offline replay)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GAP-INQ-002 / GAP-QUOTES(accept)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Inquiry list &amp; quote ACCEPTED/LOST transitions need a server-side view/permission gate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19,03</w:t>
            </w:r>
          </w:p>
        </w:tc>
      </w:tr>
    </w:tbl>
    <w:p>
      <w:pPr>
        <w:spacing w:after="40"/>
      </w:pPr>
    </w:p>
    <w:p>
      <w:pPr>
        <w:pStyle w:val="Heading3"/>
      </w:pPr>
      <w:r>
        <w:t>Theme 4 — Independence &amp; segregation of duties · MAJOR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GAP-APPR-001 / GAP-IMP-001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No automatic no-self-approval</w:t>
            </w:r>
            <w:r>
              <w:rPr>
                <w:sz w:val="17"/>
              </w:rPr>
              <w:t xml:space="preserve"> on report vetting/approval — same person can author and approve; SELF_REVIEW is only a manual threat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07,25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Complaint decider-independence is </w:t>
            </w:r>
            <w:r>
              <w:rPr>
                <w:b/>
                <w:sz w:val="17"/>
              </w:rPr>
              <w:t>name-string</w:t>
            </w:r>
            <w:r>
              <w:rPr>
                <w:sz w:val="17"/>
              </w:rPr>
              <w:t xml:space="preserve"> based (bypassable by a variant) — move to user-id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Internal-audit auditor-independence is name-string based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GAP-PC(approve)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Confirm a project-costing creator cannot approve their own bid where independence is required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</w:tr>
    </w:tbl>
    <w:p>
      <w:pPr>
        <w:spacing w:after="40"/>
      </w:pPr>
    </w:p>
    <w:p>
      <w:pPr>
        <w:pStyle w:val="Heading3"/>
      </w:pPr>
      <w:r>
        <w:t>Theme 5 — Evidence &amp; tamper-evidence · MAJOR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Content seal is </w:t>
            </w:r>
            <w:r>
              <w:rPr>
                <w:b/>
                <w:sz w:val="17"/>
              </w:rPr>
              <w:t>unkeyed SHA-256</w:t>
            </w:r>
            <w:r>
              <w:rPr>
                <w:sz w:val="17"/>
              </w:rPr>
              <w:t xml:space="preserve"> — recomputable after a DB edit so </w:t>
            </w:r>
            <w:r>
              <w:rPr>
                <w:rFonts w:ascii="Consolas" w:hAnsi="Consolas"/>
                <w:color w:val="0B3A66"/>
                <w:sz w:val="17"/>
              </w:rPr>
              <w:t>/verify</w:t>
            </w:r>
            <w:r>
              <w:rPr>
                <w:sz w:val="17"/>
              </w:rPr>
              <w:t xml:space="preserve"> passes again; add an HMAC/secret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Audit-chain link test </w:t>
            </w:r>
            <w:r>
              <w:rPr>
                <w:b/>
                <w:sz w:val="17"/>
              </w:rPr>
              <w:t>cannot detect a tail deletion</w:t>
            </w:r>
            <w:r>
              <w:rPr>
                <w:sz w:val="17"/>
              </w:rPr>
              <w:t xml:space="preserve"> of the newest sealed rows — add a periodic anchor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Internal-audit/MR mutations are </w:t>
            </w:r>
            <w:r>
              <w:rPr>
                <w:b/>
                <w:sz w:val="17"/>
              </w:rPr>
              <w:t>not sealed</w:t>
            </w:r>
            <w:r>
              <w:rPr>
                <w:sz w:val="17"/>
              </w:rPr>
              <w:t xml:space="preserve"> into the tamper-evident trail (finding-delete is a hard DELETE)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GAP-DC-004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Seal/freeze fail-open at issue (silent unsealed report); seal excludes attachments/signatures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29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GAP-IDEMS-003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Content seal + </w:t>
            </w:r>
            <w:r>
              <w:rPr>
                <w:rFonts w:ascii="Consolas" w:hAnsi="Consolas"/>
                <w:color w:val="0B3A66"/>
                <w:sz w:val="17"/>
              </w:rPr>
              <w:t>idems_content_check</w:t>
            </w:r>
            <w:r>
              <w:rPr>
                <w:sz w:val="17"/>
              </w:rPr>
              <w:t>/</w:t>
            </w:r>
            <w:r>
              <w:rPr>
                <w:rFonts w:ascii="Consolas" w:hAnsi="Consolas"/>
                <w:color w:val="0B3A66"/>
                <w:sz w:val="17"/>
              </w:rPr>
              <w:t>idems_audit_verify</w:t>
            </w:r>
            <w:r>
              <w:rPr>
                <w:sz w:val="17"/>
              </w:rPr>
              <w:t xml:space="preserve"> detect post-issue tampering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06</w:t>
            </w:r>
          </w:p>
        </w:tc>
      </w:tr>
    </w:tbl>
    <w:p>
      <w:pPr>
        <w:spacing w:after="40"/>
      </w:pPr>
    </w:p>
    <w:p>
      <w:pPr>
        <w:pStyle w:val="Heading3"/>
      </w:pPr>
      <w:r>
        <w:t>Theme 6 — Privacy &amp; security-at-rest · MAJOR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GAP-ID-001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Identity numbers + file bytes stored </w:t>
            </w:r>
            <w:r>
              <w:rPr>
                <w:b/>
                <w:sz w:val="17"/>
              </w:rPr>
              <w:t>plaintext/base64, no encryption at rest</w:t>
            </w:r>
            <w:r>
              <w:rPr>
                <w:sz w:val="17"/>
              </w:rPr>
              <w:t>; access-log swallows its own errors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GAP-REC-002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Self-attendance GPS un-validated (spoofable), unlike evidenced site check-in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31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GAP-EQ-002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Equipment register readable without </w:t>
            </w:r>
            <w:r>
              <w:rPr>
                <w:rFonts w:ascii="Consolas" w:hAnsi="Consolas"/>
                <w:color w:val="0B3A66"/>
                <w:sz w:val="17"/>
              </w:rPr>
              <w:t>mod.equipment.view</w:t>
            </w:r>
            <w:r>
              <w:rPr>
                <w:sz w:val="17"/>
              </w:rPr>
              <w:t xml:space="preserve">; </w:t>
            </w:r>
            <w:r>
              <w:rPr>
                <w:rFonts w:ascii="Consolas" w:hAnsi="Consolas"/>
                <w:color w:val="0B3A66"/>
                <w:sz w:val="17"/>
              </w:rPr>
              <w:t>/equip-cert</w:t>
            </w:r>
            <w:r>
              <w:rPr>
                <w:sz w:val="17"/>
              </w:rPr>
              <w:t xml:space="preserve"> download under-scoped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GAP-DASH-002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TAPI user-defined KPI formula engine — confirm </w:t>
            </w:r>
            <w:r>
              <w:rPr>
                <w:rFonts w:ascii="Consolas" w:hAnsi="Consolas"/>
                <w:color w:val="0B3A66"/>
                <w:sz w:val="17"/>
              </w:rPr>
              <w:t>tapi_formula_valid</w:t>
            </w:r>
            <w:r>
              <w:rPr>
                <w:sz w:val="17"/>
              </w:rPr>
              <w:t xml:space="preserve"> blocks injection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34</w:t>
            </w:r>
          </w:p>
        </w:tc>
      </w:tr>
    </w:tbl>
    <w:p>
      <w:pPr>
        <w:spacing w:after="40"/>
      </w:pPr>
    </w:p>
    <w:p>
      <w:pPr>
        <w:pStyle w:val="Heading3"/>
      </w:pPr>
      <w:r>
        <w:t>Theme 7 — Data scoping (visibility beyond one's office/SBU) · MODERATE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Project costings have </w:t>
            </w:r>
            <w:r>
              <w:rPr>
                <w:b/>
                <w:sz w:val="17"/>
              </w:rPr>
              <w:t>no office/owner scoping</w:t>
            </w:r>
            <w:r>
              <w:rPr>
                <w:sz w:val="17"/>
              </w:rPr>
              <w:t xml:space="preserve"> — any quotes/hiring viewer sees all bids (salary-like data)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Complaint single-record detail view not office-scoped (open another branch's by id)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22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GAP-AUD-004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Internal audits/reviews not office-scoped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28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GAP-LEAD-003 / GAP-HIRE-003 / GAP-IMP-004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Leads/candidates SBU scoping leaky (blank SBU in-scope); impartiality register unscoped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17,35,25</w:t>
            </w:r>
          </w:p>
        </w:tc>
      </w:tr>
    </w:tbl>
    <w:p>
      <w:pPr>
        <w:spacing w:after="40"/>
      </w:pPr>
    </w:p>
    <w:p>
      <w:pPr>
        <w:pStyle w:val="Heading3"/>
      </w:pPr>
      <w:r>
        <w:t>Theme 8 — Idempotency &amp; atomicity · MODERATE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Closure-expense double-claim guarded only by </w:t>
            </w:r>
            <w:r>
              <w:rPr>
                <w:rFonts w:ascii="Consolas" w:hAnsi="Consolas"/>
                <w:color w:val="0B3A66"/>
                <w:sz w:val="17"/>
              </w:rPr>
              <w:t>closed_flag</w:t>
            </w:r>
            <w:r>
              <w:rPr>
                <w:sz w:val="17"/>
              </w:rPr>
              <w:t xml:space="preserve"> (INSERT before flag; non-transactional)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GAP-LEAD-002 / GAP-HIRE-001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Lead conversion &amp; candidate→inspector not transactional (partial links / duplicate inspectors)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17,35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GAP-RN-003 / GAP-VEN-003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RN raised twice links (no dup); re-issued assessment does not double-log the timeline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08,16</w:t>
            </w:r>
          </w:p>
        </w:tc>
      </w:tr>
    </w:tbl>
    <w:p>
      <w:pPr>
        <w:spacing w:after="40"/>
      </w:pPr>
    </w:p>
    <w:p>
      <w:pPr>
        <w:pStyle w:val="Heading3"/>
      </w:pPr>
      <w:r>
        <w:t>Theme 9 — Config &amp; model integrity · MODERATE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GAP-LIC-001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Major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Seat caps enforce on new-user creation only — reactivation-via-edit bypasses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36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GAP-LIC-002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Seats = live count, no reservation table (race); two seat sources reconciled only by max()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36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GAP-PC-002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Bid margin silently falls back to zero-margin at target_margin ≥100 (COST) / tm+load ≥100 (RATE)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GAP-CMP-001(threshold)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Cert "expiring" threshold inconsistent (45 vs 30 days)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GAP-SET-001/002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Setting clamps hold on crafted POST; a switched-off module's routes guard server-side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14,36</w:t>
            </w:r>
          </w:p>
        </w:tc>
      </w:tr>
    </w:tbl>
    <w:p>
      <w:pPr>
        <w:spacing w:after="40"/>
      </w:pPr>
    </w:p>
    <w:p>
      <w:pPr>
        <w:pStyle w:val="Heading3"/>
      </w:pPr>
      <w:r>
        <w:t>Theme 10 — Robustness, heuristics &amp; validation · LOW–MODERATE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ID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Sev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Finding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GAP-INQ-001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Inquiry capture has no validation (a blank inquiry is accepted)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19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GAP-VCH-002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0B3A66"/>
                <w:sz w:val="17"/>
              </w:rPr>
              <w:t>needs_receipt</w:t>
            </w:r>
            <w:r>
              <w:rPr>
                <w:sz w:val="17"/>
              </w:rPr>
              <w:t xml:space="preserve"> never enforced; no negative/ceiling amount validation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30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GAP-LEAD-001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Moderate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Bulk "mark lost" doesn't require a reason (weakens win/loss data)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17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GAP-HWP-002 / GAP-CMP-002(scope-match)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Derivation &amp; authorisation-scope matching are label/string-based (localized labels fail)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21,24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GAP-HIRE-002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Person identity heuristic (mobile/email) double-counts the pipeline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GAP-CONF-001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Undertaking lapse has no cron/alert (surfaces only on the screen)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27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GAP-EQ-001/003 · GAP-ID-002 · GAP-REC-001/004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Low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Date-fallback-to-today; newest-vs-date-aware cert display; empty-expiry perpetual validity; opt-in site gate; comp-off expiry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23,26,31</w:t>
            </w:r>
          </w:p>
        </w:tc>
      </w:tr>
    </w:tbl>
    <w:p>
      <w:pPr>
        <w:spacing w:after="40"/>
      </w:pPr>
    </w:p>
    <w:p>
      <w:pPr>
        <w:pStyle w:val="Heading2"/>
      </w:pPr>
      <w:r>
        <w:t>C. Readiness by area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Area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Modules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Readiness</w:t>
            </w:r>
          </w:p>
        </w:tc>
        <w:tc>
          <w:tcPr>
            <w:tcW w:type="dxa" w:w="2160"/>
            <w:shd w:val="clear" w:fill="E8F0FB"/>
          </w:tcPr>
          <w:p>
            <w:r>
              <w:rPr>
                <w:b/>
                <w:color w:val="16324F"/>
                <w:sz w:val="18"/>
              </w:rPr>
            </w:r>
            <w:r>
              <w:rPr>
                <w:b/>
                <w:color w:val="16324F"/>
                <w:sz w:val="18"/>
              </w:rPr>
              <w:t>Rationale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Reporting spine (IDEMS)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06,07,08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High, conditional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Lifecycle, vetting/approval, RN gating and immutability all present and mostly server-enforced; conditions: enforce-on-POST verification (IDEMS-002, RN-001, APPR-002) + no-self-approval (APPR-001) + seal strength (DC-001)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Operational spine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04,05,18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High, conditional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Allocation gates, scheduling, contract cover, close discipline solid; conditions: contract-gate/quantity-unit (CON-001/002), close idempotency (JOBS-002)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Money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03,09,30,32,33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Correct primitives, but the "same figure everywhere" promise is not fully met and two overhead models coexist; the highest-value cluster to close (PRF-001/002, OVH-001, INV-001/002)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External / portals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10,11,27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Medium, gating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Feature-complete but the two </w:t>
            </w:r>
            <w:r>
              <w:rPr>
                <w:b/>
                <w:sz w:val="17"/>
              </w:rPr>
              <w:t>Critical</w:t>
            </w:r>
            <w:r>
              <w:rPr>
                <w:sz w:val="17"/>
              </w:rPr>
              <w:t xml:space="preserve"> isolation items (PORTAL-001, VP-001) gate release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Quality controls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12,13,21,22,23,24,25,26,28,29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High, conditional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Strong ISO-17020 coverage (NCR/CAPA close gates, calibration hard-block, hold-points, audit trail); conditions: independence id-based (CMP-001, AUD-001, IMP-001), evidence integrity (DC-001, AUD-002), at-rest privacy (ID-001)</w:t>
            </w:r>
          </w:p>
        </w:tc>
      </w:tr>
      <w:tr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CRM / pipeline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15,16,17,19,20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Medium</w:t>
            </w:r>
          </w:p>
        </w:tc>
        <w:tc>
          <w:tcPr>
            <w:tcW w:type="dxa" w:w="2160"/>
            <w:shd w:val="clear" w:fill="F6F8FB"/>
          </w:tcPr>
          <w:p>
            <w:r>
              <w:rPr>
                <w:sz w:val="17"/>
              </w:rPr>
            </w:r>
            <w:r>
              <w:rPr>
                <w:sz w:val="17"/>
              </w:rPr>
              <w:t>Works; scoping + validation + bid data-exposure gaps (PC-001, INQ-001, LEAD-003)</w:t>
            </w:r>
          </w:p>
        </w:tc>
      </w:tr>
      <w:tr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Platform / admin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01,02,14,34,35,36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High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</w:r>
            <w:r>
              <w:rPr>
                <w:sz w:val="17"/>
              </w:rPr>
              <w:t>Access clamps verified secure (MOD-02); settings/terminology/licensing solid; conditions: KPI-formula safety (DASH-002), seat enforce-on-edit (LIC-001)</w:t>
            </w:r>
          </w:p>
        </w:tc>
      </w:tr>
    </w:tbl>
    <w:p>
      <w:pPr>
        <w:spacing w:after="40"/>
      </w:pPr>
    </w:p>
    <w:p>
      <w:pPr>
        <w:pStyle w:val="Heading2"/>
      </w:pPr>
      <w:r>
        <w:t>D. Recommended close-out order (highest value first)</w:t>
      </w:r>
    </w:p>
    <w:p>
      <w:pPr>
        <w:pStyle w:val="ListNumber"/>
      </w:pPr>
      <w:r>
        <w:rPr>
          <w:b/>
        </w:rPr>
        <w:t>Both Critical isolation items</w:t>
      </w:r>
      <w:r>
        <w:t xml:space="preserve"> (PORTAL-001, VP-001) — verify with crafted cross-tenant</w:t>
      </w:r>
    </w:p>
    <w:p>
      <w:r>
        <w:t xml:space="preserve">   ids on every route + PDF endpoint. *Release-gating.*</w:t>
      </w:r>
    </w:p>
    <w:p>
      <w:pPr>
        <w:pStyle w:val="ListNumber"/>
      </w:pPr>
      <w:r>
        <w:rPr>
          <w:b/>
        </w:rPr>
        <w:t>Money consistency cluster</w:t>
      </w:r>
      <w:r>
        <w:t xml:space="preserve"> (PRF-001/002, OVH-001, INV-001/002) — one reconciliation pass</w:t>
      </w:r>
    </w:p>
    <w:p>
      <w:r>
        <w:t xml:space="preserve">   across quote→invoice→profit and the four profit screens. *Release-gating for a money    product.*</w:t>
      </w:r>
    </w:p>
    <w:p>
      <w:pPr>
        <w:pStyle w:val="ListNumber"/>
      </w:pPr>
      <w:r>
        <w:rPr>
          <w:b/>
        </w:rPr>
        <w:t>Enforce-on-POST sweep</w:t>
      </w:r>
      <w:r>
        <w:t xml:space="preserve"> (IDEMS-002, RN-001, APPR-002, CON-001, CLI-001, NCR-001) — a</w:t>
      </w:r>
    </w:p>
    <w:p>
      <w:r>
        <w:t xml:space="preserve">   single crafted-request test matrix confirms every gate is server-side.</w:t>
      </w:r>
    </w:p>
    <w:p>
      <w:pPr>
        <w:pStyle w:val="ListNumber"/>
      </w:pPr>
      <w:r>
        <w:rPr>
          <w:b/>
        </w:rPr>
        <w:t>Independence</w:t>
      </w:r>
      <w:r>
        <w:t xml:space="preserve"> (APPR-001/IMP-001; CMP-001/AUD-001 to id-based) — add the no-self-approval</w:t>
      </w:r>
    </w:p>
    <w:p>
      <w:r>
        <w:t xml:space="preserve">   check and move name-based independence to user ids.</w:t>
      </w:r>
    </w:p>
    <w:p>
      <w:pPr>
        <w:pStyle w:val="ListNumber"/>
      </w:pPr>
      <w:r>
        <w:rPr>
          <w:b/>
        </w:rPr>
        <w:t>Evidence integrity</w:t>
      </w:r>
      <w:r>
        <w:t xml:space="preserve"> (DC-001 keyed seal, AUD-002 anchor, AUD-003 seal QMS records).</w:t>
      </w:r>
    </w:p>
    <w:p>
      <w:pPr>
        <w:pStyle w:val="ListNumber"/>
      </w:pPr>
      <w:r>
        <w:rPr>
          <w:b/>
        </w:rPr>
        <w:t>At-rest &amp; injection</w:t>
      </w:r>
      <w:r>
        <w:t xml:space="preserve"> (ID-001 encryption, DASH-002 formula validation, REC-002 GPS,</w:t>
      </w:r>
    </w:p>
    <w:p>
      <w:r>
        <w:t xml:space="preserve">   EQ-002 download auth).</w:t>
      </w:r>
    </w:p>
    <w:p>
      <w:pPr>
        <w:pStyle w:val="ListNumber"/>
      </w:pPr>
      <w:r>
        <w:rPr>
          <w:b/>
        </w:rPr>
        <w:t>Scoping + idempotency + validation</w:t>
      </w:r>
      <w:r>
        <w:t xml:space="preserve"> (Themes 7–10) — mechanical, lower risk, do in a</w:t>
      </w:r>
    </w:p>
    <w:p>
      <w:r>
        <w:t xml:space="preserve">   batch.</w:t>
      </w:r>
    </w:p>
    <w:p>
      <w:pPr>
        <w:pStyle w:val="Heading2"/>
      </w:pPr>
      <w:r>
        <w:t>E. What is already strong (do not regress)</w:t>
      </w:r>
    </w:p>
    <w:p>
      <w:pPr>
        <w:pStyle w:val="ListBullet"/>
      </w:pPr>
      <w:r>
        <w:rPr>
          <w:b/>
        </w:rPr>
        <w:t>Access model</w:t>
      </w:r>
      <w:r>
        <w:t xml:space="preserve"> (MOD-02): privilege-escalation clamps verified — a branch manager cannot</w:t>
      </w:r>
    </w:p>
    <w:p>
      <w:r>
        <w:t xml:space="preserve">  mint a Master Admin; </w:t>
      </w:r>
      <w:r>
        <w:rPr>
          <w:rFonts w:ascii="Consolas" w:hAnsi="Consolas"/>
          <w:color w:val="0B3A66"/>
          <w:sz w:val="18"/>
        </w:rPr>
        <w:t>ua()</w:t>
      </w:r>
      <w:r>
        <w:t xml:space="preserve"> is a memoized choke point; licence gating precedes the master   bypass.</w:t>
      </w:r>
    </w:p>
    <w:p>
      <w:pPr>
        <w:pStyle w:val="ListBullet"/>
      </w:pPr>
      <w:r>
        <w:rPr>
          <w:b/>
        </w:rPr>
        <w:t>Non-overridable calibration block</w:t>
      </w:r>
      <w:r>
        <w:t xml:space="preserve"> (MOD-23) and </w:t>
      </w:r>
      <w:r>
        <w:rPr>
          <w:b/>
        </w:rPr>
        <w:t>MAJOR→closed-CAPA</w:t>
      </w:r>
      <w:r>
        <w:t xml:space="preserve"> (MOD-12/13) — the</w:t>
      </w:r>
    </w:p>
    <w:p>
      <w:r>
        <w:t xml:space="preserve">  two hardest ISO controls are enforced.</w:t>
      </w:r>
    </w:p>
    <w:p>
      <w:pPr>
        <w:pStyle w:val="ListBullet"/>
      </w:pPr>
      <w:r>
        <w:rPr>
          <w:b/>
        </w:rPr>
        <w:t>Vetting-before-approver + auto-forward + RN gating</w:t>
      </w:r>
      <w:r>
        <w:t xml:space="preserve"> (MOD-07/08) — the workflow overhaul</w:t>
      </w:r>
    </w:p>
    <w:p>
      <w:r>
        <w:t xml:space="preserve">  (W1–W6) works live.</w:t>
      </w:r>
    </w:p>
    <w:p>
      <w:pPr>
        <w:pStyle w:val="ListBullet"/>
      </w:pPr>
      <w:r>
        <w:rPr>
          <w:b/>
        </w:rPr>
        <w:t>Tamper-evident hash chain + public verify</w:t>
      </w:r>
      <w:r>
        <w:t xml:space="preserve"> (MOD-28/29) — present and honest about</w:t>
      </w:r>
    </w:p>
    <w:p>
      <w:r>
        <w:t xml:space="preserve">  unsealed legacy rows.</w:t>
      </w:r>
    </w:p>
    <w:p>
      <w:pPr>
        <w:pStyle w:val="ListBullet"/>
      </w:pPr>
      <w:r>
        <w:rPr>
          <w:b/>
        </w:rPr>
        <w:t>Terminology engine + module licensing</w:t>
      </w:r>
      <w:r>
        <w:t xml:space="preserve"> (MOD-14/36) — genuinely multi-TPIA, no agency</w:t>
      </w:r>
    </w:p>
    <w:p>
      <w:r>
        <w:t xml:space="preserve">  hardcoding.</w:t>
      </w:r>
    </w:p>
    <w:p>
      <w:pPr>
        <w:pStyle w:val="ListBullet"/>
      </w:pPr>
      <w:r>
        <w:rPr>
          <w:b/>
        </w:rPr>
        <w:t>1532 automated tests passing</w:t>
      </w:r>
      <w:r>
        <w:t xml:space="preserve"> — a real regression net under all of the above.</w:t>
      </w:r>
    </w:p>
    <w:p>
      <w:pPr>
        <w:pStyle w:val="Heading2"/>
      </w:pPr>
      <w:r>
        <w:t>F. Overall recommendation</w:t>
      </w:r>
    </w:p>
    <w:p>
      <w:r>
        <w:rPr>
          <w:b/>
        </w:rPr>
        <w:t>Ship as a release candidate to a controlled pilot</w:t>
      </w:r>
      <w:r>
        <w:t xml:space="preserve">, with the two </w:t>
      </w:r>
      <w:r>
        <w:rPr>
          <w:b/>
        </w:rPr>
        <w:t>Critical</w:t>
      </w:r>
      <w:r>
        <w:t xml:space="preserve"> isolation items and the </w:t>
      </w:r>
      <w:r>
        <w:rPr>
          <w:b/>
        </w:rPr>
        <w:t>money-consistency cluster</w:t>
      </w:r>
      <w:r>
        <w:t xml:space="preserve"> closed or explicitly risk-accepted first, and the enforce-on-POST / independence / evidence items scheduled immediately after. The product is functionally complete across all 31 modules, the accreditation controls are present and largely server-enforced, and the residual risk is well-localised and itemised — every finding here carries a module, a severity, and a concrete verification. Re-run this assessment after the close-out order in §D; the exit is met when Themes 1–5 are closed/accepted and the E2E "same figure" checks (Prompt 4) pass to the paisa.</w:t>
      </w:r>
    </w:p>
    <w:p>
      <w:pPr>
        <w:pStyle w:val="Heading2"/>
      </w:pPr>
      <w:r>
        <w:t>Traceability</w:t>
      </w:r>
    </w:p>
    <w:p>
      <w:r>
        <w:t>Every finding → its module report's §Q → the E2E thread(s) that exercise it (Prompt 4) → the §D close-out order → this recommendation. Inventory v1.0 (scope), Governance v1.0 (method), the 31 module reports (evidence), Prompt 4 (integration), Prompt 5 (this — risk &amp; readiness) form the complete testing &amp; documentation pack.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5FAE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6324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5FA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6324F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