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Vendor Portal — Test &amp; Documentation Report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Prompt 3 · Module MOD-VPORTAL.</w:t>
      </w:r>
      <w:r>
        <w:rPr>
          <w:color w:val="445566"/>
          <w:sz w:val="20"/>
        </w:rPr>
        <w:t xml:space="preserve"> Read from </w:t>
      </w:r>
      <w:r>
        <w:rPr>
          <w:rFonts w:ascii="Consolas" w:hAnsi="Consolas"/>
          <w:color w:val="445566"/>
          <w:sz w:val="20"/>
        </w:rPr>
        <w:t>lib/cvp.php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cvp_vendor_route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cvp_vendor_login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cvp_vendor_invite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cvp_vendor_accept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cvp_vendor_require</w:t>
      </w:r>
      <w:r>
        <w:rPr>
          <w:color w:val="445566"/>
          <w:sz w:val="20"/>
        </w:rPr>
        <w:t xml:space="preserve">/ </w:t>
      </w:r>
      <w:r>
        <w:rPr>
          <w:rFonts w:ascii="Consolas" w:hAnsi="Consolas"/>
          <w:color w:val="445566"/>
          <w:sz w:val="20"/>
        </w:rPr>
        <w:t>cvp_vendor_user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cvp_vendor_start_session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cvp_vendor_reports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cvp_vendor_report</w:t>
      </w:r>
      <w:r>
        <w:rPr>
          <w:color w:val="445566"/>
          <w:sz w:val="20"/>
        </w:rPr>
        <w:t xml:space="preserve">/ </w:t>
      </w:r>
      <w:r>
        <w:rPr>
          <w:rFonts w:ascii="Consolas" w:hAnsi="Consolas"/>
          <w:color w:val="445566"/>
          <w:sz w:val="20"/>
        </w:rPr>
        <w:t>cvp_vendor_report_pdf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cvp_vendor_issues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cvp_vendor_issue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cvp_vendor_route_issues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cvp_vendor_perms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vcan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cvp_vendor_need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cvp_visibility_sql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cvp_access_live_sql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cvp_action_centre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cvp_notify_*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cvp_vendor_log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cvp_vendor_admin</w:t>
      </w:r>
      <w:r>
        <w:rPr>
          <w:color w:val="445566"/>
          <w:sz w:val="20"/>
        </w:rPr>
        <w:t>), the shared visibility engine (</w:t>
      </w:r>
      <w:r>
        <w:rPr>
          <w:rFonts w:ascii="Consolas" w:hAnsi="Consolas"/>
          <w:color w:val="445566"/>
          <w:sz w:val="20"/>
        </w:rPr>
        <w:t>CVP_VISIBILITY_AUDIENCE</w:t>
      </w:r>
      <w:r>
        <w:rPr>
          <w:color w:val="445566"/>
          <w:sz w:val="20"/>
        </w:rPr>
        <w:t xml:space="preserve">), views </w:t>
      </w:r>
      <w:r>
        <w:rPr>
          <w:rFonts w:ascii="Consolas" w:hAnsi="Consolas"/>
          <w:color w:val="445566"/>
          <w:sz w:val="20"/>
        </w:rPr>
        <w:t>vendor/login.php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vendor/dashboard.php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vendor/reports.php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vendor/issues.php</w:t>
      </w:r>
      <w:r>
        <w:rPr>
          <w:color w:val="445566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Vendor Portal (MOD-VPORTAL) · Area External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Personas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P-VENDOR (external, </w:t>
            </w:r>
            <w:r>
              <w:rPr>
                <w:rFonts w:ascii="Consolas" w:hAnsi="Consolas"/>
                <w:color w:val="0B3A66"/>
                <w:sz w:val="17"/>
              </w:rPr>
              <w:t>cvp_vendor_users</w:t>
            </w:r>
            <w:r>
              <w:rPr>
                <w:sz w:val="17"/>
              </w:rPr>
              <w:t>), P-COORD/P-QA (admin: invite/share/NCR), P-MASTER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Risk weight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High</w:t>
            </w:r>
            <w:r>
              <w:rPr>
                <w:sz w:val="17"/>
              </w:rPr>
              <w:t xml:space="preserve"> — a second external surface; a visibility/scope error shows a vendor another party's report or NCR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Complete-with-defects (confirm vendor isolation, visibility gating, access expiry, NCR response authenticity)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Ver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Date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Author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(stamp)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(Prompt 3)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Initial.</w:t>
            </w:r>
          </w:p>
        </w:tc>
      </w:tr>
    </w:tbl>
    <w:p>
      <w:pPr>
        <w:spacing w:after="40"/>
      </w:pPr>
    </w:p>
    <w:p>
      <w:pPr>
        <w:pStyle w:val="Heading2"/>
      </w:pPr>
      <w:r>
        <w:t>A. Module overview</w:t>
      </w:r>
    </w:p>
    <w:p>
      <w:r>
        <w:t xml:space="preserve">The Vendor Portal is the vendor-facing half of the Client/Vendor Portal (CVP). It has its </w:t>
      </w:r>
      <w:r>
        <w:rPr>
          <w:b/>
        </w:rPr>
        <w:t>own identity</w:t>
      </w:r>
      <w:r>
        <w:t xml:space="preserve"> (</w:t>
      </w:r>
      <w:r>
        <w:rPr>
          <w:rFonts w:ascii="Consolas" w:hAnsi="Consolas"/>
          <w:color w:val="0B3A66"/>
          <w:sz w:val="18"/>
        </w:rPr>
        <w:t>cvp_vendor_users</w:t>
      </w:r>
      <w:r>
        <w:t xml:space="preserve">, session key </w:t>
      </w:r>
      <w:r>
        <w:rPr>
          <w:rFonts w:ascii="Consolas" w:hAnsi="Consolas"/>
          <w:color w:val="0B3A66"/>
          <w:sz w:val="18"/>
        </w:rPr>
        <w:t>vuid</w:t>
      </w:r>
      <w:r>
        <w:t xml:space="preserve">, distinct from staff and from client-portal users), is </w:t>
      </w:r>
      <w:r>
        <w:rPr>
          <w:b/>
        </w:rPr>
        <w:t>off by default</w:t>
      </w:r>
      <w:r>
        <w:t xml:space="preserve"> (</w:t>
      </w:r>
      <w:r>
        <w:rPr>
          <w:rFonts w:ascii="Consolas" w:hAnsi="Consolas"/>
          <w:color w:val="0B3A66"/>
          <w:sz w:val="18"/>
        </w:rPr>
        <w:t>vendor_portal_enabled</w:t>
      </w:r>
      <w:r>
        <w:t xml:space="preserve">), and shows a vendor </w:t>
      </w:r>
      <w:r>
        <w:rPr>
          <w:b/>
        </w:rPr>
        <w:t>only what has been deliberately shared with them</w:t>
      </w:r>
      <w:r>
        <w:t xml:space="preserve"> by the </w:t>
      </w:r>
      <w:r>
        <w:rPr>
          <w:b/>
        </w:rPr>
        <w:t>visibility engine</w:t>
      </w:r>
      <w:r>
        <w:t xml:space="preserve">: reports marked </w:t>
      </w:r>
      <w:r>
        <w:rPr>
          <w:rFonts w:ascii="Consolas" w:hAnsi="Consolas"/>
          <w:color w:val="0B3A66"/>
          <w:sz w:val="18"/>
        </w:rPr>
        <w:t>VENDOR_VISIBLE</w:t>
      </w:r>
      <w:r>
        <w:t>/</w:t>
      </w:r>
      <w:r>
        <w:rPr>
          <w:rFonts w:ascii="Consolas" w:hAnsi="Consolas"/>
          <w:color w:val="0B3A66"/>
          <w:sz w:val="18"/>
        </w:rPr>
        <w:t>SHARED</w:t>
      </w:r>
      <w:r>
        <w:t xml:space="preserve">, and </w:t>
      </w:r>
      <w:r>
        <w:rPr>
          <w:b/>
        </w:rPr>
        <w:t>nonconformities raised to them</w:t>
      </w:r>
      <w:r>
        <w:t xml:space="preserve">. The central feature is the </w:t>
      </w:r>
      <w:r>
        <w:rPr>
          <w:b/>
        </w:rPr>
        <w:t>external NCR loop</w:t>
      </w:r>
      <w:r>
        <w:t xml:space="preserve">: a vendor can view an open nonconformity raised against them and </w:t>
      </w:r>
      <w:r>
        <w:rPr>
          <w:b/>
        </w:rPr>
        <w:t>respond</w:t>
      </w:r>
      <w:r>
        <w:t xml:space="preserve"> (a substantive response, not a bare acknowledgement), which the QA team then decides.</w:t>
      </w:r>
    </w:p>
    <w:p>
      <w:r>
        <w:t>Access is invite-based (</w:t>
      </w:r>
      <w:r>
        <w:rPr>
          <w:rFonts w:ascii="Consolas" w:hAnsi="Consolas"/>
          <w:color w:val="0B3A66"/>
          <w:sz w:val="18"/>
        </w:rPr>
        <w:t>cvp_vendor_invite</w:t>
      </w:r>
      <w:r>
        <w:t xml:space="preserve">, token + expiry, </w:t>
      </w:r>
      <w:r>
        <w:rPr>
          <w:b/>
        </w:rPr>
        <w:t>access can also expire</w:t>
      </w:r>
      <w:r>
        <w:t xml:space="preserve"> via </w:t>
      </w:r>
      <w:r>
        <w:rPr>
          <w:rFonts w:ascii="Consolas" w:hAnsi="Consolas"/>
          <w:color w:val="0B3A66"/>
          <w:sz w:val="18"/>
        </w:rPr>
        <w:t>cvp_access_live_sql</w:t>
      </w:r>
      <w:r>
        <w:t>), accept sets a password and starts a clean session (</w:t>
      </w:r>
      <w:r>
        <w:rPr>
          <w:rFonts w:ascii="Consolas" w:hAnsi="Consolas"/>
          <w:color w:val="0B3A66"/>
          <w:sz w:val="18"/>
        </w:rPr>
        <w:t>cvp_vendor_start_session</w:t>
      </w:r>
      <w:r>
        <w:t>). Everything is logged; an action-centre/notification feed tells the vendor what needs their attention.</w:t>
      </w:r>
    </w:p>
    <w:p>
      <w:r>
        <w:t xml:space="preserve">Screens: </w:t>
      </w:r>
      <w:r>
        <w:rPr>
          <w:rFonts w:ascii="Consolas" w:hAnsi="Consolas"/>
          <w:color w:val="0B3A66"/>
          <w:sz w:val="18"/>
        </w:rPr>
        <w:t>/vendor/login</w:t>
      </w:r>
      <w:r>
        <w:t xml:space="preserve">, </w:t>
      </w:r>
      <w:r>
        <w:rPr>
          <w:rFonts w:ascii="Consolas" w:hAnsi="Consolas"/>
          <w:color w:val="0B3A66"/>
          <w:sz w:val="18"/>
        </w:rPr>
        <w:t>/vendor/accept?t=</w:t>
      </w:r>
      <w:r>
        <w:t xml:space="preserve">, </w:t>
      </w:r>
      <w:r>
        <w:rPr>
          <w:rFonts w:ascii="Consolas" w:hAnsi="Consolas"/>
          <w:color w:val="0B3A66"/>
          <w:sz w:val="18"/>
        </w:rPr>
        <w:t>/vendor</w:t>
      </w:r>
      <w:r>
        <w:t xml:space="preserve"> (dashboard), </w:t>
      </w:r>
      <w:r>
        <w:rPr>
          <w:rFonts w:ascii="Consolas" w:hAnsi="Consolas"/>
          <w:color w:val="0B3A66"/>
          <w:sz w:val="18"/>
        </w:rPr>
        <w:t>/vendor/reports</w:t>
      </w:r>
      <w:r>
        <w:t xml:space="preserve">, </w:t>
      </w:r>
      <w:r>
        <w:rPr>
          <w:rFonts w:ascii="Consolas" w:hAnsi="Consolas"/>
          <w:color w:val="0B3A66"/>
          <w:sz w:val="18"/>
        </w:rPr>
        <w:t>/vendor/report</w:t>
      </w:r>
      <w:r>
        <w:t xml:space="preserve">, </w:t>
      </w:r>
      <w:r>
        <w:rPr>
          <w:rFonts w:ascii="Consolas" w:hAnsi="Consolas"/>
          <w:color w:val="0B3A66"/>
          <w:sz w:val="18"/>
        </w:rPr>
        <w:t>/vendor/issues</w:t>
      </w:r>
      <w:r>
        <w:t xml:space="preserve">, </w:t>
      </w:r>
      <w:r>
        <w:rPr>
          <w:rFonts w:ascii="Consolas" w:hAnsi="Consolas"/>
          <w:color w:val="0B3A66"/>
          <w:sz w:val="18"/>
        </w:rPr>
        <w:t>/vendor/issue</w:t>
      </w:r>
      <w:r>
        <w:t xml:space="preserve"> (respond), </w:t>
      </w:r>
      <w:r>
        <w:rPr>
          <w:rFonts w:ascii="Consolas" w:hAnsi="Consolas"/>
          <w:color w:val="0B3A66"/>
          <w:sz w:val="18"/>
        </w:rPr>
        <w:t>/vendor/alerts</w:t>
      </w:r>
      <w:r>
        <w:t xml:space="preserve">; admin </w:t>
      </w:r>
      <w:r>
        <w:rPr>
          <w:rFonts w:ascii="Consolas" w:hAnsi="Consolas"/>
          <w:color w:val="0B3A66"/>
          <w:sz w:val="18"/>
        </w:rPr>
        <w:t>/vendor-users</w:t>
      </w:r>
      <w:r>
        <w:t xml:space="preserve">, </w:t>
      </w:r>
      <w:r>
        <w:rPr>
          <w:rFonts w:ascii="Consolas" w:hAnsi="Consolas"/>
          <w:color w:val="0B3A66"/>
          <w:sz w:val="18"/>
        </w:rPr>
        <w:t>/vendor-user-perms</w:t>
      </w:r>
      <w:r>
        <w:t xml:space="preserve">, </w:t>
      </w:r>
      <w:r>
        <w:rPr>
          <w:rFonts w:ascii="Consolas" w:hAnsi="Consolas"/>
          <w:color w:val="0B3A66"/>
          <w:sz w:val="18"/>
        </w:rPr>
        <w:t>/vendor-settings</w:t>
      </w:r>
      <w:r>
        <w:t xml:space="preserve">. Tables: </w:t>
      </w:r>
      <w:r>
        <w:rPr>
          <w:rFonts w:ascii="Consolas" w:hAnsi="Consolas"/>
          <w:color w:val="0B3A66"/>
          <w:sz w:val="18"/>
        </w:rPr>
        <w:t>cvp_vendor_users</w:t>
      </w:r>
      <w:r>
        <w:t xml:space="preserve">, </w:t>
      </w:r>
      <w:r>
        <w:rPr>
          <w:rFonts w:ascii="Consolas" w:hAnsi="Consolas"/>
          <w:color w:val="0B3A66"/>
          <w:sz w:val="18"/>
        </w:rPr>
        <w:t>nonconformities</w:t>
      </w:r>
      <w:r>
        <w:t xml:space="preserve"> (visibility), </w:t>
      </w:r>
      <w:r>
        <w:rPr>
          <w:rFonts w:ascii="Consolas" w:hAnsi="Consolas"/>
          <w:color w:val="0B3A66"/>
          <w:sz w:val="18"/>
        </w:rPr>
        <w:t>cvp_notifications</w:t>
      </w:r>
      <w:r>
        <w:t xml:space="preserve">, </w:t>
      </w:r>
      <w:r>
        <w:rPr>
          <w:rFonts w:ascii="Consolas" w:hAnsi="Consolas"/>
          <w:color w:val="0B3A66"/>
          <w:sz w:val="18"/>
        </w:rPr>
        <w:t>cvp_audit</w:t>
      </w:r>
      <w:r>
        <w:t>.</w:t>
      </w:r>
    </w:p>
    <w:p>
      <w:pPr>
        <w:pStyle w:val="Heading2"/>
      </w:pPr>
      <w:r>
        <w:t>B. Screen-by-screen catalogue</w:t>
      </w:r>
    </w:p>
    <w:p>
      <w:r>
        <w:rPr>
          <w:b/>
        </w:rPr>
        <w:t>`/vendor/login`</w:t>
      </w:r>
      <w:r>
        <w:t xml:space="preserve"> — email + password (portal off → </w:t>
      </w:r>
      <w:r>
        <w:rPr>
          <w:rFonts w:ascii="Consolas" w:hAnsi="Consolas"/>
          <w:color w:val="0B3A66"/>
          <w:sz w:val="18"/>
        </w:rPr>
        <w:t>cvp_vendor_off</w:t>
      </w:r>
      <w:r>
        <w:t xml:space="preserve">). </w:t>
      </w:r>
      <w:r>
        <w:rPr>
          <w:b/>
        </w:rPr>
        <w:t>`/vendor/accept`</w:t>
      </w:r>
      <w:r>
        <w:t xml:space="preserve"> — invite token (validity checked in and out), set password twice. </w:t>
      </w:r>
      <w:r>
        <w:rPr>
          <w:b/>
        </w:rPr>
        <w:t>`/vendor`</w:t>
      </w:r>
      <w:r>
        <w:t xml:space="preserve"> — dashboard: recent shared reports, open NCRs to respond to, action-centre, unread count. </w:t>
      </w:r>
      <w:r>
        <w:rPr>
          <w:b/>
        </w:rPr>
        <w:t>`/vendor/reports`</w:t>
      </w:r>
      <w:r>
        <w:t xml:space="preserve"> / </w:t>
      </w:r>
      <w:r>
        <w:rPr>
          <w:b/>
        </w:rPr>
        <w:t>`/vendor/report`</w:t>
      </w:r>
      <w:r>
        <w:t xml:space="preserve"> — vendor-visible reports + PDF. </w:t>
      </w:r>
      <w:r>
        <w:rPr>
          <w:b/>
        </w:rPr>
        <w:t>`/vendor/issues`</w:t>
      </w:r>
      <w:r>
        <w:t xml:space="preserve"> — nonconformities raised to them; </w:t>
      </w:r>
      <w:r>
        <w:rPr>
          <w:b/>
        </w:rPr>
        <w:t>`/vendor/issue`</w:t>
      </w:r>
      <w:r>
        <w:t xml:space="preserve"> — read one + </w:t>
      </w:r>
      <w:r>
        <w:rPr>
          <w:b/>
        </w:rPr>
        <w:t>respond</w:t>
      </w:r>
      <w:r>
        <w:t xml:space="preserve">. </w:t>
      </w:r>
      <w:r>
        <w:rPr>
          <w:b/>
        </w:rPr>
        <w:t>Admin `/vendor-users`</w:t>
      </w:r>
      <w:r>
        <w:t xml:space="preserve"> — invite / re-invite / toggle / per-user permissions (</w:t>
      </w:r>
      <w:r>
        <w:rPr>
          <w:rFonts w:ascii="Consolas" w:hAnsi="Consolas"/>
          <w:color w:val="0B3A66"/>
          <w:sz w:val="18"/>
        </w:rPr>
        <w:t>reports</w:t>
      </w:r>
      <w:r>
        <w:t xml:space="preserve">, </w:t>
      </w:r>
      <w:r>
        <w:rPr>
          <w:rFonts w:ascii="Consolas" w:hAnsi="Consolas"/>
          <w:color w:val="0B3A66"/>
          <w:sz w:val="18"/>
        </w:rPr>
        <w:t>issues</w:t>
      </w:r>
      <w:r>
        <w:t>) / access expiry / settings.</w:t>
      </w:r>
    </w:p>
    <w:p>
      <w:pPr>
        <w:pStyle w:val="Heading2"/>
      </w:pPr>
      <w:r>
        <w:t>C. Field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TC ID</w:t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Expected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TC-VP-form-001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Login: bad credentials / inactive / </w:t>
            </w:r>
            <w:r>
              <w:rPr>
                <w:b/>
                <w:sz w:val="17"/>
              </w:rPr>
              <w:t>access expired</w:t>
            </w:r>
            <w:r>
              <w:rPr>
                <w:sz w:val="17"/>
              </w:rPr>
              <w:t xml:space="preserve"> refused; portal off → redirect.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TC-VP-form-002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Accept: token valid + unexpired + unused; password == confirm.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TC-VP-form-003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NCR response: a </w:t>
            </w:r>
            <w:r>
              <w:rPr>
                <w:b/>
                <w:sz w:val="17"/>
              </w:rPr>
              <w:t>substantive response required</w:t>
            </w:r>
            <w:r>
              <w:rPr>
                <w:sz w:val="17"/>
              </w:rPr>
              <w:t xml:space="preserve"> — a bare acknowledgement is refused.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TC-VP-form-004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Only NCRs with </w:t>
            </w:r>
            <w:r>
              <w:rPr>
                <w:rFonts w:ascii="Consolas" w:hAnsi="Consolas"/>
                <w:color w:val="0B3A66"/>
                <w:sz w:val="17"/>
              </w:rPr>
              <w:t>partner_id</w:t>
            </w:r>
            <w:r>
              <w:rPr>
                <w:sz w:val="17"/>
              </w:rPr>
              <w:t xml:space="preserve"> = this vendor </w:t>
            </w:r>
            <w:r>
              <w:rPr>
                <w:b/>
                <w:sz w:val="17"/>
              </w:rPr>
              <w:t>and</w:t>
            </w:r>
            <w:r>
              <w:rPr>
                <w:sz w:val="17"/>
              </w:rPr>
              <w:t xml:space="preserve"> vendor-visible visibility are listed/openable.</w:t>
            </w:r>
          </w:p>
        </w:tc>
      </w:tr>
    </w:tbl>
    <w:p>
      <w:pPr>
        <w:spacing w:after="40"/>
      </w:pPr>
    </w:p>
    <w:p>
      <w:pPr>
        <w:pStyle w:val="Heading2"/>
      </w:pPr>
      <w:r>
        <w:t>D. Functions &amp; logic  (visibility + isolation — highest scrutiny)</w:t>
      </w:r>
    </w:p>
    <w:p>
      <w:pPr>
        <w:pStyle w:val="ListBullet"/>
      </w:pPr>
      <w:r>
        <w:rPr>
          <w:b/>
        </w:rPr>
        <w:t>Visibility gating</w:t>
      </w:r>
      <w:r>
        <w:t xml:space="preserve"> (</w:t>
      </w:r>
      <w:r>
        <w:rPr>
          <w:rFonts w:ascii="Consolas" w:hAnsi="Consolas"/>
          <w:color w:val="0B3A66"/>
          <w:sz w:val="18"/>
        </w:rPr>
        <w:t>cvp_visibility_sql('…','VENDOR')</w:t>
      </w:r>
      <w:r>
        <w:t xml:space="preserve"> + </w:t>
      </w:r>
      <w:r>
        <w:rPr>
          <w:rFonts w:ascii="Consolas" w:hAnsi="Consolas"/>
          <w:color w:val="0B3A66"/>
          <w:sz w:val="18"/>
        </w:rPr>
        <w:t>CVP_VISIBILITY_AUDIENCE</w:t>
      </w:r>
      <w:r>
        <w:t>):</w:t>
      </w:r>
    </w:p>
    <w:p>
      <w:r>
        <w:t xml:space="preserve">  a vendor sees a report/NCR only if its visibility maps to the VENDOR audience   (</w:t>
      </w:r>
      <w:r>
        <w:rPr>
          <w:rFonts w:ascii="Consolas" w:hAnsi="Consolas"/>
          <w:color w:val="0B3A66"/>
          <w:sz w:val="18"/>
        </w:rPr>
        <w:t>VENDOR_VISIBLE</w:t>
      </w:r>
      <w:r>
        <w:t>/</w:t>
      </w:r>
      <w:r>
        <w:rPr>
          <w:rFonts w:ascii="Consolas" w:hAnsi="Consolas"/>
          <w:color w:val="0B3A66"/>
          <w:sz w:val="18"/>
        </w:rPr>
        <w:t>SHARED</w:t>
      </w:r>
      <w:r>
        <w:t xml:space="preserve">). </w:t>
      </w:r>
      <w:r>
        <w:rPr>
          <w:b/>
        </w:rPr>
        <w:t>TC-VP-fn-001</w:t>
      </w:r>
      <w:r>
        <w:t xml:space="preserve"> — an INTERNAL/CLIENT_VISIBLE report is   never listed or openable by a vendor.</w:t>
      </w:r>
    </w:p>
    <w:p>
      <w:pPr>
        <w:pStyle w:val="ListBullet"/>
      </w:pPr>
      <w:r>
        <w:rPr>
          <w:b/>
        </w:rPr>
        <w:t>Tenant isolation</w:t>
      </w:r>
      <w:r>
        <w:t xml:space="preserve"> (</w:t>
      </w:r>
      <w:r>
        <w:rPr>
          <w:rFonts w:ascii="Consolas" w:hAnsi="Consolas"/>
          <w:color w:val="0B3A66"/>
          <w:sz w:val="18"/>
        </w:rPr>
        <w:t>cvp_vendor_id()</w:t>
      </w:r>
      <w:r>
        <w:t xml:space="preserve"> filter on every read): a vendor cannot open</w:t>
      </w:r>
    </w:p>
    <w:p>
      <w:r>
        <w:t xml:space="preserve">  another vendor's report/NCR by id (returns nothing → 404). </w:t>
      </w:r>
      <w:r>
        <w:rPr>
          <w:b/>
        </w:rPr>
        <w:t>TC-VP-fn-002.</w:t>
      </w:r>
    </w:p>
    <w:p>
      <w:pPr>
        <w:pStyle w:val="ListBullet"/>
      </w:pPr>
      <w:r>
        <w:rPr>
          <w:b/>
        </w:rPr>
        <w:t>Access expiry</w:t>
      </w:r>
      <w:r>
        <w:t xml:space="preserve"> (</w:t>
      </w:r>
      <w:r>
        <w:rPr>
          <w:rFonts w:ascii="Consolas" w:hAnsi="Consolas"/>
          <w:color w:val="0B3A66"/>
          <w:sz w:val="18"/>
        </w:rPr>
        <w:t>cvp_access_live_sql</w:t>
      </w:r>
      <w:r>
        <w:t xml:space="preserve">): a vendor whose </w:t>
      </w:r>
      <w:r>
        <w:rPr>
          <w:rFonts w:ascii="Consolas" w:hAnsi="Consolas"/>
          <w:color w:val="0B3A66"/>
          <w:sz w:val="18"/>
        </w:rPr>
        <w:t>access_expires</w:t>
      </w:r>
      <w:r>
        <w:t xml:space="preserve"> has passed is</w:t>
      </w:r>
    </w:p>
    <w:p>
      <w:r>
        <w:t xml:space="preserve">  treated as signed-out on every request, not just at login. </w:t>
      </w:r>
      <w:r>
        <w:rPr>
          <w:b/>
        </w:rPr>
        <w:t>TC-VP-fn-003.</w:t>
      </w:r>
    </w:p>
    <w:p>
      <w:pPr>
        <w:pStyle w:val="ListBullet"/>
      </w:pPr>
      <w:r>
        <w:rPr>
          <w:b/>
        </w:rPr>
        <w:t>NCR response loop</w:t>
      </w:r>
      <w:r>
        <w:t xml:space="preserve"> (</w:t>
      </w:r>
      <w:r>
        <w:rPr>
          <w:rFonts w:ascii="Consolas" w:hAnsi="Consolas"/>
          <w:color w:val="0B3A66"/>
          <w:sz w:val="18"/>
        </w:rPr>
        <w:t>cvp_vendor_issue</w:t>
      </w:r>
      <w:r>
        <w:t>): ownership + visibility gated in the WHERE</w:t>
      </w:r>
    </w:p>
    <w:p>
      <w:r>
        <w:t xml:space="preserve">  clause; the response is recorded and routed to QA for a decision. </w:t>
      </w:r>
      <w:r>
        <w:rPr>
          <w:b/>
        </w:rPr>
        <w:t>TC-VP-fn-004</w:t>
      </w:r>
      <w:r>
        <w:t xml:space="preserve"> —   the response is attributable to this vendor user and confined to their NCRs.</w:t>
      </w:r>
    </w:p>
    <w:p>
      <w:pPr>
        <w:pStyle w:val="ListBullet"/>
      </w:pPr>
      <w:r>
        <w:rPr>
          <w:b/>
        </w:rPr>
        <w:t>Session hygiene</w:t>
      </w:r>
      <w:r>
        <w:t xml:space="preserve"> (</w:t>
      </w:r>
      <w:r>
        <w:rPr>
          <w:rFonts w:ascii="Consolas" w:hAnsi="Consolas"/>
          <w:color w:val="0B3A66"/>
          <w:sz w:val="18"/>
        </w:rPr>
        <w:t>cvp_vendor_start_session</w:t>
      </w:r>
      <w:r>
        <w:t xml:space="preserve">): fresh </w:t>
      </w:r>
      <w:r>
        <w:rPr>
          <w:rFonts w:ascii="Consolas" w:hAnsi="Consolas"/>
          <w:color w:val="0B3A66"/>
          <w:sz w:val="18"/>
        </w:rPr>
        <w:t>vuid</w:t>
      </w:r>
      <w:r>
        <w:t xml:space="preserve"> session, no staff/client</w:t>
      </w:r>
    </w:p>
    <w:p>
      <w:r>
        <w:t xml:space="preserve">  identity, fresh CSRF; CSRF on every POST. </w:t>
      </w:r>
      <w:r>
        <w:rPr>
          <w:b/>
        </w:rPr>
        <w:t>TC-VP-fn-005.</w:t>
      </w:r>
    </w:p>
    <w:p>
      <w:pPr>
        <w:pStyle w:val="Heading2"/>
      </w:pPr>
      <w:r>
        <w:t>E. Status &amp;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From → To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Trigger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Guard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invited → active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accept + password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token valid; within access window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NCR raised (vendor-visible) → responded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vendor response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ownership + visibility; substantive text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responded → decided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QA decision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staff side (MOD-12)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active → expired/disabled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time / admin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access window / toggle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TC-VP-life-001:</w:t>
      </w:r>
      <w:r>
        <w:t xml:space="preserve"> an expired-access vendor cannot reach any vendor route.</w:t>
      </w:r>
    </w:p>
    <w:p>
      <w:pPr>
        <w:pStyle w:val="ListBullet"/>
      </w:pPr>
      <w:r>
        <w:rPr>
          <w:b/>
        </w:rPr>
        <w:t>TC-VP-life-002:</w:t>
      </w:r>
      <w:r>
        <w:t xml:space="preserve"> a vendor cannot respond to a closed or not-visible NCR.</w:t>
      </w:r>
    </w:p>
    <w:p>
      <w:pPr>
        <w:pStyle w:val="Heading2"/>
      </w:pPr>
      <w:r>
        <w:t>F. Roles, permissions &amp; data scope</w:t>
      </w:r>
    </w:p>
    <w:p>
      <w:r>
        <w:t>Separate vendor auth. Per-user vendor permissions (</w:t>
      </w:r>
      <w:r>
        <w:rPr>
          <w:rFonts w:ascii="Consolas" w:hAnsi="Consolas"/>
          <w:color w:val="0B3A66"/>
          <w:sz w:val="18"/>
        </w:rPr>
        <w:t>VENDOR_PERMS</w:t>
      </w:r>
      <w:r>
        <w:t xml:space="preserve">: </w:t>
      </w:r>
      <w:r>
        <w:rPr>
          <w:rFonts w:ascii="Consolas" w:hAnsi="Consolas"/>
          <w:color w:val="0B3A66"/>
          <w:sz w:val="18"/>
        </w:rPr>
        <w:t>reports</w:t>
      </w:r>
      <w:r>
        <w:t xml:space="preserve">, </w:t>
      </w:r>
      <w:r>
        <w:rPr>
          <w:rFonts w:ascii="Consolas" w:hAnsi="Consolas"/>
          <w:color w:val="0B3A66"/>
          <w:sz w:val="18"/>
        </w:rPr>
        <w:t>issues</w:t>
      </w:r>
      <w:r>
        <w:t>) gate screens (</w:t>
      </w:r>
      <w:r>
        <w:rPr>
          <w:rFonts w:ascii="Consolas" w:hAnsi="Consolas"/>
          <w:color w:val="0B3A66"/>
          <w:sz w:val="18"/>
        </w:rPr>
        <w:t>cvp_vendor_need</w:t>
      </w:r>
      <w:r>
        <w:t>/</w:t>
      </w:r>
      <w:r>
        <w:rPr>
          <w:rFonts w:ascii="Consolas" w:hAnsi="Consolas"/>
          <w:color w:val="0B3A66"/>
          <w:sz w:val="18"/>
        </w:rPr>
        <w:t>vcan</w:t>
      </w:r>
      <w:r>
        <w:t xml:space="preserve">). Everything scoped by </w:t>
      </w:r>
      <w:r>
        <w:rPr>
          <w:rFonts w:ascii="Consolas" w:hAnsi="Consolas"/>
          <w:color w:val="0B3A66"/>
          <w:sz w:val="18"/>
        </w:rPr>
        <w:t>vendor_id</w:t>
      </w:r>
      <w:r>
        <w:t xml:space="preserve"> </w:t>
      </w:r>
      <w:r>
        <w:rPr>
          <w:b/>
        </w:rPr>
        <w:t>and</w:t>
      </w:r>
      <w:r>
        <w:t xml:space="preserve"> visibility. Admin (invite/perms/toggle/settings): </w:t>
      </w:r>
      <w:r>
        <w:rPr>
          <w:rFonts w:ascii="Consolas" w:hAnsi="Consolas"/>
          <w:color w:val="0B3A66"/>
          <w:sz w:val="18"/>
        </w:rPr>
        <w:t>cvp_can_manage</w:t>
      </w:r>
      <w:r>
        <w:t xml:space="preserve"> = master / </w:t>
      </w:r>
      <w:r>
        <w:rPr>
          <w:rFonts w:ascii="Consolas" w:hAnsi="Consolas"/>
          <w:color w:val="0B3A66"/>
          <w:sz w:val="18"/>
        </w:rPr>
        <w:t>mod.portal.edit</w:t>
      </w:r>
      <w:r>
        <w:t xml:space="preserve"> (or the vendor-portal equivalent).</w:t>
      </w:r>
    </w:p>
    <w:p>
      <w:pPr>
        <w:pStyle w:val="ListBullet"/>
      </w:pPr>
      <w:r>
        <w:t xml:space="preserve">TC-VP-perm-001: a vendor without </w:t>
      </w:r>
      <w:r>
        <w:rPr>
          <w:rFonts w:ascii="Consolas" w:hAnsi="Consolas"/>
          <w:color w:val="0B3A66"/>
          <w:sz w:val="18"/>
        </w:rPr>
        <w:t>issues</w:t>
      </w:r>
      <w:r>
        <w:t xml:space="preserve"> cannot open/respond to NCRs (crafted POST).</w:t>
      </w:r>
    </w:p>
    <w:p>
      <w:pPr>
        <w:pStyle w:val="ListBullet"/>
      </w:pPr>
      <w:r>
        <w:t xml:space="preserve">TC-VP-perm-002: a vendor without </w:t>
      </w:r>
      <w:r>
        <w:rPr>
          <w:rFonts w:ascii="Consolas" w:hAnsi="Consolas"/>
          <w:color w:val="0B3A66"/>
          <w:sz w:val="18"/>
        </w:rPr>
        <w:t>reports</w:t>
      </w:r>
      <w:r>
        <w:t xml:space="preserve"> cannot list/open reports.</w:t>
      </w:r>
    </w:p>
    <w:p>
      <w:pPr>
        <w:pStyle w:val="ListBullet"/>
      </w:pPr>
      <w:r>
        <w:t>TC-VP-scope-001: a vendor never sees another vendor's or a client-only report.</w:t>
      </w:r>
    </w:p>
    <w:p>
      <w:pPr>
        <w:pStyle w:val="Heading2"/>
      </w:pPr>
      <w:r>
        <w:t>G. Settings</w:t>
      </w:r>
    </w:p>
    <w:p>
      <w:r>
        <w:rPr>
          <w:rFonts w:ascii="Consolas" w:hAnsi="Consolas"/>
          <w:color w:val="0B3A66"/>
          <w:sz w:val="18"/>
        </w:rPr>
        <w:t>vendor_portal_enabled</w:t>
      </w:r>
      <w:r>
        <w:t xml:space="preserve"> (master off/on), invite expiry, </w:t>
      </w:r>
      <w:r>
        <w:rPr>
          <w:b/>
        </w:rPr>
        <w:t>access window</w:t>
      </w:r>
      <w:r>
        <w:t xml:space="preserve"> per user, per-user permissions, report/NCR </w:t>
      </w:r>
      <w:r>
        <w:rPr>
          <w:b/>
        </w:rPr>
        <w:t>visibility</w:t>
      </w:r>
      <w:r>
        <w:t xml:space="preserve"> (set on the staff side), notification events. </w:t>
      </w:r>
      <w:r>
        <w:rPr>
          <w:b/>
        </w:rPr>
        <w:t>TC-VP-set-001:</w:t>
      </w:r>
      <w:r>
        <w:t xml:space="preserve"> portal off ⇒ all vendor routes redirect out; </w:t>
      </w:r>
      <w:r>
        <w:rPr>
          <w:b/>
        </w:rPr>
        <w:t>TC-VP-set-002:</w:t>
      </w:r>
      <w:r>
        <w:t xml:space="preserve"> changing a report's visibility from VENDOR_VISIBLE removes it from the vendor's list.</w:t>
      </w:r>
    </w:p>
    <w:p>
      <w:pPr>
        <w:pStyle w:val="Heading2"/>
      </w:pPr>
      <w:r>
        <w:t>H. Cross-module integration</w:t>
      </w:r>
    </w:p>
    <w:p>
      <w:r>
        <w:rPr>
          <w:b/>
        </w:rPr>
        <w:t>IDEMS/Vendor Assessment</w:t>
      </w:r>
      <w:r>
        <w:t xml:space="preserve"> (vendor-visible reports; vendor 360), </w:t>
      </w:r>
      <w:r>
        <w:rPr>
          <w:b/>
        </w:rPr>
        <w:t>NCR</w:t>
      </w:r>
      <w:r>
        <w:t xml:space="preserve"> (raised to vendor → external response loop → QA decision — MOD-12), </w:t>
      </w:r>
      <w:r>
        <w:rPr>
          <w:b/>
        </w:rPr>
        <w:t>Vendors master</w:t>
      </w:r>
      <w:r>
        <w:t xml:space="preserve"> (contacts → vendor users; qualification), </w:t>
      </w:r>
      <w:r>
        <w:rPr>
          <w:b/>
        </w:rPr>
        <w:t>Notifications/CVP</w:t>
      </w:r>
      <w:r>
        <w:t xml:space="preserve"> (action centre). Shared with the </w:t>
      </w:r>
      <w:r>
        <w:rPr>
          <w:b/>
        </w:rPr>
        <w:t>client portal</w:t>
      </w:r>
      <w:r>
        <w:t xml:space="preserve"> through one visibility engine — the audience mapping is the guard that keeps the two apart. Idempotency: a double response must not create conflicting records — TC-VP-int-001.</w:t>
      </w:r>
    </w:p>
    <w:p>
      <w:pPr>
        <w:pStyle w:val="Heading2"/>
      </w:pPr>
      <w:r>
        <w:t>I. Data integrity &amp; audit</w:t>
      </w:r>
    </w:p>
    <w:p>
      <w:r>
        <w:rPr>
          <w:rFonts w:ascii="Consolas" w:hAnsi="Consolas"/>
          <w:color w:val="0B3A66"/>
          <w:sz w:val="18"/>
        </w:rPr>
        <w:t>cvp_audit</w:t>
      </w:r>
      <w:r>
        <w:t xml:space="preserve"> logs login/logout/report-view/NCR-response with IP + time. The vendor's NCR response is stored against the nonconformity and visible to QA. A vendor can never write outside their </w:t>
      </w:r>
      <w:r>
        <w:rPr>
          <w:rFonts w:ascii="Consolas" w:hAnsi="Consolas"/>
          <w:color w:val="0B3A66"/>
          <w:sz w:val="18"/>
        </w:rPr>
        <w:t>vendor_id</w:t>
      </w:r>
      <w:r>
        <w:t xml:space="preserve">/visible set. </w:t>
      </w:r>
      <w:r>
        <w:rPr>
          <w:b/>
        </w:rPr>
        <w:t>TC-VP-int-010:</w:t>
      </w:r>
      <w:r>
        <w:t xml:space="preserve"> every vendor write is attributable and confined; a report's visibility is the single source of what is shared.</w:t>
      </w:r>
    </w:p>
    <w:p>
      <w:pPr>
        <w:pStyle w:val="Heading2"/>
      </w:pPr>
      <w:r>
        <w:t>J. Reports &amp; outputs</w:t>
      </w:r>
    </w:p>
    <w:p>
      <w:r>
        <w:t xml:space="preserve">The shared report PDF (vendor copy, only vendor-visible), the NCR response receipt, the action-centre feed. No numbers minted by the vendor. </w:t>
      </w:r>
      <w:r>
        <w:rPr>
          <w:b/>
        </w:rPr>
        <w:t>TC-VP-out-001:</w:t>
      </w:r>
      <w:r>
        <w:t xml:space="preserve"> the PDF a vendor downloads is only their own vendor-visible report.</w:t>
      </w:r>
    </w:p>
    <w:p>
      <w:pPr>
        <w:pStyle w:val="Heading2"/>
      </w:pPr>
      <w:r>
        <w:t>K. Negative, edge &amp; resilience</w:t>
      </w:r>
    </w:p>
    <w:p>
      <w:r>
        <w:t>Guessing another vendor's or a client-only report id (404, no leak); an INTERNAL report a vendor tries to open; an expired-access session; a bare "noted" NCR response (refused); responding to a not-visible/closed NCR; portal disabled mid-session; a CSRF-less POST.</w:t>
      </w:r>
    </w:p>
    <w:p>
      <w:pPr>
        <w:pStyle w:val="Heading2"/>
      </w:pPr>
      <w:r>
        <w:t>L. TPIA operational suitability</w:t>
      </w:r>
    </w:p>
    <w:p>
      <w:r>
        <w:t>Closes the vendor side of the assurance loop: the manufacturer/vendor sees the nonconformities raised against them and responds on the record, and sees the reports shared with them — without any view of other parties' data. Visibility is explicit and staff-controlled, matching how a TPIA decides what a vendor may see.</w:t>
      </w:r>
    </w:p>
    <w:p>
      <w:pPr>
        <w:pStyle w:val="Heading2"/>
      </w:pPr>
      <w:r>
        <w:t>M. Management usefulness</w:t>
      </w:r>
    </w:p>
    <w:p>
      <w:r>
        <w:t>Open-NCR-awaiting-response and vendor engagement surface for QA; the response feeds the NCR/CAPA decision; vendor 360 aggregates performance. Confirm the vendor's visible set matches what staff intended to share.</w:t>
      </w:r>
    </w:p>
    <w:p>
      <w:pPr>
        <w:pStyle w:val="Heading2"/>
      </w:pPr>
      <w:r>
        <w:t>N. UI/UX</w:t>
      </w:r>
    </w:p>
    <w:p>
      <w:r>
        <w:t xml:space="preserve">Focused vendor dashboard (reports + issues + action centre), a clear respond form that insists on substance, simple invite flow. Terminology via </w:t>
      </w:r>
      <w:r>
        <w:rPr>
          <w:rFonts w:ascii="Consolas" w:hAnsi="Consolas"/>
          <w:color w:val="0B3A66"/>
          <w:sz w:val="18"/>
        </w:rPr>
        <w:t>T*()</w:t>
      </w:r>
      <w:r>
        <w:t>.</w:t>
      </w:r>
    </w:p>
    <w:p>
      <w:pPr>
        <w:pStyle w:val="Heading2"/>
      </w:pPr>
      <w:r>
        <w:t>O. Security</w:t>
      </w:r>
    </w:p>
    <w:p>
      <w:r>
        <w:t xml:space="preserve">Second external surface — same rigor as the client portal: separate identity, expiring single-use invites, access-window enforcement on every request, fresh session on accept, CSRF on POSTs, strict </w:t>
      </w:r>
      <w:r>
        <w:rPr>
          <w:rFonts w:ascii="Consolas" w:hAnsi="Consolas"/>
          <w:color w:val="0B3A66"/>
          <w:sz w:val="18"/>
        </w:rPr>
        <w:t>vendor_id</w:t>
      </w:r>
      <w:r>
        <w:t xml:space="preserve"> + visibility scoping, ownership proven before a response, permissions enforced server-side, off by default. Visibility-audience isolation between vendor and client portals is release-gating.</w:t>
      </w:r>
    </w:p>
    <w:p>
      <w:pPr>
        <w:pStyle w:val="Heading2"/>
      </w:pPr>
      <w:r>
        <w:t>P. Coverage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#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Dim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Covered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1–4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§B–D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5 Statuses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 Validation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§C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7 Negative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§K isolation/visibility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 Roles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§F vendor perms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9 Scope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§D vendor_id + visibility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 Settings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11 Workflow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§H NCR loop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 Integration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13 Data integrity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§I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 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§I cvp_audit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15 Outputs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§J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 TPIA suitability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17 Mgmt usefulness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 UI/UX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19 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§Q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 Security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§O external surface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21 Import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 Notifications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action centre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23 Offline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24 AI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25 Licensing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vendor portal toggle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26 Terminology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27 Time/FY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invite + access expiry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 Performance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at vendor volume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29 Backup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 here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rPr>
          <w:b/>
        </w:rPr>
        <w:t>Verdict:</w:t>
      </w:r>
      <w:r>
        <w:t xml:space="preserve"> Complete-with-defects.</w:t>
      </w:r>
    </w:p>
    <w:p>
      <w:pPr>
        <w:pStyle w:val="Heading2"/>
      </w:pPr>
      <w:r>
        <w:t>Q. Defects &amp;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Sev·Pri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GAP-VP-001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(verify — </w:t>
            </w:r>
            <w:r>
              <w:rPr>
                <w:b/>
                <w:sz w:val="17"/>
              </w:rPr>
              <w:t>Critical</w:t>
            </w:r>
            <w:r>
              <w:rPr>
                <w:sz w:val="17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</w:t>
            </w:r>
            <w:r>
              <w:rPr>
                <w:b/>
                <w:sz w:val="17"/>
              </w:rPr>
              <w:t>visibility + vendor isolation</w:t>
            </w:r>
            <w:r>
              <w:rPr>
                <w:sz w:val="17"/>
              </w:rPr>
              <w:t>: a vendor can never list or open an INTERNAL/CLIENT_VISIBLE report or another vendor's report/NCR, on every route including the PDF endpoint.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GAP-VP-002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 — Major)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</w:t>
            </w:r>
            <w:r>
              <w:rPr>
                <w:b/>
                <w:sz w:val="17"/>
              </w:rPr>
              <w:t>access-window enforcement</w:t>
            </w:r>
            <w:r>
              <w:rPr>
                <w:sz w:val="17"/>
              </w:rPr>
              <w:t xml:space="preserve"> on every request (not just login) and clean single-use invites/sessions.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GAP-VP-003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 — Major)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the </w:t>
            </w:r>
            <w:r>
              <w:rPr>
                <w:b/>
                <w:sz w:val="17"/>
              </w:rPr>
              <w:t>NCR response</w:t>
            </w:r>
            <w:r>
              <w:rPr>
                <w:sz w:val="17"/>
              </w:rPr>
              <w:t xml:space="preserve"> is authenticated as the owning vendor, insists on substance, and cannot be posted to a not-visible/closed NCR via a crafted request.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GAP-VP-004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Confirm the visibility engine keeps the vendor and client audiences strictly separate (a SHARED item is intentional; nothing leaks by default).</w:t>
            </w:r>
          </w:p>
        </w:tc>
      </w:tr>
    </w:tbl>
    <w:p>
      <w:pPr>
        <w:spacing w:after="40"/>
      </w:pPr>
    </w:p>
    <w:p>
      <w:pPr>
        <w:pStyle w:val="Heading2"/>
      </w:pPr>
      <w:r>
        <w:t>R. Traceability</w:t>
      </w:r>
    </w:p>
    <w:p>
      <w:r>
        <w:t xml:space="preserve">RTM slice: </w:t>
      </w:r>
      <w:r>
        <w:rPr>
          <w:rFonts w:ascii="Consolas" w:hAnsi="Consolas"/>
          <w:color w:val="0B3A66"/>
          <w:sz w:val="18"/>
        </w:rPr>
        <w:t>/vendor/*</w:t>
      </w:r>
      <w:r>
        <w:t xml:space="preserve">, </w:t>
      </w:r>
      <w:r>
        <w:rPr>
          <w:rFonts w:ascii="Consolas" w:hAnsi="Consolas"/>
          <w:color w:val="0B3A66"/>
          <w:sz w:val="18"/>
        </w:rPr>
        <w:t>/vendor-users</w:t>
      </w:r>
      <w:r>
        <w:t xml:space="preserve">, report + NCR routes × dims 1–29 → TC-VP-* → results → DEF/GAP. </w:t>
      </w:r>
      <w:r>
        <w:rPr>
          <w:b/>
        </w:rPr>
        <w:t>Verdict: Complete-with-defects</w:t>
      </w:r>
      <w:r>
        <w:t xml:space="preserve"> — vendor isolation + visibility gating, access-window enforcement, and NCR-response authenticity are the exit conditions (second external attack surface).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