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Profitability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MOD-PROFIT.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job_money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job_revenue_for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job_profit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job_mandays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job_expenses_total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job_voucher_total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office_overhead_pct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office_contingency_pct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working_days_in_month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lib/callprofit.php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ops_call_profit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callprofit_rows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lib/mis.php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ops_mis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mis_summary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mis_jobs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mis_utilisation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lib/costing.php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ops_sbu_pl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costing_run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costing_sbu_revenue</w:t>
      </w:r>
      <w:r>
        <w:rPr>
          <w:color w:val="445566"/>
          <w:sz w:val="20"/>
        </w:rPr>
        <w:t xml:space="preserve">, stored allocations), </w:t>
      </w:r>
      <w:r>
        <w:rPr>
          <w:rFonts w:ascii="Consolas" w:hAnsi="Consolas"/>
          <w:color w:val="445566"/>
          <w:sz w:val="20"/>
        </w:rPr>
        <w:t>lib/bills.php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job_recovered_total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call_profit.php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sbu_pl.php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mis.php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Profitability (MOD-PROFIT) · Area Money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P-BM/P-SBU/P-MD (P&amp;L), P-ACCTS,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the margin management steers on; a figure that disagrees across screens misleads decisions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figure consistency across screens — the design's own promise)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The P&amp;L engine. </w:t>
      </w:r>
      <w:r>
        <w:rPr>
          <w:rFonts w:ascii="Consolas" w:hAnsi="Consolas"/>
          <w:color w:val="0B3A66"/>
          <w:sz w:val="18"/>
        </w:rPr>
        <w:t>job_profit</w:t>
      </w:r>
      <w:r>
        <w:t xml:space="preserve"> is the single per-job computation: revenue (</w:t>
      </w:r>
      <w:r>
        <w:rPr>
          <w:rFonts w:ascii="Consolas" w:hAnsi="Consolas"/>
          <w:color w:val="0B3A66"/>
          <w:sz w:val="18"/>
        </w:rPr>
        <w:t>job_revenue_for</w:t>
      </w:r>
      <w:r>
        <w:t xml:space="preserve">: whole invoice company-wide, holder/executor split cross-office by </w:t>
      </w:r>
      <w:r>
        <w:rPr>
          <w:rFonts w:ascii="Consolas" w:hAnsi="Consolas"/>
          <w:color w:val="0B3A66"/>
          <w:sz w:val="18"/>
        </w:rPr>
        <w:t>expected_credit</w:t>
      </w:r>
      <w:r>
        <w:t xml:space="preserve">) minus every cost line — inspector </w:t>
      </w:r>
      <w:r>
        <w:rPr>
          <w:b/>
        </w:rPr>
        <w:t>labour</w:t>
      </w:r>
      <w:r>
        <w:t xml:space="preserve"> (daily CTC × man-days), </w:t>
      </w:r>
      <w:r>
        <w:rPr>
          <w:b/>
        </w:rPr>
        <w:t>overhead</w:t>
      </w:r>
      <w:r>
        <w:t xml:space="preserve"> (labour × office %), </w:t>
      </w:r>
      <w:r>
        <w:rPr>
          <w:b/>
        </w:rPr>
        <w:t>expenses</w:t>
      </w:r>
      <w:r>
        <w:t xml:space="preserve"> (</w:t>
      </w:r>
      <w:r>
        <w:rPr>
          <w:rFonts w:ascii="Consolas" w:hAnsi="Consolas"/>
          <w:color w:val="0B3A66"/>
          <w:sz w:val="18"/>
        </w:rPr>
        <w:t>job_expenses_total</w:t>
      </w:r>
      <w:r>
        <w:t xml:space="preserve">), </w:t>
      </w:r>
      <w:r>
        <w:rPr>
          <w:b/>
        </w:rPr>
        <w:t>voucher</w:t>
      </w:r>
      <w:r>
        <w:t xml:space="preserve"> (</w:t>
      </w:r>
      <w:r>
        <w:rPr>
          <w:rFonts w:ascii="Consolas" w:hAnsi="Consolas"/>
          <w:color w:val="0B3A66"/>
          <w:sz w:val="18"/>
        </w:rPr>
        <w:t>job_voucher_total</w:t>
      </w:r>
      <w:r>
        <w:t xml:space="preserve">), </w:t>
      </w:r>
      <w:r>
        <w:rPr>
          <w:b/>
        </w:rPr>
        <w:t>subcon</w:t>
      </w:r>
      <w:r>
        <w:t xml:space="preserve">, </w:t>
      </w:r>
      <w:r>
        <w:rPr>
          <w:b/>
        </w:rPr>
        <w:t>other</w:t>
      </w:r>
      <w:r>
        <w:t xml:space="preserve">, less </w:t>
      </w:r>
      <w:r>
        <w:rPr>
          <w:b/>
        </w:rPr>
        <w:t>recovered</w:t>
      </w:r>
      <w:r>
        <w:t xml:space="preserve"> (client-reimbursable bills, capped) — plus </w:t>
      </w:r>
      <w:r>
        <w:rPr>
          <w:b/>
        </w:rPr>
        <w:t>contingency</w:t>
      </w:r>
      <w:r>
        <w:t xml:space="preserve">. The stated design principle is </w:t>
      </w:r>
      <w:r>
        <w:rPr>
          <w:b/>
        </w:rPr>
        <w:t>"the same figure on every screen"</w:t>
      </w:r>
      <w:r>
        <w:t xml:space="preserve">: per-job tab, </w:t>
      </w:r>
      <w:r>
        <w:rPr>
          <w:rFonts w:ascii="Consolas" w:hAnsi="Consolas"/>
          <w:color w:val="0B3A66"/>
          <w:sz w:val="18"/>
        </w:rPr>
        <w:t>call-profit</w:t>
      </w:r>
      <w:r>
        <w:t xml:space="preserve">, </w:t>
      </w:r>
      <w:r>
        <w:rPr>
          <w:rFonts w:ascii="Consolas" w:hAnsi="Consolas"/>
          <w:color w:val="0B3A66"/>
          <w:sz w:val="18"/>
        </w:rPr>
        <w:t>sbu-pl</w:t>
      </w:r>
      <w:r>
        <w:t xml:space="preserve">, and </w:t>
      </w:r>
      <w:r>
        <w:rPr>
          <w:rFonts w:ascii="Consolas" w:hAnsi="Consolas"/>
          <w:color w:val="0B3A66"/>
          <w:sz w:val="18"/>
        </w:rPr>
        <w:t>mis</w:t>
      </w:r>
      <w:r>
        <w:t xml:space="preserve"> should all derive money from </w:t>
      </w:r>
      <w:r>
        <w:rPr>
          <w:rFonts w:ascii="Consolas" w:hAnsi="Consolas"/>
          <w:color w:val="0B3A66"/>
          <w:sz w:val="18"/>
        </w:rPr>
        <w:t>job_profit</w:t>
      </w:r>
      <w:r>
        <w:t xml:space="preserve"> off one filtered job set with one revenue-date rule. A separate month-end </w:t>
      </w:r>
      <w:r>
        <w:rPr>
          <w:b/>
        </w:rPr>
        <w:t>cost run</w:t>
      </w:r>
      <w:r>
        <w:t xml:space="preserve"> (MOD-33) allocates real cost to SBUs for </w:t>
      </w:r>
      <w:r>
        <w:rPr>
          <w:rFonts w:ascii="Consolas" w:hAnsi="Consolas"/>
          <w:color w:val="0B3A66"/>
          <w:sz w:val="18"/>
        </w:rPr>
        <w:t>sbu-pl</w:t>
      </w:r>
      <w:r>
        <w:t>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/call-profit</w:t>
      </w:r>
      <w:r>
        <w:t xml:space="preserve">, </w:t>
      </w:r>
      <w:r>
        <w:rPr>
          <w:rFonts w:ascii="Consolas" w:hAnsi="Consolas"/>
          <w:color w:val="0B3A66"/>
          <w:sz w:val="18"/>
        </w:rPr>
        <w:t>/sbu-pl</w:t>
      </w:r>
      <w:r>
        <w:t xml:space="preserve">, </w:t>
      </w:r>
      <w:r>
        <w:rPr>
          <w:rFonts w:ascii="Consolas" w:hAnsi="Consolas"/>
          <w:color w:val="0B3A66"/>
          <w:sz w:val="18"/>
        </w:rPr>
        <w:t>/mis</w:t>
      </w:r>
      <w:r>
        <w:t xml:space="preserve">, per-job Profitability tab. Tables: </w:t>
      </w:r>
      <w:r>
        <w:rPr>
          <w:rFonts w:ascii="Consolas" w:hAnsi="Consolas"/>
          <w:color w:val="0B3A66"/>
          <w:sz w:val="18"/>
        </w:rPr>
        <w:t>jobs</w:t>
      </w:r>
      <w:r>
        <w:t xml:space="preserve">, </w:t>
      </w:r>
      <w:r>
        <w:rPr>
          <w:rFonts w:ascii="Consolas" w:hAnsi="Consolas"/>
          <w:color w:val="0B3A66"/>
          <w:sz w:val="18"/>
        </w:rPr>
        <w:t>calls</w:t>
      </w:r>
      <w:r>
        <w:t xml:space="preserve">, </w:t>
      </w:r>
      <w:r>
        <w:rPr>
          <w:rFonts w:ascii="Consolas" w:hAnsi="Consolas"/>
          <w:color w:val="0B3A66"/>
          <w:sz w:val="18"/>
        </w:rPr>
        <w:t>inspectors</w:t>
      </w:r>
      <w:r>
        <w:t xml:space="preserve">, </w:t>
      </w:r>
      <w:r>
        <w:rPr>
          <w:rFonts w:ascii="Consolas" w:hAnsi="Consolas"/>
          <w:color w:val="0B3A66"/>
          <w:sz w:val="18"/>
        </w:rPr>
        <w:t>expenses</w:t>
      </w:r>
      <w:r>
        <w:t xml:space="preserve">, </w:t>
      </w:r>
      <w:r>
        <w:rPr>
          <w:rFonts w:ascii="Consolas" w:hAnsi="Consolas"/>
          <w:color w:val="0B3A66"/>
          <w:sz w:val="18"/>
        </w:rPr>
        <w:t>voucher_entries</w:t>
      </w:r>
      <w:r>
        <w:t xml:space="preserve">, </w:t>
      </w:r>
      <w:r>
        <w:rPr>
          <w:rFonts w:ascii="Consolas" w:hAnsi="Consolas"/>
          <w:color w:val="0B3A66"/>
          <w:sz w:val="18"/>
        </w:rPr>
        <w:t>job_bills</w:t>
      </w:r>
      <w:r>
        <w:t xml:space="preserve">, </w:t>
      </w:r>
      <w:r>
        <w:rPr>
          <w:rFonts w:ascii="Consolas" w:hAnsi="Consolas"/>
          <w:color w:val="0B3A66"/>
          <w:sz w:val="18"/>
        </w:rPr>
        <w:t>cost_allocations</w:t>
      </w:r>
      <w:r>
        <w:t xml:space="preserve">, </w:t>
      </w:r>
      <w:r>
        <w:rPr>
          <w:rFonts w:ascii="Consolas" w:hAnsi="Consolas"/>
          <w:color w:val="0B3A66"/>
          <w:sz w:val="18"/>
        </w:rPr>
        <w:t>offices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`/call-profit`</w:t>
      </w:r>
      <w:r>
        <w:t xml:space="preserve"> — per-job/deputation P&amp;L, totals, worst-5 loss list. </w:t>
      </w:r>
      <w:r>
        <w:rPr>
          <w:b/>
        </w:rPr>
        <w:t>`/sbu-pl`</w:t>
      </w:r>
      <w:r>
        <w:t xml:space="preserve"> — SBU / activity / contract P&amp;L (live revenue vs stored </w:t>
      </w:r>
      <w:r>
        <w:rPr>
          <w:rFonts w:ascii="Consolas" w:hAnsi="Consolas"/>
          <w:color w:val="0B3A66"/>
          <w:sz w:val="18"/>
        </w:rPr>
        <w:t>cost_allocations</w:t>
      </w:r>
      <w:r>
        <w:t xml:space="preserve">). </w:t>
      </w:r>
      <w:r>
        <w:rPr>
          <w:b/>
        </w:rPr>
        <w:t>`/mis`</w:t>
      </w:r>
      <w:r>
        <w:t xml:space="preserve"> — management dashboard (operations + financial + utilisation + people). </w:t>
      </w:r>
      <w:r>
        <w:rPr>
          <w:b/>
        </w:rPr>
        <w:t>Job Profitability tab</w:t>
      </w:r>
      <w:r>
        <w:t xml:space="preserve"> — the itemised breakdown.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TC-PRF-form-001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Zero invoice is "not an invoice" — does not displace the agreed figure.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TC-PRF-form-002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Cross-office credit only counts when offices differ; same-office credit = 0.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TC-PRF-form-003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Man-days ≥ 1; working days fall back to (days − Sundays) if holidays would zero it.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TC-PRF-form-004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Recovered offset capped at expenses + voucher.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(figure consistency — highest scrutiny)</w:t>
      </w:r>
    </w:p>
    <w:p>
      <w:pPr>
        <w:pStyle w:val="ListBullet"/>
      </w:pPr>
      <w:r>
        <w:rPr>
          <w:b/>
        </w:rPr>
        <w:t>Revenue split</w:t>
      </w:r>
      <w:r>
        <w:t xml:space="preserve"> (</w:t>
      </w:r>
      <w:r>
        <w:rPr>
          <w:rFonts w:ascii="Consolas" w:hAnsi="Consolas"/>
          <w:color w:val="0B3A66"/>
          <w:sz w:val="18"/>
        </w:rPr>
        <w:t>job_money</w:t>
      </w:r>
      <w:r>
        <w:t>/</w:t>
      </w:r>
      <w:r>
        <w:rPr>
          <w:rFonts w:ascii="Consolas" w:hAnsi="Consolas"/>
          <w:color w:val="0B3A66"/>
          <w:sz w:val="18"/>
        </w:rPr>
        <w:t>job_revenue_for</w:t>
      </w:r>
      <w:r>
        <w:t>): whole invoice company-wide; cross-office</w:t>
      </w:r>
    </w:p>
    <w:p>
      <w:r>
        <w:t xml:space="preserve">  holder keeps invoice − credit, executor keeps credit; the two shares sum to the whole.   </w:t>
      </w:r>
      <w:r>
        <w:rPr>
          <w:b/>
        </w:rPr>
        <w:t>TC-PRF-fn-001.</w:t>
      </w:r>
    </w:p>
    <w:p>
      <w:pPr>
        <w:pStyle w:val="ListBullet"/>
      </w:pPr>
      <w:r>
        <w:rPr>
          <w:b/>
        </w:rPr>
        <w:t>Per-job P&amp;L</w:t>
      </w:r>
      <w:r>
        <w:t xml:space="preserve"> (</w:t>
      </w:r>
      <w:r>
        <w:rPr>
          <w:rFonts w:ascii="Consolas" w:hAnsi="Consolas"/>
          <w:color w:val="0B3A66"/>
          <w:sz w:val="18"/>
        </w:rPr>
        <w:t>job_profit</w:t>
      </w:r>
      <w:r>
        <w:t>): labour + overhead + expenses + voucher + subcon + other −</w:t>
      </w:r>
    </w:p>
    <w:p>
      <w:r>
        <w:t xml:space="preserve">  recovered; + contingency; profit = revenue − cost; server-side recompute. </w:t>
      </w:r>
      <w:r>
        <w:rPr>
          <w:b/>
        </w:rPr>
        <w:t>TC-PRF-fn-002.</w:t>
      </w:r>
    </w:p>
    <w:p>
      <w:pPr>
        <w:pStyle w:val="ListBullet"/>
      </w:pPr>
      <w:r>
        <w:rPr>
          <w:b/>
        </w:rPr>
        <w:t>"Same figure everywhere"</w:t>
      </w:r>
      <w:r>
        <w:t xml:space="preserve"> — the design intent. </w:t>
      </w:r>
      <w:r>
        <w:rPr>
          <w:b/>
        </w:rPr>
        <w:t>But:</w:t>
      </w:r>
      <w:r>
        <w:t xml:space="preserve"> </w:t>
      </w:r>
      <w:r>
        <w:rPr>
          <w:rFonts w:ascii="Consolas" w:hAnsi="Consolas"/>
          <w:color w:val="0B3A66"/>
          <w:sz w:val="18"/>
        </w:rPr>
        <w:t>job_profit</w:t>
      </w:r>
      <w:r>
        <w:t xml:space="preserve"> uses the </w:t>
      </w:r>
      <w:r>
        <w:rPr>
          <w:b/>
        </w:rPr>
        <w:t>current</w:t>
      </w:r>
    </w:p>
    <w:p>
      <w:r>
        <w:t xml:space="preserve">  month's working days for the daily-cost divisor regardless of the job's real month, so a   historical job's labour cost drifts and can differ from </w:t>
      </w:r>
      <w:r>
        <w:rPr>
          <w:rFonts w:ascii="Consolas" w:hAnsi="Consolas"/>
          <w:color w:val="0B3A66"/>
          <w:sz w:val="18"/>
        </w:rPr>
        <w:t>costing_run</w:t>
      </w:r>
      <w:r>
        <w:t xml:space="preserve"> (GAP-PRF-001); and   </w:t>
      </w:r>
      <w:r>
        <w:rPr>
          <w:b/>
        </w:rPr>
        <w:t>MIS aggregates a hand-rolled cost</w:t>
      </w:r>
      <w:r>
        <w:t xml:space="preserve"> (labour+expenses+subcon), dropping overhead/voucher/   other/contingency/recovered, so MIS "profit" ≠ call-profit "profit" for the same jobs   (GAP-PRF-002). </w:t>
      </w:r>
      <w:r>
        <w:rPr>
          <w:b/>
        </w:rPr>
        <w:t>TC-PRF-fn-003..004</w:t>
      </w:r>
      <w:r>
        <w:t xml:space="preserve"> — reconcile the four screens to the rupee.</w:t>
      </w:r>
    </w:p>
    <w:p>
      <w:pPr>
        <w:pStyle w:val="ListBullet"/>
      </w:pPr>
      <w:r>
        <w:rPr>
          <w:b/>
        </w:rPr>
        <w:t>SBU P&amp;L</w:t>
      </w:r>
      <w:r>
        <w:t xml:space="preserve"> (</w:t>
      </w:r>
      <w:r>
        <w:rPr>
          <w:rFonts w:ascii="Consolas" w:hAnsi="Consolas"/>
          <w:color w:val="0B3A66"/>
          <w:sz w:val="18"/>
        </w:rPr>
        <w:t>ops_sbu_pl</w:t>
      </w:r>
      <w:r>
        <w:t xml:space="preserve">): live revenue vs </w:t>
      </w:r>
      <w:r>
        <w:rPr>
          <w:b/>
        </w:rPr>
        <w:t>stored</w:t>
      </w:r>
      <w:r>
        <w:t xml:space="preserve"> cost_allocations — if a run is stale/</w:t>
      </w:r>
    </w:p>
    <w:p>
      <w:r>
        <w:t xml:space="preserve">  uncommitted, revenue and cost cover different data (GAP-PRF-003). </w:t>
      </w:r>
      <w:r>
        <w:rPr>
          <w:b/>
        </w:rPr>
        <w:t>TC-PRF-fn-005.</w:t>
      </w:r>
    </w:p>
    <w:p>
      <w:pPr>
        <w:pStyle w:val="Heading2"/>
      </w:pPr>
      <w:r>
        <w:t>E. Status &amp; lifecycle</w:t>
      </w:r>
    </w:p>
    <w:p>
      <w:r>
        <w:t xml:space="preserve">No lifecycle — profitability is a computed view over jobs/allocations. </w:t>
      </w:r>
      <w:r>
        <w:rPr>
          <w:b/>
        </w:rPr>
        <w:t>TC-PRF-life-001:</w:t>
      </w:r>
      <w:r>
        <w:t xml:space="preserve"> </w:t>
      </w:r>
      <w:r>
        <w:rPr>
          <w:rFonts w:ascii="Consolas" w:hAnsi="Consolas"/>
          <w:color w:val="0B3A66"/>
          <w:sz w:val="18"/>
        </w:rPr>
        <w:t>jobs_backfill_money</w:t>
      </w:r>
      <w:r>
        <w:t xml:space="preserve"> copies the billable value/office from the originating call once, then profit reads live; </w:t>
      </w:r>
      <w:r>
        <w:rPr>
          <w:b/>
        </w:rPr>
        <w:t>TC-PRF-life-002:</w:t>
      </w:r>
      <w:r>
        <w:t xml:space="preserve"> a frozen cost-run month gives a stable SBU P&amp;L.</w:t>
      </w:r>
    </w:p>
    <w:p>
      <w:pPr>
        <w:pStyle w:val="Heading2"/>
      </w:pPr>
      <w:r>
        <w:t>F. Roles, permissions &amp; data scope</w:t>
      </w:r>
    </w:p>
    <w:p>
      <w:r>
        <w:rPr>
          <w:rFonts w:ascii="Consolas" w:hAnsi="Consolas"/>
          <w:color w:val="0B3A66"/>
          <w:sz w:val="18"/>
        </w:rPr>
        <w:t>data.salary</w:t>
      </w:r>
      <w:r>
        <w:t>/</w:t>
      </w:r>
      <w:r>
        <w:rPr>
          <w:rFonts w:ascii="Consolas" w:hAnsi="Consolas"/>
          <w:color w:val="0B3A66"/>
          <w:sz w:val="18"/>
        </w:rPr>
        <w:t>can_see_salary</w:t>
      </w:r>
      <w:r>
        <w:t xml:space="preserve"> gates cost/salary/overhead/profit columns (without it, call-profit shows dashes, MIS shows revenue-only). </w:t>
      </w:r>
      <w:r>
        <w:rPr>
          <w:rFonts w:ascii="Consolas" w:hAnsi="Consolas"/>
          <w:color w:val="0B3A66"/>
          <w:sz w:val="18"/>
        </w:rPr>
        <w:t>data.credit</w:t>
      </w:r>
      <w:r>
        <w:t xml:space="preserve"> gates credit/advance. </w:t>
      </w:r>
      <w:r>
        <w:rPr>
          <w:rFonts w:ascii="Consolas" w:hAnsi="Consolas"/>
          <w:color w:val="0B3A66"/>
          <w:sz w:val="18"/>
        </w:rPr>
        <w:t>data.profitability</w:t>
      </w:r>
      <w:r>
        <w:t>/</w:t>
      </w:r>
      <w:r>
        <w:rPr>
          <w:rFonts w:ascii="Consolas" w:hAnsi="Consolas"/>
          <w:color w:val="0B3A66"/>
          <w:sz w:val="18"/>
        </w:rPr>
        <w:t>data.revenue</w:t>
      </w:r>
      <w:r>
        <w:t xml:space="preserve"> gate the screens. Handlers gated (</w:t>
      </w:r>
      <w:r>
        <w:rPr>
          <w:rFonts w:ascii="Consolas" w:hAnsi="Consolas"/>
          <w:color w:val="0B3A66"/>
          <w:sz w:val="18"/>
        </w:rPr>
        <w:t>data.profitability||data.revenue||admin</w:t>
      </w:r>
      <w:r>
        <w:t xml:space="preserve"> etc.). Scope via </w:t>
      </w:r>
      <w:r>
        <w:rPr>
          <w:rFonts w:ascii="Consolas" w:hAnsi="Consolas"/>
          <w:color w:val="0B3A66"/>
          <w:sz w:val="18"/>
        </w:rPr>
        <w:t>scope_offices()</w:t>
      </w:r>
      <w:r>
        <w:t xml:space="preserve"> / </w:t>
      </w:r>
      <w:r>
        <w:rPr>
          <w:rFonts w:ascii="Consolas" w:hAnsi="Consolas"/>
          <w:color w:val="0B3A66"/>
          <w:sz w:val="18"/>
        </w:rPr>
        <w:t>costing_offices_for_user()</w:t>
      </w:r>
      <w:r>
        <w:t>.</w:t>
      </w:r>
    </w:p>
    <w:p>
      <w:pPr>
        <w:pStyle w:val="ListBullet"/>
      </w:pPr>
      <w:r>
        <w:t xml:space="preserve">TC-PRF-perm-001 (P&amp;L without </w:t>
      </w:r>
      <w:r>
        <w:rPr>
          <w:rFonts w:ascii="Consolas" w:hAnsi="Consolas"/>
          <w:color w:val="0B3A66"/>
          <w:sz w:val="18"/>
        </w:rPr>
        <w:t>data.salary</w:t>
      </w:r>
      <w:r>
        <w:t>) → cost columns hidden.</w:t>
      </w:r>
    </w:p>
    <w:p>
      <w:pPr>
        <w:pStyle w:val="ListBullet"/>
      </w:pPr>
      <w:r>
        <w:t>TC-PRF-scope-001: a branch sees only its office's jobs.</w:t>
      </w:r>
    </w:p>
    <w:p>
      <w:pPr>
        <w:pStyle w:val="Heading2"/>
      </w:pPr>
      <w:r>
        <w:t>G. Settings</w:t>
      </w:r>
    </w:p>
    <w:p>
      <w:r>
        <w:t xml:space="preserve">Global </w:t>
      </w:r>
      <w:r>
        <w:rPr>
          <w:rFonts w:ascii="Consolas" w:hAnsi="Consolas"/>
          <w:color w:val="0B3A66"/>
          <w:sz w:val="18"/>
        </w:rPr>
        <w:t>overhead_pct</w:t>
      </w:r>
      <w:r>
        <w:t xml:space="preserve"> (else </w:t>
      </w:r>
      <w:r>
        <w:rPr>
          <w:rFonts w:ascii="Consolas" w:hAnsi="Consolas"/>
          <w:color w:val="0B3A66"/>
          <w:sz w:val="18"/>
        </w:rPr>
        <w:t>OVERHEAD_PCT</w:t>
      </w:r>
      <w:r>
        <w:t xml:space="preserve"> 8), </w:t>
      </w:r>
      <w:r>
        <w:rPr>
          <w:rFonts w:ascii="Consolas" w:hAnsi="Consolas"/>
          <w:color w:val="0B3A66"/>
          <w:sz w:val="18"/>
        </w:rPr>
        <w:t>contingency_pct</w:t>
      </w:r>
      <w:r>
        <w:t xml:space="preserve">, per-office overrides, idle basis, expense-head allocation basis, </w:t>
      </w:r>
      <w:r>
        <w:rPr>
          <w:rFonts w:ascii="Consolas" w:hAnsi="Consolas"/>
          <w:color w:val="0B3A66"/>
          <w:sz w:val="18"/>
        </w:rPr>
        <w:t>holidays</w:t>
      </w:r>
      <w:r>
        <w:t xml:space="preserve">, </w:t>
      </w:r>
      <w:r>
        <w:rPr>
          <w:rFonts w:ascii="Consolas" w:hAnsi="Consolas"/>
          <w:color w:val="0B3A66"/>
          <w:sz w:val="18"/>
        </w:rPr>
        <w:t>OPS_SBUS</w:t>
      </w:r>
      <w:r>
        <w:t xml:space="preserve">, </w:t>
      </w:r>
      <w:r>
        <w:rPr>
          <w:rFonts w:ascii="Consolas" w:hAnsi="Consolas"/>
          <w:color w:val="0B3A66"/>
          <w:sz w:val="18"/>
        </w:rPr>
        <w:t>tat_threshold_days</w:t>
      </w:r>
      <w:r>
        <w:t xml:space="preserve">, </w:t>
      </w:r>
      <w:r>
        <w:rPr>
          <w:rFonts w:ascii="Consolas" w:hAnsi="Consolas"/>
          <w:color w:val="0B3A66"/>
          <w:sz w:val="18"/>
        </w:rPr>
        <w:t>fy_revenue_target</w:t>
      </w:r>
      <w:r>
        <w:t xml:space="preserve">. </w:t>
      </w:r>
      <w:r>
        <w:rPr>
          <w:b/>
        </w:rPr>
        <w:t>TC-PRF-set-001:</w:t>
      </w:r>
      <w:r>
        <w:t xml:space="preserve"> a per-office overhead % overrides the global on that office's jobs.</w:t>
      </w:r>
    </w:p>
    <w:p>
      <w:pPr>
        <w:pStyle w:val="Heading2"/>
      </w:pPr>
      <w:r>
        <w:t>H. Cross-module integration</w:t>
      </w:r>
    </w:p>
    <w:p>
      <w:r>
        <w:rPr>
          <w:b/>
        </w:rPr>
        <w:t>Jobs/Invoicing</w:t>
      </w:r>
      <w:r>
        <w:t xml:space="preserve"> (revenue, billed/paid), </w:t>
      </w:r>
      <w:r>
        <w:rPr>
          <w:b/>
        </w:rPr>
        <w:t>Vouchers/Expenses</w:t>
      </w:r>
      <w:r>
        <w:t xml:space="preserve"> (cost — MOD-30), </w:t>
      </w:r>
      <w:r>
        <w:rPr>
          <w:b/>
        </w:rPr>
        <w:t>Overheads/ Cost run</w:t>
      </w:r>
      <w:r>
        <w:t xml:space="preserve"> (SBU cost — MOD-33), </w:t>
      </w:r>
      <w:r>
        <w:rPr>
          <w:b/>
        </w:rPr>
        <w:t>Credit</w:t>
      </w:r>
      <w:r>
        <w:t xml:space="preserve"> (cross-office split — MOD-31), </w:t>
      </w:r>
      <w:r>
        <w:rPr>
          <w:b/>
        </w:rPr>
        <w:t>Dashboards</w:t>
      </w:r>
      <w:r>
        <w:t xml:space="preserve"> (MIS/ exec board — MOD-34). Idempotency: computed, read-only.</w:t>
      </w:r>
    </w:p>
    <w:p>
      <w:pPr>
        <w:pStyle w:val="Heading2"/>
      </w:pPr>
      <w:r>
        <w:t>I. Data integrity &amp; audit</w:t>
      </w:r>
    </w:p>
    <w:p>
      <w:r>
        <w:t xml:space="preserve">The "same figure" promise is the integrity contract — </w:t>
      </w:r>
      <w:r>
        <w:rPr>
          <w:b/>
        </w:rPr>
        <w:t>currently not fully met</w:t>
      </w:r>
      <w:r>
        <w:t xml:space="preserve"> across MIS vs call-profit vs SBU-P&amp;L. </w:t>
      </w:r>
      <w:r>
        <w:rPr>
          <w:rFonts w:ascii="Consolas" w:hAnsi="Consolas"/>
          <w:color w:val="0B3A66"/>
          <w:sz w:val="18"/>
        </w:rPr>
        <w:t>job_profit</w:t>
      </w:r>
      <w:r>
        <w:t xml:space="preserve"> divisor uses the current month (drift). SBU revenue is live but cost is frozen. </w:t>
      </w:r>
      <w:r>
        <w:rPr>
          <w:b/>
        </w:rPr>
        <w:t>TC-PRF-int-010:</w:t>
      </w:r>
      <w:r>
        <w:t xml:space="preserve"> the per-job figure equals the call-profit line; </w:t>
      </w:r>
      <w:r>
        <w:rPr>
          <w:b/>
        </w:rPr>
        <w:t>TC-PRF-int-011:</w:t>
      </w:r>
      <w:r>
        <w:t xml:space="preserve"> MIS totals equal the sum of </w:t>
      </w:r>
      <w:r>
        <w:rPr>
          <w:rFonts w:ascii="Consolas" w:hAnsi="Consolas"/>
          <w:color w:val="0B3A66"/>
          <w:sz w:val="18"/>
        </w:rPr>
        <w:t>job_profit</w:t>
      </w:r>
      <w:r>
        <w:t xml:space="preserve"> (not a hand-rolled cost).</w:t>
      </w:r>
    </w:p>
    <w:p>
      <w:pPr>
        <w:pStyle w:val="Heading2"/>
      </w:pPr>
      <w:r>
        <w:t>J. Reports &amp; outputs</w:t>
      </w:r>
    </w:p>
    <w:p>
      <w:r>
        <w:t xml:space="preserve">Call-profit, SBU-P&amp;L, MIS (with/without cost columns by permission), the exec strategic board. </w:t>
      </w:r>
      <w:r>
        <w:rPr>
          <w:b/>
        </w:rPr>
        <w:t>TC-PRF-out-001:</w:t>
      </w:r>
      <w:r>
        <w:t xml:space="preserve"> exports carry cost columns only for </w:t>
      </w:r>
      <w:r>
        <w:rPr>
          <w:rFonts w:ascii="Consolas" w:hAnsi="Consolas"/>
          <w:color w:val="0B3A66"/>
          <w:sz w:val="18"/>
        </w:rPr>
        <w:t>data.salary</w:t>
      </w:r>
      <w:r>
        <w:t xml:space="preserve">; </w:t>
      </w:r>
      <w:r>
        <w:rPr>
          <w:b/>
        </w:rPr>
        <w:t>TC-PRF-out-002:</w:t>
      </w:r>
      <w:r>
        <w:t xml:space="preserve"> "revenue booked" (exec board) vs invoiced value on the same screen are reconciled (they use different date rules — verify).</w:t>
      </w:r>
    </w:p>
    <w:p>
      <w:pPr>
        <w:pStyle w:val="Heading2"/>
      </w:pPr>
      <w:r>
        <w:t>K. Negative, edge &amp; resilience</w:t>
      </w:r>
    </w:p>
    <w:p>
      <w:r>
        <w:t xml:space="preserve">A historical job's labour cost drifting with the calendar month; MIS profit disagreeing with call-profit; a stale/uncommitted cost run (SBU revenue vs cost mismatch); a zero-invoice job; a same-office job with a stray credit; a P&amp;L viewed without </w:t>
      </w:r>
      <w:r>
        <w:rPr>
          <w:rFonts w:ascii="Consolas" w:hAnsi="Consolas"/>
          <w:color w:val="0B3A66"/>
          <w:sz w:val="18"/>
        </w:rPr>
        <w:t>data.salary</w:t>
      </w:r>
      <w:r>
        <w:t xml:space="preserve"> (dashes).</w:t>
      </w:r>
    </w:p>
    <w:p>
      <w:pPr>
        <w:pStyle w:val="Heading2"/>
      </w:pPr>
      <w:r>
        <w:t>L. TPIA operational suitability</w:t>
      </w:r>
    </w:p>
    <w:p>
      <w:r>
        <w:t>Gives per-deputation, per-contract and per-SBU margin with cross-office credit handled — the economics a multi-branch TPIA runs on. The single-</w:t>
      </w:r>
      <w:r>
        <w:rPr>
          <w:rFonts w:ascii="Consolas" w:hAnsi="Consolas"/>
          <w:color w:val="0B3A66"/>
          <w:sz w:val="18"/>
        </w:rPr>
        <w:t>job_profit</w:t>
      </w:r>
      <w:r>
        <w:t xml:space="preserve"> design is right; the figure-consistency drift is the defect to close so every screen agrees.</w:t>
      </w:r>
    </w:p>
    <w:p>
      <w:pPr>
        <w:pStyle w:val="Heading2"/>
      </w:pPr>
      <w:r>
        <w:t>M. Management usefulness</w:t>
      </w:r>
    </w:p>
    <w:p>
      <w:r>
        <w:t xml:space="preserve">Worst-loss lists, SBU P&amp;L, MIS, exec board with FY target/YoY/utilisation. </w:t>
      </w:r>
      <w:r>
        <w:rPr>
          <w:b/>
        </w:rPr>
        <w:t>Its usefulness depends on the figures agreeing</w:t>
      </w:r>
      <w:r>
        <w:t xml:space="preserve"> — the consistency gaps directly undermine it.</w:t>
      </w:r>
    </w:p>
    <w:p>
      <w:pPr>
        <w:pStyle w:val="Heading2"/>
      </w:pPr>
      <w:r>
        <w:t>N. UI/UX</w:t>
      </w:r>
    </w:p>
    <w:p>
      <w:r>
        <w:t xml:space="preserve">Itemised breakdown, permission-gated columns, dashboards.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Cost/salary/credit columns permission-gated; exports respect the same; office-scoped. No write surface (computed).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computed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figure consistency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money fidelity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 depends on consistency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Money/profitability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month divisor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N+1 in reports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GAP-PRF-001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job_profit</w:t>
            </w:r>
            <w:r>
              <w:rPr>
                <w:sz w:val="17"/>
              </w:rPr>
              <w:t xml:space="preserve"> uses the </w:t>
            </w:r>
            <w:r>
              <w:rPr>
                <w:b/>
                <w:sz w:val="17"/>
              </w:rPr>
              <w:t>current month's working days</w:t>
            </w:r>
            <w:r>
              <w:rPr>
                <w:sz w:val="17"/>
              </w:rPr>
              <w:t xml:space="preserve"> for the daily-cost divisor regardless of the job's real month — a historical job's labour cost drifts as the calendar advances and diverges from </w:t>
            </w:r>
            <w:r>
              <w:rPr>
                <w:rFonts w:ascii="Consolas" w:hAnsi="Consolas"/>
                <w:color w:val="0B3A66"/>
                <w:sz w:val="17"/>
              </w:rPr>
              <w:t>costing_run</w:t>
            </w:r>
            <w:r>
              <w:rPr>
                <w:sz w:val="17"/>
              </w:rPr>
              <w:t xml:space="preserve"> (which uses the run month). Use the job's month.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GAP-PRF-002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MIS aggregates a hand-rolled cost</w:t>
            </w:r>
            <w:r>
              <w:rPr>
                <w:sz w:val="17"/>
              </w:rPr>
              <w:t xml:space="preserve"> (labour+expenses+subcon), dropping overhead/voucher/other/contingency/recovered — so MIS "profit" ≠ call-profit "profit" for the same jobs, breaking the "same figure everywhere" promise. Aggregate </w:t>
            </w:r>
            <w:r>
              <w:rPr>
                <w:rFonts w:ascii="Consolas" w:hAnsi="Consolas"/>
                <w:color w:val="0B3A66"/>
                <w:sz w:val="17"/>
              </w:rPr>
              <w:t>job_profit</w:t>
            </w:r>
            <w:r>
              <w:rPr>
                <w:sz w:val="17"/>
              </w:rPr>
              <w:t xml:space="preserve">'s </w:t>
            </w:r>
            <w:r>
              <w:rPr>
                <w:rFonts w:ascii="Consolas" w:hAnsi="Consolas"/>
                <w:color w:val="0B3A66"/>
                <w:sz w:val="17"/>
              </w:rPr>
              <w:t>cost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profit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GAP-PRF-003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SBU-P&amp;L mixes live revenue with frozen cost_allocations</w:t>
            </w:r>
            <w:r>
              <w:rPr>
                <w:sz w:val="17"/>
              </w:rPr>
              <w:t xml:space="preserve"> — a stale/uncommitted run makes the two cover different data; and offices on the legacy overhead-% blend with offices on real allocated cost. Enforce a committed run and a single basis.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/call-profit</w:t>
      </w:r>
      <w:r>
        <w:t xml:space="preserve">, </w:t>
      </w:r>
      <w:r>
        <w:rPr>
          <w:rFonts w:ascii="Consolas" w:hAnsi="Consolas"/>
          <w:color w:val="0B3A66"/>
          <w:sz w:val="18"/>
        </w:rPr>
        <w:t>/sbu-pl</w:t>
      </w:r>
      <w:r>
        <w:t xml:space="preserve">, </w:t>
      </w:r>
      <w:r>
        <w:rPr>
          <w:rFonts w:ascii="Consolas" w:hAnsi="Consolas"/>
          <w:color w:val="0B3A66"/>
          <w:sz w:val="18"/>
        </w:rPr>
        <w:t>/mis</w:t>
      </w:r>
      <w:r>
        <w:t xml:space="preserve">, job Profitability tab × dims 1–29 → TC-PRF-* → results → DEF/GAP. </w:t>
      </w:r>
      <w:r>
        <w:rPr>
          <w:b/>
        </w:rPr>
        <w:t>Verdict: Complete-with-defects</w:t>
      </w:r>
      <w:r>
        <w:t xml:space="preserve"> — figure consistency across screens (the design's own promise) is the exit condition.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