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Inspection Ops — Overheads (Office Finance) — Test &amp; Documentation Report</w:t>
      </w:r>
    </w:p>
    <w:p>
      <w:pPr>
        <w:spacing w:before="80" w:after="80"/>
        <w:ind w:left="360"/>
      </w:pPr>
      <w:r>
        <w:rPr>
          <w:b/>
          <w:color w:val="445566"/>
          <w:sz w:val="20"/>
        </w:rPr>
        <w:t>Prompt 3 · Module MOD-OVERHEADS.</w:t>
      </w:r>
      <w:r>
        <w:rPr>
          <w:color w:val="445566"/>
          <w:sz w:val="20"/>
        </w:rPr>
        <w:t xml:space="preserve"> Read from </w:t>
      </w:r>
      <w:r>
        <w:rPr>
          <w:rFonts w:ascii="Consolas" w:hAnsi="Consolas"/>
          <w:color w:val="445566"/>
          <w:sz w:val="20"/>
        </w:rPr>
        <w:t>lib/ops.php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ops_office_finance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office_overhead_pct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office_contingency_pct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global_overhead_pct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inspector_daily_cost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boss_profit</w:t>
      </w:r>
      <w:r>
        <w:rPr>
          <w:color w:val="445566"/>
          <w:sz w:val="20"/>
        </w:rPr>
        <w:t xml:space="preserve">) and </w:t>
      </w:r>
      <w:r>
        <w:rPr>
          <w:rFonts w:ascii="Consolas" w:hAnsi="Consolas"/>
          <w:color w:val="445566"/>
          <w:sz w:val="20"/>
        </w:rPr>
        <w:t>lib/costing.php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ops_cost_run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costing_run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office_expenses_save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costing_spread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ALLOC_BASES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IDLE_BASES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person_split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office_uses_real_costs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cost_month_frozen</w:t>
      </w:r>
      <w:r>
        <w:rPr>
          <w:color w:val="445566"/>
          <w:sz w:val="20"/>
        </w:rPr>
        <w:t xml:space="preserve">). Views </w:t>
      </w:r>
      <w:r>
        <w:rPr>
          <w:rFonts w:ascii="Consolas" w:hAnsi="Consolas"/>
          <w:color w:val="445566"/>
          <w:sz w:val="20"/>
        </w:rPr>
        <w:t>office_finance.php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cost_run.php</w:t>
      </w:r>
      <w:r>
        <w:rPr>
          <w:color w:val="445566"/>
          <w:sz w:val="2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Overheads / Office Finance (MOD-OVERHEADS) · Area Money/Admin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Personas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P-ACCTS/P-BM (enter costs), P-MASTER (run/freeze), P-MD (P&amp;L)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Risk weight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Medium-High</w:t>
            </w:r>
            <w:r>
              <w:rPr>
                <w:sz w:val="17"/>
              </w:rPr>
              <w:t xml:space="preserve"> — office cost that reduces net margin; two divergent models risk mis-stated profit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Verdict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Complete-with-defects (confirm model reconciliation, ledger link, freeze integrity)</w:t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Ver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Date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Author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(stamp)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QA (Prompt 3)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Initial.</w:t>
            </w:r>
          </w:p>
        </w:tc>
      </w:tr>
    </w:tbl>
    <w:p>
      <w:pPr>
        <w:spacing w:after="40"/>
      </w:pPr>
    </w:p>
    <w:p>
      <w:pPr>
        <w:pStyle w:val="Heading2"/>
      </w:pPr>
      <w:r>
        <w:t>A. Module overview</w:t>
      </w:r>
    </w:p>
    <w:p>
      <w:r>
        <w:t xml:space="preserve">Office finance carries the real monthly overheads and allocates them to Business Units / jobs. </w:t>
      </w:r>
      <w:r>
        <w:rPr>
          <w:b/>
        </w:rPr>
        <w:t>Two parallel models coexist:</w:t>
      </w:r>
      <w:r>
        <w:t xml:space="preserve"> (1) a </w:t>
      </w:r>
      <w:r>
        <w:rPr>
          <w:b/>
        </w:rPr>
        <w:t>legacy overhead % + contingency %</w:t>
      </w:r>
      <w:r>
        <w:t xml:space="preserve"> baked into loaded labour, used by per-contract profitability (</w:t>
      </w:r>
      <w:r>
        <w:rPr>
          <w:rFonts w:ascii="Consolas" w:hAnsi="Consolas"/>
          <w:color w:val="0B3A66"/>
          <w:sz w:val="18"/>
        </w:rPr>
        <w:t>boss_profit</w:t>
      </w:r>
      <w:r>
        <w:t xml:space="preserve">, MOD-32); and (2) the </w:t>
      </w:r>
      <w:r>
        <w:rPr>
          <w:b/>
        </w:rPr>
        <w:t>real-cost model</w:t>
      </w:r>
      <w:r>
        <w:t xml:space="preserve"> — monthly office expense heads entered per office (</w:t>
      </w:r>
      <w:r>
        <w:rPr>
          <w:rFonts w:ascii="Consolas" w:hAnsi="Consolas"/>
          <w:color w:val="0B3A66"/>
          <w:sz w:val="18"/>
        </w:rPr>
        <w:t>office_expenses</w:t>
      </w:r>
      <w:r>
        <w:t xml:space="preserve">), then a month-end </w:t>
      </w:r>
      <w:r>
        <w:rPr>
          <w:b/>
        </w:rPr>
        <w:t>cost run</w:t>
      </w:r>
      <w:r>
        <w:t xml:space="preserve"> (</w:t>
      </w:r>
      <w:r>
        <w:rPr>
          <w:rFonts w:ascii="Consolas" w:hAnsi="Consolas"/>
          <w:color w:val="0B3A66"/>
          <w:sz w:val="18"/>
        </w:rPr>
        <w:t>costing_run</w:t>
      </w:r>
      <w:r>
        <w:t xml:space="preserve">) that allocates engineers' worked/idle days, non-production staff salary (by </w:t>
      </w:r>
      <w:r>
        <w:rPr>
          <w:rFonts w:ascii="Consolas" w:hAnsi="Consolas"/>
          <w:color w:val="0B3A66"/>
          <w:sz w:val="18"/>
        </w:rPr>
        <w:t>person_sbu_split</w:t>
      </w:r>
      <w:r>
        <w:t xml:space="preserve">), office expense heads (by EQUAL/MANDAYS/REVENUE/HEADCOUNT basis), and subcon costs into </w:t>
      </w:r>
      <w:r>
        <w:rPr>
          <w:rFonts w:ascii="Consolas" w:hAnsi="Consolas"/>
          <w:color w:val="0B3A66"/>
          <w:sz w:val="18"/>
        </w:rPr>
        <w:t>cost_allocations</w:t>
      </w:r>
      <w:r>
        <w:t xml:space="preserve">, frozen per office+month. Salary is forbidden as an expense head (double-count guard). The two models are </w:t>
      </w:r>
      <w:r>
        <w:rPr>
          <w:b/>
        </w:rPr>
        <w:t>not reconciled</w:t>
      </w:r>
      <w:r>
        <w:t xml:space="preserve"> and there is </w:t>
      </w:r>
      <w:r>
        <w:rPr>
          <w:b/>
        </w:rPr>
        <w:t>no ledger/books link</w:t>
      </w:r>
      <w:r>
        <w:t>.</w:t>
      </w:r>
    </w:p>
    <w:p>
      <w:r>
        <w:t xml:space="preserve">Screens: </w:t>
      </w:r>
      <w:r>
        <w:rPr>
          <w:rFonts w:ascii="Consolas" w:hAnsi="Consolas"/>
          <w:color w:val="0B3A66"/>
          <w:sz w:val="18"/>
        </w:rPr>
        <w:t>/office-finance</w:t>
      </w:r>
      <w:r>
        <w:t xml:space="preserve"> (tabs actual/sbus/pct), </w:t>
      </w:r>
      <w:r>
        <w:rPr>
          <w:rFonts w:ascii="Consolas" w:hAnsi="Consolas"/>
          <w:color w:val="0B3A66"/>
          <w:sz w:val="18"/>
        </w:rPr>
        <w:t>/cost-run</w:t>
      </w:r>
      <w:r>
        <w:t xml:space="preserve">, </w:t>
      </w:r>
      <w:r>
        <w:rPr>
          <w:rFonts w:ascii="Consolas" w:hAnsi="Consolas"/>
          <w:color w:val="0B3A66"/>
          <w:sz w:val="18"/>
        </w:rPr>
        <w:t>/sbu-pl</w:t>
      </w:r>
      <w:r>
        <w:t xml:space="preserve">, </w:t>
      </w:r>
      <w:r>
        <w:rPr>
          <w:rFonts w:ascii="Consolas" w:hAnsi="Consolas"/>
          <w:color w:val="0B3A66"/>
          <w:sz w:val="18"/>
        </w:rPr>
        <w:t>/m/office-expense-heads</w:t>
      </w:r>
      <w:r>
        <w:t xml:space="preserve">. Tables: </w:t>
      </w:r>
      <w:r>
        <w:rPr>
          <w:rFonts w:ascii="Consolas" w:hAnsi="Consolas"/>
          <w:color w:val="0B3A66"/>
          <w:sz w:val="18"/>
        </w:rPr>
        <w:t>office_expense_heads</w:t>
      </w:r>
      <w:r>
        <w:t xml:space="preserve">, </w:t>
      </w:r>
      <w:r>
        <w:rPr>
          <w:rFonts w:ascii="Consolas" w:hAnsi="Consolas"/>
          <w:color w:val="0B3A66"/>
          <w:sz w:val="18"/>
        </w:rPr>
        <w:t>office_expenses</w:t>
      </w:r>
      <w:r>
        <w:t xml:space="preserve">, </w:t>
      </w:r>
      <w:r>
        <w:rPr>
          <w:rFonts w:ascii="Consolas" w:hAnsi="Consolas"/>
          <w:color w:val="0B3A66"/>
          <w:sz w:val="18"/>
        </w:rPr>
        <w:t>cost_allocations</w:t>
      </w:r>
      <w:r>
        <w:t xml:space="preserve">, </w:t>
      </w:r>
      <w:r>
        <w:rPr>
          <w:rFonts w:ascii="Consolas" w:hAnsi="Consolas"/>
          <w:color w:val="0B3A66"/>
          <w:sz w:val="18"/>
        </w:rPr>
        <w:t>cost_runs</w:t>
      </w:r>
      <w:r>
        <w:t xml:space="preserve">, </w:t>
      </w:r>
      <w:r>
        <w:rPr>
          <w:rFonts w:ascii="Consolas" w:hAnsi="Consolas"/>
          <w:color w:val="0B3A66"/>
          <w:sz w:val="18"/>
        </w:rPr>
        <w:t>person_sbu_split</w:t>
      </w:r>
      <w:r>
        <w:t xml:space="preserve">, </w:t>
      </w:r>
      <w:r>
        <w:rPr>
          <w:rFonts w:ascii="Consolas" w:hAnsi="Consolas"/>
          <w:color w:val="0B3A66"/>
          <w:sz w:val="18"/>
        </w:rPr>
        <w:t>offices.overhead_pct</w:t>
      </w:r>
      <w:r>
        <w:t>.</w:t>
      </w:r>
    </w:p>
    <w:p>
      <w:pPr>
        <w:pStyle w:val="Heading2"/>
      </w:pPr>
      <w:r>
        <w:t>B. Screen-by-screen catalogue</w:t>
      </w:r>
    </w:p>
    <w:p>
      <w:r>
        <w:rPr>
          <w:b/>
        </w:rPr>
        <w:t>`/office-finance`</w:t>
      </w:r>
      <w:r>
        <w:t xml:space="preserve"> — </w:t>
      </w:r>
      <w:r>
        <w:rPr>
          <w:b/>
        </w:rPr>
        <w:t>actual</w:t>
      </w:r>
      <w:r>
        <w:t xml:space="preserve"> (per-head monthly amounts, copy-last-month), </w:t>
      </w:r>
      <w:r>
        <w:rPr>
          <w:b/>
        </w:rPr>
        <w:t>sbus</w:t>
      </w:r>
      <w:r>
        <w:t xml:space="preserve"> (office SBU list + idle basis), </w:t>
      </w:r>
      <w:r>
        <w:rPr>
          <w:b/>
        </w:rPr>
        <w:t>pct</w:t>
      </w:r>
      <w:r>
        <w:t xml:space="preserve"> (per-office overhead/contingency %). </w:t>
      </w:r>
      <w:r>
        <w:rPr>
          <w:b/>
        </w:rPr>
        <w:t>`/cost-run`</w:t>
      </w:r>
      <w:r>
        <w:t xml:space="preserve"> — per office+month: preview, calculate/commit, freeze, reopen. </w:t>
      </w:r>
      <w:r>
        <w:rPr>
          <w:b/>
        </w:rPr>
        <w:t>`/sbu-pl`</w:t>
      </w:r>
      <w:r>
        <w:t xml:space="preserve"> — reads the stored allocations. </w:t>
      </w:r>
      <w:r>
        <w:rPr>
          <w:b/>
        </w:rPr>
        <w:t>Expense-head master</w:t>
      </w:r>
      <w:r>
        <w:t xml:space="preserve"> — CRUD (rename/re-basis/retire).</w:t>
      </w:r>
    </w:p>
    <w:p>
      <w:pPr>
        <w:pStyle w:val="Heading2"/>
      </w:pPr>
      <w:r>
        <w:t>C. Field &amp;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TC ID</w:t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Expected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TC-OVH-form-001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Expense amount ≥ 0; blank ≠ zero (blank omits/deletes the head row).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TC-OVH-form-002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Overhead/contingency % empty → NULL → falls back to global/default.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TC-OVH-form-003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idle_basis</w:t>
            </w:r>
            <w:r>
              <w:rPr>
                <w:sz w:val="17"/>
              </w:rPr>
              <w:t xml:space="preserve"> ∈ IDLE_BASES; SBU codes intersected with valid lookup.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TC-OVH-form-004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Person split accepted only for valid office SBUs; meaningful only at 100% (deviations scaled + warned).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TC-OVH-form-005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Salary is </w:t>
            </w:r>
            <w:r>
              <w:rPr>
                <w:b/>
                <w:sz w:val="17"/>
              </w:rPr>
              <w:t>forbidden</w:t>
            </w:r>
            <w:r>
              <w:rPr>
                <w:sz w:val="17"/>
              </w:rPr>
              <w:t xml:space="preserve"> as an expense head (double-count guard).</w:t>
            </w:r>
          </w:p>
        </w:tc>
      </w:tr>
    </w:tbl>
    <w:p>
      <w:pPr>
        <w:spacing w:after="40"/>
      </w:pPr>
    </w:p>
    <w:p>
      <w:pPr>
        <w:pStyle w:val="Heading2"/>
      </w:pPr>
      <w:r>
        <w:t>D. Functions &amp; logic</w:t>
      </w:r>
    </w:p>
    <w:p>
      <w:pPr>
        <w:pStyle w:val="ListBullet"/>
      </w:pPr>
      <w:r>
        <w:rPr>
          <w:b/>
        </w:rPr>
        <w:t>Allocation engine</w:t>
      </w:r>
      <w:r>
        <w:t xml:space="preserve"> (</w:t>
      </w:r>
      <w:r>
        <w:rPr>
          <w:rFonts w:ascii="Consolas" w:hAnsi="Consolas"/>
          <w:color w:val="0B3A66"/>
          <w:sz w:val="18"/>
        </w:rPr>
        <w:t>costing_run</w:t>
      </w:r>
      <w:r>
        <w:t>): worked days → job's SBU (DAYS_WORKED); idle days</w:t>
      </w:r>
    </w:p>
    <w:p>
      <w:r>
        <w:t xml:space="preserve">  spread (own-mix/office-mix/split/equal); non-production salary by person split; office heads   by each head's basis; subcon direct. Total allocated == total spent (remainder on largest,   </w:t>
      </w:r>
      <w:r>
        <w:rPr>
          <w:rFonts w:ascii="Consolas" w:hAnsi="Consolas"/>
          <w:color w:val="0B3A66"/>
          <w:sz w:val="18"/>
        </w:rPr>
        <w:t>costing_spread</w:t>
      </w:r>
      <w:r>
        <w:t xml:space="preserve">). </w:t>
      </w:r>
      <w:r>
        <w:rPr>
          <w:b/>
        </w:rPr>
        <w:t>TC-OVH-fn-001.</w:t>
      </w:r>
    </w:p>
    <w:p>
      <w:pPr>
        <w:pStyle w:val="ListBullet"/>
      </w:pPr>
      <w:r>
        <w:rPr>
          <w:b/>
        </w:rPr>
        <w:t>Two models</w:t>
      </w:r>
      <w:r>
        <w:t xml:space="preserve"> — legacy </w:t>
      </w:r>
      <w:r>
        <w:rPr>
          <w:rFonts w:ascii="Consolas" w:hAnsi="Consolas"/>
          <w:color w:val="0B3A66"/>
          <w:sz w:val="18"/>
        </w:rPr>
        <w:t>boss_profit</w:t>
      </w:r>
      <w:r>
        <w:t xml:space="preserve"> uses overhead% baked into labour + contingency%; the</w:t>
      </w:r>
    </w:p>
    <w:p>
      <w:r>
        <w:t xml:space="preserve">  real office heads only affect SBU-level P&amp;L via the run. </w:t>
      </w:r>
      <w:r>
        <w:rPr>
          <w:b/>
        </w:rPr>
        <w:t>A contract's margin and the SBU   P&amp;L can disagree, and entered office overheads never reduce contract-level profit</w:t>
      </w:r>
      <w:r>
        <w:t xml:space="preserve">   (GAP-OVH-001). </w:t>
      </w:r>
      <w:r>
        <w:rPr>
          <w:b/>
        </w:rPr>
        <w:t>TC-OVH-fn-002.</w:t>
      </w:r>
    </w:p>
    <w:p>
      <w:pPr>
        <w:pStyle w:val="ListBullet"/>
      </w:pPr>
      <w:r>
        <w:rPr>
          <w:b/>
        </w:rPr>
        <w:t>Freeze</w:t>
      </w:r>
      <w:r>
        <w:t xml:space="preserve"> (</w:t>
      </w:r>
      <w:r>
        <w:rPr>
          <w:rFonts w:ascii="Consolas" w:hAnsi="Consolas"/>
          <w:color w:val="0B3A66"/>
          <w:sz w:val="18"/>
        </w:rPr>
        <w:t>cost_month_frozen</w:t>
      </w:r>
      <w:r>
        <w:t>): a frozen office-month blocks expense/split edits; reopen</w:t>
      </w:r>
    </w:p>
    <w:p>
      <w:r>
        <w:t xml:space="preserve">  required. But </w:t>
      </w:r>
      <w:r>
        <w:rPr>
          <w:b/>
        </w:rPr>
        <w:t>freeze is per office-month only</w:t>
      </w:r>
      <w:r>
        <w:t xml:space="preserve"> — upstream jobs/salaries can change,   diverging the frozen snapshot with no drift detection (GAP-OVH-003). </w:t>
      </w:r>
      <w:r>
        <w:rPr>
          <w:b/>
        </w:rPr>
        <w:t>TC-OVH-fn-003.</w:t>
      </w:r>
    </w:p>
    <w:p>
      <w:pPr>
        <w:pStyle w:val="ListBullet"/>
      </w:pPr>
      <w:r>
        <w:rPr>
          <w:b/>
        </w:rPr>
        <w:t>Copy-forward</w:t>
      </w:r>
      <w:r>
        <w:t xml:space="preserve"> can silently double-count if run after partial manual entry (GAP).</w:t>
      </w:r>
    </w:p>
    <w:p>
      <w:r>
        <w:t xml:space="preserve">  </w:t>
      </w:r>
      <w:r>
        <w:rPr>
          <w:b/>
        </w:rPr>
        <w:t>TC-OVH-fn-004.</w:t>
      </w:r>
    </w:p>
    <w:p>
      <w:pPr>
        <w:pStyle w:val="Heading2"/>
      </w:pPr>
      <w:r>
        <w:t>E. Status &amp;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From → To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Trigger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Guard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cost run OPEN → FROZEN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freeze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prior calculate required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FROZEN → OPEN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reopen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before editing frozen figures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office-month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freeze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blocks expense/split edits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TC-OVH-life-001:</w:t>
      </w:r>
      <w:r>
        <w:t xml:space="preserve"> a frozen month blocks office-expense and person-split edits.</w:t>
      </w:r>
    </w:p>
    <w:p>
      <w:pPr>
        <w:pStyle w:val="ListBullet"/>
      </w:pPr>
      <w:r>
        <w:rPr>
          <w:b/>
        </w:rPr>
        <w:t>TC-OVH-life-002:</w:t>
      </w:r>
      <w:r>
        <w:t xml:space="preserve"> reopen returns to OPEN and re-enables edits.</w:t>
      </w:r>
    </w:p>
    <w:p>
      <w:pPr>
        <w:pStyle w:val="Heading2"/>
      </w:pPr>
      <w:r>
        <w:t>F. Roles, permissions &amp; data scope</w:t>
      </w:r>
    </w:p>
    <w:p>
      <w:r>
        <w:t xml:space="preserve">View overheads/cost-run: </w:t>
      </w:r>
      <w:r>
        <w:rPr>
          <w:rFonts w:ascii="Consolas" w:hAnsi="Consolas"/>
          <w:color w:val="0B3A66"/>
          <w:sz w:val="18"/>
        </w:rPr>
        <w:t>mod.overheads.view</w:t>
      </w:r>
      <w:r>
        <w:t xml:space="preserve"> (+ salary-visible/admin for the run). Edit office finance: admin/</w:t>
      </w:r>
      <w:r>
        <w:rPr>
          <w:rFonts w:ascii="Consolas" w:hAnsi="Consolas"/>
          <w:color w:val="0B3A66"/>
          <w:sz w:val="18"/>
        </w:rPr>
        <w:t>settings.manage</w:t>
      </w:r>
      <w:r>
        <w:t>. Run/freeze: master/</w:t>
      </w:r>
      <w:r>
        <w:rPr>
          <w:rFonts w:ascii="Consolas" w:hAnsi="Consolas"/>
          <w:color w:val="0B3A66"/>
          <w:sz w:val="18"/>
        </w:rPr>
        <w:t>settings.manage</w:t>
      </w:r>
      <w:r>
        <w:t>/</w:t>
      </w:r>
      <w:r>
        <w:rPr>
          <w:rFonts w:ascii="Consolas" w:hAnsi="Consolas"/>
          <w:color w:val="0B3A66"/>
          <w:sz w:val="18"/>
        </w:rPr>
        <w:t>users.manage.global</w:t>
      </w:r>
      <w:r>
        <w:t xml:space="preserve">. Global %: settings.manage/master. Data scope: non-global users restricted to </w:t>
      </w:r>
      <w:r>
        <w:rPr>
          <w:rFonts w:ascii="Consolas" w:hAnsi="Consolas"/>
          <w:color w:val="0B3A66"/>
          <w:sz w:val="18"/>
        </w:rPr>
        <w:t>home_office_id</w:t>
      </w:r>
      <w:r>
        <w:t>; global grant = master/</w:t>
      </w:r>
      <w:r>
        <w:rPr>
          <w:rFonts w:ascii="Consolas" w:hAnsi="Consolas"/>
          <w:color w:val="0B3A66"/>
          <w:sz w:val="18"/>
        </w:rPr>
        <w:t>users.manage.global</w:t>
      </w:r>
      <w:r>
        <w:t>/</w:t>
      </w:r>
      <w:r>
        <w:rPr>
          <w:rFonts w:ascii="Consolas" w:hAnsi="Consolas"/>
          <w:color w:val="0B3A66"/>
          <w:sz w:val="18"/>
        </w:rPr>
        <w:t>settings.manage</w:t>
      </w:r>
      <w:r>
        <w:t>/</w:t>
      </w:r>
      <w:r>
        <w:rPr>
          <w:rFonts w:ascii="Consolas" w:hAnsi="Consolas"/>
          <w:color w:val="0B3A66"/>
          <w:sz w:val="18"/>
        </w:rPr>
        <w:t>data.profitability</w:t>
      </w:r>
      <w:r>
        <w:t>.</w:t>
      </w:r>
    </w:p>
    <w:p>
      <w:pPr>
        <w:pStyle w:val="ListBullet"/>
      </w:pPr>
      <w:r>
        <w:t>TC-OVH-perm-001 (run/freeze without authority) → refused.</w:t>
      </w:r>
    </w:p>
    <w:p>
      <w:pPr>
        <w:pStyle w:val="ListBullet"/>
      </w:pPr>
      <w:r>
        <w:t>TC-OVH-scope-001: a branch user edits only its own office.</w:t>
      </w:r>
    </w:p>
    <w:p>
      <w:pPr>
        <w:pStyle w:val="Heading2"/>
      </w:pPr>
      <w:r>
        <w:t>G. Settings</w:t>
      </w:r>
    </w:p>
    <w:p>
      <w:r>
        <w:t xml:space="preserve">Global </w:t>
      </w:r>
      <w:r>
        <w:rPr>
          <w:rFonts w:ascii="Consolas" w:hAnsi="Consolas"/>
          <w:color w:val="0B3A66"/>
          <w:sz w:val="18"/>
        </w:rPr>
        <w:t>overhead_pct</w:t>
      </w:r>
      <w:r>
        <w:t>/</w:t>
      </w:r>
      <w:r>
        <w:rPr>
          <w:rFonts w:ascii="Consolas" w:hAnsi="Consolas"/>
          <w:color w:val="0B3A66"/>
          <w:sz w:val="18"/>
        </w:rPr>
        <w:t>contingency_pct</w:t>
      </w:r>
      <w:r>
        <w:t xml:space="preserve"> (else </w:t>
      </w:r>
      <w:r>
        <w:rPr>
          <w:rFonts w:ascii="Consolas" w:hAnsi="Consolas"/>
          <w:color w:val="0B3A66"/>
          <w:sz w:val="18"/>
        </w:rPr>
        <w:t>OVERHEAD_PCT</w:t>
      </w:r>
      <w:r>
        <w:t xml:space="preserve"> 8), per-office overrides, idle basis, expense-head master (rename/re-basis/retire; retired heads shown for months holding money). </w:t>
      </w:r>
      <w:r>
        <w:rPr>
          <w:b/>
        </w:rPr>
        <w:t>TC-OVH-set-001:</w:t>
      </w:r>
      <w:r>
        <w:t xml:space="preserve"> a per-office % overrides the global; </w:t>
      </w:r>
      <w:r>
        <w:rPr>
          <w:b/>
        </w:rPr>
        <w:t>TC-OVH-set-002:</w:t>
      </w:r>
      <w:r>
        <w:t xml:space="preserve"> a retired head still shows for months with amounts.</w:t>
      </w:r>
    </w:p>
    <w:p>
      <w:pPr>
        <w:pStyle w:val="Heading2"/>
      </w:pPr>
      <w:r>
        <w:t>H. Cross-module integration</w:t>
      </w:r>
    </w:p>
    <w:p>
      <w:r>
        <w:rPr>
          <w:b/>
        </w:rPr>
        <w:t>Profitability</w:t>
      </w:r>
      <w:r>
        <w:t xml:space="preserve"> (legacy % → </w:t>
      </w:r>
      <w:r>
        <w:rPr>
          <w:rFonts w:ascii="Consolas" w:hAnsi="Consolas"/>
          <w:color w:val="0B3A66"/>
          <w:sz w:val="18"/>
        </w:rPr>
        <w:t>boss_profit</w:t>
      </w:r>
      <w:r>
        <w:t xml:space="preserve">; real cost → </w:t>
      </w:r>
      <w:r>
        <w:rPr>
          <w:rFonts w:ascii="Consolas" w:hAnsi="Consolas"/>
          <w:color w:val="0B3A66"/>
          <w:sz w:val="18"/>
        </w:rPr>
        <w:t>sbu-pl</w:t>
      </w:r>
      <w:r>
        <w:t xml:space="preserve"> — MOD-32), </w:t>
      </w:r>
      <w:r>
        <w:rPr>
          <w:b/>
        </w:rPr>
        <w:t>Jobs/Vouchers</w:t>
      </w:r>
      <w:r>
        <w:t xml:space="preserve"> (worked days + expenses feed the run), </w:t>
      </w:r>
      <w:r>
        <w:rPr>
          <w:b/>
        </w:rPr>
        <w:t>Ledger/Books</w:t>
      </w:r>
      <w:r>
        <w:t xml:space="preserve"> — </w:t>
      </w:r>
      <w:r>
        <w:rPr>
          <w:b/>
        </w:rPr>
        <w:t>NO integration</w:t>
      </w:r>
      <w:r>
        <w:t xml:space="preserve"> (office overheads are a standalone analytical layer; nothing posts to the GL — GAP-OVH-002). Audit: </w:t>
      </w:r>
      <w:r>
        <w:rPr>
          <w:rFonts w:ascii="Consolas" w:hAnsi="Consolas"/>
          <w:color w:val="0B3A66"/>
          <w:sz w:val="18"/>
        </w:rPr>
        <w:t>idems_log('office', COST_RUN/COST_FREEZE/COST_REOPEN)</w:t>
      </w:r>
      <w:r>
        <w:t>.</w:t>
      </w:r>
    </w:p>
    <w:p>
      <w:pPr>
        <w:pStyle w:val="Heading2"/>
      </w:pPr>
      <w:r>
        <w:t>I. Data integrity &amp; audit</w:t>
      </w:r>
    </w:p>
    <w:p>
      <w:r>
        <w:t xml:space="preserve">Allocation total == spent (no rupee lost). Cost run/freeze/reopen logged. </w:t>
      </w:r>
      <w:r>
        <w:rPr>
          <w:b/>
        </w:rPr>
        <w:t>Gaps:</w:t>
      </w:r>
      <w:r>
        <w:t xml:space="preserve"> the two overhead models can disagree; no GL reconciliation; freeze snapshot can drift from live source; split integrity advisory (scaled not rejected); HEADCOUNT weighting convoluted; seeded OVERHEAD + CONTINGENCY heads overlap the legacy contingency% (double-count risk). </w:t>
      </w:r>
      <w:r>
        <w:rPr>
          <w:b/>
        </w:rPr>
        <w:t>TC-OVH-int-010:</w:t>
      </w:r>
      <w:r>
        <w:t xml:space="preserve"> the allocation sums to the month's spend; </w:t>
      </w:r>
      <w:r>
        <w:rPr>
          <w:b/>
        </w:rPr>
        <w:t>TC-OVH-int-011:</w:t>
      </w:r>
      <w:r>
        <w:t xml:space="preserve"> a contract's overhead is not double-counted between the % model and a CONTINGENCY head.</w:t>
      </w:r>
    </w:p>
    <w:p>
      <w:pPr>
        <w:pStyle w:val="Heading2"/>
      </w:pPr>
      <w:r>
        <w:t>J. Reports &amp; outputs</w:t>
      </w:r>
    </w:p>
    <w:p>
      <w:r>
        <w:t xml:space="preserve">The office-finance grid, the cost-run allocation, the SBU P&amp;L. No document of its own. </w:t>
      </w:r>
      <w:r>
        <w:rPr>
          <w:b/>
        </w:rPr>
        <w:t>TC-OVH-out-001:</w:t>
      </w:r>
      <w:r>
        <w:t xml:space="preserve"> the SBU P&amp;L cost equals the frozen allocation for the month.</w:t>
      </w:r>
    </w:p>
    <w:p>
      <w:pPr>
        <w:pStyle w:val="Heading2"/>
      </w:pPr>
      <w:r>
        <w:t>K. Negative, edge &amp; resilience</w:t>
      </w:r>
    </w:p>
    <w:p>
      <w:r>
        <w:t>A contract margin disagreeing with SBU P&amp;L (two models); a copy-forward after partial entry (double-count); a frozen month with changed upstream jobs (drift); a split ≠ 100% (scaled); a salary entered as a head (forbidden); a retired head with historical amounts (still shown).</w:t>
      </w:r>
    </w:p>
    <w:p>
      <w:pPr>
        <w:pStyle w:val="Heading2"/>
      </w:pPr>
      <w:r>
        <w:t>L. TPIA operational suitability</w:t>
      </w:r>
    </w:p>
    <w:p>
      <w:r>
        <w:t>Models real office finance — monthly overhead heads allocated to SBUs on a chosen basis, with a freeze for period close. The right shape, but the coexistence of the legacy % model and the real-cost model (unreconciled, no GL link) is the defect to resolve so profit is stated once.</w:t>
      </w:r>
    </w:p>
    <w:p>
      <w:pPr>
        <w:pStyle w:val="Heading2"/>
      </w:pPr>
      <w:r>
        <w:t>M. Management usefulness</w:t>
      </w:r>
    </w:p>
    <w:p>
      <w:r>
        <w:t>Per-SBU real cost, office-cost basis transparency (</w:t>
      </w:r>
      <w:r>
        <w:rPr>
          <w:rFonts w:ascii="Consolas" w:hAnsi="Consolas"/>
          <w:color w:val="0B3A66"/>
          <w:sz w:val="18"/>
        </w:rPr>
        <w:t>office_cost_basis_text</w:t>
      </w:r>
      <w:r>
        <w:t>), period freeze. Confirm the two models agree (or retire one).</w:t>
      </w:r>
    </w:p>
    <w:p>
      <w:pPr>
        <w:pStyle w:val="Heading2"/>
      </w:pPr>
      <w:r>
        <w:t>N. UI/UX</w:t>
      </w:r>
    </w:p>
    <w:p>
      <w:r>
        <w:t xml:space="preserve">Grid entry with copy-last-month, cost-run freeze, basis picker. Terminology via </w:t>
      </w:r>
      <w:r>
        <w:rPr>
          <w:rFonts w:ascii="Consolas" w:hAnsi="Consolas"/>
          <w:color w:val="0B3A66"/>
          <w:sz w:val="18"/>
        </w:rPr>
        <w:t>T*()</w:t>
      </w:r>
      <w:r>
        <w:t>.</w:t>
      </w:r>
    </w:p>
    <w:p>
      <w:pPr>
        <w:pStyle w:val="Heading2"/>
      </w:pPr>
      <w:r>
        <w:t>O. Security</w:t>
      </w:r>
    </w:p>
    <w:p>
      <w:r>
        <w:t>Edit/run/freeze gated; office-scoped; frozen months immutable (but drift undetected). No GL write.</w:t>
      </w:r>
    </w:p>
    <w:p>
      <w:pPr>
        <w:pStyle w:val="Heading2"/>
      </w:pPr>
      <w:r>
        <w:t>P. Coverage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#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Dim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Covered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1–4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§B–D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5 Statuses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§E freeze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 Validation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§C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7 Negative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§K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 Roles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§F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9 Scope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§F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10 Settings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11 Workflow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§D run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12 Integration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§H no GL / two models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13 Data integrity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§I double-count/drift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14 Audit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15 Outputs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§J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16 TPIA suitability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17 Mgmt usefulness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§M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18 UI/UX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19 Gap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§Q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20 Security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21 Import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22 Notifications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23 Offline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24 AI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25 Licensing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Money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26 Terminology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27 Time/FY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month/freeze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28 Performance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29 Backup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 here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r>
        <w:rPr>
          <w:b/>
        </w:rPr>
        <w:t>Verdict:</w:t>
      </w:r>
      <w:r>
        <w:t xml:space="preserve"> Complete-with-defects.</w:t>
      </w:r>
    </w:p>
    <w:p>
      <w:pPr>
        <w:pStyle w:val="Heading2"/>
      </w:pPr>
      <w:r>
        <w:t>Q. Defects &amp; gaps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ID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Sev·Pri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Recommendation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GAP-OVH-001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 — Major)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Two divergent overhead models coexist</w:t>
            </w:r>
            <w:r>
              <w:rPr>
                <w:sz w:val="17"/>
              </w:rPr>
              <w:t xml:space="preserve"> — per-contract profit uses a flat overhead% + contingency%; the real office-expense heads only affect SBU-level P&amp;L. A contract's margin and the SBU P&amp;L can disagree, and entered office overheads never reduce contract-level profit. Reconcile or retire one; watch the CONTINGENCY-head vs contingency% double-count.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GAP-OVH-002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No ledger/books link</w:t>
            </w:r>
            <w:r>
              <w:rPr>
                <w:sz w:val="17"/>
              </w:rPr>
              <w:t xml:space="preserve"> — office overheads live in a bespoke table with no bridge to books/tally; reconciliation with the GL is manual. Add a bridge or reconciliation check.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GAP-OVH-003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Freeze is per office-month only</w:t>
            </w:r>
            <w:r>
              <w:rPr>
                <w:sz w:val="17"/>
              </w:rPr>
              <w:t xml:space="preserve"> — upstream jobs/salaries can change after a freeze, diverging the frozen </w:t>
            </w:r>
            <w:r>
              <w:rPr>
                <w:rFonts w:ascii="Consolas" w:hAnsi="Consolas"/>
                <w:color w:val="0B3A66"/>
                <w:sz w:val="17"/>
              </w:rPr>
              <w:t>cost_allocations</w:t>
            </w:r>
            <w:r>
              <w:rPr>
                <w:sz w:val="17"/>
              </w:rPr>
              <w:t xml:space="preserve"> snapshot from live source with no drift detection. Add drift detection or lock upstream.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GAP-OVH-004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Split integrity is advisory (scaled, not rejected); copy-forward can double-count after partial entry; HEADCOUNT weighting is convoluted.</w:t>
            </w:r>
          </w:p>
        </w:tc>
      </w:tr>
    </w:tbl>
    <w:p>
      <w:pPr>
        <w:spacing w:after="40"/>
      </w:pPr>
    </w:p>
    <w:p>
      <w:pPr>
        <w:pStyle w:val="Heading2"/>
      </w:pPr>
      <w:r>
        <w:t>R. Traceability</w:t>
      </w:r>
    </w:p>
    <w:p>
      <w:r>
        <w:t xml:space="preserve">RTM slice: </w:t>
      </w:r>
      <w:r>
        <w:rPr>
          <w:rFonts w:ascii="Consolas" w:hAnsi="Consolas"/>
          <w:color w:val="0B3A66"/>
          <w:sz w:val="18"/>
        </w:rPr>
        <w:t>/office-finance</w:t>
      </w:r>
      <w:r>
        <w:t xml:space="preserve">, </w:t>
      </w:r>
      <w:r>
        <w:rPr>
          <w:rFonts w:ascii="Consolas" w:hAnsi="Consolas"/>
          <w:color w:val="0B3A66"/>
          <w:sz w:val="18"/>
        </w:rPr>
        <w:t>/cost-run</w:t>
      </w:r>
      <w:r>
        <w:t xml:space="preserve">, </w:t>
      </w:r>
      <w:r>
        <w:rPr>
          <w:rFonts w:ascii="Consolas" w:hAnsi="Consolas"/>
          <w:color w:val="0B3A66"/>
          <w:sz w:val="18"/>
        </w:rPr>
        <w:t>/sbu-pl</w:t>
      </w:r>
      <w:r>
        <w:t xml:space="preserve"> × dims 1–29 → TC-OVH-* → results → DEF/GAP. </w:t>
      </w:r>
      <w:r>
        <w:rPr>
          <w:b/>
        </w:rPr>
        <w:t>Verdict: Complete-with-defects</w:t>
      </w:r>
      <w:r>
        <w:t xml:space="preserve"> — model reconciliation, a GL link, and freeze-drift detection are the exit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5FA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6324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5FA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6324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