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Dashboards &amp; Analytics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MOD-REPORTS.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lib/ops.php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ops_pending_tasks</w:t>
      </w:r>
      <w:r>
        <w:rPr>
          <w:color w:val="445566"/>
          <w:sz w:val="20"/>
        </w:rPr>
        <w:t xml:space="preserve">/ </w:t>
      </w:r>
      <w:r>
        <w:rPr>
          <w:rFonts w:ascii="Consolas" w:hAnsi="Consolas"/>
          <w:color w:val="445566"/>
          <w:sz w:val="20"/>
        </w:rPr>
        <w:t>ops_render_pending_tasks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ops_reports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lib/areas.php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ops_area_def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ops_area_home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lib/tosrm.php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ops_operations_home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lib/tapi_dash.php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ops_tapi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tapi_dashboards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tapi_formula_valid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lib/mis.php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ops_mis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mis_utilisation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views/dashboard.php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Dashboards &amp; Analytics (MOD-REPORTS) · Area Insights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every role (each sees their scope) — P-INSP, P-COORD, P-BM, P-SBU, P-ED/P-MD, P-MASTER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Medium-High</w:t>
            </w:r>
            <w:r>
              <w:rPr>
                <w:sz w:val="17"/>
              </w:rPr>
              <w:t xml:space="preserve"> — the decision surface; the W6 pending-tasks list is on every dashboard; a scope leak or a wrong KPI misleads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tile gating, W6 scope, KPI-formula safety)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 W6 pending-tasks-on-every-dashboard verified on all three surfaces.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The dashboard layer is role-adaptive and permission-gated end to end. The </w:t>
      </w:r>
      <w:r>
        <w:rPr>
          <w:b/>
        </w:rPr>
        <w:t>home</w:t>
      </w:r>
      <w:r>
        <w:t xml:space="preserve"> (</w:t>
      </w:r>
      <w:r>
        <w:rPr>
          <w:rFonts w:ascii="Consolas" w:hAnsi="Consolas"/>
          <w:color w:val="0B3A66"/>
          <w:sz w:val="18"/>
        </w:rPr>
        <w:t>views/dashboard.php</w:t>
      </w:r>
      <w:r>
        <w:t xml:space="preserve">) shows KPI tiles by role (inspector quick-cards; non-inspector open calls/jobs/unbilled/outstanding; a compliance "waiting on somebody" band; an executive strategic board for </w:t>
      </w:r>
      <w:r>
        <w:rPr>
          <w:rFonts w:ascii="Consolas" w:hAnsi="Consolas"/>
          <w:color w:val="0B3A66"/>
          <w:sz w:val="18"/>
        </w:rPr>
        <w:t>$isExec &amp;&amp; data.credit</w:t>
      </w:r>
      <w:r>
        <w:t xml:space="preserve">), each tile </w:t>
      </w:r>
      <w:r>
        <w:rPr>
          <w:b/>
        </w:rPr>
        <w:t>self-gated</w:t>
      </w:r>
      <w:r>
        <w:t xml:space="preserve"> so it never links to an unlicensed screen. </w:t>
      </w:r>
      <w:r>
        <w:rPr>
          <w:b/>
        </w:rPr>
        <w:t>Area homes</w:t>
      </w:r>
      <w:r>
        <w:t xml:space="preserve"> (</w:t>
      </w:r>
      <w:r>
        <w:rPr>
          <w:rFonts w:ascii="Consolas" w:hAnsi="Consolas"/>
          <w:color w:val="0B3A66"/>
          <w:sz w:val="18"/>
        </w:rPr>
        <w:t>ops_area_def</w:t>
      </w:r>
      <w:r>
        <w:t xml:space="preserve">: sales/quality/reporting/money/insights/ directory/admin) render permission-filtered tiles with live count badges (guarded closures). </w:t>
      </w:r>
      <w:r>
        <w:rPr>
          <w:b/>
        </w:rPr>
        <w:t>Operations home</w:t>
      </w:r>
      <w:r>
        <w:t xml:space="preserve"> (TOSRM) is office-scoped. </w:t>
      </w:r>
      <w:r>
        <w:rPr>
          <w:b/>
        </w:rPr>
        <w:t>Analytics</w:t>
      </w:r>
      <w:r>
        <w:t xml:space="preserve"> (</w:t>
      </w:r>
      <w:r>
        <w:rPr>
          <w:rFonts w:ascii="Consolas" w:hAnsi="Consolas"/>
          <w:color w:val="0B3A66"/>
          <w:sz w:val="18"/>
        </w:rPr>
        <w:t>ops_tapi</w:t>
      </w:r>
      <w:r>
        <w:t xml:space="preserve">) offers six role dashboards (executive/operations/quality/service/vendor/client) with user-definable KPIs via a formula engine. </w:t>
      </w:r>
      <w:r>
        <w:rPr>
          <w:b/>
        </w:rPr>
        <w:t>MIS</w:t>
      </w:r>
      <w:r>
        <w:t xml:space="preserve"> is the management P&amp;L dashboard.</w:t>
      </w:r>
    </w:p>
    <w:p>
      <w:r>
        <w:t xml:space="preserve">The </w:t>
      </w:r>
      <w:r>
        <w:rPr>
          <w:b/>
        </w:rPr>
        <w:t>W6 pending-tasks list</w:t>
      </w:r>
      <w:r>
        <w:t xml:space="preserve"> (</w:t>
      </w:r>
      <w:r>
        <w:rPr>
          <w:rFonts w:ascii="Consolas" w:hAnsi="Consolas"/>
          <w:color w:val="0B3A66"/>
          <w:sz w:val="18"/>
        </w:rPr>
        <w:t>ops_pending_tasks</w:t>
      </w:r>
      <w:r>
        <w:t xml:space="preserve">) is embedded on </w:t>
      </w:r>
      <w:r>
        <w:rPr>
          <w:b/>
        </w:rPr>
        <w:t>all three surfaces</w:t>
      </w:r>
      <w:r>
        <w:t xml:space="preserve"> (role home, operations home, reports) — to vet / to approve / to fix / to issue / to release — so </w:t>
      </w:r>
      <w:r>
        <w:rPr>
          <w:b/>
        </w:rPr>
        <w:t>every</w:t>
      </w:r>
      <w:r>
        <w:t xml:space="preserve"> dashboard (ED, SBU head, branch manager, inspector) shows the same actionable queue, scoped to the user.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</w:t>
      </w:r>
      <w:r>
        <w:t xml:space="preserve">, </w:t>
      </w:r>
      <w:r>
        <w:rPr>
          <w:rFonts w:ascii="Consolas" w:hAnsi="Consolas"/>
          <w:color w:val="0B3A66"/>
          <w:sz w:val="18"/>
        </w:rPr>
        <w:t>/operations</w:t>
      </w:r>
      <w:r>
        <w:t xml:space="preserve">, </w:t>
      </w:r>
      <w:r>
        <w:rPr>
          <w:rFonts w:ascii="Consolas" w:hAnsi="Consolas"/>
          <w:color w:val="0B3A66"/>
          <w:sz w:val="18"/>
        </w:rPr>
        <w:t>/sales|quality|reporting|money|insights|directory|admin</w:t>
      </w:r>
      <w:r>
        <w:t xml:space="preserve">, </w:t>
      </w:r>
      <w:r>
        <w:rPr>
          <w:rFonts w:ascii="Consolas" w:hAnsi="Consolas"/>
          <w:color w:val="0B3A66"/>
          <w:sz w:val="18"/>
        </w:rPr>
        <w:t>/reports</w:t>
      </w:r>
      <w:r>
        <w:t xml:space="preserve">, </w:t>
      </w:r>
      <w:r>
        <w:rPr>
          <w:rFonts w:ascii="Consolas" w:hAnsi="Consolas"/>
          <w:color w:val="0B3A66"/>
          <w:sz w:val="18"/>
        </w:rPr>
        <w:t>/analytics*</w:t>
      </w:r>
      <w:r>
        <w:t xml:space="preserve">, </w:t>
      </w:r>
      <w:r>
        <w:rPr>
          <w:rFonts w:ascii="Consolas" w:hAnsi="Consolas"/>
          <w:color w:val="0B3A66"/>
          <w:sz w:val="18"/>
        </w:rPr>
        <w:t>/mis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`/` home</w:t>
      </w:r>
      <w:r>
        <w:t xml:space="preserve"> — role-adaptive KPI tiles + the W6 pending-tasks panel + compliance band + charts + quick actions + (exec) strategic board. </w:t>
      </w:r>
      <w:r>
        <w:rPr>
          <w:b/>
        </w:rPr>
        <w:t>Area homes</w:t>
      </w:r>
      <w:r>
        <w:t xml:space="preserve"> — tiles by area, count badges. </w:t>
      </w:r>
      <w:r>
        <w:rPr>
          <w:b/>
        </w:rPr>
        <w:t>`/operations`</w:t>
      </w:r>
      <w:r>
        <w:t xml:space="preserve"> — TOSRM office-scoped metrics + disruptions + cross-office. </w:t>
      </w:r>
      <w:r>
        <w:rPr>
          <w:b/>
        </w:rPr>
        <w:t>`/reports`</w:t>
      </w:r>
      <w:r>
        <w:t xml:space="preserve"> — role dashboards (operations/financial/utilisation/people). </w:t>
      </w:r>
      <w:r>
        <w:rPr>
          <w:b/>
        </w:rPr>
        <w:t>`/analytics`</w:t>
      </w:r>
      <w:r>
        <w:t xml:space="preserve"> — TAPI KPI hub + CSV export. </w:t>
      </w:r>
      <w:r>
        <w:rPr>
          <w:b/>
        </w:rPr>
        <w:t>`/mis`</w:t>
      </w:r>
      <w:r>
        <w:t xml:space="preserve"> — management dashboard.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TC-DASH-form-001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Every tile's show/gate is an explicit </w:t>
            </w:r>
            <w:r>
              <w:rPr>
                <w:rFonts w:ascii="Consolas" w:hAnsi="Consolas"/>
                <w:color w:val="0B3A66"/>
                <w:sz w:val="17"/>
              </w:rPr>
              <w:t>can()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0B3A66"/>
                <w:sz w:val="17"/>
              </w:rPr>
              <w:t>*_can_view()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0B3A66"/>
                <w:sz w:val="17"/>
              </w:rPr>
              <w:t>licence_enabled()</w:t>
            </w:r>
            <w:r>
              <w:rPr>
                <w:sz w:val="17"/>
              </w:rPr>
              <w:t xml:space="preserve"> predicate; an unlicensed tile does not render.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TC-DASH-form-002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Count badges are guarded closures returning null on error (never fatal).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TC-DASH-form-003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 user-defined KPI formula passes </w:t>
            </w:r>
            <w:r>
              <w:rPr>
                <w:rFonts w:ascii="Consolas" w:hAnsi="Consolas"/>
                <w:color w:val="0B3A66"/>
                <w:sz w:val="17"/>
              </w:rPr>
              <w:t>tapi_formula_valid</w:t>
            </w:r>
            <w:r>
              <w:rPr>
                <w:sz w:val="17"/>
              </w:rPr>
              <w:t xml:space="preserve"> before use.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TC-DASH-form-004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Report filters (FY/month/office/SBU/inspector/type) apply within scope.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(W6 + gating — highest scrutiny)</w:t>
      </w:r>
    </w:p>
    <w:p>
      <w:pPr>
        <w:pStyle w:val="ListBullet"/>
      </w:pPr>
      <w:r>
        <w:rPr>
          <w:b/>
        </w:rPr>
        <w:t>W6 pending tasks</w:t>
      </w:r>
      <w:r>
        <w:t xml:space="preserve"> (</w:t>
      </w:r>
      <w:r>
        <w:rPr>
          <w:rFonts w:ascii="Consolas" w:hAnsi="Consolas"/>
          <w:color w:val="0B3A66"/>
          <w:sz w:val="18"/>
        </w:rPr>
        <w:t>ops_pending_tasks</w:t>
      </w:r>
      <w:r>
        <w:t xml:space="preserve">): scoped via </w:t>
      </w:r>
      <w:r>
        <w:rPr>
          <w:rFonts w:ascii="Consolas" w:hAnsi="Consolas"/>
          <w:color w:val="0B3A66"/>
          <w:sz w:val="18"/>
        </w:rPr>
        <w:t>scope_clause('d.office_id','d.sbu')</w:t>
      </w:r>
      <w:r>
        <w:t>;</w:t>
      </w:r>
    </w:p>
    <w:p>
      <w:r>
        <w:t xml:space="preserve">  chips = to-vet (</w:t>
      </w:r>
      <w:r>
        <w:rPr>
          <w:rFonts w:ascii="Consolas" w:hAnsi="Consolas"/>
          <w:color w:val="0B3A66"/>
          <w:sz w:val="18"/>
        </w:rPr>
        <w:t>idems_can_vet</w:t>
      </w:r>
      <w:r>
        <w:t>, VETTING) / to-approve (</w:t>
      </w:r>
      <w:r>
        <w:rPr>
          <w:rFonts w:ascii="Consolas" w:hAnsi="Consolas"/>
          <w:color w:val="0B3A66"/>
          <w:sz w:val="18"/>
        </w:rPr>
        <w:t>idems_awaiting_my_approval_clause</w:t>
      </w:r>
      <w:r>
        <w:t>)   / to-fix (REJECTED where inspector = me) / to-issue (</w:t>
      </w:r>
      <w:r>
        <w:rPr>
          <w:rFonts w:ascii="Consolas" w:hAnsi="Consolas"/>
          <w:color w:val="0B3A66"/>
          <w:sz w:val="18"/>
        </w:rPr>
        <w:t>idems.finalize</w:t>
      </w:r>
      <w:r>
        <w:t>, APPROVED not   finalized) / to-release (</w:t>
      </w:r>
      <w:r>
        <w:rPr>
          <w:rFonts w:ascii="Consolas" w:hAnsi="Consolas"/>
          <w:color w:val="0B3A66"/>
          <w:sz w:val="18"/>
        </w:rPr>
        <w:t>mod.idems.edit</w:t>
      </w:r>
      <w:r>
        <w:t xml:space="preserve">, finalized + rn_to_issue no RN). Empty → "all   caught up". On </w:t>
      </w:r>
      <w:r>
        <w:rPr>
          <w:b/>
        </w:rPr>
        <w:t>all three</w:t>
      </w:r>
      <w:r>
        <w:t xml:space="preserve"> dashboard surfaces. </w:t>
      </w:r>
      <w:r>
        <w:rPr>
          <w:b/>
        </w:rPr>
        <w:t>TC-DASH-fn-001</w:t>
      </w:r>
      <w:r>
        <w:t xml:space="preserve"> — the queue matches   </w:t>
      </w:r>
      <w:r>
        <w:rPr>
          <w:rFonts w:ascii="Consolas" w:hAnsi="Consolas"/>
          <w:color w:val="0B3A66"/>
          <w:sz w:val="18"/>
        </w:rPr>
        <w:t>idems_can_act_step</w:t>
      </w:r>
      <w:r>
        <w:t>/</w:t>
      </w:r>
      <w:r>
        <w:rPr>
          <w:rFonts w:ascii="Consolas" w:hAnsi="Consolas"/>
          <w:color w:val="0B3A66"/>
          <w:sz w:val="18"/>
        </w:rPr>
        <w:t>idems_can_vet</w:t>
      </w:r>
      <w:r>
        <w:t xml:space="preserve"> for the same user; </w:t>
      </w:r>
      <w:r>
        <w:rPr>
          <w:b/>
        </w:rPr>
        <w:t>TC-DASH-fn-002</w:t>
      </w:r>
      <w:r>
        <w:t xml:space="preserve"> — the "to-release"   chip </w:t>
      </w:r>
      <w:r>
        <w:rPr>
          <w:b/>
        </w:rPr>
        <w:t>silently returns 0 if `release_of_id` is absent</w:t>
      </w:r>
      <w:r>
        <w:t xml:space="preserve"> (GAP-DASH-001).</w:t>
      </w:r>
    </w:p>
    <w:p>
      <w:pPr>
        <w:pStyle w:val="ListBullet"/>
      </w:pPr>
      <w:r>
        <w:rPr>
          <w:b/>
        </w:rPr>
        <w:t>Tile gating</w:t>
      </w:r>
      <w:r>
        <w:t>: rail link, area tile, and route gate use the identical predicate (areas.php</w:t>
      </w:r>
    </w:p>
    <w:p>
      <w:r>
        <w:t xml:space="preserve">  design). </w:t>
      </w:r>
      <w:r>
        <w:rPr>
          <w:b/>
        </w:rPr>
        <w:t>TC-DASH-fn-003.</w:t>
      </w:r>
    </w:p>
    <w:p>
      <w:pPr>
        <w:pStyle w:val="ListBullet"/>
      </w:pPr>
      <w:r>
        <w:rPr>
          <w:b/>
        </w:rPr>
        <w:t>KPI formula engine</w:t>
      </w:r>
      <w:r>
        <w:t xml:space="preserve"> (</w:t>
      </w:r>
      <w:r>
        <w:rPr>
          <w:rFonts w:ascii="Consolas" w:hAnsi="Consolas"/>
          <w:color w:val="0B3A66"/>
          <w:sz w:val="18"/>
        </w:rPr>
        <w:t>tapi_formula_valid</w:t>
      </w:r>
      <w:r>
        <w:t>): user-editable formulas — an **injection</w:t>
      </w:r>
    </w:p>
    <w:p>
      <w:r>
        <w:t xml:space="preserve">  surface if validation is weak</w:t>
      </w:r>
      <w:r>
        <w:rPr>
          <w:b/>
        </w:rPr>
        <w:t xml:space="preserve"> (GAP-DASH-002). </w:t>
      </w:r>
      <w:r>
        <w:t>TC-DASH-fn-004.**</w:t>
      </w:r>
    </w:p>
    <w:p>
      <w:pPr>
        <w:pStyle w:val="ListBullet"/>
      </w:pPr>
      <w:r>
        <w:rPr>
          <w:b/>
        </w:rPr>
        <w:t>Scope</w:t>
      </w:r>
      <w:r>
        <w:t xml:space="preserve"> (</w:t>
      </w:r>
      <w:r>
        <w:rPr>
          <w:rFonts w:ascii="Consolas" w:hAnsi="Consolas"/>
          <w:color w:val="0B3A66"/>
          <w:sz w:val="18"/>
        </w:rPr>
        <w:t>scope_offices</w:t>
      </w:r>
      <w:r>
        <w:t>/</w:t>
      </w:r>
      <w:r>
        <w:rPr>
          <w:rFonts w:ascii="Consolas" w:hAnsi="Consolas"/>
          <w:color w:val="0B3A66"/>
          <w:sz w:val="18"/>
        </w:rPr>
        <w:t>scope_sbus</w:t>
      </w:r>
      <w:r>
        <w:t>/</w:t>
      </w:r>
      <w:r>
        <w:rPr>
          <w:rFonts w:ascii="Consolas" w:hAnsi="Consolas"/>
          <w:color w:val="0B3A66"/>
          <w:sz w:val="18"/>
        </w:rPr>
        <w:t>scope_clause</w:t>
      </w:r>
      <w:r>
        <w:t>): each role sees only its branch/SBU;</w:t>
      </w:r>
    </w:p>
    <w:p>
      <w:r>
        <w:t xml:space="preserve">  ED/SBU-head with 'ALL' see everything. </w:t>
      </w:r>
      <w:r>
        <w:rPr>
          <w:b/>
        </w:rPr>
        <w:t>TC-DASH-fn-005.</w:t>
      </w:r>
    </w:p>
    <w:p>
      <w:pPr>
        <w:pStyle w:val="Heading2"/>
      </w:pPr>
      <w:r>
        <w:t>E. Status &amp; lifecycle</w:t>
      </w:r>
    </w:p>
    <w:p>
      <w:r>
        <w:t xml:space="preserve">No lifecycle — dashboards are computed views. </w:t>
      </w:r>
      <w:r>
        <w:rPr>
          <w:b/>
        </w:rPr>
        <w:t>TC-DASH-life-001:</w:t>
      </w:r>
      <w:r>
        <w:t xml:space="preserve"> the W6 queue reflects live report states; </w:t>
      </w:r>
      <w:r>
        <w:rPr>
          <w:b/>
        </w:rPr>
        <w:t>TC-DASH-life-002:</w:t>
      </w:r>
      <w:r>
        <w:t xml:space="preserve"> a role change re-orders the home sections.</w:t>
      </w:r>
    </w:p>
    <w:p>
      <w:pPr>
        <w:pStyle w:val="Heading2"/>
      </w:pPr>
      <w:r>
        <w:t>F. Roles, permissions &amp; data scope</w:t>
      </w:r>
    </w:p>
    <w:p>
      <w:r>
        <w:t xml:space="preserve">Dashboard perms: </w:t>
      </w:r>
      <w:r>
        <w:rPr>
          <w:rFonts w:ascii="Consolas" w:hAnsi="Consolas"/>
          <w:color w:val="0B3A66"/>
          <w:sz w:val="18"/>
        </w:rPr>
        <w:t>dash.operations</w:t>
      </w:r>
      <w:r>
        <w:t>/</w:t>
      </w:r>
      <w:r>
        <w:rPr>
          <w:rFonts w:ascii="Consolas" w:hAnsi="Consolas"/>
          <w:color w:val="0B3A66"/>
          <w:sz w:val="18"/>
        </w:rPr>
        <w:t>dash.financial</w:t>
      </w:r>
      <w:r>
        <w:t>/</w:t>
      </w:r>
      <w:r>
        <w:rPr>
          <w:rFonts w:ascii="Consolas" w:hAnsi="Consolas"/>
          <w:color w:val="0B3A66"/>
          <w:sz w:val="18"/>
        </w:rPr>
        <w:t>dash.utilization</w:t>
      </w:r>
      <w:r>
        <w:t>/</w:t>
      </w:r>
      <w:r>
        <w:rPr>
          <w:rFonts w:ascii="Consolas" w:hAnsi="Consolas"/>
          <w:color w:val="0B3A66"/>
          <w:sz w:val="18"/>
        </w:rPr>
        <w:t>dash.people</w:t>
      </w:r>
      <w:r>
        <w:t xml:space="preserve">. Data perms: </w:t>
      </w:r>
      <w:r>
        <w:rPr>
          <w:rFonts w:ascii="Consolas" w:hAnsi="Consolas"/>
          <w:color w:val="0B3A66"/>
          <w:sz w:val="18"/>
        </w:rPr>
        <w:t>data.credit</w:t>
      </w:r>
      <w:r>
        <w:t>/</w:t>
      </w:r>
      <w:r>
        <w:rPr>
          <w:rFonts w:ascii="Consolas" w:hAnsi="Consolas"/>
          <w:color w:val="0B3A66"/>
          <w:sz w:val="18"/>
        </w:rPr>
        <w:t>data.profitability</w:t>
      </w:r>
      <w:r>
        <w:t>/</w:t>
      </w:r>
      <w:r>
        <w:rPr>
          <w:rFonts w:ascii="Consolas" w:hAnsi="Consolas"/>
          <w:color w:val="0B3A66"/>
          <w:sz w:val="18"/>
        </w:rPr>
        <w:t>data.salary</w:t>
      </w:r>
      <w:r>
        <w:t>/</w:t>
      </w:r>
      <w:r>
        <w:rPr>
          <w:rFonts w:ascii="Consolas" w:hAnsi="Consolas"/>
          <w:color w:val="0B3A66"/>
          <w:sz w:val="18"/>
        </w:rPr>
        <w:t>finance.reconcile</w:t>
      </w:r>
      <w:r>
        <w:t xml:space="preserve">. Every tile permission-gated; scope via </w:t>
      </w:r>
      <w:r>
        <w:rPr>
          <w:rFonts w:ascii="Consolas" w:hAnsi="Consolas"/>
          <w:color w:val="0B3A66"/>
          <w:sz w:val="18"/>
        </w:rPr>
        <w:t>scope_offices</w:t>
      </w:r>
      <w:r>
        <w:t>/</w:t>
      </w:r>
      <w:r>
        <w:rPr>
          <w:rFonts w:ascii="Consolas" w:hAnsi="Consolas"/>
          <w:color w:val="0B3A66"/>
          <w:sz w:val="18"/>
        </w:rPr>
        <w:t>scope_sbus</w:t>
      </w:r>
      <w:r>
        <w:t xml:space="preserve">. </w:t>
      </w:r>
      <w:r>
        <w:rPr>
          <w:rFonts w:ascii="Consolas" w:hAnsi="Consolas"/>
          <w:color w:val="0B3A66"/>
          <w:sz w:val="18"/>
        </w:rPr>
        <w:t>can()</w:t>
      </w:r>
      <w:r>
        <w:t xml:space="preserve"> checks licence before the master bypass.</w:t>
      </w:r>
    </w:p>
    <w:p>
      <w:pPr>
        <w:pStyle w:val="ListBullet"/>
      </w:pPr>
      <w:r>
        <w:t>TC-DASH-perm-001 (a scoped user) sees only their branch's KPIs/queue.</w:t>
      </w:r>
    </w:p>
    <w:p>
      <w:pPr>
        <w:pStyle w:val="ListBullet"/>
      </w:pPr>
      <w:r>
        <w:t xml:space="preserve">TC-DASH-perm-002 (financial dashboard without </w:t>
      </w:r>
      <w:r>
        <w:rPr>
          <w:rFonts w:ascii="Consolas" w:hAnsi="Consolas"/>
          <w:color w:val="0B3A66"/>
          <w:sz w:val="18"/>
        </w:rPr>
        <w:t>data.salary</w:t>
      </w:r>
      <w:r>
        <w:t>) → cost columns hidden.</w:t>
      </w:r>
    </w:p>
    <w:p>
      <w:pPr>
        <w:pStyle w:val="Heading2"/>
      </w:pPr>
      <w:r>
        <w:t>G. Settings</w:t>
      </w:r>
    </w:p>
    <w:p>
      <w:r>
        <w:rPr>
          <w:rFonts w:ascii="Consolas" w:hAnsi="Consolas"/>
          <w:color w:val="0B3A66"/>
          <w:sz w:val="18"/>
        </w:rPr>
        <w:t>tat_threshold_days</w:t>
      </w:r>
      <w:r>
        <w:t xml:space="preserve"> (3), </w:t>
      </w:r>
      <w:r>
        <w:rPr>
          <w:rFonts w:ascii="Consolas" w:hAnsi="Consolas"/>
          <w:color w:val="0B3A66"/>
          <w:sz w:val="18"/>
        </w:rPr>
        <w:t>fy_revenue_target</w:t>
      </w:r>
      <w:r>
        <w:t xml:space="preserve"> (exec board), terminology overrides, </w:t>
      </w:r>
      <w:r>
        <w:rPr>
          <w:rFonts w:ascii="Consolas" w:hAnsi="Consolas"/>
          <w:color w:val="0B3A66"/>
          <w:sz w:val="18"/>
        </w:rPr>
        <w:t>licence_enabled</w:t>
      </w:r>
      <w:r>
        <w:t xml:space="preserve"> toggles that reshape tiles, user-defined KPI definitions (DB-stored). </w:t>
      </w:r>
      <w:r>
        <w:rPr>
          <w:b/>
        </w:rPr>
        <w:t>TC-DASH-set-001:</w:t>
      </w:r>
      <w:r>
        <w:t xml:space="preserve"> a licence toggle removes the corresponding tiles.</w:t>
      </w:r>
    </w:p>
    <w:p>
      <w:pPr>
        <w:pStyle w:val="Heading2"/>
      </w:pPr>
      <w:r>
        <w:t>H. Cross-module integration</w:t>
      </w:r>
    </w:p>
    <w:p>
      <w:r>
        <w:t xml:space="preserve">Aggregates </w:t>
      </w:r>
      <w:r>
        <w:rPr>
          <w:b/>
        </w:rPr>
        <w:t>every</w:t>
      </w:r>
      <w:r>
        <w:t xml:space="preserve"> module: CRM, TOSRM/operations, finance/invoicing/profitability, quality (NCR/CAPA/audits/complaints/confidentiality/competence), IDEMS (W6), recruitment, scheduling, service scope. Idempotency: read-only.</w:t>
      </w:r>
    </w:p>
    <w:p>
      <w:pPr>
        <w:pStyle w:val="Heading2"/>
      </w:pPr>
      <w:r>
        <w:t>I. Data integrity &amp; audit</w:t>
      </w:r>
    </w:p>
    <w:p>
      <w:r>
        <w:t xml:space="preserve">W6 and area tiles are individually try-wrapped (a missing module never breaks the page) — </w:t>
      </w:r>
      <w:r>
        <w:rPr>
          <w:b/>
        </w:rPr>
        <w:t>but the home KPIs (`ops_val`) are not, so a schema drift in calls/jobs/quotations could fatal the home</w:t>
      </w:r>
      <w:r>
        <w:t xml:space="preserve"> (GAP-DASH-003). MIS/exec revenue uses </w:t>
      </w:r>
      <w:r>
        <w:rPr>
          <w:rFonts w:ascii="Consolas" w:hAnsi="Consolas"/>
          <w:color w:val="0B3A66"/>
          <w:sz w:val="18"/>
        </w:rPr>
        <w:t>expected_credit</w:t>
      </w:r>
      <w:r>
        <w:t xml:space="preserve"> by a COALESCE'd date, so "revenue booked" differs from invoiced value on the same screen (ties to MOD-32). </w:t>
      </w:r>
      <w:r>
        <w:rPr>
          <w:rFonts w:ascii="Consolas" w:hAnsi="Consolas"/>
          <w:color w:val="0B3A66"/>
          <w:sz w:val="18"/>
        </w:rPr>
        <w:t>ops_reports</w:t>
      </w:r>
      <w:r>
        <w:t xml:space="preserve"> filters in PHP after a full scoped fetch + N+1 on expenses (scales poorly). </w:t>
      </w:r>
      <w:r>
        <w:rPr>
          <w:b/>
        </w:rPr>
        <w:t>TC-DASH-int-010:</w:t>
      </w:r>
      <w:r>
        <w:t xml:space="preserve"> the W6 counts equal the underlying report queues.</w:t>
      </w:r>
    </w:p>
    <w:p>
      <w:pPr>
        <w:pStyle w:val="Heading2"/>
      </w:pPr>
      <w:r>
        <w:t>J. Reports &amp; outputs</w:t>
      </w:r>
    </w:p>
    <w:p>
      <w:r>
        <w:t xml:space="preserve">The home/area/analytics dashboards, the TAPI CSV export (with audit), the MIS export (cost columns gated). </w:t>
      </w:r>
      <w:r>
        <w:rPr>
          <w:b/>
        </w:rPr>
        <w:t>TC-DASH-out-001:</w:t>
      </w:r>
      <w:r>
        <w:t xml:space="preserve"> the CSV respects the salary/credit gates.</w:t>
      </w:r>
    </w:p>
    <w:p>
      <w:pPr>
        <w:pStyle w:val="Heading2"/>
      </w:pPr>
      <w:r>
        <w:t>K. Negative, edge &amp; resilience</w:t>
      </w:r>
    </w:p>
    <w:p>
      <w:r>
        <w:t xml:space="preserve">A missing module (tile/W6 degrade gracefully); a home KPI on a drifted schema (could fatal — GAP); a weak KPI formula (injection); a </w:t>
      </w:r>
      <w:r>
        <w:rPr>
          <w:rFonts w:ascii="Consolas" w:hAnsi="Consolas"/>
          <w:color w:val="0B3A66"/>
          <w:sz w:val="18"/>
        </w:rPr>
        <w:t>release_of_id</w:t>
      </w:r>
      <w:r>
        <w:t>-less install (to-release chip invisible); a scoped user (branch-only); a large dataset (N+1 in reports).</w:t>
      </w:r>
    </w:p>
    <w:p>
      <w:pPr>
        <w:pStyle w:val="Heading2"/>
      </w:pPr>
      <w:r>
        <w:t>L. TPIA operational suitability</w:t>
      </w:r>
    </w:p>
    <w:p>
      <w:r>
        <w:t xml:space="preserve">Delivers exactly what the user asked for in W6 — a pending-tasks list on </w:t>
      </w:r>
      <w:r>
        <w:rPr>
          <w:b/>
        </w:rPr>
        <w:t>every</w:t>
      </w:r>
      <w:r>
        <w:t xml:space="preserve"> dashboard (ED, SBU head, branch manager included) for easy access — plus role-adaptive KPIs and analytics across the whole operation. The single-predicate gating keeps rail/home/route consistent.</w:t>
      </w:r>
    </w:p>
    <w:p>
      <w:pPr>
        <w:pStyle w:val="Heading2"/>
      </w:pPr>
      <w:r>
        <w:t>M. Management usefulness</w:t>
      </w:r>
    </w:p>
    <w:p>
      <w:r>
        <w:t>The decision surface: KPIs, the W6 queue, the exec strategic board (FY target/YoY/utilisation), and analytics. Confirm the figures agree with MOD-32 and the W6 queue is never silently empty.</w:t>
      </w:r>
    </w:p>
    <w:p>
      <w:pPr>
        <w:pStyle w:val="Heading2"/>
      </w:pPr>
      <w:r>
        <w:t>N. UI/UX</w:t>
      </w:r>
    </w:p>
    <w:p>
      <w:r>
        <w:t xml:space="preserve">Role-adaptive tiles, self-gating so no dead links, the W6 panel above the role branch (every role gets it), guided quick actions.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 xml:space="preserve">Every tile permission-gated server-side; W6 scoped; </w:t>
      </w:r>
      <w:r>
        <w:rPr>
          <w:b/>
        </w:rPr>
        <w:t>home KPIs not try-wrapped (harden)</w:t>
      </w:r>
      <w:r>
        <w:t>; KPI formula engine must validate against injection; CSV export respects data gates.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computed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 per-role scope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 W6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 W6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 every module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KPI drift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export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 W6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 formula/KPI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W6 queue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analytics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reshapes tiles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FY filters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 N+1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GAP-DASH-001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The W6 </w:t>
            </w:r>
            <w:r>
              <w:rPr>
                <w:b/>
                <w:sz w:val="17"/>
              </w:rPr>
              <w:t>"to-release" chip silently returns 0 if `release_of_id` is absent</w:t>
            </w:r>
            <w:r>
              <w:rPr>
                <w:sz w:val="17"/>
              </w:rPr>
              <w:t xml:space="preserve"> — the feature can be invisible with no signal. Ensure the column exists or surface the degraded state.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GAP-DASH-002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The </w:t>
            </w:r>
            <w:r>
              <w:rPr>
                <w:b/>
                <w:sz w:val="17"/>
              </w:rPr>
              <w:t>TAPI KPI formula engine is user-editable</w:t>
            </w:r>
            <w:r>
              <w:rPr>
                <w:sz w:val="17"/>
              </w:rPr>
              <w:t xml:space="preserve"> — confirm </w:t>
            </w:r>
            <w:r>
              <w:rPr>
                <w:rFonts w:ascii="Consolas" w:hAnsi="Consolas"/>
                <w:color w:val="0B3A66"/>
                <w:sz w:val="17"/>
              </w:rPr>
              <w:t>tapi_formula_valid</w:t>
            </w:r>
            <w:r>
              <w:rPr>
                <w:sz w:val="17"/>
              </w:rPr>
              <w:t xml:space="preserve"> is strong enough to block injection/unsafe evaluation.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GAP-DASH-003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Home KPIs (`ops_val`) are not individually try-wrapped</w:t>
            </w:r>
            <w:r>
              <w:rPr>
                <w:sz w:val="17"/>
              </w:rPr>
              <w:t xml:space="preserve"> (unlike area tiles/W6) — a schema drift in calls/jobs/quotations could fatal the home page instead of degrading. Wrap them; and </w:t>
            </w:r>
            <w:r>
              <w:rPr>
                <w:rFonts w:ascii="Consolas" w:hAnsi="Consolas"/>
                <w:color w:val="0B3A66"/>
                <w:sz w:val="17"/>
              </w:rPr>
              <w:t>ops_reports</w:t>
            </w:r>
            <w:r>
              <w:rPr>
                <w:sz w:val="17"/>
              </w:rPr>
              <w:t xml:space="preserve"> filters in PHP after a full fetch with an N+1 on expenses (scale).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GAP-DASH-004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Exec "revenue booked" uses </w:t>
            </w:r>
            <w:r>
              <w:rPr>
                <w:rFonts w:ascii="Consolas" w:hAnsi="Consolas"/>
                <w:color w:val="0B3A66"/>
                <w:sz w:val="17"/>
              </w:rPr>
              <w:t>expected_credit</w:t>
            </w:r>
            <w:r>
              <w:rPr>
                <w:sz w:val="17"/>
              </w:rPr>
              <w:t xml:space="preserve"> by a COALESCE'd date and differs from invoiced value on the same screen (reconcile with MOD-32).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</w:t>
      </w:r>
      <w:r>
        <w:t xml:space="preserve">, </w:t>
      </w:r>
      <w:r>
        <w:rPr>
          <w:rFonts w:ascii="Consolas" w:hAnsi="Consolas"/>
          <w:color w:val="0B3A66"/>
          <w:sz w:val="18"/>
        </w:rPr>
        <w:t>/operations</w:t>
      </w:r>
      <w:r>
        <w:t xml:space="preserve">, area homes, </w:t>
      </w:r>
      <w:r>
        <w:rPr>
          <w:rFonts w:ascii="Consolas" w:hAnsi="Consolas"/>
          <w:color w:val="0B3A66"/>
          <w:sz w:val="18"/>
        </w:rPr>
        <w:t>/reports</w:t>
      </w:r>
      <w:r>
        <w:t xml:space="preserve">, </w:t>
      </w:r>
      <w:r>
        <w:rPr>
          <w:rFonts w:ascii="Consolas" w:hAnsi="Consolas"/>
          <w:color w:val="0B3A66"/>
          <w:sz w:val="18"/>
        </w:rPr>
        <w:t>/analytics</w:t>
      </w:r>
      <w:r>
        <w:t xml:space="preserve">, </w:t>
      </w:r>
      <w:r>
        <w:rPr>
          <w:rFonts w:ascii="Consolas" w:hAnsi="Consolas"/>
          <w:color w:val="0B3A66"/>
          <w:sz w:val="18"/>
        </w:rPr>
        <w:t>/mis</w:t>
      </w:r>
      <w:r>
        <w:t xml:space="preserve"> × dims 1–29 → TC-DASH-* → results → DEF/GAP. </w:t>
      </w:r>
      <w:r>
        <w:rPr>
          <w:b/>
        </w:rPr>
        <w:t>Verdict: Complete-with-defects</w:t>
      </w:r>
      <w:r>
        <w:t xml:space="preserve"> — tile/W6 scope enforcement, KPI-formula safety, and home-KPI resilience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