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Settings &amp; Terminology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MOD-SETTINGS.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ops_settings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lib/terms.php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ops_terminology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T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Tl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TH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T_*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term_apply_pack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term_save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term_overrides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TERM_PACKS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lib/licence.php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licence_save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PRODUCT_MODULES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lib/numbering.php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numbering_types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numbering_save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lib/db.php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setting_get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setting_set</w:t>
      </w:r>
      <w:r>
        <w:rPr>
          <w:color w:val="445566"/>
          <w:sz w:val="20"/>
        </w:rPr>
        <w:t xml:space="preserve">), views </w:t>
      </w:r>
      <w:r>
        <w:rPr>
          <w:rFonts w:ascii="Consolas" w:hAnsi="Consolas"/>
          <w:color w:val="445566"/>
          <w:sz w:val="20"/>
        </w:rPr>
        <w:t>settings.php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terminology.php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Settings &amp; Terminology (MOD-SETTINGS) · Area Admin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P-ADMIN (</w:t>
            </w:r>
            <w:r>
              <w:rPr>
                <w:rFonts w:ascii="Consolas" w:hAnsi="Consolas"/>
                <w:color w:val="0B3A66"/>
                <w:sz w:val="17"/>
              </w:rPr>
              <w:t>settings.manage</w:t>
            </w:r>
            <w:r>
              <w:rPr>
                <w:sz w:val="17"/>
              </w:rPr>
              <w:t>), P-MASTER (modules/licensing), others (read-through only)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Medium-High</w:t>
            </w:r>
            <w:r>
              <w:rPr>
                <w:sz w:val="17"/>
              </w:rPr>
              <w:t xml:space="preserve"> — a wrong FY, numbering, or security setting affects every module; the terminology engine makes the app agency-agnostic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Complete-with-verification (confirm setting clamps + module-off safety at runtime)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One admin screen governs the whole installation, plus a terminology screen that renames every noun in the product so it fits any TPIA (no agency wording is hardcoded). Settings groups: </w:t>
      </w:r>
      <w:r>
        <w:rPr>
          <w:b/>
        </w:rPr>
        <w:t>modules/licensing</w:t>
      </w:r>
      <w:r>
        <w:t xml:space="preserve"> (Master only), </w:t>
      </w:r>
      <w:r>
        <w:rPr>
          <w:b/>
        </w:rPr>
        <w:t>financial year</w:t>
      </w:r>
      <w:r>
        <w:t xml:space="preserve"> (start month + current-FY label), </w:t>
      </w:r>
      <w:r>
        <w:rPr>
          <w:b/>
        </w:rPr>
        <w:t>TAT/escalation</w:t>
      </w:r>
      <w:r>
        <w:t xml:space="preserve">, </w:t>
      </w:r>
      <w:r>
        <w:rPr>
          <w:b/>
        </w:rPr>
        <w:t>man-month basis</w:t>
      </w:r>
      <w:r>
        <w:t xml:space="preserve">, </w:t>
      </w:r>
      <w:r>
        <w:rPr>
          <w:b/>
        </w:rPr>
        <w:t>app name</w:t>
      </w:r>
      <w:r>
        <w:t xml:space="preserve">, </w:t>
      </w:r>
      <w:r>
        <w:rPr>
          <w:b/>
        </w:rPr>
        <w:t>working norms</w:t>
      </w:r>
      <w:r>
        <w:t xml:space="preserve"> (daily hours cap, half-day hours, weekly days, emp-code prefix), </w:t>
      </w:r>
      <w:r>
        <w:rPr>
          <w:b/>
        </w:rPr>
        <w:t>job-close grace + lock</w:t>
      </w:r>
      <w:r>
        <w:t xml:space="preserve">, </w:t>
      </w:r>
      <w:r>
        <w:rPr>
          <w:b/>
        </w:rPr>
        <w:t>client-issue notification</w:t>
      </w:r>
      <w:r>
        <w:t xml:space="preserve">, </w:t>
      </w:r>
      <w:r>
        <w:rPr>
          <w:b/>
        </w:rPr>
        <w:t>document numbering</w:t>
      </w:r>
      <w:r>
        <w:t xml:space="preserve"> (prefix/separator/digits/FY/start), </w:t>
      </w:r>
      <w:r>
        <w:rPr>
          <w:b/>
        </w:rPr>
        <w:t>quote T&amp;C</w:t>
      </w:r>
      <w:r>
        <w:t xml:space="preserve">, </w:t>
      </w:r>
      <w:r>
        <w:rPr>
          <w:b/>
        </w:rPr>
        <w:t>display</w:t>
      </w:r>
      <w:r>
        <w:t xml:space="preserve"> (currency symbol, date format), </w:t>
      </w:r>
      <w:r>
        <w:rPr>
          <w:b/>
        </w:rPr>
        <w:t>reporting controls</w:t>
      </w:r>
      <w:r>
        <w:t xml:space="preserve"> (expected source docs, high-risk audit actions), and </w:t>
      </w:r>
      <w:r>
        <w:rPr>
          <w:b/>
        </w:rPr>
        <w:t>security</w:t>
      </w:r>
      <w:r>
        <w:t xml:space="preserve"> (password min length/age, session idle/max, 2FA roles) — every security control </w:t>
      </w:r>
      <w:r>
        <w:rPr>
          <w:b/>
        </w:rPr>
        <w:t>chooses how strict a guard is, never switches a guard off</w:t>
      </w:r>
      <w:r>
        <w:t>.</w:t>
      </w:r>
    </w:p>
    <w:p>
      <w:r>
        <w:t xml:space="preserve">Terminology: pick a </w:t>
      </w:r>
      <w:r>
        <w:rPr>
          <w:b/>
        </w:rPr>
        <w:t>wording pack</w:t>
      </w:r>
      <w:r>
        <w:t xml:space="preserve"> (</w:t>
      </w:r>
      <w:r>
        <w:rPr>
          <w:rFonts w:ascii="Consolas" w:hAnsi="Consolas"/>
          <w:color w:val="0B3A66"/>
          <w:sz w:val="18"/>
        </w:rPr>
        <w:t>TERM_PACKS</w:t>
      </w:r>
      <w:r>
        <w:t xml:space="preserve">) or edit any noun; every screen follows via </w:t>
      </w:r>
      <w:r>
        <w:rPr>
          <w:rFonts w:ascii="Consolas" w:hAnsi="Consolas"/>
          <w:color w:val="0B3A66"/>
          <w:sz w:val="18"/>
        </w:rPr>
        <w:t>T()/Tl()/TH()</w:t>
      </w:r>
      <w:r>
        <w:t>. Reset restores the standard wording.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/settings</w:t>
      </w:r>
      <w:r>
        <w:t xml:space="preserve">, </w:t>
      </w:r>
      <w:r>
        <w:rPr>
          <w:rFonts w:ascii="Consolas" w:hAnsi="Consolas"/>
          <w:color w:val="0B3A66"/>
          <w:sz w:val="18"/>
        </w:rPr>
        <w:t>/terminology</w:t>
      </w:r>
      <w:r>
        <w:t xml:space="preserve">. Storage: </w:t>
      </w:r>
      <w:r>
        <w:rPr>
          <w:rFonts w:ascii="Consolas" w:hAnsi="Consolas"/>
          <w:color w:val="0B3A66"/>
          <w:sz w:val="18"/>
        </w:rPr>
        <w:t>settings</w:t>
      </w:r>
      <w:r>
        <w:t xml:space="preserve"> KV via </w:t>
      </w:r>
      <w:r>
        <w:rPr>
          <w:rFonts w:ascii="Consolas" w:hAnsi="Consolas"/>
          <w:color w:val="0B3A66"/>
          <w:sz w:val="18"/>
        </w:rPr>
        <w:t>setting_get/set</w:t>
      </w:r>
      <w:r>
        <w:t xml:space="preserve">, </w:t>
      </w:r>
      <w:r>
        <w:rPr>
          <w:rFonts w:ascii="Consolas" w:hAnsi="Consolas"/>
          <w:color w:val="0B3A66"/>
          <w:sz w:val="18"/>
        </w:rPr>
        <w:t>term_overrides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`/settings`</w:t>
      </w:r>
      <w:r>
        <w:t xml:space="preserve"> — grouped form (modules, FY, operations, working norms, numbering, display, reporting, security). Module switching and numbering are sub-forms. </w:t>
      </w:r>
      <w:r>
        <w:rPr>
          <w:b/>
        </w:rPr>
        <w:t>`/terminology`</w:t>
      </w:r>
      <w:r>
        <w:t xml:space="preserve"> — apply a pack, edit noun overrides by group, or reset. Both require </w:t>
      </w:r>
      <w:r>
        <w:rPr>
          <w:rFonts w:ascii="Consolas" w:hAnsi="Consolas"/>
          <w:color w:val="0B3A66"/>
          <w:sz w:val="18"/>
        </w:rPr>
        <w:t>settings.manage</w:t>
      </w:r>
      <w:r>
        <w:t xml:space="preserve">; module licensing additionally requires master (and is pinned if </w:t>
      </w:r>
      <w:r>
        <w:rPr>
          <w:rFonts w:ascii="Consolas" w:hAnsi="Consolas"/>
          <w:color w:val="0B3A66"/>
          <w:sz w:val="18"/>
        </w:rPr>
        <w:t>MODULES_OFF</w:t>
      </w:r>
      <w:r>
        <w:t xml:space="preserve"> env is set).</w:t>
      </w:r>
    </w:p>
    <w:p>
      <w:pPr>
        <w:pStyle w:val="Heading2"/>
      </w:pPr>
      <w:r>
        <w:t>C. Field &amp; validation  (clamps — the point of this module)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TC-SET-form-001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FY start month clamped 1–12 (default 4); current-FY label AUTO or well-formed, else AUTO.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TC-SET-form-002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Working norms clamped: daily hours 0&lt;h≤24 (def 8.5), half-day 0&lt;h≤12 (def 4), weekly days ∈ {5,5.5,6}.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TC-SET-form-003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Security clamps: pwd min 8–64 (def 10), pwd max-age 0 or 30–730, session idle 5–1440, session max 1–168; </w:t>
            </w:r>
            <w:r>
              <w:rPr>
                <w:b/>
                <w:sz w:val="17"/>
              </w:rPr>
              <w:t>none can disable a guard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TC-SET-form-004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Grace days clamped 0–365; contract-warn 1–365; TAT default 3.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TC-SET-form-005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Currency symbol defaults ₹; date format restricted to the allowed set.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</w:t>
      </w:r>
    </w:p>
    <w:p>
      <w:pPr>
        <w:pStyle w:val="ListBullet"/>
      </w:pPr>
      <w:r>
        <w:rPr>
          <w:b/>
        </w:rPr>
        <w:t>Module licensing</w:t>
      </w:r>
      <w:r>
        <w:t xml:space="preserve"> (</w:t>
      </w:r>
      <w:r>
        <w:rPr>
          <w:rFonts w:ascii="Consolas" w:hAnsi="Consolas"/>
          <w:color w:val="0B3A66"/>
          <w:sz w:val="18"/>
        </w:rPr>
        <w:t>licence_save</w:t>
      </w:r>
      <w:r>
        <w:t>): Master-only; switching a module off hides it from</w:t>
      </w:r>
    </w:p>
    <w:p>
      <w:r>
        <w:t xml:space="preserve">  everyone (including the switcher), so it is deliberately not an ordinary admin setting;   pinned when </w:t>
      </w:r>
      <w:r>
        <w:rPr>
          <w:rFonts w:ascii="Consolas" w:hAnsi="Consolas"/>
          <w:color w:val="0B3A66"/>
          <w:sz w:val="18"/>
        </w:rPr>
        <w:t>MODULES_OFF</w:t>
      </w:r>
      <w:r>
        <w:t xml:space="preserve"> is set. </w:t>
      </w:r>
      <w:r>
        <w:rPr>
          <w:b/>
        </w:rPr>
        <w:t>TC-SET-fn-001</w:t>
      </w:r>
      <w:r>
        <w:t xml:space="preserve"> — a non-master module POST is   refused; </w:t>
      </w:r>
      <w:r>
        <w:rPr>
          <w:b/>
        </w:rPr>
        <w:t>TC-SET-fn-002</w:t>
      </w:r>
      <w:r>
        <w:t xml:space="preserve"> — a switched-off module disappears from nav and its routes   guard off.</w:t>
      </w:r>
    </w:p>
    <w:p>
      <w:pPr>
        <w:pStyle w:val="ListBullet"/>
      </w:pPr>
      <w:r>
        <w:rPr>
          <w:b/>
        </w:rPr>
        <w:t>Terminology</w:t>
      </w:r>
      <w:r>
        <w:t xml:space="preserve"> (</w:t>
      </w:r>
      <w:r>
        <w:rPr>
          <w:rFonts w:ascii="Consolas" w:hAnsi="Consolas"/>
          <w:color w:val="0B3A66"/>
          <w:sz w:val="18"/>
        </w:rPr>
        <w:t>term_apply_pack</w:t>
      </w:r>
      <w:r>
        <w:t>/</w:t>
      </w:r>
      <w:r>
        <w:rPr>
          <w:rFonts w:ascii="Consolas" w:hAnsi="Consolas"/>
          <w:color w:val="0B3A66"/>
          <w:sz w:val="18"/>
        </w:rPr>
        <w:t>term_save</w:t>
      </w:r>
      <w:r>
        <w:t>): a pack renames every noun; individual</w:t>
      </w:r>
    </w:p>
    <w:p>
      <w:r>
        <w:t xml:space="preserve">  overrides still editable; reset restores defaults. </w:t>
      </w:r>
      <w:r>
        <w:rPr>
          <w:b/>
        </w:rPr>
        <w:t>TC-SET-fn-003</w:t>
      </w:r>
      <w:r>
        <w:t xml:space="preserve"> — after a pack +   an override, every screen (</w:t>
      </w:r>
      <w:r>
        <w:rPr>
          <w:rFonts w:ascii="Consolas" w:hAnsi="Consolas"/>
          <w:color w:val="0B3A66"/>
          <w:sz w:val="18"/>
        </w:rPr>
        <w:t>T*()</w:t>
      </w:r>
      <w:r>
        <w:t xml:space="preserve">) reflects the wording; </w:t>
      </w:r>
      <w:r>
        <w:rPr>
          <w:b/>
        </w:rPr>
        <w:t>TC-SET-fn-004</w:t>
      </w:r>
      <w:r>
        <w:t xml:space="preserve"> — an unknown   pack is rejected.</w:t>
      </w:r>
    </w:p>
    <w:p>
      <w:pPr>
        <w:pStyle w:val="ListBullet"/>
      </w:pPr>
      <w:r>
        <w:rPr>
          <w:b/>
        </w:rPr>
        <w:t>Numbering</w:t>
      </w:r>
      <w:r>
        <w:t xml:space="preserve"> (</w:t>
      </w:r>
      <w:r>
        <w:rPr>
          <w:rFonts w:ascii="Consolas" w:hAnsi="Consolas"/>
          <w:color w:val="0B3A66"/>
          <w:sz w:val="18"/>
        </w:rPr>
        <w:t>numbering_save</w:t>
      </w:r>
      <w:r>
        <w:t xml:space="preserve"> per type): prefix/separator/digits/FY/start; each type</w:t>
      </w:r>
    </w:p>
    <w:p>
      <w:r>
        <w:t xml:space="preserve">  independent. </w:t>
      </w:r>
      <w:r>
        <w:rPr>
          <w:b/>
        </w:rPr>
        <w:t>TC-SET-fn-005</w:t>
      </w:r>
      <w:r>
        <w:t xml:space="preserve"> — a changed number format applies to new records only.</w:t>
      </w:r>
    </w:p>
    <w:p>
      <w:pPr>
        <w:pStyle w:val="ListBullet"/>
      </w:pPr>
      <w:r>
        <w:rPr>
          <w:b/>
        </w:rPr>
        <w:t>Setting reads</w:t>
      </w:r>
      <w:r>
        <w:t xml:space="preserve"> (</w:t>
      </w:r>
      <w:r>
        <w:rPr>
          <w:rFonts w:ascii="Consolas" w:hAnsi="Consolas"/>
          <w:color w:val="0B3A66"/>
          <w:sz w:val="18"/>
        </w:rPr>
        <w:t>setting_get</w:t>
      </w:r>
      <w:r>
        <w:t xml:space="preserve"> with defaults): every consumer falls back to a safe</w:t>
      </w:r>
    </w:p>
    <w:p>
      <w:r>
        <w:t xml:space="preserve">  default when unset. </w:t>
      </w:r>
      <w:r>
        <w:rPr>
          <w:b/>
        </w:rPr>
        <w:t>TC-SET-fn-006.</w:t>
      </w:r>
    </w:p>
    <w:p>
      <w:pPr>
        <w:pStyle w:val="Heading2"/>
      </w:pPr>
      <w:r>
        <w:t>E. Status &amp; lifecycle</w:t>
      </w:r>
    </w:p>
    <w:p>
      <w:r>
        <w:t xml:space="preserve">Settings are point-in-time KV values — no lifecycle — but changes take effect immediately and only affect </w:t>
      </w:r>
      <w:r>
        <w:rPr>
          <w:b/>
        </w:rPr>
        <w:t>new</w:t>
      </w:r>
      <w:r>
        <w:t xml:space="preserve"> records where relevant (numbering, FY). </w:t>
      </w:r>
      <w:r>
        <w:rPr>
          <w:b/>
        </w:rPr>
        <w:t>TC-SET-life-001:</w:t>
      </w:r>
      <w:r>
        <w:t xml:space="preserve"> changing FY start mid-year re-buckets registers on the configured basis without rewriting historical records; </w:t>
      </w:r>
      <w:r>
        <w:rPr>
          <w:b/>
        </w:rPr>
        <w:t>TC-SET-life-002:</w:t>
      </w:r>
      <w:r>
        <w:t xml:space="preserve"> a terminology change is retroactive on display (labels) but never rewrites stored data.</w:t>
      </w:r>
    </w:p>
    <w:p>
      <w:pPr>
        <w:pStyle w:val="Heading2"/>
      </w:pPr>
      <w:r>
        <w:t>F. Roles, permissions &amp; data scope</w:t>
      </w:r>
    </w:p>
    <w:p>
      <w:r>
        <w:t xml:space="preserve">All settings: </w:t>
      </w:r>
      <w:r>
        <w:rPr>
          <w:rFonts w:ascii="Consolas" w:hAnsi="Consolas"/>
          <w:color w:val="0B3A66"/>
          <w:sz w:val="18"/>
        </w:rPr>
        <w:t>settings.manage</w:t>
      </w:r>
      <w:r>
        <w:t xml:space="preserve">. Modules/licensing: master (env-pinnable). No data scope (global config). </w:t>
      </w:r>
      <w:r>
        <w:rPr>
          <w:b/>
        </w:rPr>
        <w:t>TC-SET-perm-001</w:t>
      </w:r>
      <w:r>
        <w:t xml:space="preserve"> — a non-admin </w:t>
      </w:r>
      <w:r>
        <w:rPr>
          <w:rFonts w:ascii="Consolas" w:hAnsi="Consolas"/>
          <w:color w:val="0B3A66"/>
          <w:sz w:val="18"/>
        </w:rPr>
        <w:t>/settings</w:t>
      </w:r>
      <w:r>
        <w:t xml:space="preserve"> POST is refused; </w:t>
      </w:r>
      <w:r>
        <w:rPr>
          <w:b/>
        </w:rPr>
        <w:t>TC-SET-perm-002</w:t>
      </w:r>
      <w:r>
        <w:t xml:space="preserve"> — a non-master module change is refused even with </w:t>
      </w:r>
      <w:r>
        <w:rPr>
          <w:rFonts w:ascii="Consolas" w:hAnsi="Consolas"/>
          <w:color w:val="0B3A66"/>
          <w:sz w:val="18"/>
        </w:rPr>
        <w:t>settings.manage</w:t>
      </w:r>
      <w:r>
        <w:t>.</w:t>
      </w:r>
    </w:p>
    <w:p>
      <w:pPr>
        <w:pStyle w:val="Heading2"/>
      </w:pPr>
      <w:r>
        <w:t>G. Settings (self)</w:t>
      </w:r>
    </w:p>
    <w:p>
      <w:r>
        <w:t xml:space="preserve">This module *is* settings. Cross-cutting keys referenced by other modules: </w:t>
      </w:r>
      <w:r>
        <w:rPr>
          <w:rFonts w:ascii="Consolas" w:hAnsi="Consolas"/>
          <w:color w:val="0B3A66"/>
          <w:sz w:val="18"/>
        </w:rPr>
        <w:t>fy_start_month</w:t>
      </w:r>
      <w:r>
        <w:t xml:space="preserve">, </w:t>
      </w:r>
      <w:r>
        <w:rPr>
          <w:rFonts w:ascii="Consolas" w:hAnsi="Consolas"/>
          <w:color w:val="0B3A66"/>
          <w:sz w:val="18"/>
        </w:rPr>
        <w:t>fy_current</w:t>
      </w:r>
      <w:r>
        <w:t xml:space="preserve">, </w:t>
      </w:r>
      <w:r>
        <w:rPr>
          <w:rFonts w:ascii="Consolas" w:hAnsi="Consolas"/>
          <w:color w:val="0B3A66"/>
          <w:sz w:val="18"/>
        </w:rPr>
        <w:t>tat_threshold_days</w:t>
      </w:r>
      <w:r>
        <w:t xml:space="preserve">, </w:t>
      </w:r>
      <w:r>
        <w:rPr>
          <w:rFonts w:ascii="Consolas" w:hAnsi="Consolas"/>
          <w:color w:val="0B3A66"/>
          <w:sz w:val="18"/>
        </w:rPr>
        <w:t>manmonth_basis</w:t>
      </w:r>
      <w:r>
        <w:t>/</w:t>
      </w:r>
      <w:r>
        <w:rPr>
          <w:rFonts w:ascii="Consolas" w:hAnsi="Consolas"/>
          <w:color w:val="0B3A66"/>
          <w:sz w:val="18"/>
        </w:rPr>
        <w:t>manmonth_min_days</w:t>
      </w:r>
      <w:r>
        <w:t xml:space="preserve">, </w:t>
      </w:r>
      <w:r>
        <w:rPr>
          <w:rFonts w:ascii="Consolas" w:hAnsi="Consolas"/>
          <w:color w:val="0B3A66"/>
          <w:sz w:val="18"/>
        </w:rPr>
        <w:t>job_close_grace_days</w:t>
      </w:r>
      <w:r>
        <w:t>/</w:t>
      </w:r>
      <w:r>
        <w:rPr>
          <w:rFonts w:ascii="Consolas" w:hAnsi="Consolas"/>
          <w:color w:val="0B3A66"/>
          <w:sz w:val="18"/>
        </w:rPr>
        <w:t>job_lock_enabled</w:t>
      </w:r>
      <w:r>
        <w:t xml:space="preserve">, </w:t>
      </w:r>
      <w:r>
        <w:rPr>
          <w:rFonts w:ascii="Consolas" w:hAnsi="Consolas"/>
          <w:color w:val="0B3A66"/>
          <w:sz w:val="18"/>
        </w:rPr>
        <w:t>notify_client_on_issue</w:t>
      </w:r>
      <w:r>
        <w:t xml:space="preserve">, </w:t>
      </w:r>
      <w:r>
        <w:rPr>
          <w:rFonts w:ascii="Consolas" w:hAnsi="Consolas"/>
          <w:color w:val="0B3A66"/>
          <w:sz w:val="18"/>
        </w:rPr>
        <w:t>currency_symbol</w:t>
      </w:r>
      <w:r>
        <w:t xml:space="preserve">, </w:t>
      </w:r>
      <w:r>
        <w:rPr>
          <w:rFonts w:ascii="Consolas" w:hAnsi="Consolas"/>
          <w:color w:val="0B3A66"/>
          <w:sz w:val="18"/>
        </w:rPr>
        <w:t>date_format</w:t>
      </w:r>
      <w:r>
        <w:t xml:space="preserve">, </w:t>
      </w:r>
      <w:r>
        <w:rPr>
          <w:rFonts w:ascii="Consolas" w:hAnsi="Consolas"/>
          <w:color w:val="0B3A66"/>
          <w:sz w:val="18"/>
        </w:rPr>
        <w:t>pwd_*</w:t>
      </w:r>
      <w:r>
        <w:t>/</w:t>
      </w:r>
      <w:r>
        <w:rPr>
          <w:rFonts w:ascii="Consolas" w:hAnsi="Consolas"/>
          <w:color w:val="0B3A66"/>
          <w:sz w:val="18"/>
        </w:rPr>
        <w:t>session_*</w:t>
      </w:r>
      <w:r>
        <w:t>/</w:t>
      </w:r>
      <w:r>
        <w:rPr>
          <w:rFonts w:ascii="Consolas" w:hAnsi="Consolas"/>
          <w:color w:val="0B3A66"/>
          <w:sz w:val="18"/>
        </w:rPr>
        <w:t>twofa_roles</w:t>
      </w:r>
      <w:r>
        <w:t xml:space="preserve">, </w:t>
      </w:r>
      <w:r>
        <w:rPr>
          <w:rFonts w:ascii="Consolas" w:hAnsi="Consolas"/>
          <w:color w:val="0B3A66"/>
          <w:sz w:val="18"/>
        </w:rPr>
        <w:t>quote_terms</w:t>
      </w:r>
      <w:r>
        <w:t xml:space="preserve">, </w:t>
      </w:r>
      <w:r>
        <w:rPr>
          <w:rFonts w:ascii="Consolas" w:hAnsi="Consolas"/>
          <w:color w:val="0B3A66"/>
          <w:sz w:val="18"/>
        </w:rPr>
        <w:t>expected_source_docs</w:t>
      </w:r>
      <w:r>
        <w:t xml:space="preserve">, </w:t>
      </w:r>
      <w:r>
        <w:rPr>
          <w:rFonts w:ascii="Consolas" w:hAnsi="Consolas"/>
          <w:color w:val="0B3A66"/>
          <w:sz w:val="18"/>
        </w:rPr>
        <w:t>audit_high_risk</w:t>
      </w:r>
      <w:r>
        <w:t xml:space="preserve">. </w:t>
      </w:r>
      <w:r>
        <w:rPr>
          <w:b/>
        </w:rPr>
        <w:t>TC-SET-set-001:</w:t>
      </w:r>
      <w:r>
        <w:t xml:space="preserve"> each key is consumed by its owning module with the same clamp/default.</w:t>
      </w:r>
    </w:p>
    <w:p>
      <w:pPr>
        <w:pStyle w:val="Heading2"/>
      </w:pPr>
      <w:r>
        <w:t>H. Cross-module integration</w:t>
      </w:r>
    </w:p>
    <w:p>
      <w:r>
        <w:t xml:space="preserve">Touches </w:t>
      </w:r>
      <w:r>
        <w:rPr>
          <w:b/>
        </w:rPr>
        <w:t>every</w:t>
      </w:r>
      <w:r>
        <w:t xml:space="preserve"> module: FY → all registers; man-month → scheduling/billing; grace/lock → jobs; numbering → quotes/reports/invoices; currency/date → all outputs; security → auth; terminology → all UI; expected source docs → IDEMS completeness; high-risk actions → audit log. Idempotency: saving settings twice is a no-op beyond the last value.</w:t>
      </w:r>
    </w:p>
    <w:p>
      <w:pPr>
        <w:pStyle w:val="Heading2"/>
      </w:pPr>
      <w:r>
        <w:t>I. Data integrity &amp; audit</w:t>
      </w:r>
    </w:p>
    <w:p>
      <w:r>
        <w:t xml:space="preserve">Setting changes should be recorded (who/when) for the security- and money-relevant keys; terminology overrides stored as a map; numbering changes never renumber existing records. </w:t>
      </w:r>
      <w:r>
        <w:rPr>
          <w:b/>
        </w:rPr>
        <w:t>TC-SET-int-010:</w:t>
      </w:r>
      <w:r>
        <w:t xml:space="preserve"> a security-policy change is audited; </w:t>
      </w:r>
      <w:r>
        <w:rPr>
          <w:b/>
        </w:rPr>
        <w:t>TC-SET-int-011:</w:t>
      </w:r>
      <w:r>
        <w:t xml:space="preserve"> historical numbers are immutable after a format change.</w:t>
      </w:r>
    </w:p>
    <w:p>
      <w:pPr>
        <w:pStyle w:val="Heading2"/>
      </w:pPr>
      <w:r>
        <w:t>J. Reports &amp; outputs</w:t>
      </w:r>
    </w:p>
    <w:p>
      <w:r>
        <w:t xml:space="preserve">No document of its own; it shapes every other output (numbers, currency, dates, wording, letterheads). </w:t>
      </w:r>
      <w:r>
        <w:rPr>
          <w:b/>
        </w:rPr>
        <w:t>TC-SET-out-001:</w:t>
      </w:r>
      <w:r>
        <w:t xml:space="preserve"> a currency/date/terminology change reflects in a freshly generated PDF.</w:t>
      </w:r>
    </w:p>
    <w:p>
      <w:pPr>
        <w:pStyle w:val="Heading2"/>
      </w:pPr>
      <w:r>
        <w:t>K. Negative, edge &amp; resilience</w:t>
      </w:r>
    </w:p>
    <w:p>
      <w:r>
        <w:t xml:space="preserve">Out-of-range clamp inputs (all snap to bounds); an unknown terminology pack; a non-master attempting module changes; </w:t>
      </w:r>
      <w:r>
        <w:rPr>
          <w:rFonts w:ascii="Consolas" w:hAnsi="Consolas"/>
          <w:color w:val="0B3A66"/>
          <w:sz w:val="18"/>
        </w:rPr>
        <w:t>MODULES_OFF</w:t>
      </w:r>
      <w:r>
        <w:t xml:space="preserve"> pinned; a malformed FY label; disabling a module that other modules depend on (dependency respected).</w:t>
      </w:r>
    </w:p>
    <w:p>
      <w:pPr>
        <w:pStyle w:val="Heading2"/>
      </w:pPr>
      <w:r>
        <w:t>L. TPIA operational suitability</w:t>
      </w:r>
    </w:p>
    <w:p>
      <w:r>
        <w:t>The terminology engine is what makes the product genuinely multi-TPIA — "inspection", "call", "engineer", "office" are all renameable, so a body with different vocabulary is first-class, not retrofitted. Configurable FY, man-month, numbering and working norms let each tenant match its own practice without code changes.</w:t>
      </w:r>
    </w:p>
    <w:p>
      <w:pPr>
        <w:pStyle w:val="Heading2"/>
      </w:pPr>
      <w:r>
        <w:t>M. Management usefulness</w:t>
      </w:r>
    </w:p>
    <w:p>
      <w:r>
        <w:t>One place to tune the whole installation; module licensing controls scope and cost; security policy is centrally set. Confirm changes propagate to the owning modules.</w:t>
      </w:r>
    </w:p>
    <w:p>
      <w:pPr>
        <w:pStyle w:val="Heading2"/>
      </w:pPr>
      <w:r>
        <w:t>N. UI/UX</w:t>
      </w:r>
    </w:p>
    <w:p>
      <w:r>
        <w:t>Grouped settings with clear defaults; a terminology screen with packs + per-noun editing + reset; safe clamps so a bad value cannot break the app. Terminology change is immediate and system-wide.</w:t>
      </w:r>
    </w:p>
    <w:p>
      <w:pPr>
        <w:pStyle w:val="Heading2"/>
      </w:pPr>
      <w:r>
        <w:t>O. Security</w:t>
      </w:r>
    </w:p>
    <w:p>
      <w:r>
        <w:rPr>
          <w:rFonts w:ascii="Consolas" w:hAnsi="Consolas"/>
          <w:color w:val="0B3A66"/>
          <w:sz w:val="18"/>
        </w:rPr>
        <w:t>settings.manage</w:t>
      </w:r>
      <w:r>
        <w:t xml:space="preserve">-gated; module licensing master-gated and env-pinnable; </w:t>
      </w:r>
      <w:r>
        <w:rPr>
          <w:b/>
        </w:rPr>
        <w:t>no setting can switch a security guard off</w:t>
      </w:r>
      <w:r>
        <w:t xml:space="preserve"> (only its strictness); password/session/2FA policy centrally enforced; module-off hides routes server-side, not just nav.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KV config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 clamps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global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 (self)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 every module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immutable numbers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security keys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 shapes all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 terminology engine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 guards can't be disabled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notify_client_on_issue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AI provider config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modules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§D packs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§C 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Complete-with-verification.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GAP-SET-001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every clamp holds on a crafted out-of-range POST and no security setting can be posted to a value that disables a guard.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GAP-SET-002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a switched-off module's </w:t>
            </w:r>
            <w:r>
              <w:rPr>
                <w:b/>
                <w:sz w:val="17"/>
              </w:rPr>
              <w:t>routes</w:t>
            </w:r>
            <w:r>
              <w:rPr>
                <w:sz w:val="17"/>
              </w:rPr>
              <w:t xml:space="preserve"> guard off server-side (not only hidden nav), and dependencies are respected.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GAP-SET-003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a numbering-format change never renumbers existing records, and security-policy changes are audited.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/settings</w:t>
      </w:r>
      <w:r>
        <w:t xml:space="preserve">, </w:t>
      </w:r>
      <w:r>
        <w:rPr>
          <w:rFonts w:ascii="Consolas" w:hAnsi="Consolas"/>
          <w:color w:val="0B3A66"/>
          <w:sz w:val="18"/>
        </w:rPr>
        <w:t>/terminology</w:t>
      </w:r>
      <w:r>
        <w:t xml:space="preserve"> × dims 1–29 → TC-SET-* → results → DEF/GAP. </w:t>
      </w:r>
      <w:r>
        <w:rPr>
          <w:b/>
        </w:rPr>
        <w:t>Verdict: Complete-with-verification</w:t>
      </w:r>
      <w:r>
        <w:t xml:space="preserve"> — clamp enforcement, module-off route safety, and numbering immutability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