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B3B"/>
          <w:sz w:val="40"/>
          <w:szCs w:val="40"/>
        </w:rPr>
        <w:t xml:space="preserve">MEHUL DESHMUKH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 8109007299   |   mehuldeshmukh106@gmail.com   |   Portfolio: drive.google.com/drive/folders/13ro8TUWFXnzUNNAsq1b7PyzdWH94VuHg</w:t>
      </w:r>
    </w:p>
    <w:p>
      <w:pPr>
        <w:pBdr>
          <w:bottom w:val="single" w:color="1F3B3B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B3B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Student content creator with direct experience in social media strategy, content writing, and photography/videography. Recently completed a full LinkedIn content audit and B2B campaign strategy for Plastic For Change, a sustainability brand, and writes original long-form content on healthcare communication. Currently pursuing a Bachelor of Physiotherapy, bringing a science-grounded perspective to health and medical writing.</w:t>
      </w:r>
    </w:p>
    <w:p>
      <w:pPr>
        <w:pBdr>
          <w:bottom w:val="single" w:color="1F3B3B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B3B"/>
          <w:sz w:val="21"/>
          <w:szCs w:val="21"/>
        </w:rPr>
        <w:t xml:space="preserve">SKILLS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Content Writing  •  Social Media Strategy  •  Content Auditing  •  Campaign Ideation  •  Health &amp; Medical Writing  •  Photography  •  Videography  •  Video Editing  •  Canva  •  Research &amp; Communication  •  Event Coordination  •  Time Management</w:t>
      </w:r>
    </w:p>
    <w:p>
      <w:pPr>
        <w:pBdr>
          <w:bottom w:val="single" w:color="1F3B3B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B3B"/>
          <w:sz w:val="21"/>
          <w:szCs w:val="21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LinkedIn Content Strategy &amp; Audit — Plastic For Change</w:t>
      </w:r>
      <w:r>
        <w:rPr>
          <w:rFonts w:ascii="Calibri" w:cs="Calibri" w:eastAsia="Calibri" w:hAnsi="Calibri"/>
          <w:sz w:val="22"/>
          <w:szCs w:val="22"/>
        </w:rPr>
        <w:t xml:space="preserve">  |  Internship Application Project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Audited Plastic For Change's LinkedIn presence across 10+ posts, identifying which content formats and topics drove the strongest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three original B2B campaign concepts targeting procurement and sustainability decision-makers, each with defined audience, content formats, and calls to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Researched cross-industry content approaches and adapted a storytelling-first content idea for a circular economy audience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Advanced to the final interview round for the Social Media Intern position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Healthcare Content Writing</w:t>
      </w:r>
      <w:r>
        <w:rPr>
          <w:rFonts w:ascii="Calibri" w:cs="Calibri" w:eastAsia="Calibri" w:hAnsi="Calibri"/>
          <w:sz w:val="22"/>
          <w:szCs w:val="22"/>
        </w:rPr>
        <w:t xml:space="preserve">  |  “Why Every Healthcare Professional Should Learn Personal Branding”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Wrote a long-form article on digital presence and trust-building for healthcare professionals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Covered patient communication, professional credibility, and ethical considerations in health-related content</w:t>
      </w:r>
    </w:p>
    <w:p>
      <w:pPr>
        <w:pBdr>
          <w:bottom w:val="single" w:color="1F3B3B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B3B"/>
          <w:sz w:val="21"/>
          <w:szCs w:val="21"/>
        </w:rPr>
        <w:t xml:space="preserve">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Photography &amp; Videography Content Creator</w:t>
      </w:r>
      <w:r>
        <w:rPr>
          <w:rFonts w:ascii="Calibri" w:cs="Calibri" w:eastAsia="Calibri" w:hAnsi="Calibri"/>
          <w:sz w:val="22"/>
          <w:szCs w:val="22"/>
        </w:rPr>
        <w:t xml:space="preserve">  |  Freelance / University Events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Captured and edited content for university events, cultural festivals, fashion shows, sports competitions, and live performances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Produced visual content for social media use, applying storytelling and framing techniques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Organized and maintained a personal content portfolio across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 Volunteer</w:t>
      </w:r>
      <w:r>
        <w:rPr>
          <w:rFonts w:ascii="Calibri" w:cs="Calibri" w:eastAsia="Calibri" w:hAnsi="Calibri"/>
          <w:sz w:val="22"/>
          <w:szCs w:val="22"/>
        </w:rPr>
        <w:t xml:space="preserve">  |  Paraamn 3.0, Parul Institute of Applied Sciences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Assisted with event planning, participant coordination, and on-ground execution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Supported logistics management to ensure smooth day-of operations</w:t>
      </w:r>
    </w:p>
    <w:p>
      <w:pPr>
        <w:pBdr>
          <w:bottom w:val="single" w:color="1F3B3B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B3B"/>
          <w:sz w:val="21"/>
          <w:szCs w:val="21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Physiotherapy (BPT)</w:t>
      </w:r>
      <w:r>
        <w:rPr>
          <w:rFonts w:ascii="Calibri" w:cs="Calibri" w:eastAsia="Calibri" w:hAnsi="Calibri"/>
          <w:sz w:val="22"/>
          <w:szCs w:val="22"/>
        </w:rPr>
        <w:t xml:space="preserve">  |  Jain University, Bengaluru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2026 – Present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 XII, State Board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2024</w:t>
      </w:r>
    </w:p>
    <w:p>
      <w:pPr>
        <w:pBdr>
          <w:bottom w:val="single" w:color="1F3B3B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B3B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Canva Design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Diploma in Cybersecurity &amp; Security Laws</w:t>
      </w:r>
    </w:p>
    <w:sectPr>
      <w:pgSz w:w="12240" w:h="15840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2026-07-08T08:37:05.506Z</dcterms:created>
  <dcterms:modified xsi:type="dcterms:W3CDTF">2026-07-08T08:37:05.506Z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