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jc w:val="right"/>
        <w:rPr>
          <w:b w:val="1"/>
          <w:bCs w:val="1"/>
          <w:u w:val="single"/>
        </w:rPr>
      </w:pPr>
      <w:r w:rsidDel="00000000" w:rsidR="00000000" w:rsidRPr="00000000">
        <w:rPr>
          <w:rtl w:val="0"/>
        </w:rPr>
      </w:r>
    </w:p>
    <w:p w:rsidR="00000000" w:rsidDel="00000000" w:rsidP="00000000" w:rsidRDefault="00000000" w:rsidRPr="00000000" w14:paraId="00000003">
      <w:pPr>
        <w:jc w:val="right"/>
        <w:rPr>
          <w:b w:val="1"/>
          <w:bCs w:val="1"/>
          <w:u w:val="single"/>
        </w:rPr>
      </w:pPr>
      <w:r w:rsidDel="00000000" w:rsidR="00000000" w:rsidRPr="00000000">
        <w:rPr>
          <w:rtl w:val="0"/>
        </w:rPr>
      </w:r>
    </w:p>
    <w:p w:rsidR="00000000" w:rsidDel="00000000" w:rsidP="00000000" w:rsidRDefault="00000000" w:rsidRPr="00000000" w14:paraId="00000004">
      <w:pPr>
        <w:jc w:val="right"/>
        <w:rPr>
          <w:b w:val="1"/>
          <w:bCs w:val="1"/>
          <w:u w:val="single"/>
        </w:rPr>
      </w:pPr>
      <w:r w:rsidDel="00000000" w:rsidR="00000000" w:rsidRPr="00000000">
        <w:rPr>
          <w:rtl w:val="0"/>
        </w:rPr>
      </w:r>
    </w:p>
    <w:p w:rsidR="00000000" w:rsidDel="00000000" w:rsidP="00000000" w:rsidRDefault="00000000" w:rsidRPr="00000000" w14:paraId="00000005">
      <w:pPr>
        <w:jc w:val="right"/>
        <w:rPr>
          <w:b w:val="1"/>
          <w:bCs w:val="1"/>
          <w:u w:val="single"/>
        </w:rPr>
      </w:pPr>
      <w:r w:rsidDel="00000000" w:rsidR="00000000" w:rsidRPr="00000000">
        <w:rPr>
          <w:rtl w:val="0"/>
        </w:rPr>
      </w:r>
    </w:p>
    <w:p w:rsidR="00000000" w:rsidDel="00000000" w:rsidP="00000000" w:rsidRDefault="00000000" w:rsidRPr="00000000" w14:paraId="00000006">
      <w:pPr>
        <w:jc w:val="right"/>
        <w:rPr>
          <w:b w:val="1"/>
          <w:bCs w:val="1"/>
          <w:u w:val="single"/>
        </w:rPr>
      </w:pPr>
      <w:r w:rsidDel="00000000" w:rsidR="00000000" w:rsidRPr="00000000">
        <w:rPr>
          <w:rtl w:val="0"/>
        </w:rPr>
      </w:r>
    </w:p>
    <w:p w:rsidR="00000000" w:rsidDel="00000000" w:rsidP="00000000" w:rsidRDefault="00000000" w:rsidRPr="00000000" w14:paraId="00000007">
      <w:pPr>
        <w:jc w:val="right"/>
        <w:rPr>
          <w:b w:val="1"/>
          <w:bCs w:val="1"/>
          <w:u w:val="single"/>
        </w:rPr>
      </w:pPr>
      <w:r w:rsidDel="00000000" w:rsidR="00000000" w:rsidRPr="00000000">
        <w:rPr>
          <w:rtl w:val="0"/>
        </w:rPr>
      </w:r>
    </w:p>
    <w:p w:rsidR="00000000" w:rsidDel="00000000" w:rsidP="00000000" w:rsidRDefault="00000000" w:rsidRPr="00000000" w14:paraId="00000008">
      <w:pPr>
        <w:jc w:val="right"/>
        <w:rPr>
          <w:b w:val="1"/>
          <w:bCs w:val="1"/>
          <w:u w:val="single"/>
        </w:rPr>
      </w:pPr>
      <w:r w:rsidDel="00000000" w:rsidR="00000000" w:rsidRPr="00000000">
        <w:rPr>
          <w:b w:val="1"/>
          <w:bCs w:val="1"/>
          <w:u w:val="single"/>
          <w:rtl w:val="0"/>
        </w:rPr>
        <w:t xml:space="preserve">Appendix-II</w:t>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rPr>
      </w:pPr>
      <w:r>
        <w:rPr>
          <w:b w:val="1"/>
          <w:bCs w:val="1"/>
        </w:rPr>
        <w:t xml:space="preserve">Ref. No. {firmReferenceNo}                                        Date: {reportDate}VALUATION REPORT OF {ownerName} AtFLAT NO. 4901, 49TH FLOOR, EAST WING, THE WORLD CREST, SENAPATI BAPAT MARG. CS NO. 443, 444, 445(PT), 446 OF VILLAGE LOWER PAREL, MUMBAI 400013FORPNB, LALBAUG BRANCH  -302258526415PUNJAB NATIONAL BANK, {bankBranch}VALUATION REPORT (IN RESPECT OF FLAT)SR.NOParticularsContentI GENERAL  Name  address of the Valuer2.Purpose for which the valuation is made3.a) Date of inspectionb) Date on which the valuation is made4.List of documents produced for perusalAgreement for SalePart Occupancy CertificateIndex IIOther Documents5.Name of the owner(s) and his / their address (es)With Phone no. (details of share of each owner incase of joint ownership)Owner: Contact No.: Ownership: 6.Brief description of the property7.Location of propertyPlot No. / Survey No.Door No.C. T. S. No. / VillageWard / TalukaMandal / DistrictDate of issue and validity of layout of approved map / planApproved map / plan issuing authorityWhether genuineness of authority of approved map / plan is verifiedAny other comments on authentic of approved planComment on unauthorized construction if any  Comment on demolition proceedings if any 8.Postal address of the property9.City / TownResidential AreaCommercial AreaIndustrial Area10.Classification of the areai) High / Middle / Poorii) Urban / Semi Urban / Rural11.Coming under Corporation limit / Village Panchayat / Municipality12.Whether covered under any State / Central Govt. Enactments (e.g. Urban Land Ceiling Act) or notified under agency area / scheduled area / cantonment area13.Boundaries of the property(As per Site)(As per Flat)EastWestNorthSouth14.Dimensions of the site / FlatABAs per the DeedActuals15.Extent of the site15.1Latitude, Longitude,  Co-ordinates of Flat16Extent of the site considered for valuation (least of 13A  13B)17Whether occupied by the owner / tenant? If occupied by tenant, since how long?II.FLAT1.Name of the Apartment 2.Description of the localityResidential / Commercial / Mixed3.Year of Construction4.Number of Floors5.Type of Structure6.Number of Dwelling flats7.Quality of Construction8.Appearance of the Flat9.Maintenance of the Flat10.Facilities AvailableLiftProtected Water SupplyUnderground SewerageCar Parking – Open / CoveredDoes Compound wall exist?Is pavement laid around the Flat?IIIFLAT1The floor on which the Flat is situated2Door No. of the Flat3Specification of the FlatRoofFlooringDoorsWindowsFittingsFinishing4House TaxAssessment No.Tax paid in the name ofTax amount5Electricity Service Connection no.Meter Card is in the name of6How is the maintenance of the Flat?7Sale Deed executed in the name of8What is the undivided area of land as per Sale Deed?9What is the plinth area of the Flat?10What is the floor space index (app.)11What is the Carpet  Built-up Area of the Flat?12Is it Posh/ I class / Medium / Ordinary?13Is it being used for Residential or Commercial Purpose?14Is it Owner-occupied or let out?15If rented, what is the monthly rent?IVMARKETABILITY1How is the marketability?2What are the factors favouring for an extra Potential Value?3Any negative factors are observed which affect the Market value in general?VRate1After analysing the comparable sale instances, what is the composite rate for a similar flat with same Specifications in the adjoining locality?2Assuming it is a new construction, what is theadopted basic composite are of the flat under valuation after comparing with the specifications and other factors with the flat under comparison (give details).3Break-up for the ratei) Flat + Servicesii) Land + Others4Guideline rate obtained from the Registrar’s office (an Evidence thereof to be enclosed)VICOMPOSITE RATE ADOPTED AFTER DEPRECIATIONa.Depreciation Flat rateReplacement cost of Flat with Services (v (3)i)Age of the FlatLife of the Flat estimatedDepreciation percentage assuming the salvage values 100%Depreciated Ratio of the Flatb.Total composite rate arrived for valuationDepreciated Flat rate VI (a)Rate for Land  other V (3) iiTotal Composite RateDetails of Valuation:Sr. NoDescription Built up AreaRate per sq. ft.(Rs. / sq. ft.)Estimated Value Rs.1Present value of the Flat No. 49012825{compositeRatePerSqFt}{buildingValue}2Car Parking3{carParkingValuePerUnit}{carParkingTotalValue}3Summary of Value {finalValue}Remarks:Report finalized based on site visit and copy of Agreement for sale, Part OC, Index II, Share Certificate, Property Tax, etc. However, we have not been Provided, C.C., Typical Floor Plan, Approved plan, Electricity Bill, title report, etc. for Verification Purposed. The said property is owner occupied at the time of visit.Flat number was displayed on main entrance door.The said property is situated in residential area.Property is inspected as shown by Mrs. Moksha  (Owner). We consider the area given in the Agreement for sale/Index II declared by the party and submitted for registration with the government authorities as final for valuation purpose. Any area that is not stated in the Agreement for sale/Index II is not considered for valuation unless the area is measured by us in which case that may be considered for valuation purpose.The scope of our valuation work is only for banks financial/loan purpose. Further, please be noted that this report shall not be used for any litigation purpose. Encumbrance of Loan, Government and other dues, stamp duty, registration charges, transfer charges etc, if any are not considered in the valuation. We assumed that the assets are free from encumbrance unless otherwise stated to us by the party in writing.The value given in our report is the estimate of the Fair Market value of the property as on date, considering various aspects of the property as mentioned above.  As a result of my appraisal and analysis, it is my considered opinion that the present market value of the Above property in prevailing condition with aforesaid specifications is value {finalValue} ({finalValueWords}) 1Fair Market Value of immovable property:2Realizable Value of immovable property: (90%)3Distress Sale Value of immovable property: (80%)4Guideline Value (value as per Circle Rates),if applicable, in the area where immovable property is situated5Insurance Value6Date of purchase of immovable property:7Purchase Price of immovable property:Place: {firmCity}Date: {reportDate}{rvFullName}{rvQualifications}Govt. Regd. Valuer  Panel Valuer of Punjab National Bank ({rvIbbiRegNo})I hereby declare that:The information furnished is my valuation report dated {reportDate} is true and correct to the best of my knowledge and belief and I have made an impartial and true valuation of the property. I have no direct or indirect interest in the property valued.Our Engineer Mr. Jitendra Bhagat has inspected the property on {inspectionDate}. I have not been convicted of any offence and sentenced to a term of imprisonment. I have not been found guilty of misconduct in my professional capacity.I have read the Handbook on Policy Standards and procedure for Real Estate valuation, 2011 of the IBA and this report is in conformity to the “Standard” enshrined for valuation in the Part-B of the above handbook to the best of my ability.I have Read the International Valuation Standards (IVS) and the report submitted to the Bank of the respective asset class is in conformity to the “Standard” as enshrined for valuation in the IVS in “General standard” and “Asset Standards” as applicable.I abide by the Model Code of Conduct for empanelment of valuer in the Bank. (Annexure III-A signed Copy of Same to be taken and kept along with this declaration).I am registered under Section 34 AB of the Wealth Tax Act, 1957.I am the proprietor / partner / authorized official of the firm / company, who is competent to sign this valuation report.Further, I hereby provide the Following information.Sr. No.ParticularsValuer commentBackground information of the asset being valued;Purpose of valuation and appointing authorityIdentity of the valuer and any other experts involved in the valuation;Disclosure of valuer interest or conflict, if any;Date of appointment, valuation date and date of report;Inspections and/or investigations undertaken;Nature and sources of the information used or relied upon;Procedures adopted in carrying out the valuation and valuation standards followed;Restrictions on use of the report, if any;Major factors that were taken into account during the valuation;Major factors that were not taken into account during valuation;Caveats, limitations and disclaimers to the extent they explain or elucidate the limitations faced by valuer, which shall not be for the purpose of limiting his responsibility for the valuation report.MODEL CODE OF CONDUCT FOR VALUERS{Adopted in line with Companies (Registered Valuers and Valuation Rules, 2017)}All valuers empanelled with bank shall strictly adhere to the following code of conduct: Integrity and Fairness 1. A valuer shall, in the conduct of his/its business, follow high standards of integrity and fairness in all his/its dealings with his/its clients and other valuers. 2. A valuer shall maintain integrity by being honest, straightforward, and forthright in all professional relationships. 3. A valuer shall endeavour to ensure that he/it provides true and adequate information and shall not misrepresent any facts or situations. 4. A valuer shall refrain from being involved in any action that would bring disrepute to the profession. 5 A valuer shall keep public interest foremost while delivering his services. Professional Competence and Due Care 6. A valuer shall render at all times high standards of service, exercise due diligence, ensure proper care and exercise independent professional judgment. 7. A valuer shall carry out professional services in accordance with the relevant technical and professional standards that may be specified from time to time 8. A valuer shall continuously maintain professional knowledge and skill to provide competent professional service based on up-to-date developments in practice, prevailing regulations/guidelines and techniques.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10. A valuer shall not carry out any instruction of the client insofar as they are incompatible with the requirements of integrity, objectivity and independence. 11. A valuer shall clearly state to his client the services that he would be and competent to provide the services for which he would be relying on other valuers or professionals or for which the Independence and Disclosure of Interest. 12. A valuer shall act with objectivity in his/its professional dealings by ensuring that his/its decisions are made without the presence of any bias, conflict of Interest, coercion, or undue influence of any party, whether directly connected to the valuation assignment or not. 13. A valuer shall not take up an assignment If he/it or any of his/its relatives or associates is not independent in terms of association to the company. 14. A valuer shall maintain complete independence in his/its professional relationships and shall conduct the valuation Independent of external influences. 15. A valuer shall wherever necessary disclose to the clients, possible sources of conflicts of duties and interests, while providing unbiased services. 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 17. A valuer shall not indulge in mandate snatching or offering convenience valuations in order to cater to a company or client's needs. 18. As an independent valuer, the valuer shall not charge success fee (Success fees may be defined as a compensation incentive paid to any third party for successful closure of transaction. In this case, approval of credit proposals). 19. In any fairness opinion or independent expert opinion submitted by a valuer, if there has been a prior engagement in an unconnected transaction, the valuer shall declare the association with the company during the last five years. Confidentiality 20. A valuer shall not use or divulge to other clients or any other party any confidential information about the subject company, which has come to his/its knowledge without proper and specific authority or unless there is a legal or professional right or duty to disclose.Information Management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22. A valuer shall appear, co-operate and be available for inspections and investigations carried out by the authority, any person authorised by the authority, the registered valuers organisation with which he/it is registered or any other statutory regulatory body.23. A valuer shall provide all information and records as may be required by the authority, the Tribunal, Appellate Tribunal, , the registered valuers organisation with which he/it is any registered, u other statutory regulatory body. 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Gifts and hospitality: 25. A valuer or his/its relative shall not accept gifts or hospitality which undermines or affects independence as a valuer. Explanation. - For the purposes of this code the term 'relative' shall have the same meaning as defined in clause (77) of Section 2 of the Companies Act, 2013 (18 of 2013) 26. A valuer shall not offer gifts or hospitality or a financial or any other advantage to a public servant or any other person with a view to obtain or retain work for himself/ itself, or to obtain or retain an advantage in the conduct of profession for himself/ itself. Remuneration and Costs. 27. A valuer shall provide services for remuneration which is charged in a transparent manner, is a reasonable reflection of the work necessarily and properly undertaken and is not inconsistent with the applicable rules. 28. A valuer shall not accept any fees or charges other than those which are disclosed in a written contract with the person to whom he would be rendering service. Occupation, employability and restrictions. 29. A valuer shall refrain from accepting too many assignments, if he/it is unlikely to be able to devote adequate time to each of his/ its assignments. 30. A valuer shall not conduct business which in the opinion of the authority or the registered valuer organisation discredits the profession. Photographs of the Property                             LOCATION MAPGOVT. READY RECKONER RATE {govtRateYear}ComparablePROPERTY DOCUMENT</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06" w:hanging="360.00000000000006"/>
      </w:pPr>
      <w:rPr/>
    </w:lvl>
    <w:lvl w:ilvl="1">
      <w:start w:val="1"/>
      <w:numFmt w:val="lowerLetter"/>
      <w:lvlText w:val="%2."/>
      <w:lvlJc w:val="left"/>
      <w:pPr>
        <w:ind w:left="1526" w:hanging="360"/>
      </w:pPr>
      <w:rPr/>
    </w:lvl>
    <w:lvl w:ilvl="2">
      <w:start w:val="1"/>
      <w:numFmt w:val="lowerRoman"/>
      <w:lvlText w:val="%3."/>
      <w:lvlJc w:val="right"/>
      <w:pPr>
        <w:ind w:left="2246" w:hanging="180"/>
      </w:pPr>
      <w:rPr/>
    </w:lvl>
    <w:lvl w:ilvl="3">
      <w:start w:val="1"/>
      <w:numFmt w:val="decimal"/>
      <w:lvlText w:val="%4."/>
      <w:lvlJc w:val="left"/>
      <w:pPr>
        <w:ind w:left="2966" w:hanging="360"/>
      </w:pPr>
      <w:rPr/>
    </w:lvl>
    <w:lvl w:ilvl="4">
      <w:start w:val="1"/>
      <w:numFmt w:val="lowerLetter"/>
      <w:lvlText w:val="%5."/>
      <w:lvlJc w:val="left"/>
      <w:pPr>
        <w:ind w:left="3686" w:hanging="360"/>
      </w:pPr>
      <w:rPr/>
    </w:lvl>
    <w:lvl w:ilvl="5">
      <w:start w:val="1"/>
      <w:numFmt w:val="lowerRoman"/>
      <w:lvlText w:val="%6."/>
      <w:lvlJc w:val="right"/>
      <w:pPr>
        <w:ind w:left="4406" w:hanging="180"/>
      </w:pPr>
      <w:rPr/>
    </w:lvl>
    <w:lvl w:ilvl="6">
      <w:start w:val="1"/>
      <w:numFmt w:val="decimal"/>
      <w:lvlText w:val="%7."/>
      <w:lvlJc w:val="left"/>
      <w:pPr>
        <w:ind w:left="5126" w:hanging="360"/>
      </w:pPr>
      <w:rPr/>
    </w:lvl>
    <w:lvl w:ilvl="7">
      <w:start w:val="1"/>
      <w:numFmt w:val="lowerLetter"/>
      <w:lvlText w:val="%8."/>
      <w:lvlJc w:val="left"/>
      <w:pPr>
        <w:ind w:left="5846" w:hanging="360"/>
      </w:pPr>
      <w:rPr/>
    </w:lvl>
    <w:lvl w:ilvl="8">
      <w:start w:val="1"/>
      <w:numFmt w:val="lowerRoman"/>
      <w:lvlText w:val="%9."/>
      <w:lvlJc w:val="right"/>
      <w:pPr>
        <w:ind w:left="6566" w:hanging="180"/>
      </w:pPr>
      <w:rPr/>
    </w:lvl>
  </w:abstractNum>
  <w:abstractNum w:abstractNumId="3">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u w:val="single"/>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jpg"/><Relationship Id="rId22" Type="http://schemas.openxmlformats.org/officeDocument/2006/relationships/image" Target="media/image11.png"/><Relationship Id="rId10" Type="http://schemas.openxmlformats.org/officeDocument/2006/relationships/image" Target="media/image15.jpg"/><Relationship Id="rId21" Type="http://schemas.openxmlformats.org/officeDocument/2006/relationships/image" Target="media/image12.pn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6.jpg"/><Relationship Id="rId14" Type="http://schemas.openxmlformats.org/officeDocument/2006/relationships/image" Target="media/image10.jpg"/><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3.jpg"/><Relationship Id="rId18" Type="http://schemas.openxmlformats.org/officeDocument/2006/relationships/image" Target="media/image8.png"/><Relationship Id="rId7" Type="http://schemas.openxmlformats.org/officeDocument/2006/relationships/image" Target="media/image17.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