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0" w:name="_GoBack"/>
      <w:bookmarkEnd w:id="0"/>
      <w:r>
        <w:rPr>
          <w:noProof/>
        </w:rPr>
        <w:drawing>
          <wp:anchor distT="0" distB="0" distL="114300" distR="114300" simplePos="0" relativeHeight="251658240" behindDoc="1" locked="0" layoutInCell="0" allowOverlap="1">
            <wp:simplePos x="0" y="0"/>
            <wp:positionH relativeFrom="page">
              <wp:posOffset>0</wp:posOffset>
            </wp:positionH>
            <wp:positionV relativeFrom="page">
              <wp:posOffset>0</wp:posOffset>
            </wp:positionV>
            <wp:extent cx="7315200" cy="9601200"/>
            <wp:effectExtent l="0" t="0" r="0" b="0"/>
            <wp:wrapNone/>
            <wp:docPr id="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6FBA"/>
          <w:sz w:val="26"/>
          <w:szCs w:val="26"/>
        </w:rPr>
        <w:t>Annual Report</w:t>
      </w:r>
    </w:p>
    <w:p w:rsidR="00000000" w:rsidRDefault="0057438D">
      <w:pPr>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969" w:right="600" w:bottom="1440" w:left="8800" w:header="720" w:footer="720" w:gutter="0"/>
          <w:cols w:space="720" w:equalWidth="0">
            <w:col w:w="2120"/>
          </w:cols>
          <w:noEndnote/>
        </w:sectPr>
      </w:pPr>
    </w:p>
    <w:tbl>
      <w:tblPr>
        <w:tblW w:w="0" w:type="auto"/>
        <w:tblLayout w:type="fixed"/>
        <w:tblCellMar>
          <w:left w:w="0" w:type="dxa"/>
          <w:right w:w="0" w:type="dxa"/>
        </w:tblCellMar>
        <w:tblLook w:val="0000" w:firstRow="0" w:lastRow="0" w:firstColumn="0" w:lastColumn="0" w:noHBand="0" w:noVBand="0"/>
      </w:tblPr>
      <w:tblGrid>
        <w:gridCol w:w="3840"/>
        <w:gridCol w:w="1180"/>
        <w:gridCol w:w="420"/>
        <w:gridCol w:w="700"/>
        <w:gridCol w:w="300"/>
        <w:gridCol w:w="660"/>
        <w:gridCol w:w="300"/>
        <w:gridCol w:w="660"/>
        <w:gridCol w:w="300"/>
        <w:gridCol w:w="660"/>
        <w:gridCol w:w="300"/>
        <w:gridCol w:w="460"/>
      </w:tblGrid>
      <w:tr w:rsidR="00000000">
        <w:tblPrEx>
          <w:tblCellMar>
            <w:top w:w="0" w:type="dxa"/>
            <w:left w:w="0" w:type="dxa"/>
            <w:bottom w:w="0" w:type="dxa"/>
            <w:right w:w="0" w:type="dxa"/>
          </w:tblCellMar>
        </w:tblPrEx>
        <w:trPr>
          <w:trHeight w:val="172"/>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rPr>
                <w:rFonts w:ascii="Times New Roman" w:hAnsi="Times New Roman" w:cs="Times New Roman"/>
                <w:sz w:val="24"/>
                <w:szCs w:val="24"/>
              </w:rPr>
            </w:pPr>
            <w:r>
              <w:rPr>
                <w:noProof/>
              </w:rPr>
              <w:lastRenderedPageBreak/>
              <w:drawing>
                <wp:anchor distT="0" distB="0" distL="114300" distR="114300" simplePos="0" relativeHeight="251659264" behindDoc="1" locked="0" layoutInCell="0" allowOverlap="1">
                  <wp:simplePos x="0" y="0"/>
                  <wp:positionH relativeFrom="page">
                    <wp:posOffset>0</wp:posOffset>
                  </wp:positionH>
                  <wp:positionV relativeFrom="page">
                    <wp:posOffset>0</wp:posOffset>
                  </wp:positionV>
                  <wp:extent cx="7315200" cy="9601200"/>
                  <wp:effectExtent l="0" t="0" r="0" b="0"/>
                  <wp:wrapNone/>
                  <wp:docPr id="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color w:val="FFFFFF"/>
                <w:sz w:val="15"/>
                <w:szCs w:val="15"/>
              </w:rPr>
              <w:t>CONTENTS</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222"/>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Letter to Shareowners</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Arial" w:hAnsi="Arial" w:cs="Arial"/>
                <w:color w:val="FFFFFF"/>
                <w:sz w:val="16"/>
                <w:szCs w:val="16"/>
              </w:rPr>
              <w:t>1</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20"/>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P&amp;G’s Billion- and Half-Billion-Dollar Brands</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Arial" w:hAnsi="Arial" w:cs="Arial"/>
                <w:color w:val="FFFFFF"/>
                <w:sz w:val="16"/>
                <w:szCs w:val="16"/>
              </w:rPr>
              <w:t>6</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20"/>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Sectors and SMOs</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Arial" w:hAnsi="Arial" w:cs="Arial"/>
                <w:color w:val="FFFFFF"/>
                <w:sz w:val="16"/>
                <w:szCs w:val="16"/>
              </w:rPr>
              <w:t>8</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20"/>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Form 10-K Index</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Arial" w:hAnsi="Arial" w:cs="Arial"/>
                <w:color w:val="FFFFFF"/>
                <w:sz w:val="16"/>
                <w:szCs w:val="16"/>
              </w:rPr>
              <w:t>9</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20"/>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Form 10-K</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Arial" w:hAnsi="Arial" w:cs="Arial"/>
                <w:color w:val="FFFFFF"/>
                <w:sz w:val="16"/>
                <w:szCs w:val="16"/>
              </w:rPr>
              <w:t>10</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20"/>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Measures Not Defined by U.S. GAAP</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Arial" w:hAnsi="Arial" w:cs="Arial"/>
                <w:color w:val="FFFFFF"/>
                <w:sz w:val="16"/>
                <w:szCs w:val="16"/>
              </w:rPr>
              <w:t>42</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20"/>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Global Leadership Council</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Arial" w:hAnsi="Arial" w:cs="Arial"/>
                <w:color w:val="FFFFFF"/>
                <w:sz w:val="16"/>
                <w:szCs w:val="16"/>
              </w:rPr>
              <w:t>87</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20"/>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Board of Directors</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Arial" w:hAnsi="Arial" w:cs="Arial"/>
                <w:color w:val="FFFFFF"/>
                <w:sz w:val="16"/>
                <w:szCs w:val="16"/>
              </w:rPr>
              <w:t>87</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20"/>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Company &amp; Shareowner Information</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Arial" w:hAnsi="Arial" w:cs="Arial"/>
                <w:color w:val="FFFFFF"/>
                <w:sz w:val="16"/>
                <w:szCs w:val="16"/>
              </w:rPr>
              <w:t>88</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20"/>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Recognition</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Arial" w:hAnsi="Arial" w:cs="Arial"/>
                <w:color w:val="FFFFFF"/>
                <w:sz w:val="16"/>
                <w:szCs w:val="16"/>
              </w:rPr>
              <w:t>89</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804"/>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rPr>
                <w:rFonts w:ascii="Times New Roman" w:hAnsi="Times New Roman" w:cs="Times New Roman"/>
                <w:sz w:val="24"/>
                <w:szCs w:val="24"/>
              </w:rPr>
            </w:pPr>
            <w:r>
              <w:rPr>
                <w:rFonts w:ascii="Arial" w:hAnsi="Arial" w:cs="Arial"/>
                <w:b/>
                <w:bCs/>
                <w:color w:val="FFFFFF"/>
                <w:sz w:val="15"/>
                <w:szCs w:val="15"/>
              </w:rPr>
              <w:t>FINANCIAL HIGHLIGHTS</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144"/>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4" w:lineRule="exact"/>
              <w:rPr>
                <w:rFonts w:ascii="Times New Roman" w:hAnsi="Times New Roman" w:cs="Times New Roman"/>
                <w:sz w:val="24"/>
                <w:szCs w:val="24"/>
              </w:rPr>
            </w:pPr>
            <w:r>
              <w:rPr>
                <w:rFonts w:ascii="Arial" w:hAnsi="Arial" w:cs="Arial"/>
                <w:color w:val="FFFFFF"/>
                <w:sz w:val="13"/>
                <w:szCs w:val="13"/>
              </w:rPr>
              <w:t>(unaudited)</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r>
      <w:tr w:rsidR="00000000">
        <w:tblPrEx>
          <w:tblCellMar>
            <w:top w:w="0" w:type="dxa"/>
            <w:left w:w="0" w:type="dxa"/>
            <w:bottom w:w="0" w:type="dxa"/>
            <w:right w:w="0" w:type="dxa"/>
          </w:tblCellMar>
        </w:tblPrEx>
        <w:trPr>
          <w:trHeight w:val="255"/>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rPr>
                <w:rFonts w:ascii="Times New Roman" w:hAnsi="Times New Roman" w:cs="Times New Roman"/>
                <w:sz w:val="24"/>
                <w:szCs w:val="24"/>
              </w:rPr>
            </w:pPr>
            <w:r>
              <w:rPr>
                <w:rFonts w:ascii="Arial" w:hAnsi="Arial" w:cs="Arial"/>
                <w:color w:val="FFFFFF"/>
                <w:sz w:val="13"/>
                <w:szCs w:val="13"/>
              </w:rPr>
              <w:t>Amounts in millions, except per share amounts</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37" w:lineRule="exact"/>
              <w:ind w:right="125"/>
              <w:jc w:val="right"/>
              <w:rPr>
                <w:rFonts w:ascii="Times New Roman" w:hAnsi="Times New Roman" w:cs="Times New Roman"/>
                <w:sz w:val="24"/>
                <w:szCs w:val="24"/>
              </w:rPr>
            </w:pPr>
            <w:r>
              <w:rPr>
                <w:rFonts w:ascii="Arial" w:hAnsi="Arial" w:cs="Arial"/>
                <w:b/>
                <w:bCs/>
                <w:color w:val="FFFFFF"/>
                <w:sz w:val="12"/>
                <w:szCs w:val="12"/>
              </w:rPr>
              <w:t>2014</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right="122"/>
              <w:jc w:val="right"/>
              <w:rPr>
                <w:rFonts w:ascii="Times New Roman" w:hAnsi="Times New Roman" w:cs="Times New Roman"/>
                <w:sz w:val="24"/>
                <w:szCs w:val="24"/>
              </w:rPr>
            </w:pPr>
            <w:r>
              <w:rPr>
                <w:rFonts w:ascii="Arial" w:hAnsi="Arial" w:cs="Arial"/>
                <w:color w:val="FFFFFF"/>
                <w:sz w:val="13"/>
                <w:szCs w:val="13"/>
              </w:rPr>
              <w:t>2013</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right="122"/>
              <w:jc w:val="right"/>
              <w:rPr>
                <w:rFonts w:ascii="Times New Roman" w:hAnsi="Times New Roman" w:cs="Times New Roman"/>
                <w:sz w:val="24"/>
                <w:szCs w:val="24"/>
              </w:rPr>
            </w:pPr>
            <w:r>
              <w:rPr>
                <w:rFonts w:ascii="Arial" w:hAnsi="Arial" w:cs="Arial"/>
                <w:color w:val="FFFFFF"/>
                <w:sz w:val="13"/>
                <w:szCs w:val="13"/>
              </w:rPr>
              <w:t>2012</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right="122"/>
              <w:jc w:val="right"/>
              <w:rPr>
                <w:rFonts w:ascii="Times New Roman" w:hAnsi="Times New Roman" w:cs="Times New Roman"/>
                <w:sz w:val="24"/>
                <w:szCs w:val="24"/>
              </w:rPr>
            </w:pPr>
            <w:r>
              <w:rPr>
                <w:rFonts w:ascii="Arial" w:hAnsi="Arial" w:cs="Arial"/>
                <w:color w:val="FFFFFF"/>
                <w:sz w:val="13"/>
                <w:szCs w:val="13"/>
              </w:rPr>
              <w:t>2011</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jc w:val="right"/>
              <w:rPr>
                <w:rFonts w:ascii="Times New Roman" w:hAnsi="Times New Roman" w:cs="Times New Roman"/>
                <w:sz w:val="24"/>
                <w:szCs w:val="24"/>
              </w:rPr>
            </w:pPr>
            <w:r>
              <w:rPr>
                <w:rFonts w:ascii="Arial" w:hAnsi="Arial" w:cs="Arial"/>
                <w:color w:val="FFFFFF"/>
                <w:sz w:val="13"/>
                <w:szCs w:val="13"/>
              </w:rPr>
              <w:t>2010</w:t>
            </w:r>
          </w:p>
        </w:tc>
      </w:tr>
      <w:tr w:rsidR="00000000">
        <w:tblPrEx>
          <w:tblCellMar>
            <w:top w:w="0" w:type="dxa"/>
            <w:left w:w="0" w:type="dxa"/>
            <w:bottom w:w="0" w:type="dxa"/>
            <w:right w:w="0" w:type="dxa"/>
          </w:tblCellMar>
        </w:tblPrEx>
        <w:trPr>
          <w:trHeight w:val="247"/>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Net Sales</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1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Arial" w:hAnsi="Arial" w:cs="Arial"/>
                <w:b/>
                <w:bCs/>
                <w:color w:val="FFFFFF"/>
                <w:sz w:val="16"/>
                <w:szCs w:val="16"/>
              </w:rPr>
              <w:t>$83,062</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FFFFFF"/>
                <w:sz w:val="16"/>
                <w:szCs w:val="16"/>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w w:val="89"/>
                <w:sz w:val="16"/>
                <w:szCs w:val="16"/>
              </w:rPr>
              <w:t>82,581</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FFFFFF"/>
                <w:sz w:val="16"/>
                <w:szCs w:val="16"/>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w w:val="89"/>
                <w:sz w:val="16"/>
                <w:szCs w:val="16"/>
              </w:rPr>
              <w:t>82,006</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FFFFFF"/>
                <w:sz w:val="16"/>
                <w:szCs w:val="16"/>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w w:val="89"/>
                <w:sz w:val="16"/>
                <w:szCs w:val="16"/>
              </w:rPr>
              <w:t>79,385</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FFFFFF"/>
                <w:sz w:val="16"/>
                <w:szCs w:val="16"/>
              </w:rPr>
              <w:t>$</w:t>
            </w: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FFFFFF"/>
                <w:w w:val="89"/>
                <w:sz w:val="16"/>
                <w:szCs w:val="16"/>
              </w:rPr>
              <w:t>75,785</w:t>
            </w:r>
          </w:p>
        </w:tc>
      </w:tr>
      <w:tr w:rsidR="00000000">
        <w:tblPrEx>
          <w:tblCellMar>
            <w:top w:w="0" w:type="dxa"/>
            <w:left w:w="0" w:type="dxa"/>
            <w:bottom w:w="0" w:type="dxa"/>
            <w:right w:w="0" w:type="dxa"/>
          </w:tblCellMar>
        </w:tblPrEx>
        <w:trPr>
          <w:trHeight w:val="232"/>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Operating Income</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Arial" w:hAnsi="Arial" w:cs="Arial"/>
                <w:b/>
                <w:bCs/>
                <w:color w:val="FFFFFF"/>
                <w:w w:val="97"/>
                <w:sz w:val="16"/>
                <w:szCs w:val="16"/>
              </w:rPr>
              <w:t>15,288</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w w:val="89"/>
                <w:sz w:val="16"/>
                <w:szCs w:val="16"/>
              </w:rPr>
              <w:t>14,330</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w w:val="89"/>
                <w:sz w:val="16"/>
                <w:szCs w:val="16"/>
              </w:rPr>
              <w:t>13,035</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w w:val="89"/>
                <w:sz w:val="16"/>
                <w:szCs w:val="16"/>
              </w:rPr>
              <w:t>15,233</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FFFFFF"/>
                <w:w w:val="89"/>
                <w:sz w:val="16"/>
                <w:szCs w:val="16"/>
              </w:rPr>
              <w:t>15,306</w:t>
            </w:r>
          </w:p>
        </w:tc>
      </w:tr>
      <w:tr w:rsidR="00000000">
        <w:tblPrEx>
          <w:tblCellMar>
            <w:top w:w="0" w:type="dxa"/>
            <w:left w:w="0" w:type="dxa"/>
            <w:bottom w:w="0" w:type="dxa"/>
            <w:right w:w="0" w:type="dxa"/>
          </w:tblCellMar>
        </w:tblPrEx>
        <w:trPr>
          <w:trHeight w:val="232"/>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Net Earnings Attributable to Procter &amp; Gamble</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Arial" w:hAnsi="Arial" w:cs="Arial"/>
                <w:b/>
                <w:bCs/>
                <w:color w:val="FFFFFF"/>
                <w:w w:val="97"/>
                <w:sz w:val="16"/>
                <w:szCs w:val="16"/>
              </w:rPr>
              <w:t>11,643</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w w:val="89"/>
                <w:sz w:val="16"/>
                <w:szCs w:val="16"/>
              </w:rPr>
              <w:t>11,312</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w w:val="89"/>
                <w:sz w:val="16"/>
                <w:szCs w:val="16"/>
              </w:rPr>
              <w:t>10,756</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w w:val="89"/>
                <w:sz w:val="16"/>
                <w:szCs w:val="16"/>
              </w:rPr>
              <w:t>11,797</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FFFFFF"/>
                <w:w w:val="89"/>
                <w:sz w:val="16"/>
                <w:szCs w:val="16"/>
              </w:rPr>
              <w:t>12,736</w:t>
            </w:r>
          </w:p>
        </w:tc>
      </w:tr>
      <w:tr w:rsidR="00000000">
        <w:tblPrEx>
          <w:tblCellMar>
            <w:top w:w="0" w:type="dxa"/>
            <w:left w:w="0" w:type="dxa"/>
            <w:bottom w:w="0" w:type="dxa"/>
            <w:right w:w="0" w:type="dxa"/>
          </w:tblCellMar>
        </w:tblPrEx>
        <w:trPr>
          <w:trHeight w:val="232"/>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Net Earnings Margin from Continuing Operations</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Arial" w:hAnsi="Arial" w:cs="Arial"/>
                <w:b/>
                <w:bCs/>
                <w:color w:val="FFFFFF"/>
                <w:sz w:val="16"/>
                <w:szCs w:val="16"/>
              </w:rPr>
              <w:t>14.1%</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w w:val="96"/>
                <w:sz w:val="16"/>
                <w:szCs w:val="16"/>
              </w:rPr>
              <w:t>13.7%</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w w:val="96"/>
                <w:sz w:val="16"/>
                <w:szCs w:val="16"/>
              </w:rPr>
              <w:t>11.2%</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w w:val="96"/>
                <w:sz w:val="16"/>
                <w:szCs w:val="16"/>
              </w:rPr>
              <w:t>14.5%</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FFFFFF"/>
                <w:w w:val="96"/>
                <w:sz w:val="16"/>
                <w:szCs w:val="16"/>
              </w:rPr>
              <w:t>14.0%</w:t>
            </w:r>
          </w:p>
        </w:tc>
      </w:tr>
      <w:tr w:rsidR="00000000">
        <w:tblPrEx>
          <w:tblCellMar>
            <w:top w:w="0" w:type="dxa"/>
            <w:left w:w="0" w:type="dxa"/>
            <w:bottom w:w="0" w:type="dxa"/>
            <w:right w:w="0" w:type="dxa"/>
          </w:tblCellMar>
        </w:tblPrEx>
        <w:trPr>
          <w:trHeight w:val="287"/>
        </w:trPr>
        <w:tc>
          <w:tcPr>
            <w:tcW w:w="50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w w:val="98"/>
                <w:sz w:val="16"/>
                <w:szCs w:val="16"/>
              </w:rPr>
              <w:t>Diluted Net Earnings per Common Share from Continuing Operations</w:t>
            </w:r>
            <w:r>
              <w:rPr>
                <w:rFonts w:ascii="Arial" w:hAnsi="Arial" w:cs="Arial"/>
                <w:color w:val="FFFFFF"/>
                <w:w w:val="98"/>
                <w:sz w:val="18"/>
                <w:szCs w:val="18"/>
                <w:vertAlign w:val="superscript"/>
              </w:rPr>
              <w:t>(1)</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color w:val="FFFFFF"/>
                <w:sz w:val="16"/>
                <w:szCs w:val="16"/>
              </w:rPr>
              <w:t>$</w:t>
            </w: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Arial" w:hAnsi="Arial" w:cs="Arial"/>
                <w:b/>
                <w:bCs/>
                <w:color w:val="FFFFFF"/>
                <w:sz w:val="16"/>
                <w:szCs w:val="16"/>
              </w:rPr>
              <w:t>3.98</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FFFFFF"/>
                <w:sz w:val="16"/>
                <w:szCs w:val="16"/>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sz w:val="16"/>
                <w:szCs w:val="16"/>
              </w:rPr>
              <w:t>3.83</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FFFFFF"/>
                <w:sz w:val="16"/>
                <w:szCs w:val="16"/>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sz w:val="16"/>
                <w:szCs w:val="16"/>
              </w:rPr>
              <w:t>3.06</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FFFFFF"/>
                <w:sz w:val="16"/>
                <w:szCs w:val="16"/>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Arial" w:hAnsi="Arial" w:cs="Arial"/>
                <w:color w:val="FFFFFF"/>
                <w:sz w:val="16"/>
                <w:szCs w:val="16"/>
              </w:rPr>
              <w:t>3.80</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FFFFFF"/>
                <w:sz w:val="16"/>
                <w:szCs w:val="16"/>
              </w:rPr>
              <w:t>$</w:t>
            </w: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FFFFFF"/>
                <w:sz w:val="16"/>
                <w:szCs w:val="16"/>
              </w:rPr>
              <w:t>3.38</w:t>
            </w:r>
          </w:p>
        </w:tc>
      </w:tr>
      <w:tr w:rsidR="00000000">
        <w:tblPrEx>
          <w:tblCellMar>
            <w:top w:w="0" w:type="dxa"/>
            <w:left w:w="0" w:type="dxa"/>
            <w:bottom w:w="0" w:type="dxa"/>
            <w:right w:w="0" w:type="dxa"/>
          </w:tblCellMar>
        </w:tblPrEx>
        <w:trPr>
          <w:trHeight w:val="237"/>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Diluted Net Earnings per Common Share</w:t>
            </w:r>
            <w:r>
              <w:rPr>
                <w:rFonts w:ascii="Arial" w:hAnsi="Arial" w:cs="Arial"/>
                <w:color w:val="FFFFFF"/>
                <w:sz w:val="18"/>
                <w:szCs w:val="18"/>
                <w:vertAlign w:val="superscript"/>
              </w:rPr>
              <w:t>(1)</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0" w:lineRule="exact"/>
              <w:ind w:right="125"/>
              <w:jc w:val="right"/>
              <w:rPr>
                <w:rFonts w:ascii="Times New Roman" w:hAnsi="Times New Roman" w:cs="Times New Roman"/>
                <w:sz w:val="24"/>
                <w:szCs w:val="24"/>
              </w:rPr>
            </w:pPr>
            <w:r>
              <w:rPr>
                <w:rFonts w:ascii="Arial" w:hAnsi="Arial" w:cs="Arial"/>
                <w:b/>
                <w:bCs/>
                <w:color w:val="FFFFFF"/>
                <w:sz w:val="16"/>
                <w:szCs w:val="16"/>
              </w:rPr>
              <w:t>4.01</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2" w:lineRule="exact"/>
              <w:ind w:right="122"/>
              <w:jc w:val="right"/>
              <w:rPr>
                <w:rFonts w:ascii="Times New Roman" w:hAnsi="Times New Roman" w:cs="Times New Roman"/>
                <w:sz w:val="24"/>
                <w:szCs w:val="24"/>
              </w:rPr>
            </w:pPr>
            <w:r>
              <w:rPr>
                <w:rFonts w:ascii="Arial" w:hAnsi="Arial" w:cs="Arial"/>
                <w:color w:val="FFFFFF"/>
                <w:sz w:val="16"/>
                <w:szCs w:val="16"/>
              </w:rPr>
              <w:t>3.86</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2" w:lineRule="exact"/>
              <w:ind w:right="122"/>
              <w:jc w:val="right"/>
              <w:rPr>
                <w:rFonts w:ascii="Times New Roman" w:hAnsi="Times New Roman" w:cs="Times New Roman"/>
                <w:sz w:val="24"/>
                <w:szCs w:val="24"/>
              </w:rPr>
            </w:pPr>
            <w:r>
              <w:rPr>
                <w:rFonts w:ascii="Arial" w:hAnsi="Arial" w:cs="Arial"/>
                <w:color w:val="FFFFFF"/>
                <w:sz w:val="16"/>
                <w:szCs w:val="16"/>
              </w:rPr>
              <w:t>3.66</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2" w:lineRule="exact"/>
              <w:ind w:right="122"/>
              <w:jc w:val="right"/>
              <w:rPr>
                <w:rFonts w:ascii="Times New Roman" w:hAnsi="Times New Roman" w:cs="Times New Roman"/>
                <w:sz w:val="24"/>
                <w:szCs w:val="24"/>
              </w:rPr>
            </w:pPr>
            <w:r>
              <w:rPr>
                <w:rFonts w:ascii="Arial" w:hAnsi="Arial" w:cs="Arial"/>
                <w:color w:val="FFFFFF"/>
                <w:sz w:val="16"/>
                <w:szCs w:val="16"/>
              </w:rPr>
              <w:t>3.93</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Arial" w:hAnsi="Arial" w:cs="Arial"/>
                <w:color w:val="FFFFFF"/>
                <w:sz w:val="16"/>
                <w:szCs w:val="16"/>
              </w:rPr>
              <w:t>4.11</w:t>
            </w:r>
          </w:p>
        </w:tc>
      </w:tr>
      <w:tr w:rsidR="00000000">
        <w:tblPrEx>
          <w:tblCellMar>
            <w:top w:w="0" w:type="dxa"/>
            <w:left w:w="0" w:type="dxa"/>
            <w:bottom w:w="0" w:type="dxa"/>
            <w:right w:w="0" w:type="dxa"/>
          </w:tblCellMar>
        </w:tblPrEx>
        <w:trPr>
          <w:trHeight w:val="183"/>
        </w:trPr>
        <w:tc>
          <w:tcPr>
            <w:tcW w:w="3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r>
              <w:rPr>
                <w:rFonts w:ascii="Arial" w:hAnsi="Arial" w:cs="Arial"/>
                <w:color w:val="FFFFFF"/>
                <w:sz w:val="16"/>
                <w:szCs w:val="16"/>
              </w:rPr>
              <w:t>Dividends per Common Share</w:t>
            </w: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0" w:lineRule="exact"/>
              <w:ind w:right="125"/>
              <w:jc w:val="right"/>
              <w:rPr>
                <w:rFonts w:ascii="Times New Roman" w:hAnsi="Times New Roman" w:cs="Times New Roman"/>
                <w:sz w:val="24"/>
                <w:szCs w:val="24"/>
              </w:rPr>
            </w:pPr>
            <w:r>
              <w:rPr>
                <w:rFonts w:ascii="Arial" w:hAnsi="Arial" w:cs="Arial"/>
                <w:b/>
                <w:bCs/>
                <w:color w:val="FFFFFF"/>
                <w:sz w:val="16"/>
                <w:szCs w:val="16"/>
              </w:rPr>
              <w:t>2.45</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2" w:lineRule="exact"/>
              <w:ind w:right="122"/>
              <w:jc w:val="right"/>
              <w:rPr>
                <w:rFonts w:ascii="Times New Roman" w:hAnsi="Times New Roman" w:cs="Times New Roman"/>
                <w:sz w:val="24"/>
                <w:szCs w:val="24"/>
              </w:rPr>
            </w:pPr>
            <w:r>
              <w:rPr>
                <w:rFonts w:ascii="Arial" w:hAnsi="Arial" w:cs="Arial"/>
                <w:color w:val="FFFFFF"/>
                <w:sz w:val="16"/>
                <w:szCs w:val="16"/>
              </w:rPr>
              <w:t>2.29</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2" w:lineRule="exact"/>
              <w:ind w:right="122"/>
              <w:jc w:val="right"/>
              <w:rPr>
                <w:rFonts w:ascii="Times New Roman" w:hAnsi="Times New Roman" w:cs="Times New Roman"/>
                <w:sz w:val="24"/>
                <w:szCs w:val="24"/>
              </w:rPr>
            </w:pPr>
            <w:r>
              <w:rPr>
                <w:rFonts w:ascii="Arial" w:hAnsi="Arial" w:cs="Arial"/>
                <w:color w:val="FFFFFF"/>
                <w:sz w:val="16"/>
                <w:szCs w:val="16"/>
              </w:rPr>
              <w:t>2.14</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2" w:lineRule="exact"/>
              <w:ind w:right="122"/>
              <w:jc w:val="right"/>
              <w:rPr>
                <w:rFonts w:ascii="Times New Roman" w:hAnsi="Times New Roman" w:cs="Times New Roman"/>
                <w:sz w:val="24"/>
                <w:szCs w:val="24"/>
              </w:rPr>
            </w:pPr>
            <w:r>
              <w:rPr>
                <w:rFonts w:ascii="Arial" w:hAnsi="Arial" w:cs="Arial"/>
                <w:color w:val="FFFFFF"/>
                <w:sz w:val="16"/>
                <w:szCs w:val="16"/>
              </w:rPr>
              <w:t>1.97</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Arial" w:hAnsi="Arial" w:cs="Arial"/>
                <w:color w:val="FFFFFF"/>
                <w:sz w:val="16"/>
                <w:szCs w:val="16"/>
              </w:rPr>
              <w:t>1.80</w:t>
            </w:r>
          </w:p>
        </w:tc>
      </w:tr>
    </w:tbl>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5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040"/>
        <w:gridCol w:w="940"/>
        <w:gridCol w:w="1240"/>
        <w:gridCol w:w="2080"/>
        <w:gridCol w:w="1260"/>
        <w:gridCol w:w="2080"/>
        <w:gridCol w:w="1140"/>
        <w:gridCol w:w="20"/>
      </w:tblGrid>
      <w:tr w:rsidR="00000000">
        <w:tblPrEx>
          <w:tblCellMar>
            <w:top w:w="0" w:type="dxa"/>
            <w:left w:w="0" w:type="dxa"/>
            <w:bottom w:w="0" w:type="dxa"/>
            <w:right w:w="0" w:type="dxa"/>
          </w:tblCellMar>
        </w:tblPrEx>
        <w:trPr>
          <w:trHeight w:val="172"/>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5"/>
                <w:szCs w:val="15"/>
              </w:rPr>
              <w:t>NET SALES</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Arial" w:hAnsi="Arial" w:cs="Arial"/>
                <w:b/>
                <w:bCs/>
                <w:color w:val="FFFFFF"/>
                <w:sz w:val="15"/>
                <w:szCs w:val="15"/>
              </w:rPr>
              <w:t>OPERATING CASH FLOW</w:t>
            </w:r>
          </w:p>
        </w:tc>
        <w:tc>
          <w:tcPr>
            <w:tcW w:w="1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Arial" w:hAnsi="Arial" w:cs="Arial"/>
                <w:b/>
                <w:bCs/>
                <w:color w:val="FFFFFF"/>
                <w:sz w:val="15"/>
                <w:szCs w:val="15"/>
              </w:rPr>
              <w:t>DILUTED NET EARNINGS</w:t>
            </w: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2"/>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r>
              <w:rPr>
                <w:rFonts w:ascii="Arial" w:hAnsi="Arial" w:cs="Arial"/>
                <w:color w:val="FFFFFF"/>
                <w:sz w:val="13"/>
                <w:szCs w:val="13"/>
              </w:rPr>
              <w:t>($ billions)</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1" w:lineRule="exact"/>
              <w:ind w:left="140"/>
              <w:rPr>
                <w:rFonts w:ascii="Times New Roman" w:hAnsi="Times New Roman" w:cs="Times New Roman"/>
                <w:sz w:val="24"/>
                <w:szCs w:val="24"/>
              </w:rPr>
            </w:pPr>
            <w:r>
              <w:rPr>
                <w:rFonts w:ascii="Arial" w:hAnsi="Arial" w:cs="Arial"/>
                <w:color w:val="FFFFFF"/>
                <w:sz w:val="13"/>
                <w:szCs w:val="13"/>
              </w:rPr>
              <w:t>($ billions)</w:t>
            </w:r>
          </w:p>
        </w:tc>
        <w:tc>
          <w:tcPr>
            <w:tcW w:w="1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1" w:lineRule="exact"/>
              <w:ind w:left="140"/>
              <w:rPr>
                <w:rFonts w:ascii="Times New Roman" w:hAnsi="Times New Roman" w:cs="Times New Roman"/>
                <w:sz w:val="24"/>
                <w:szCs w:val="24"/>
              </w:rPr>
            </w:pPr>
            <w:r>
              <w:rPr>
                <w:rFonts w:ascii="Arial" w:hAnsi="Arial" w:cs="Arial"/>
                <w:color w:val="FFFFFF"/>
                <w:sz w:val="13"/>
                <w:szCs w:val="13"/>
              </w:rPr>
              <w:t>(per common share)</w:t>
            </w: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70"/>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0"/>
              <w:jc w:val="right"/>
              <w:rPr>
                <w:rFonts w:ascii="Times New Roman" w:hAnsi="Times New Roman" w:cs="Times New Roman"/>
                <w:sz w:val="24"/>
                <w:szCs w:val="24"/>
              </w:rPr>
            </w:pPr>
            <w:r>
              <w:rPr>
                <w:rFonts w:ascii="Arial" w:hAnsi="Arial" w:cs="Arial"/>
                <w:color w:val="FFFFFF"/>
                <w:sz w:val="16"/>
                <w:szCs w:val="16"/>
              </w:rPr>
              <w:t>.</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60"/>
              <w:rPr>
                <w:rFonts w:ascii="Times New Roman" w:hAnsi="Times New Roman" w:cs="Times New Roman"/>
                <w:sz w:val="24"/>
                <w:szCs w:val="24"/>
              </w:rPr>
            </w:pPr>
            <w:r>
              <w:rPr>
                <w:rFonts w:ascii="Arial" w:hAnsi="Arial" w:cs="Arial"/>
                <w:color w:val="FFFFFF"/>
                <w:sz w:val="16"/>
                <w:szCs w:val="16"/>
              </w:rPr>
              <w:t>.</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Arial" w:hAnsi="Arial" w:cs="Arial"/>
                <w:color w:val="FFFFFF"/>
                <w:sz w:val="16"/>
                <w:szCs w:val="16"/>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0"/>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0"/>
              <w:jc w:val="right"/>
              <w:rPr>
                <w:rFonts w:ascii="Times New Roman" w:hAnsi="Times New Roman" w:cs="Times New Roman"/>
                <w:sz w:val="24"/>
                <w:szCs w:val="24"/>
              </w:rPr>
            </w:pPr>
            <w:r>
              <w:rPr>
                <w:rFonts w:ascii="Arial" w:hAnsi="Arial" w:cs="Arial"/>
                <w:color w:val="FFFFFF"/>
                <w:sz w:val="16"/>
                <w:szCs w:val="16"/>
              </w:rPr>
              <w:t>.</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0"/>
              <w:rPr>
                <w:rFonts w:ascii="Times New Roman" w:hAnsi="Times New Roman" w:cs="Times New Roman"/>
                <w:sz w:val="24"/>
                <w:szCs w:val="24"/>
              </w:rPr>
            </w:pPr>
            <w:r>
              <w:rPr>
                <w:rFonts w:ascii="Arial" w:hAnsi="Arial" w:cs="Arial"/>
                <w:color w:val="FFFFFF"/>
                <w:sz w:val="16"/>
                <w:szCs w:val="16"/>
              </w:rPr>
              <w:t>.</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40"/>
              <w:rPr>
                <w:rFonts w:ascii="Times New Roman" w:hAnsi="Times New Roman" w:cs="Times New Roman"/>
                <w:sz w:val="24"/>
                <w:szCs w:val="24"/>
              </w:rPr>
            </w:pPr>
            <w:r>
              <w:rPr>
                <w:rFonts w:ascii="Arial" w:hAnsi="Arial" w:cs="Arial"/>
                <w:color w:val="FFFFFF"/>
                <w:sz w:val="16"/>
                <w:szCs w:val="16"/>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0"/>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20"/>
              <w:rPr>
                <w:rFonts w:ascii="Times New Roman" w:hAnsi="Times New Roman" w:cs="Times New Roman"/>
                <w:sz w:val="24"/>
                <w:szCs w:val="24"/>
              </w:rPr>
            </w:pPr>
            <w:r>
              <w:rPr>
                <w:rFonts w:ascii="Arial" w:hAnsi="Arial" w:cs="Arial"/>
                <w:color w:val="FFFFFF"/>
                <w:sz w:val="16"/>
                <w:szCs w:val="16"/>
              </w:rPr>
              <w:t>.</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60"/>
              <w:rPr>
                <w:rFonts w:ascii="Times New Roman" w:hAnsi="Times New Roman" w:cs="Times New Roman"/>
                <w:sz w:val="24"/>
                <w:szCs w:val="24"/>
              </w:rPr>
            </w:pPr>
            <w:r>
              <w:rPr>
                <w:rFonts w:ascii="Arial" w:hAnsi="Arial" w:cs="Arial"/>
                <w:color w:val="FFFFFF"/>
                <w:sz w:val="16"/>
                <w:szCs w:val="16"/>
              </w:rPr>
              <w:t>.</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20"/>
              <w:rPr>
                <w:rFonts w:ascii="Times New Roman" w:hAnsi="Times New Roman" w:cs="Times New Roman"/>
                <w:sz w:val="24"/>
                <w:szCs w:val="24"/>
              </w:rPr>
            </w:pPr>
            <w:r>
              <w:rPr>
                <w:rFonts w:ascii="Arial" w:hAnsi="Arial" w:cs="Arial"/>
                <w:color w:val="FFFFFF"/>
                <w:sz w:val="16"/>
                <w:szCs w:val="16"/>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0"/>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40"/>
              <w:rPr>
                <w:rFonts w:ascii="Times New Roman" w:hAnsi="Times New Roman" w:cs="Times New Roman"/>
                <w:sz w:val="24"/>
                <w:szCs w:val="24"/>
              </w:rPr>
            </w:pPr>
            <w:r>
              <w:rPr>
                <w:rFonts w:ascii="Arial" w:hAnsi="Arial" w:cs="Arial"/>
                <w:color w:val="FFFFFF"/>
                <w:sz w:val="16"/>
                <w:szCs w:val="16"/>
              </w:rPr>
              <w:t>.</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60"/>
              <w:rPr>
                <w:rFonts w:ascii="Times New Roman" w:hAnsi="Times New Roman" w:cs="Times New Roman"/>
                <w:sz w:val="24"/>
                <w:szCs w:val="24"/>
              </w:rPr>
            </w:pPr>
            <w:r>
              <w:rPr>
                <w:rFonts w:ascii="Arial" w:hAnsi="Arial" w:cs="Arial"/>
                <w:color w:val="FFFFFF"/>
                <w:sz w:val="16"/>
                <w:szCs w:val="16"/>
              </w:rPr>
              <w:t>.</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FFFFFF"/>
                <w:sz w:val="16"/>
                <w:szCs w:val="16"/>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0"/>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40"/>
              <w:rPr>
                <w:rFonts w:ascii="Times New Roman" w:hAnsi="Times New Roman" w:cs="Times New Roman"/>
                <w:sz w:val="24"/>
                <w:szCs w:val="24"/>
              </w:rPr>
            </w:pPr>
            <w:r>
              <w:rPr>
                <w:rFonts w:ascii="Arial" w:hAnsi="Arial" w:cs="Arial"/>
                <w:color w:val="FFFFFF"/>
                <w:sz w:val="16"/>
                <w:szCs w:val="16"/>
              </w:rPr>
              <w:t>.</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80"/>
              <w:rPr>
                <w:rFonts w:ascii="Times New Roman" w:hAnsi="Times New Roman" w:cs="Times New Roman"/>
                <w:sz w:val="24"/>
                <w:szCs w:val="24"/>
              </w:rPr>
            </w:pPr>
            <w:r>
              <w:rPr>
                <w:rFonts w:ascii="Arial" w:hAnsi="Arial" w:cs="Arial"/>
                <w:color w:val="FFFFFF"/>
                <w:sz w:val="16"/>
                <w:szCs w:val="16"/>
              </w:rPr>
              <w:t>.</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800"/>
              <w:rPr>
                <w:rFonts w:ascii="Times New Roman" w:hAnsi="Times New Roman" w:cs="Times New Roman"/>
                <w:sz w:val="24"/>
                <w:szCs w:val="24"/>
              </w:rPr>
            </w:pPr>
            <w:r>
              <w:rPr>
                <w:rFonts w:ascii="Arial" w:hAnsi="Arial" w:cs="Arial"/>
                <w:color w:val="FFFFFF"/>
                <w:sz w:val="16"/>
                <w:szCs w:val="16"/>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15"/>
        </w:trPr>
        <w:tc>
          <w:tcPr>
            <w:tcW w:w="19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5"/>
                <w:szCs w:val="15"/>
              </w:rPr>
              <w:t>NET SALES</w:t>
            </w: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17"/>
        </w:trPr>
        <w:tc>
          <w:tcPr>
            <w:tcW w:w="19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5"/>
                <w:szCs w:val="15"/>
              </w:rPr>
              <w:t>BY BUSINESS SEGMENT</w:t>
            </w:r>
            <w:r>
              <w:rPr>
                <w:rFonts w:ascii="Arial" w:hAnsi="Arial" w:cs="Arial"/>
                <w:color w:val="FFFFFF"/>
                <w:sz w:val="18"/>
                <w:szCs w:val="18"/>
                <w:vertAlign w:val="superscript"/>
              </w:rPr>
              <w:t>(  )</w:t>
            </w: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Arial" w:hAnsi="Arial" w:cs="Arial"/>
                <w:color w:val="FFFFFF"/>
                <w:sz w:val="15"/>
                <w:szCs w:val="15"/>
              </w:rPr>
              <w:t>BY GEOGRAPHIC REGION</w:t>
            </w:r>
          </w:p>
        </w:tc>
        <w:tc>
          <w:tcPr>
            <w:tcW w:w="1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Arial" w:hAnsi="Arial" w:cs="Arial"/>
                <w:color w:val="FFFFFF"/>
                <w:sz w:val="15"/>
                <w:szCs w:val="15"/>
              </w:rPr>
              <w:t>BY MARKET MATURITY</w:t>
            </w: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10"/>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60"/>
              <w:jc w:val="right"/>
              <w:rPr>
                <w:rFonts w:ascii="Times New Roman" w:hAnsi="Times New Roman" w:cs="Times New Roman"/>
                <w:sz w:val="24"/>
                <w:szCs w:val="24"/>
              </w:rPr>
            </w:pPr>
            <w:r>
              <w:rPr>
                <w:rFonts w:ascii="Arial" w:hAnsi="Arial" w:cs="Arial"/>
                <w:b/>
                <w:bCs/>
                <w:color w:val="FFFFFF"/>
                <w:sz w:val="12"/>
                <w:szCs w:val="12"/>
              </w:rPr>
              <w:t>24%</w:t>
            </w:r>
          </w:p>
        </w:tc>
        <w:tc>
          <w:tcPr>
            <w:tcW w:w="12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80"/>
              <w:rPr>
                <w:rFonts w:ascii="Times New Roman" w:hAnsi="Times New Roman" w:cs="Times New Roman"/>
                <w:sz w:val="24"/>
                <w:szCs w:val="24"/>
              </w:rPr>
            </w:pPr>
            <w:r>
              <w:rPr>
                <w:rFonts w:ascii="Arial" w:hAnsi="Arial" w:cs="Arial"/>
                <w:color w:val="FFFFFF"/>
                <w:sz w:val="13"/>
                <w:szCs w:val="13"/>
              </w:rPr>
              <w:t>Beauty</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860"/>
              <w:rPr>
                <w:rFonts w:ascii="Times New Roman" w:hAnsi="Times New Roman" w:cs="Times New Roman"/>
                <w:sz w:val="24"/>
                <w:szCs w:val="24"/>
              </w:rPr>
            </w:pPr>
            <w:r>
              <w:rPr>
                <w:rFonts w:ascii="Arial" w:hAnsi="Arial" w:cs="Arial"/>
                <w:b/>
                <w:bCs/>
                <w:color w:val="FFFFFF"/>
                <w:sz w:val="12"/>
                <w:szCs w:val="12"/>
              </w:rPr>
              <w:t>7%</w:t>
            </w:r>
          </w:p>
        </w:tc>
        <w:tc>
          <w:tcPr>
            <w:tcW w:w="12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00"/>
              <w:rPr>
                <w:rFonts w:ascii="Times New Roman" w:hAnsi="Times New Roman" w:cs="Times New Roman"/>
                <w:sz w:val="24"/>
                <w:szCs w:val="24"/>
              </w:rPr>
            </w:pPr>
            <w:r>
              <w:rPr>
                <w:rFonts w:ascii="Arial" w:hAnsi="Arial" w:cs="Arial"/>
                <w:color w:val="FFFFFF"/>
                <w:sz w:val="13"/>
                <w:szCs w:val="13"/>
              </w:rPr>
              <w:t>North America</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1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00"/>
              <w:rPr>
                <w:rFonts w:ascii="Times New Roman" w:hAnsi="Times New Roman" w:cs="Times New Roman"/>
                <w:sz w:val="24"/>
                <w:szCs w:val="24"/>
              </w:rPr>
            </w:pPr>
            <w:r>
              <w:rPr>
                <w:rFonts w:ascii="Arial" w:hAnsi="Arial" w:cs="Arial"/>
                <w:color w:val="FFFFFF"/>
                <w:sz w:val="13"/>
                <w:szCs w:val="13"/>
              </w:rPr>
              <w:t>Developed</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5"/>
        </w:trPr>
        <w:tc>
          <w:tcPr>
            <w:tcW w:w="10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Arial" w:hAnsi="Arial" w:cs="Arial"/>
                <w:b/>
                <w:bCs/>
                <w:color w:val="FFFFFF"/>
                <w:sz w:val="12"/>
                <w:szCs w:val="12"/>
              </w:rPr>
              <w:t>25%</w:t>
            </w:r>
          </w:p>
        </w:tc>
        <w:tc>
          <w:tcPr>
            <w:tcW w:w="9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2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80"/>
              <w:rPr>
                <w:rFonts w:ascii="Times New Roman" w:hAnsi="Times New Roman" w:cs="Times New Roman"/>
                <w:sz w:val="24"/>
                <w:szCs w:val="24"/>
              </w:rPr>
            </w:pPr>
            <w:r>
              <w:rPr>
                <w:rFonts w:ascii="Arial" w:hAnsi="Arial" w:cs="Arial"/>
                <w:b/>
                <w:bCs/>
                <w:color w:val="FFFFFF"/>
                <w:sz w:val="12"/>
                <w:szCs w:val="12"/>
              </w:rPr>
              <w:t>10%</w:t>
            </w:r>
          </w:p>
        </w:tc>
        <w:tc>
          <w:tcPr>
            <w:tcW w:w="12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1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0"/>
        </w:trPr>
        <w:tc>
          <w:tcPr>
            <w:tcW w:w="10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9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12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80"/>
              <w:rPr>
                <w:rFonts w:ascii="Times New Roman" w:hAnsi="Times New Roman" w:cs="Times New Roman"/>
                <w:sz w:val="24"/>
                <w:szCs w:val="24"/>
              </w:rPr>
            </w:pPr>
            <w:r>
              <w:rPr>
                <w:rFonts w:ascii="Arial" w:hAnsi="Arial" w:cs="Arial"/>
                <w:color w:val="FFFFFF"/>
                <w:sz w:val="13"/>
                <w:szCs w:val="13"/>
              </w:rPr>
              <w:t>Grooming</w:t>
            </w:r>
          </w:p>
        </w:tc>
        <w:tc>
          <w:tcPr>
            <w:tcW w:w="20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12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00"/>
              <w:rPr>
                <w:rFonts w:ascii="Times New Roman" w:hAnsi="Times New Roman" w:cs="Times New Roman"/>
                <w:sz w:val="24"/>
                <w:szCs w:val="24"/>
              </w:rPr>
            </w:pPr>
            <w:r>
              <w:rPr>
                <w:rFonts w:ascii="Arial" w:hAnsi="Arial" w:cs="Arial"/>
                <w:color w:val="FFFFFF"/>
                <w:sz w:val="13"/>
                <w:szCs w:val="13"/>
              </w:rPr>
              <w:t>Europe</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11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00"/>
              <w:rPr>
                <w:rFonts w:ascii="Times New Roman" w:hAnsi="Times New Roman" w:cs="Times New Roman"/>
                <w:sz w:val="24"/>
                <w:szCs w:val="24"/>
              </w:rPr>
            </w:pPr>
            <w:r>
              <w:rPr>
                <w:rFonts w:ascii="Arial" w:hAnsi="Arial" w:cs="Arial"/>
                <w:color w:val="FFFFFF"/>
                <w:sz w:val="13"/>
                <w:szCs w:val="13"/>
              </w:rPr>
              <w:t>Developing</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0"/>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4"/>
                <w:szCs w:val="4"/>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4"/>
                <w:szCs w:val="4"/>
              </w:rPr>
            </w:pPr>
          </w:p>
        </w:tc>
        <w:tc>
          <w:tcPr>
            <w:tcW w:w="12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4"/>
                <w:szCs w:val="4"/>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4"/>
                <w:szCs w:val="4"/>
              </w:rPr>
            </w:pPr>
          </w:p>
        </w:tc>
        <w:tc>
          <w:tcPr>
            <w:tcW w:w="12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4"/>
                <w:szCs w:val="4"/>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4"/>
                <w:szCs w:val="4"/>
              </w:rPr>
            </w:pPr>
          </w:p>
        </w:tc>
        <w:tc>
          <w:tcPr>
            <w:tcW w:w="11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80"/>
              <w:rPr>
                <w:rFonts w:ascii="Times New Roman" w:hAnsi="Times New Roman" w:cs="Times New Roman"/>
                <w:sz w:val="24"/>
                <w:szCs w:val="24"/>
              </w:rPr>
            </w:pPr>
            <w:r>
              <w:rPr>
                <w:rFonts w:ascii="Arial" w:hAnsi="Arial" w:cs="Arial"/>
                <w:color w:val="FFFFFF"/>
                <w:sz w:val="13"/>
                <w:szCs w:val="13"/>
              </w:rPr>
              <w:t>Health Care</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380"/>
              <w:rPr>
                <w:rFonts w:ascii="Times New Roman" w:hAnsi="Times New Roman" w:cs="Times New Roman"/>
                <w:sz w:val="24"/>
                <w:szCs w:val="24"/>
              </w:rPr>
            </w:pPr>
            <w:r>
              <w:rPr>
                <w:rFonts w:ascii="Arial" w:hAnsi="Arial" w:cs="Arial"/>
                <w:b/>
                <w:bCs/>
                <w:color w:val="FFFFFF"/>
                <w:sz w:val="12"/>
                <w:szCs w:val="12"/>
              </w:rPr>
              <w:t>39%</w:t>
            </w:r>
          </w:p>
        </w:tc>
        <w:tc>
          <w:tcPr>
            <w:tcW w:w="1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00"/>
              <w:rPr>
                <w:rFonts w:ascii="Times New Roman" w:hAnsi="Times New Roman" w:cs="Times New Roman"/>
                <w:sz w:val="24"/>
                <w:szCs w:val="24"/>
              </w:rPr>
            </w:pPr>
            <w:r>
              <w:rPr>
                <w:rFonts w:ascii="Arial" w:hAnsi="Arial" w:cs="Arial"/>
                <w:color w:val="FFFFFF"/>
                <w:sz w:val="13"/>
                <w:szCs w:val="13"/>
              </w:rPr>
              <w:t>Asia</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60"/>
              <w:rPr>
                <w:rFonts w:ascii="Times New Roman" w:hAnsi="Times New Roman" w:cs="Times New Roman"/>
                <w:sz w:val="24"/>
                <w:szCs w:val="24"/>
              </w:rPr>
            </w:pPr>
            <w:r>
              <w:rPr>
                <w:rFonts w:ascii="Arial" w:hAnsi="Arial" w:cs="Arial"/>
                <w:b/>
                <w:bCs/>
                <w:color w:val="FFFFFF"/>
                <w:sz w:val="12"/>
                <w:szCs w:val="12"/>
              </w:rPr>
              <w:t>39%</w:t>
            </w: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Arial" w:hAnsi="Arial" w:cs="Arial"/>
                <w:b/>
                <w:bCs/>
                <w:color w:val="FFFFFF"/>
                <w:sz w:val="12"/>
                <w:szCs w:val="12"/>
              </w:rPr>
              <w:t>10%</w:t>
            </w: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80"/>
              <w:rPr>
                <w:rFonts w:ascii="Times New Roman" w:hAnsi="Times New Roman" w:cs="Times New Roman"/>
                <w:sz w:val="24"/>
                <w:szCs w:val="24"/>
              </w:rPr>
            </w:pPr>
            <w:r>
              <w:rPr>
                <w:rFonts w:ascii="Arial" w:hAnsi="Arial" w:cs="Arial"/>
                <w:color w:val="FFFFFF"/>
                <w:sz w:val="13"/>
                <w:szCs w:val="13"/>
              </w:rPr>
              <w:t>Fabric Care and</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40"/>
              <w:rPr>
                <w:rFonts w:ascii="Times New Roman" w:hAnsi="Times New Roman" w:cs="Times New Roman"/>
                <w:sz w:val="24"/>
                <w:szCs w:val="24"/>
              </w:rPr>
            </w:pPr>
            <w:r>
              <w:rPr>
                <w:rFonts w:ascii="Arial" w:hAnsi="Arial" w:cs="Arial"/>
                <w:b/>
                <w:bCs/>
                <w:color w:val="FFFFFF"/>
                <w:sz w:val="12"/>
                <w:szCs w:val="12"/>
              </w:rPr>
              <w:t>16%</w:t>
            </w:r>
          </w:p>
        </w:tc>
        <w:tc>
          <w:tcPr>
            <w:tcW w:w="1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00"/>
              <w:rPr>
                <w:rFonts w:ascii="Times New Roman" w:hAnsi="Times New Roman" w:cs="Times New Roman"/>
                <w:sz w:val="24"/>
                <w:szCs w:val="24"/>
              </w:rPr>
            </w:pPr>
            <w:r>
              <w:rPr>
                <w:rFonts w:ascii="Arial" w:hAnsi="Arial" w:cs="Arial"/>
                <w:color w:val="FFFFFF"/>
                <w:sz w:val="13"/>
                <w:szCs w:val="13"/>
              </w:rPr>
              <w:t>Latin America</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6"/>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9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2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80"/>
              <w:rPr>
                <w:rFonts w:ascii="Times New Roman" w:hAnsi="Times New Roman" w:cs="Times New Roman"/>
                <w:sz w:val="24"/>
                <w:szCs w:val="24"/>
              </w:rPr>
            </w:pPr>
            <w:r>
              <w:rPr>
                <w:rFonts w:ascii="Arial" w:hAnsi="Arial" w:cs="Arial"/>
                <w:color w:val="FFFFFF"/>
                <w:sz w:val="13"/>
                <w:szCs w:val="13"/>
              </w:rPr>
              <w:t>Home Care</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2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00"/>
              <w:rPr>
                <w:rFonts w:ascii="Times New Roman" w:hAnsi="Times New Roman" w:cs="Times New Roman"/>
                <w:sz w:val="24"/>
                <w:szCs w:val="24"/>
              </w:rPr>
            </w:pPr>
            <w:r>
              <w:rPr>
                <w:rFonts w:ascii="Arial" w:hAnsi="Arial" w:cs="Arial"/>
                <w:color w:val="FFFFFF"/>
                <w:sz w:val="13"/>
                <w:szCs w:val="13"/>
              </w:rPr>
              <w:t>India, Middle East</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4"/>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12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12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20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300"/>
              <w:rPr>
                <w:rFonts w:ascii="Times New Roman" w:hAnsi="Times New Roman" w:cs="Times New Roman"/>
                <w:sz w:val="24"/>
                <w:szCs w:val="24"/>
              </w:rPr>
            </w:pPr>
            <w:r>
              <w:rPr>
                <w:rFonts w:ascii="Arial" w:hAnsi="Arial" w:cs="Arial"/>
                <w:b/>
                <w:bCs/>
                <w:color w:val="FFFFFF"/>
                <w:sz w:val="12"/>
                <w:szCs w:val="12"/>
              </w:rPr>
              <w:t>61%</w:t>
            </w: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1"/>
        </w:trPr>
        <w:tc>
          <w:tcPr>
            <w:tcW w:w="10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0"/>
              <w:rPr>
                <w:rFonts w:ascii="Times New Roman" w:hAnsi="Times New Roman" w:cs="Times New Roman"/>
                <w:sz w:val="24"/>
                <w:szCs w:val="24"/>
              </w:rPr>
            </w:pPr>
            <w:r>
              <w:rPr>
                <w:rFonts w:ascii="Arial" w:hAnsi="Arial" w:cs="Arial"/>
                <w:b/>
                <w:bCs/>
                <w:color w:val="FFFFFF"/>
                <w:sz w:val="12"/>
                <w:szCs w:val="12"/>
              </w:rPr>
              <w:t>32%</w:t>
            </w:r>
          </w:p>
        </w:tc>
        <w:tc>
          <w:tcPr>
            <w:tcW w:w="9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00"/>
              <w:jc w:val="right"/>
              <w:rPr>
                <w:rFonts w:ascii="Times New Roman" w:hAnsi="Times New Roman" w:cs="Times New Roman"/>
                <w:sz w:val="24"/>
                <w:szCs w:val="24"/>
              </w:rPr>
            </w:pPr>
            <w:r>
              <w:rPr>
                <w:rFonts w:ascii="Arial" w:hAnsi="Arial" w:cs="Arial"/>
                <w:b/>
                <w:bCs/>
                <w:color w:val="FFFFFF"/>
                <w:sz w:val="12"/>
                <w:szCs w:val="12"/>
              </w:rPr>
              <w:t>9%</w:t>
            </w:r>
          </w:p>
        </w:tc>
        <w:tc>
          <w:tcPr>
            <w:tcW w:w="12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80"/>
              <w:rPr>
                <w:rFonts w:ascii="Times New Roman" w:hAnsi="Times New Roman" w:cs="Times New Roman"/>
                <w:sz w:val="24"/>
                <w:szCs w:val="24"/>
              </w:rPr>
            </w:pPr>
            <w:r>
              <w:rPr>
                <w:rFonts w:ascii="Arial" w:hAnsi="Arial" w:cs="Arial"/>
                <w:color w:val="FFFFFF"/>
                <w:sz w:val="13"/>
                <w:szCs w:val="13"/>
              </w:rPr>
              <w:t>Baby, Feminine</w:t>
            </w: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2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9" w:lineRule="exact"/>
              <w:ind w:left="140"/>
              <w:rPr>
                <w:rFonts w:ascii="Times New Roman" w:hAnsi="Times New Roman" w:cs="Times New Roman"/>
                <w:sz w:val="24"/>
                <w:szCs w:val="24"/>
              </w:rPr>
            </w:pPr>
            <w:r>
              <w:rPr>
                <w:rFonts w:ascii="Arial" w:hAnsi="Arial" w:cs="Arial"/>
                <w:color w:val="FFFFFF"/>
                <w:sz w:val="13"/>
                <w:szCs w:val="13"/>
              </w:rPr>
              <w:t>and Africa (IMEA)</w:t>
            </w:r>
          </w:p>
        </w:tc>
        <w:tc>
          <w:tcPr>
            <w:tcW w:w="20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7"/>
        </w:trPr>
        <w:tc>
          <w:tcPr>
            <w:tcW w:w="10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9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12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20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800"/>
              <w:rPr>
                <w:rFonts w:ascii="Times New Roman" w:hAnsi="Times New Roman" w:cs="Times New Roman"/>
                <w:sz w:val="24"/>
                <w:szCs w:val="24"/>
              </w:rPr>
            </w:pPr>
            <w:r>
              <w:rPr>
                <w:rFonts w:ascii="Arial" w:hAnsi="Arial" w:cs="Arial"/>
                <w:b/>
                <w:bCs/>
                <w:color w:val="FFFFFF"/>
                <w:sz w:val="12"/>
                <w:szCs w:val="12"/>
              </w:rPr>
              <w:t>28%</w:t>
            </w:r>
          </w:p>
        </w:tc>
        <w:tc>
          <w:tcPr>
            <w:tcW w:w="12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1"/>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1" w:lineRule="exact"/>
              <w:ind w:left="180"/>
              <w:rPr>
                <w:rFonts w:ascii="Times New Roman" w:hAnsi="Times New Roman" w:cs="Times New Roman"/>
                <w:sz w:val="24"/>
                <w:szCs w:val="24"/>
              </w:rPr>
            </w:pPr>
            <w:r>
              <w:rPr>
                <w:rFonts w:ascii="Arial" w:hAnsi="Arial" w:cs="Arial"/>
                <w:color w:val="FFFFFF"/>
                <w:sz w:val="13"/>
                <w:szCs w:val="13"/>
              </w:rPr>
              <w:t>and Family Care</w:t>
            </w:r>
          </w:p>
        </w:tc>
        <w:tc>
          <w:tcPr>
            <w:tcW w:w="20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5" w:lineRule="auto"/>
        <w:ind w:right="100"/>
        <w:jc w:val="both"/>
        <w:rPr>
          <w:rFonts w:ascii="Times New Roman" w:hAnsi="Times New Roman" w:cs="Times New Roman"/>
          <w:sz w:val="24"/>
          <w:szCs w:val="24"/>
        </w:rPr>
      </w:pPr>
      <w:r>
        <w:rPr>
          <w:rFonts w:ascii="Arial" w:hAnsi="Arial" w:cs="Arial"/>
          <w:color w:val="FFFFFF"/>
          <w:sz w:val="15"/>
          <w:szCs w:val="15"/>
        </w:rPr>
        <w:t>Various forward-looking statements are made in this Annual Report, which generally include the words “</w:t>
      </w:r>
      <w:r>
        <w:rPr>
          <w:rFonts w:ascii="Arial" w:hAnsi="Arial" w:cs="Arial"/>
          <w:color w:val="FFFFFF"/>
          <w:sz w:val="15"/>
          <w:szCs w:val="15"/>
        </w:rPr>
        <w:t>believe,” “expect,” “anticipate,” “intend,” “opportunity,” “plan,” “project,” “will,” “should,” “could,” “would,” “likely,” and similar expressions. Certain factors that may affect these forward-looking statements, including the Company’s ability to achiev</w:t>
      </w:r>
      <w:r>
        <w:rPr>
          <w:rFonts w:ascii="Arial" w:hAnsi="Arial" w:cs="Arial"/>
          <w:color w:val="FFFFFF"/>
          <w:sz w:val="15"/>
          <w:szCs w:val="15"/>
        </w:rPr>
        <w:t>e its goals referred to herein, are discussed on pages – of this Annual Report.</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411" w:right="1020" w:bottom="418" w:left="720" w:header="720" w:footer="720" w:gutter="0"/>
          <w:cols w:space="720" w:equalWidth="0">
            <w:col w:w="9780"/>
          </w:cols>
          <w:noEndnote/>
        </w:sectPr>
      </w:pPr>
    </w:p>
    <w:p w:rsidR="00000000" w:rsidRDefault="0057438D">
      <w:pPr>
        <w:pStyle w:val="DefaultParagraphFont"/>
        <w:widowControl w:val="0"/>
        <w:autoSpaceDE w:val="0"/>
        <w:autoSpaceDN w:val="0"/>
        <w:adjustRightInd w:val="0"/>
        <w:spacing w:after="0" w:line="14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4" w:lineRule="auto"/>
        <w:ind w:right="1180"/>
        <w:rPr>
          <w:rFonts w:ascii="Times New Roman" w:hAnsi="Times New Roman" w:cs="Times New Roman"/>
          <w:sz w:val="24"/>
          <w:szCs w:val="24"/>
        </w:rPr>
      </w:pPr>
      <w:r>
        <w:rPr>
          <w:rFonts w:ascii="Arial" w:hAnsi="Arial" w:cs="Arial"/>
          <w:color w:val="FFFFFF"/>
          <w:sz w:val="14"/>
          <w:szCs w:val="14"/>
        </w:rPr>
        <w:t>( ) Diluted net earnings per share are calculated based on net earnings attributable to Procter &amp; Gamble. ( ) These results exclude net sales in Corporate.</w:t>
      </w:r>
    </w:p>
    <w:p w:rsidR="00000000" w:rsidRDefault="0057438D">
      <w:pPr>
        <w:pStyle w:val="DefaultParagraphFont"/>
        <w:widowControl w:val="0"/>
        <w:autoSpaceDE w:val="0"/>
        <w:autoSpaceDN w:val="0"/>
        <w:adjustRightInd w:val="0"/>
        <w:spacing w:after="0" w:line="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 Brand names referenced in this Annual Report are trademarks of The Procter &amp; Gamble Company or on</w:t>
      </w:r>
      <w:r>
        <w:rPr>
          <w:rFonts w:ascii="Arial" w:hAnsi="Arial" w:cs="Arial"/>
          <w:color w:val="FFFFFF"/>
          <w:sz w:val="13"/>
          <w:szCs w:val="13"/>
        </w:rPr>
        <w:t>e of its subsidiaries.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411" w:right="3520" w:bottom="418" w:left="720" w:header="720" w:footer="720" w:gutter="0"/>
          <w:cols w:space="720" w:equalWidth="0">
            <w:col w:w="72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lastRenderedPageBreak/>
        <w:drawing>
          <wp:anchor distT="0" distB="0" distL="114300" distR="114300" simplePos="0" relativeHeight="251660288" behindDoc="1" locked="0" layoutInCell="0" allowOverlap="1">
            <wp:simplePos x="0" y="0"/>
            <wp:positionH relativeFrom="page">
              <wp:posOffset>0</wp:posOffset>
            </wp:positionH>
            <wp:positionV relativeFrom="page">
              <wp:posOffset>0</wp:posOffset>
            </wp:positionV>
            <wp:extent cx="7315200" cy="9601200"/>
            <wp:effectExtent l="0" t="0" r="0" b="0"/>
            <wp:wrapNone/>
            <wp:docPr id="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7438D">
      <w:pPr>
        <w:pStyle w:val="DefaultParagraphFont"/>
        <w:widowControl w:val="0"/>
        <w:autoSpaceDE w:val="0"/>
        <w:autoSpaceDN w:val="0"/>
        <w:adjustRightInd w:val="0"/>
        <w:spacing w:after="0" w:line="36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ind w:left="6380"/>
        <w:rPr>
          <w:rFonts w:ascii="Times New Roman" w:hAnsi="Times New Roman" w:cs="Times New Roman"/>
          <w:sz w:val="24"/>
          <w:szCs w:val="24"/>
        </w:rPr>
      </w:pPr>
      <w:r>
        <w:rPr>
          <w:rFonts w:ascii="Arial" w:hAnsi="Arial" w:cs="Arial"/>
          <w:b/>
          <w:bCs/>
          <w:color w:val="FFFFFF"/>
        </w:rPr>
        <w:t>A.G. Lafley</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6240"/>
        <w:rPr>
          <w:rFonts w:ascii="Times New Roman" w:hAnsi="Times New Roman" w:cs="Times New Roman"/>
          <w:sz w:val="24"/>
          <w:szCs w:val="24"/>
        </w:rPr>
      </w:pPr>
      <w:r>
        <w:rPr>
          <w:rFonts w:ascii="Arial" w:hAnsi="Arial" w:cs="Arial"/>
          <w:i/>
          <w:iCs/>
          <w:color w:val="FFFFFF"/>
          <w:sz w:val="14"/>
          <w:szCs w:val="14"/>
        </w:rPr>
        <w:t>Chairman of the Board,</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6520"/>
        <w:rPr>
          <w:rFonts w:ascii="Times New Roman" w:hAnsi="Times New Roman" w:cs="Times New Roman"/>
          <w:sz w:val="24"/>
          <w:szCs w:val="24"/>
        </w:rPr>
      </w:pPr>
      <w:r>
        <w:rPr>
          <w:rFonts w:ascii="Arial" w:hAnsi="Arial" w:cs="Arial"/>
          <w:i/>
          <w:iCs/>
          <w:color w:val="FFFFFF"/>
          <w:sz w:val="14"/>
          <w:szCs w:val="14"/>
        </w:rPr>
        <w:t>President and</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6280"/>
        <w:rPr>
          <w:rFonts w:ascii="Times New Roman" w:hAnsi="Times New Roman" w:cs="Times New Roman"/>
          <w:sz w:val="24"/>
          <w:szCs w:val="24"/>
        </w:rPr>
      </w:pPr>
      <w:r>
        <w:rPr>
          <w:rFonts w:ascii="Arial" w:hAnsi="Arial" w:cs="Arial"/>
          <w:i/>
          <w:iCs/>
          <w:color w:val="FFFFFF"/>
          <w:sz w:val="14"/>
          <w:szCs w:val="14"/>
        </w:rPr>
        <w:t>Chief Executive Officer</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7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b/>
          <w:bCs/>
          <w:color w:val="239EC8"/>
          <w:sz w:val="42"/>
          <w:szCs w:val="42"/>
        </w:rPr>
        <w:t>Dear Shareowners,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2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20" w:lineRule="auto"/>
        <w:rPr>
          <w:rFonts w:ascii="Times New Roman" w:hAnsi="Times New Roman" w:cs="Times New Roman"/>
          <w:sz w:val="24"/>
          <w:szCs w:val="24"/>
        </w:rPr>
      </w:pPr>
      <w:r>
        <w:rPr>
          <w:rFonts w:ascii="Arial" w:hAnsi="Arial" w:cs="Arial"/>
          <w:b/>
          <w:bCs/>
          <w:color w:val="004CA0"/>
          <w:sz w:val="26"/>
          <w:szCs w:val="26"/>
        </w:rPr>
        <w:t>At P&amp;G, we are focused on building consumer-preferred brands and products that create value f</w:t>
      </w:r>
      <w:r>
        <w:rPr>
          <w:rFonts w:ascii="Arial" w:hAnsi="Arial" w:cs="Arial"/>
          <w:b/>
          <w:bCs/>
          <w:color w:val="004CA0"/>
          <w:sz w:val="26"/>
          <w:szCs w:val="26"/>
        </w:rPr>
        <w:t xml:space="preserve">or consumers and shareowners. </w:t>
      </w:r>
      <w:r>
        <w:rPr>
          <w:rFonts w:ascii="Arial" w:hAnsi="Arial" w:cs="Arial"/>
          <w:color w:val="239EC8"/>
          <w:sz w:val="26"/>
          <w:szCs w:val="26"/>
        </w:rPr>
        <w:t>Everything begins with consumer</w:t>
      </w:r>
      <w:r>
        <w:rPr>
          <w:rFonts w:ascii="Arial" w:hAnsi="Arial" w:cs="Arial"/>
          <w:b/>
          <w:bCs/>
          <w:color w:val="004CA0"/>
          <w:sz w:val="26"/>
          <w:szCs w:val="26"/>
        </w:rPr>
        <w:t xml:space="preserve"> </w:t>
      </w:r>
      <w:r>
        <w:rPr>
          <w:rFonts w:ascii="Arial" w:hAnsi="Arial" w:cs="Arial"/>
          <w:color w:val="239EC8"/>
          <w:sz w:val="26"/>
          <w:szCs w:val="26"/>
        </w:rPr>
        <w:t xml:space="preserve">understanding and winning at the zero moment of truth when consumers search for our brands, at the first moment of truth when they choose our brands, and at the second moment of truth when they </w:t>
      </w:r>
      <w:r>
        <w:rPr>
          <w:rFonts w:ascii="Arial" w:hAnsi="Arial" w:cs="Arial"/>
          <w:color w:val="239EC8"/>
          <w:sz w:val="26"/>
          <w:szCs w:val="26"/>
        </w:rPr>
        <w:t>use our products. Winning these moments of truth leads to consumer purchase, preference, regular usage and long-term loyalty. This is how we create value for consumers, build leadership brands and businesses, and create value for P&amp;G shareowners.</w:t>
      </w:r>
    </w:p>
    <w:p w:rsidR="00000000" w:rsidRDefault="0057438D">
      <w:pPr>
        <w:pStyle w:val="DefaultParagraphFont"/>
        <w:widowControl w:val="0"/>
        <w:autoSpaceDE w:val="0"/>
        <w:autoSpaceDN w:val="0"/>
        <w:adjustRightInd w:val="0"/>
        <w:spacing w:after="0" w:line="2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20" w:lineRule="auto"/>
        <w:ind w:right="340"/>
        <w:rPr>
          <w:rFonts w:ascii="Times New Roman" w:hAnsi="Times New Roman" w:cs="Times New Roman"/>
          <w:sz w:val="24"/>
          <w:szCs w:val="24"/>
        </w:rPr>
      </w:pPr>
      <w:r>
        <w:rPr>
          <w:rFonts w:ascii="Arial" w:hAnsi="Arial" w:cs="Arial"/>
          <w:color w:val="239EC8"/>
          <w:sz w:val="26"/>
          <w:szCs w:val="26"/>
        </w:rPr>
        <w:t>We met our business and financial objectives for fiscal year . Organic sales grew %, in line with the market. Core earnings per share increased %. We generated $ . billion of free cash flow, with % free cash flow productivity. We increased the dividend % —</w:t>
      </w:r>
      <w:r>
        <w:rPr>
          <w:rFonts w:ascii="Arial" w:hAnsi="Arial" w:cs="Arial"/>
          <w:color w:val="239EC8"/>
          <w:sz w:val="26"/>
          <w:szCs w:val="26"/>
        </w:rPr>
        <w:t xml:space="preserve"> the th consecutive year that P&amp;G’s dividend has been increased — and we returned $ . billion in cash to shareowners through $ . billion in dividends and $ billion in share repurchase.</w:t>
      </w:r>
    </w:p>
    <w:p w:rsidR="00000000" w:rsidRDefault="0057438D">
      <w:pPr>
        <w:pStyle w:val="DefaultParagraphFont"/>
        <w:widowControl w:val="0"/>
        <w:autoSpaceDE w:val="0"/>
        <w:autoSpaceDN w:val="0"/>
        <w:adjustRightInd w:val="0"/>
        <w:spacing w:after="0" w:line="27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20" w:lineRule="auto"/>
        <w:ind w:right="300"/>
        <w:rPr>
          <w:rFonts w:ascii="Times New Roman" w:hAnsi="Times New Roman" w:cs="Times New Roman"/>
          <w:sz w:val="24"/>
          <w:szCs w:val="24"/>
        </w:rPr>
      </w:pPr>
      <w:r>
        <w:rPr>
          <w:rFonts w:ascii="Arial" w:hAnsi="Arial" w:cs="Arial"/>
          <w:color w:val="239EC8"/>
          <w:sz w:val="26"/>
          <w:szCs w:val="26"/>
        </w:rPr>
        <w:t>We delivered commitments, but we know we can do better. We need to con</w:t>
      </w:r>
      <w:r>
        <w:rPr>
          <w:rFonts w:ascii="Arial" w:hAnsi="Arial" w:cs="Arial"/>
          <w:color w:val="239EC8"/>
          <w:sz w:val="26"/>
          <w:szCs w:val="26"/>
        </w:rPr>
        <w:t>tinue to lead innovation, drive productivity, and improve execution in brand building, product innovation, selling and sourcing. When we do, we will generate stronger sales growth and more reliable value creation — profit and cash flow.</w:t>
      </w:r>
    </w:p>
    <w:p w:rsidR="00000000" w:rsidRDefault="0057438D">
      <w:pPr>
        <w:pStyle w:val="DefaultParagraphFont"/>
        <w:widowControl w:val="0"/>
        <w:autoSpaceDE w:val="0"/>
        <w:autoSpaceDN w:val="0"/>
        <w:adjustRightInd w:val="0"/>
        <w:spacing w:after="0" w:line="27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19" w:lineRule="auto"/>
        <w:ind w:right="620"/>
        <w:rPr>
          <w:rFonts w:ascii="Times New Roman" w:hAnsi="Times New Roman" w:cs="Times New Roman"/>
          <w:sz w:val="24"/>
          <w:szCs w:val="24"/>
        </w:rPr>
      </w:pPr>
      <w:r>
        <w:rPr>
          <w:rFonts w:ascii="Arial" w:hAnsi="Arial" w:cs="Arial"/>
          <w:color w:val="239EC8"/>
          <w:sz w:val="26"/>
          <w:szCs w:val="26"/>
        </w:rPr>
        <w:t>To accelerate perf</w:t>
      </w:r>
      <w:r>
        <w:rPr>
          <w:rFonts w:ascii="Arial" w:hAnsi="Arial" w:cs="Arial"/>
          <w:color w:val="239EC8"/>
          <w:sz w:val="26"/>
          <w:szCs w:val="26"/>
        </w:rPr>
        <w:t>ormance improvement, we are taking an important strategic step forward in the Company’s business and brand portfolio.</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440" w:right="800" w:bottom="954" w:left="1080" w:header="720" w:footer="720" w:gutter="0"/>
          <w:cols w:space="720" w:equalWidth="0">
            <w:col w:w="9640"/>
          </w:cols>
          <w:noEndnote/>
        </w:sect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4"/>
          <w:szCs w:val="14"/>
        </w:rPr>
        <w:t>2  The Procter &amp; Gamble Company</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7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006FBA"/>
          <w:sz w:val="24"/>
          <w:szCs w:val="24"/>
        </w:rPr>
        <w:t>A Focused Company of Leading Brands</w:t>
      </w:r>
    </w:p>
    <w:p w:rsidR="00000000" w:rsidRDefault="0057438D">
      <w:pPr>
        <w:pStyle w:val="DefaultParagraphFont"/>
        <w:widowControl w:val="0"/>
        <w:autoSpaceDE w:val="0"/>
        <w:autoSpaceDN w:val="0"/>
        <w:adjustRightInd w:val="0"/>
        <w:spacing w:after="0" w:line="12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54" w:lineRule="auto"/>
        <w:ind w:right="180"/>
        <w:jc w:val="both"/>
        <w:rPr>
          <w:rFonts w:ascii="Times New Roman" w:hAnsi="Times New Roman" w:cs="Times New Roman"/>
          <w:sz w:val="24"/>
          <w:szCs w:val="24"/>
        </w:rPr>
      </w:pPr>
      <w:r>
        <w:rPr>
          <w:rFonts w:ascii="Arial" w:hAnsi="Arial" w:cs="Arial"/>
          <w:sz w:val="15"/>
          <w:szCs w:val="15"/>
        </w:rPr>
        <w:t>P&amp;G will become a simpler, more focused Company of to brands, organized into about a dozen businesses and four industry-based sectors. We will compete in businesses that are structurally attractive and best leverage our core capabilities.</w:t>
      </w:r>
    </w:p>
    <w:p w:rsidR="00000000" w:rsidRDefault="0057438D">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61" w:lineRule="auto"/>
        <w:ind w:right="80"/>
        <w:rPr>
          <w:rFonts w:ascii="Times New Roman" w:hAnsi="Times New Roman" w:cs="Times New Roman"/>
          <w:sz w:val="24"/>
          <w:szCs w:val="24"/>
        </w:rPr>
      </w:pPr>
      <w:r>
        <w:rPr>
          <w:rFonts w:ascii="Arial" w:hAnsi="Arial" w:cs="Arial"/>
          <w:sz w:val="15"/>
          <w:szCs w:val="15"/>
        </w:rPr>
        <w:t>Within these bus</w:t>
      </w:r>
      <w:r>
        <w:rPr>
          <w:rFonts w:ascii="Arial" w:hAnsi="Arial" w:cs="Arial"/>
          <w:sz w:val="15"/>
          <w:szCs w:val="15"/>
        </w:rPr>
        <w:t xml:space="preserve">inesses, we will focus on leading brands or brands with leadership potential, marketed in the right countries where the size of prize and probability of winning is highest, with products that sell. We will discontinue or divest businesses, brands, product </w:t>
      </w:r>
      <w:r>
        <w:rPr>
          <w:rFonts w:ascii="Arial" w:hAnsi="Arial" w:cs="Arial"/>
          <w:sz w:val="15"/>
          <w:szCs w:val="15"/>
        </w:rPr>
        <w:t>lines, and unproductive products that are structurally unattractive or that don’t fully play to our strengths.</w:t>
      </w:r>
    </w:p>
    <w:p w:rsidR="00000000" w:rsidRDefault="0057438D">
      <w:pPr>
        <w:pStyle w:val="DefaultParagraphFont"/>
        <w:widowControl w:val="0"/>
        <w:autoSpaceDE w:val="0"/>
        <w:autoSpaceDN w:val="0"/>
        <w:adjustRightInd w:val="0"/>
        <w:spacing w:after="0" w:line="10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4" w:lineRule="auto"/>
        <w:rPr>
          <w:rFonts w:ascii="Times New Roman" w:hAnsi="Times New Roman" w:cs="Times New Roman"/>
          <w:sz w:val="24"/>
          <w:szCs w:val="24"/>
        </w:rPr>
      </w:pPr>
      <w:r>
        <w:rPr>
          <w:rFonts w:ascii="Arial" w:hAnsi="Arial" w:cs="Arial"/>
          <w:sz w:val="16"/>
          <w:szCs w:val="16"/>
        </w:rPr>
        <w:t>Every brand we plan to keep is strategic, with the potential to grow and deliver value creation. These core to brands are leaders in their indus</w:t>
      </w:r>
      <w:r>
        <w:rPr>
          <w:rFonts w:ascii="Arial" w:hAnsi="Arial" w:cs="Arial"/>
          <w:sz w:val="16"/>
          <w:szCs w:val="16"/>
        </w:rPr>
        <w:t>tries, businesses or segments. They offer differentiated products and have a track record of growth and value creation driven by product innovation and brand preference. They generate nearly % of current P&amp;G sales and more than % of current profit. They ha</w:t>
      </w:r>
      <w:r>
        <w:rPr>
          <w:rFonts w:ascii="Arial" w:hAnsi="Arial" w:cs="Arial"/>
          <w:sz w:val="16"/>
          <w:szCs w:val="16"/>
        </w:rPr>
        <w:t xml:space="preserve">ve grown sales one point faster, with a higher profit margin than the balance of the Company during the past three years. The to brands we plan to exit have declining sales of </w:t>
      </w:r>
      <w:r>
        <w:rPr>
          <w:rFonts w:ascii="Arial" w:hAnsi="Arial" w:cs="Arial"/>
          <w:sz w:val="16"/>
          <w:szCs w:val="16"/>
        </w:rPr>
        <w:t>−</w:t>
      </w:r>
      <w:r>
        <w:rPr>
          <w:rFonts w:ascii="Arial" w:hAnsi="Arial" w:cs="Arial"/>
          <w:sz w:val="16"/>
          <w:szCs w:val="16"/>
        </w:rPr>
        <w:t xml:space="preserve"> %, declining profits of </w:t>
      </w:r>
      <w:r>
        <w:rPr>
          <w:rFonts w:ascii="Arial" w:hAnsi="Arial" w:cs="Arial"/>
          <w:sz w:val="16"/>
          <w:szCs w:val="16"/>
        </w:rPr>
        <w:t>−</w:t>
      </w:r>
      <w:r>
        <w:rPr>
          <w:rFonts w:ascii="Arial" w:hAnsi="Arial" w:cs="Arial"/>
          <w:sz w:val="16"/>
          <w:szCs w:val="16"/>
        </w:rPr>
        <w:t xml:space="preserve"> % and half the average Company margin during the pas</w:t>
      </w:r>
      <w:r>
        <w:rPr>
          <w:rFonts w:ascii="Arial" w:hAnsi="Arial" w:cs="Arial"/>
          <w:sz w:val="16"/>
          <w:szCs w:val="16"/>
        </w:rPr>
        <w:t>t three years.</w:t>
      </w:r>
    </w:p>
    <w:p w:rsidR="00000000" w:rsidRDefault="0057438D">
      <w:pPr>
        <w:pStyle w:val="DefaultParagraphFont"/>
        <w:widowControl w:val="0"/>
        <w:autoSpaceDE w:val="0"/>
        <w:autoSpaceDN w:val="0"/>
        <w:adjustRightInd w:val="0"/>
        <w:spacing w:after="0" w:line="11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61" w:lineRule="auto"/>
        <w:ind w:right="80"/>
        <w:rPr>
          <w:rFonts w:ascii="Times New Roman" w:hAnsi="Times New Roman" w:cs="Times New Roman"/>
          <w:sz w:val="24"/>
          <w:szCs w:val="24"/>
        </w:rPr>
      </w:pPr>
      <w:r>
        <w:rPr>
          <w:rFonts w:ascii="Arial" w:hAnsi="Arial" w:cs="Arial"/>
          <w:sz w:val="15"/>
          <w:szCs w:val="15"/>
        </w:rPr>
        <w:t>This strategic step will focus our innovation efforts, brand building, and supply network on fewer, more important brands. It will focus our selling resources on brands that really matter to consumers and retail customers, on businesses whe</w:t>
      </w:r>
      <w:r>
        <w:rPr>
          <w:rFonts w:ascii="Arial" w:hAnsi="Arial" w:cs="Arial"/>
          <w:sz w:val="15"/>
          <w:szCs w:val="15"/>
        </w:rPr>
        <w:t>re we know how to win. It will provide consumers with a better shopping experience by simplifying shelf sets. It will improve service and</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5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5" w:lineRule="auto"/>
        <w:rPr>
          <w:rFonts w:ascii="Times New Roman" w:hAnsi="Times New Roman" w:cs="Times New Roman"/>
          <w:sz w:val="24"/>
          <w:szCs w:val="24"/>
        </w:rPr>
      </w:pPr>
      <w:r>
        <w:rPr>
          <w:rFonts w:ascii="Arial" w:hAnsi="Arial" w:cs="Arial"/>
          <w:sz w:val="18"/>
          <w:szCs w:val="18"/>
        </w:rPr>
        <w:t>growth for retail customers. All of these outcomes will accelerate growth and value creation.</w:t>
      </w:r>
    </w:p>
    <w:p w:rsidR="00000000" w:rsidRDefault="0057438D">
      <w:pPr>
        <w:pStyle w:val="DefaultParagraphFont"/>
        <w:widowControl w:val="0"/>
        <w:autoSpaceDE w:val="0"/>
        <w:autoSpaceDN w:val="0"/>
        <w:adjustRightInd w:val="0"/>
        <w:spacing w:after="0" w:line="14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5" w:lineRule="auto"/>
        <w:ind w:right="160"/>
        <w:rPr>
          <w:rFonts w:ascii="Times New Roman" w:hAnsi="Times New Roman" w:cs="Times New Roman"/>
          <w:sz w:val="24"/>
          <w:szCs w:val="24"/>
        </w:rPr>
      </w:pPr>
      <w:r>
        <w:rPr>
          <w:rFonts w:ascii="Arial" w:hAnsi="Arial" w:cs="Arial"/>
          <w:sz w:val="18"/>
          <w:szCs w:val="18"/>
        </w:rPr>
        <w:t>We will create a faster growing, more profitable Company that is far simpler to manage.</w:t>
      </w:r>
    </w:p>
    <w:p w:rsidR="00000000" w:rsidRDefault="0057438D">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b/>
          <w:bCs/>
          <w:color w:val="006FBA"/>
          <w:sz w:val="26"/>
          <w:szCs w:val="26"/>
        </w:rPr>
        <w:t>A Far More Productive Company</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3" w:lineRule="auto"/>
        <w:ind w:right="240"/>
        <w:rPr>
          <w:rFonts w:ascii="Times New Roman" w:hAnsi="Times New Roman" w:cs="Times New Roman"/>
          <w:sz w:val="24"/>
          <w:szCs w:val="24"/>
        </w:rPr>
      </w:pPr>
      <w:r>
        <w:rPr>
          <w:rFonts w:ascii="Arial" w:hAnsi="Arial" w:cs="Arial"/>
          <w:sz w:val="18"/>
          <w:szCs w:val="18"/>
        </w:rPr>
        <w:t xml:space="preserve">As a result of the Company’s strategic focus on leading brands, we will accelerate and </w:t>
      </w:r>
      <w:r>
        <w:rPr>
          <w:rFonts w:ascii="Arial" w:hAnsi="Arial" w:cs="Arial"/>
          <w:sz w:val="18"/>
          <w:szCs w:val="18"/>
        </w:rPr>
        <w:t>over-deliver the original $ billion productivity plan we announced in . We see significant savings potential ahead across all spending elements — cost of goods sold, marketing spending, and overhead — for the next several years.</w:t>
      </w: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6" w:lineRule="auto"/>
        <w:ind w:right="80"/>
        <w:rPr>
          <w:rFonts w:ascii="Times New Roman" w:hAnsi="Times New Roman" w:cs="Times New Roman"/>
          <w:sz w:val="24"/>
          <w:szCs w:val="24"/>
        </w:rPr>
      </w:pPr>
      <w:r>
        <w:rPr>
          <w:rFonts w:ascii="Arial" w:hAnsi="Arial" w:cs="Arial"/>
          <w:sz w:val="16"/>
          <w:szCs w:val="16"/>
        </w:rPr>
        <w:t xml:space="preserve">In cost of goods sold, we </w:t>
      </w:r>
      <w:r>
        <w:rPr>
          <w:rFonts w:ascii="Arial" w:hAnsi="Arial" w:cs="Arial"/>
          <w:sz w:val="16"/>
          <w:szCs w:val="16"/>
        </w:rPr>
        <w:t>are already achieving productivity improvements beyond our original savings objectives. Better manufacturing reliability and adherence to quality standards are resulting in less raw material usage and reduced finished product scrapping. Increasing localiza</w:t>
      </w:r>
      <w:r>
        <w:rPr>
          <w:rFonts w:ascii="Arial" w:hAnsi="Arial" w:cs="Arial"/>
          <w:sz w:val="16"/>
          <w:szCs w:val="16"/>
        </w:rPr>
        <w:t>tion of the supply chain is driving savings in transportation and warehousing costs.</w:t>
      </w:r>
    </w:p>
    <w:p w:rsidR="00000000" w:rsidRDefault="0057438D">
      <w:pPr>
        <w:pStyle w:val="DefaultParagraphFont"/>
        <w:widowControl w:val="0"/>
        <w:autoSpaceDE w:val="0"/>
        <w:autoSpaceDN w:val="0"/>
        <w:adjustRightInd w:val="0"/>
        <w:spacing w:after="0" w:line="11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5" w:lineRule="auto"/>
        <w:ind w:right="120"/>
        <w:rPr>
          <w:rFonts w:ascii="Times New Roman" w:hAnsi="Times New Roman" w:cs="Times New Roman"/>
          <w:sz w:val="24"/>
          <w:szCs w:val="24"/>
        </w:rPr>
      </w:pPr>
      <w:r>
        <w:rPr>
          <w:rFonts w:ascii="Arial" w:hAnsi="Arial" w:cs="Arial"/>
          <w:sz w:val="16"/>
          <w:szCs w:val="16"/>
        </w:rPr>
        <w:t>Earlier this year, we initiated what is probably the biggest supply chain redesign in the Company’s history, starting in North America. We’re moving from primarily single</w:t>
      </w:r>
      <w:r>
        <w:rPr>
          <w:rFonts w:ascii="Arial" w:hAnsi="Arial" w:cs="Arial"/>
          <w:sz w:val="16"/>
          <w:szCs w:val="16"/>
        </w:rPr>
        <w:t>-category production sites to fewer multi-category production plants. We’re simplifying, standardizing and upgrading manufacturing platforms for faster innovation, qualification and expansion, and improved product quality.</w:t>
      </w:r>
    </w:p>
    <w:p w:rsidR="00000000" w:rsidRDefault="0057438D">
      <w:pPr>
        <w:pStyle w:val="DefaultParagraphFont"/>
        <w:widowControl w:val="0"/>
        <w:autoSpaceDE w:val="0"/>
        <w:autoSpaceDN w:val="0"/>
        <w:adjustRightInd w:val="0"/>
        <w:spacing w:after="0" w:line="11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51" w:lineRule="auto"/>
        <w:ind w:right="220"/>
        <w:rPr>
          <w:rFonts w:ascii="Times New Roman" w:hAnsi="Times New Roman" w:cs="Times New Roman"/>
          <w:sz w:val="24"/>
          <w:szCs w:val="24"/>
        </w:rPr>
      </w:pPr>
      <w:r>
        <w:rPr>
          <w:rFonts w:ascii="Arial" w:hAnsi="Arial" w:cs="Arial"/>
          <w:sz w:val="16"/>
          <w:szCs w:val="16"/>
        </w:rPr>
        <w:t>We’</w:t>
      </w:r>
      <w:r>
        <w:rPr>
          <w:rFonts w:ascii="Arial" w:hAnsi="Arial" w:cs="Arial"/>
          <w:sz w:val="16"/>
          <w:szCs w:val="16"/>
        </w:rPr>
        <w:t>re transforming our distribution network, starting with North America. We’re moving from shipping products to retail</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691" w:right="1080" w:bottom="40" w:left="720" w:header="720" w:footer="720" w:gutter="0"/>
          <w:cols w:num="2" w:space="500" w:equalWidth="0">
            <w:col w:w="4600" w:space="500"/>
            <w:col w:w="4620"/>
          </w:cols>
          <w:noEndnote/>
        </w:sectPr>
      </w:pPr>
      <w:r>
        <w:rPr>
          <w:noProof/>
        </w:rPr>
        <w:drawing>
          <wp:anchor distT="0" distB="0" distL="114300" distR="114300" simplePos="0" relativeHeight="251661312" behindDoc="1" locked="0" layoutInCell="0" allowOverlap="1">
            <wp:simplePos x="0" y="0"/>
            <wp:positionH relativeFrom="column">
              <wp:posOffset>-3695065</wp:posOffset>
            </wp:positionH>
            <wp:positionV relativeFrom="paragraph">
              <wp:posOffset>622300</wp:posOffset>
            </wp:positionV>
            <wp:extent cx="7315200" cy="3136900"/>
            <wp:effectExtent l="0" t="0" r="0" b="6350"/>
            <wp:wrapNone/>
            <wp:docPr id="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15200" cy="31369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75"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740"/>
        <w:gridCol w:w="5080"/>
      </w:tblGrid>
      <w:tr w:rsidR="00000000">
        <w:tblPrEx>
          <w:tblCellMar>
            <w:top w:w="0" w:type="dxa"/>
            <w:left w:w="0" w:type="dxa"/>
            <w:bottom w:w="0" w:type="dxa"/>
            <w:right w:w="0" w:type="dxa"/>
          </w:tblCellMar>
        </w:tblPrEx>
        <w:trPr>
          <w:trHeight w:val="230"/>
        </w:trPr>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29" w:lineRule="exact"/>
              <w:ind w:right="1330"/>
              <w:jc w:val="center"/>
              <w:rPr>
                <w:rFonts w:ascii="Times New Roman" w:hAnsi="Times New Roman" w:cs="Times New Roman"/>
                <w:sz w:val="24"/>
                <w:szCs w:val="24"/>
              </w:rPr>
            </w:pPr>
            <w:r>
              <w:rPr>
                <w:rFonts w:ascii="Arial" w:hAnsi="Arial" w:cs="Arial"/>
                <w:color w:val="FFFFFF"/>
                <w:w w:val="92"/>
                <w:sz w:val="14"/>
                <w:szCs w:val="14"/>
              </w:rPr>
              <w:t xml:space="preserve">Joining </w:t>
            </w:r>
            <w:r>
              <w:rPr>
                <w:rFonts w:ascii="Arial" w:hAnsi="Arial" w:cs="Arial"/>
                <w:b/>
                <w:bCs/>
                <w:color w:val="FFFFFF"/>
                <w:w w:val="92"/>
                <w:sz w:val="13"/>
                <w:szCs w:val="13"/>
              </w:rPr>
              <w:t>Tide</w:t>
            </w:r>
            <w:r>
              <w:rPr>
                <w:rFonts w:ascii="Arial" w:hAnsi="Arial" w:cs="Arial"/>
                <w:b/>
                <w:bCs/>
                <w:color w:val="FFFFFF"/>
                <w:w w:val="92"/>
                <w:sz w:val="20"/>
                <w:szCs w:val="20"/>
                <w:vertAlign w:val="superscript"/>
              </w:rPr>
              <w:t>*</w:t>
            </w:r>
            <w:r>
              <w:rPr>
                <w:rFonts w:ascii="Arial" w:hAnsi="Arial" w:cs="Arial"/>
                <w:color w:val="FFFFFF"/>
                <w:w w:val="92"/>
                <w:sz w:val="14"/>
                <w:szCs w:val="14"/>
              </w:rPr>
              <w:t xml:space="preserve"> and </w:t>
            </w:r>
            <w:r>
              <w:rPr>
                <w:rFonts w:ascii="Arial" w:hAnsi="Arial" w:cs="Arial"/>
                <w:b/>
                <w:bCs/>
                <w:color w:val="FFFFFF"/>
                <w:w w:val="92"/>
                <w:sz w:val="13"/>
                <w:szCs w:val="13"/>
              </w:rPr>
              <w:t>Ariel</w:t>
            </w:r>
            <w:r>
              <w:rPr>
                <w:rFonts w:ascii="Arial" w:hAnsi="Arial" w:cs="Arial"/>
                <w:b/>
                <w:bCs/>
                <w:color w:val="FFFFFF"/>
                <w:w w:val="92"/>
                <w:sz w:val="20"/>
                <w:szCs w:val="20"/>
                <w:vertAlign w:val="superscript"/>
              </w:rPr>
              <w:t>*</w:t>
            </w:r>
            <w:r>
              <w:rPr>
                <w:rFonts w:ascii="Arial" w:hAnsi="Arial" w:cs="Arial"/>
                <w:color w:val="FFFFFF"/>
                <w:w w:val="92"/>
                <w:sz w:val="14"/>
                <w:szCs w:val="14"/>
              </w:rPr>
              <w:t xml:space="preserve"> in the unit dose laundry detergent</w:t>
            </w:r>
          </w:p>
        </w:tc>
        <w:tc>
          <w:tcPr>
            <w:tcW w:w="5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29" w:lineRule="exact"/>
              <w:ind w:left="1311"/>
              <w:jc w:val="center"/>
              <w:rPr>
                <w:rFonts w:ascii="Times New Roman" w:hAnsi="Times New Roman" w:cs="Times New Roman"/>
                <w:sz w:val="24"/>
                <w:szCs w:val="24"/>
              </w:rPr>
            </w:pPr>
            <w:r>
              <w:rPr>
                <w:rFonts w:ascii="Arial" w:hAnsi="Arial" w:cs="Arial"/>
                <w:b/>
                <w:bCs/>
                <w:color w:val="FFFFFF"/>
                <w:w w:val="93"/>
                <w:sz w:val="14"/>
                <w:szCs w:val="14"/>
              </w:rPr>
              <w:t>Head &amp; Shoulders</w:t>
            </w:r>
            <w:r>
              <w:rPr>
                <w:rFonts w:ascii="Arial" w:hAnsi="Arial" w:cs="Arial"/>
                <w:b/>
                <w:bCs/>
                <w:color w:val="FFFFFF"/>
                <w:w w:val="93"/>
                <w:sz w:val="20"/>
                <w:szCs w:val="20"/>
                <w:vertAlign w:val="superscript"/>
              </w:rPr>
              <w:t>*</w:t>
            </w:r>
            <w:r>
              <w:rPr>
                <w:rFonts w:ascii="Arial" w:hAnsi="Arial" w:cs="Arial"/>
                <w:color w:val="FFFFFF"/>
                <w:w w:val="93"/>
                <w:sz w:val="14"/>
                <w:szCs w:val="14"/>
              </w:rPr>
              <w:t>, the world’s #  selling shampoo, has been</w:t>
            </w:r>
          </w:p>
        </w:tc>
      </w:tr>
      <w:tr w:rsidR="00000000">
        <w:tblPrEx>
          <w:tblCellMar>
            <w:top w:w="0" w:type="dxa"/>
            <w:left w:w="0" w:type="dxa"/>
            <w:bottom w:w="0" w:type="dxa"/>
            <w:right w:w="0" w:type="dxa"/>
          </w:tblCellMar>
        </w:tblPrEx>
        <w:trPr>
          <w:trHeight w:val="180"/>
        </w:trPr>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9" w:lineRule="exact"/>
              <w:ind w:right="1310"/>
              <w:jc w:val="center"/>
              <w:rPr>
                <w:rFonts w:ascii="Times New Roman" w:hAnsi="Times New Roman" w:cs="Times New Roman"/>
                <w:sz w:val="24"/>
                <w:szCs w:val="24"/>
              </w:rPr>
            </w:pPr>
            <w:r>
              <w:rPr>
                <w:rFonts w:ascii="Arial" w:hAnsi="Arial" w:cs="Arial"/>
                <w:color w:val="FFFFFF"/>
                <w:w w:val="93"/>
                <w:sz w:val="14"/>
                <w:szCs w:val="14"/>
              </w:rPr>
              <w:t xml:space="preserve">segment, one </w:t>
            </w:r>
            <w:r>
              <w:rPr>
                <w:rFonts w:ascii="Arial" w:hAnsi="Arial" w:cs="Arial"/>
                <w:b/>
                <w:bCs/>
                <w:color w:val="FFFFFF"/>
                <w:w w:val="93"/>
                <w:sz w:val="13"/>
                <w:szCs w:val="13"/>
              </w:rPr>
              <w:t>Gain Flings!</w:t>
            </w:r>
            <w:r>
              <w:rPr>
                <w:rFonts w:ascii="Arial" w:hAnsi="Arial" w:cs="Arial"/>
                <w:b/>
                <w:bCs/>
                <w:color w:val="FFFFFF"/>
                <w:w w:val="93"/>
                <w:sz w:val="20"/>
                <w:szCs w:val="20"/>
                <w:vertAlign w:val="superscript"/>
              </w:rPr>
              <w:t>*</w:t>
            </w:r>
            <w:r>
              <w:rPr>
                <w:rFonts w:ascii="Arial" w:hAnsi="Arial" w:cs="Arial"/>
                <w:color w:val="FFFFFF"/>
                <w:w w:val="93"/>
                <w:sz w:val="14"/>
                <w:szCs w:val="14"/>
              </w:rPr>
              <w:t xml:space="preserve"> pac offers twice the cleaning</w:t>
            </w:r>
          </w:p>
        </w:tc>
        <w:tc>
          <w:tcPr>
            <w:tcW w:w="5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left="1311"/>
              <w:jc w:val="center"/>
              <w:rPr>
                <w:rFonts w:ascii="Times New Roman" w:hAnsi="Times New Roman" w:cs="Times New Roman"/>
                <w:sz w:val="24"/>
                <w:szCs w:val="24"/>
              </w:rPr>
            </w:pPr>
            <w:r>
              <w:rPr>
                <w:rFonts w:ascii="Arial" w:hAnsi="Arial" w:cs="Arial"/>
                <w:color w:val="FFFFFF"/>
                <w:w w:val="95"/>
                <w:sz w:val="14"/>
                <w:szCs w:val="14"/>
              </w:rPr>
              <w:t>a leader for over   years with products such as Classic Clean</w:t>
            </w:r>
          </w:p>
        </w:tc>
      </w:tr>
      <w:tr w:rsidR="00000000">
        <w:tblPrEx>
          <w:tblCellMar>
            <w:top w:w="0" w:type="dxa"/>
            <w:left w:w="0" w:type="dxa"/>
            <w:bottom w:w="0" w:type="dxa"/>
            <w:right w:w="0" w:type="dxa"/>
          </w:tblCellMar>
        </w:tblPrEx>
        <w:trPr>
          <w:trHeight w:val="159"/>
        </w:trPr>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right="1310"/>
              <w:jc w:val="center"/>
              <w:rPr>
                <w:rFonts w:ascii="Times New Roman" w:hAnsi="Times New Roman" w:cs="Times New Roman"/>
                <w:sz w:val="24"/>
                <w:szCs w:val="24"/>
              </w:rPr>
            </w:pPr>
            <w:r>
              <w:rPr>
                <w:rFonts w:ascii="Arial" w:hAnsi="Arial" w:cs="Arial"/>
                <w:color w:val="FFFFFF"/>
                <w:w w:val="95"/>
                <w:sz w:val="14"/>
                <w:szCs w:val="14"/>
              </w:rPr>
              <w:t>ingredients of one dose of original Gain liquid. Our unit</w:t>
            </w:r>
          </w:p>
        </w:tc>
        <w:tc>
          <w:tcPr>
            <w:tcW w:w="5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left="1311"/>
              <w:jc w:val="center"/>
              <w:rPr>
                <w:rFonts w:ascii="Times New Roman" w:hAnsi="Times New Roman" w:cs="Times New Roman"/>
                <w:sz w:val="24"/>
                <w:szCs w:val="24"/>
              </w:rPr>
            </w:pPr>
            <w:r>
              <w:rPr>
                <w:rFonts w:ascii="Arial" w:hAnsi="Arial" w:cs="Arial"/>
                <w:color w:val="FFFFFF"/>
                <w:w w:val="93"/>
                <w:sz w:val="14"/>
                <w:szCs w:val="14"/>
              </w:rPr>
              <w:t>shampoo and conditioner.</w:t>
            </w:r>
            <w:r>
              <w:rPr>
                <w:rFonts w:ascii="Arial" w:hAnsi="Arial" w:cs="Arial"/>
                <w:color w:val="FFFFFF"/>
                <w:w w:val="93"/>
                <w:sz w:val="14"/>
                <w:szCs w:val="14"/>
              </w:rPr>
              <w:t xml:space="preserve"> This year, we introduced Fresh Scent</w:t>
            </w:r>
          </w:p>
        </w:tc>
      </w:tr>
      <w:tr w:rsidR="00000000">
        <w:tblPrEx>
          <w:tblCellMar>
            <w:top w:w="0" w:type="dxa"/>
            <w:left w:w="0" w:type="dxa"/>
            <w:bottom w:w="0" w:type="dxa"/>
            <w:right w:w="0" w:type="dxa"/>
          </w:tblCellMar>
        </w:tblPrEx>
        <w:trPr>
          <w:trHeight w:val="180"/>
        </w:trPr>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10"/>
              <w:jc w:val="center"/>
              <w:rPr>
                <w:rFonts w:ascii="Times New Roman" w:hAnsi="Times New Roman" w:cs="Times New Roman"/>
                <w:sz w:val="24"/>
                <w:szCs w:val="24"/>
              </w:rPr>
            </w:pPr>
            <w:r>
              <w:rPr>
                <w:rFonts w:ascii="Arial" w:hAnsi="Arial" w:cs="Arial"/>
                <w:color w:val="FFFFFF"/>
                <w:w w:val="98"/>
                <w:sz w:val="14"/>
                <w:szCs w:val="14"/>
              </w:rPr>
              <w:t>dose detergents span more than   countries worldwide,</w:t>
            </w:r>
          </w:p>
        </w:tc>
        <w:tc>
          <w:tcPr>
            <w:tcW w:w="5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0" w:lineRule="exact"/>
              <w:ind w:left="1331"/>
              <w:jc w:val="center"/>
              <w:rPr>
                <w:rFonts w:ascii="Times New Roman" w:hAnsi="Times New Roman" w:cs="Times New Roman"/>
                <w:sz w:val="24"/>
                <w:szCs w:val="24"/>
              </w:rPr>
            </w:pPr>
            <w:r>
              <w:rPr>
                <w:rFonts w:ascii="Arial" w:hAnsi="Arial" w:cs="Arial"/>
                <w:color w:val="FFFFFF"/>
                <w:w w:val="92"/>
                <w:sz w:val="14"/>
                <w:szCs w:val="14"/>
              </w:rPr>
              <w:t>Technology, which delivers an enhanced sensorial experience</w:t>
            </w:r>
          </w:p>
        </w:tc>
      </w:tr>
      <w:tr w:rsidR="00000000">
        <w:tblPrEx>
          <w:tblCellMar>
            <w:top w:w="0" w:type="dxa"/>
            <w:left w:w="0" w:type="dxa"/>
            <w:bottom w:w="0" w:type="dxa"/>
            <w:right w:w="0" w:type="dxa"/>
          </w:tblCellMar>
        </w:tblPrEx>
        <w:trPr>
          <w:trHeight w:val="180"/>
        </w:trPr>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0" w:lineRule="exact"/>
              <w:ind w:right="1310"/>
              <w:jc w:val="center"/>
              <w:rPr>
                <w:rFonts w:ascii="Times New Roman" w:hAnsi="Times New Roman" w:cs="Times New Roman"/>
                <w:sz w:val="24"/>
                <w:szCs w:val="24"/>
              </w:rPr>
            </w:pPr>
            <w:r>
              <w:rPr>
                <w:rFonts w:ascii="Arial" w:hAnsi="Arial" w:cs="Arial"/>
                <w:color w:val="FFFFFF"/>
                <w:w w:val="96"/>
                <w:sz w:val="14"/>
                <w:szCs w:val="14"/>
              </w:rPr>
              <w:t>with well over $  billion in retail sales.</w:t>
            </w:r>
          </w:p>
        </w:tc>
        <w:tc>
          <w:tcPr>
            <w:tcW w:w="5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0" w:lineRule="exact"/>
              <w:ind w:left="1311"/>
              <w:jc w:val="center"/>
              <w:rPr>
                <w:rFonts w:ascii="Times New Roman" w:hAnsi="Times New Roman" w:cs="Times New Roman"/>
                <w:sz w:val="24"/>
                <w:szCs w:val="24"/>
              </w:rPr>
            </w:pPr>
            <w:r>
              <w:rPr>
                <w:rFonts w:ascii="Arial" w:hAnsi="Arial" w:cs="Arial"/>
                <w:color w:val="FFFFFF"/>
                <w:w w:val="94"/>
                <w:sz w:val="14"/>
                <w:szCs w:val="14"/>
              </w:rPr>
              <w:t>without compromising superior scalp and hair care efficacy.</w:t>
            </w: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691" w:right="800" w:bottom="40" w:left="900" w:header="720" w:footer="720" w:gutter="0"/>
          <w:cols w:space="500" w:equalWidth="0">
            <w:col w:w="9820" w:space="50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2336" behindDoc="1" locked="0" layoutInCell="0" allowOverlap="1">
            <wp:simplePos x="0" y="0"/>
            <wp:positionH relativeFrom="page">
              <wp:posOffset>0</wp:posOffset>
            </wp:positionH>
            <wp:positionV relativeFrom="page">
              <wp:posOffset>196850</wp:posOffset>
            </wp:positionV>
            <wp:extent cx="7315200" cy="9404350"/>
            <wp:effectExtent l="0" t="0" r="0" b="6350"/>
            <wp:wrapNone/>
            <wp:docPr id="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15200" cy="9404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5" w:lineRule="auto"/>
        <w:ind w:left="940" w:right="920"/>
        <w:jc w:val="center"/>
        <w:rPr>
          <w:rFonts w:ascii="Times New Roman" w:hAnsi="Times New Roman" w:cs="Times New Roman"/>
          <w:sz w:val="24"/>
          <w:szCs w:val="24"/>
        </w:rPr>
      </w:pPr>
      <w:r>
        <w:rPr>
          <w:rFonts w:ascii="Arial" w:hAnsi="Arial" w:cs="Arial"/>
          <w:i/>
          <w:iCs/>
          <w:color w:val="E6C3DD"/>
          <w:sz w:val="23"/>
          <w:szCs w:val="23"/>
        </w:rPr>
        <w:t>We see significant savings potential ahead across all spending elements — cost of goods sold, marketing spending, and overhead — for the next several years.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7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5" w:lineRule="auto"/>
        <w:rPr>
          <w:rFonts w:ascii="Times New Roman" w:hAnsi="Times New Roman" w:cs="Times New Roman"/>
          <w:sz w:val="24"/>
          <w:szCs w:val="24"/>
        </w:rPr>
      </w:pPr>
      <w:r>
        <w:rPr>
          <w:rFonts w:ascii="Arial" w:hAnsi="Arial" w:cs="Arial"/>
          <w:sz w:val="16"/>
          <w:szCs w:val="16"/>
        </w:rPr>
        <w:t>customers from many different points —</w:t>
      </w:r>
      <w:r>
        <w:rPr>
          <w:rFonts w:ascii="Arial" w:hAnsi="Arial" w:cs="Arial"/>
          <w:sz w:val="16"/>
          <w:szCs w:val="16"/>
        </w:rPr>
        <w:t xml:space="preserve"> as if they were coming from different companies — to consolidating shipping into fewer distribution centers. These centers are located strategically closer to customers and key population centers in the U.S., enabling about % of the business to be within </w:t>
      </w:r>
      <w:r>
        <w:rPr>
          <w:rFonts w:ascii="Arial" w:hAnsi="Arial" w:cs="Arial"/>
          <w:sz w:val="16"/>
          <w:szCs w:val="16"/>
        </w:rPr>
        <w:t>one day or less of the store shelf and the shopper. This will allow both P&amp;G and our customers to optimize inventory levels while improving service and product availability for consumers.</w:t>
      </w:r>
    </w:p>
    <w:p w:rsidR="00000000" w:rsidRDefault="0057438D">
      <w:pPr>
        <w:pStyle w:val="DefaultParagraphFont"/>
        <w:widowControl w:val="0"/>
        <w:autoSpaceDE w:val="0"/>
        <w:autoSpaceDN w:val="0"/>
        <w:adjustRightInd w:val="0"/>
        <w:spacing w:after="0" w:line="11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7" w:lineRule="auto"/>
        <w:ind w:right="60"/>
        <w:rPr>
          <w:rFonts w:ascii="Times New Roman" w:hAnsi="Times New Roman" w:cs="Times New Roman"/>
          <w:sz w:val="24"/>
          <w:szCs w:val="24"/>
        </w:rPr>
      </w:pPr>
      <w:r>
        <w:rPr>
          <w:rFonts w:ascii="Arial" w:hAnsi="Arial" w:cs="Arial"/>
          <w:sz w:val="16"/>
          <w:szCs w:val="16"/>
        </w:rPr>
        <w:t>To manage and operate this simpler brand port</w:t>
      </w:r>
      <w:r>
        <w:rPr>
          <w:rFonts w:ascii="Arial" w:hAnsi="Arial" w:cs="Arial"/>
          <w:sz w:val="16"/>
          <w:szCs w:val="16"/>
        </w:rPr>
        <w:t>folio, we have made several important organization design choices — four industry-based sectors; streamlining business units and selling operations; recombining four brand building functions into one; and reducing hierarchy, with all of the business unit a</w:t>
      </w:r>
      <w:r>
        <w:rPr>
          <w:rFonts w:ascii="Arial" w:hAnsi="Arial" w:cs="Arial"/>
          <w:sz w:val="16"/>
          <w:szCs w:val="16"/>
        </w:rPr>
        <w:t>nd selling</w:t>
      </w: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br w:type="column"/>
      </w:r>
      <w:r>
        <w:rPr>
          <w:rFonts w:ascii="Arial" w:hAnsi="Arial" w:cs="Arial"/>
          <w:sz w:val="14"/>
          <w:szCs w:val="14"/>
        </w:rPr>
        <w:t>The Procter &amp; Gamble Company  3</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9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5" w:lineRule="auto"/>
        <w:ind w:right="60"/>
        <w:rPr>
          <w:rFonts w:ascii="Times New Roman" w:hAnsi="Times New Roman" w:cs="Times New Roman"/>
          <w:sz w:val="24"/>
          <w:szCs w:val="24"/>
        </w:rPr>
      </w:pPr>
      <w:r>
        <w:rPr>
          <w:rFonts w:ascii="Arial" w:hAnsi="Arial" w:cs="Arial"/>
          <w:sz w:val="16"/>
          <w:szCs w:val="16"/>
        </w:rPr>
        <w:t>operations leaders reporting to the CEO. Each of these changes reduces complexity, and creates clearer accountability for performance and results. We’re just beginning to benefit from the productivity opportun</w:t>
      </w:r>
      <w:r>
        <w:rPr>
          <w:rFonts w:ascii="Arial" w:hAnsi="Arial" w:cs="Arial"/>
          <w:sz w:val="16"/>
          <w:szCs w:val="16"/>
        </w:rPr>
        <w:t>ities that these organization changes create. We’ve reduced roles by % — more than % above the original objective, and two years sooner than planned. This is strong progress, and we see more opportunity ahead.</w:t>
      </w:r>
    </w:p>
    <w:p w:rsidR="00000000" w:rsidRDefault="0057438D">
      <w:pPr>
        <w:pStyle w:val="DefaultParagraphFont"/>
        <w:widowControl w:val="0"/>
        <w:autoSpaceDE w:val="0"/>
        <w:autoSpaceDN w:val="0"/>
        <w:adjustRightInd w:val="0"/>
        <w:spacing w:after="0" w:line="11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5" w:lineRule="auto"/>
        <w:ind w:right="60"/>
        <w:rPr>
          <w:rFonts w:ascii="Times New Roman" w:hAnsi="Times New Roman" w:cs="Times New Roman"/>
          <w:sz w:val="24"/>
          <w:szCs w:val="24"/>
        </w:rPr>
      </w:pPr>
      <w:r>
        <w:rPr>
          <w:rFonts w:ascii="Arial" w:hAnsi="Arial" w:cs="Arial"/>
          <w:sz w:val="16"/>
          <w:szCs w:val="16"/>
        </w:rPr>
        <w:t>We’</w:t>
      </w:r>
      <w:r>
        <w:rPr>
          <w:rFonts w:ascii="Arial" w:hAnsi="Arial" w:cs="Arial"/>
          <w:sz w:val="16"/>
          <w:szCs w:val="16"/>
        </w:rPr>
        <w:t>re starting to improve marketing efficiency and effectiveness through an optimized media mix with more digital, mobile, search and social presence, improved message clarity and greater savings in non-media spending. We believe we have more opportunity to i</w:t>
      </w:r>
      <w:r>
        <w:rPr>
          <w:rFonts w:ascii="Arial" w:hAnsi="Arial" w:cs="Arial"/>
          <w:sz w:val="16"/>
          <w:szCs w:val="16"/>
        </w:rPr>
        <w:t>mprove marketing efficiency — in both media and non-media areas — while increasing overall marketing effectiveness and improving sales growth.</w:t>
      </w:r>
    </w:p>
    <w:p w:rsidR="00000000" w:rsidRDefault="0057438D">
      <w:pPr>
        <w:pStyle w:val="DefaultParagraphFont"/>
        <w:widowControl w:val="0"/>
        <w:autoSpaceDE w:val="0"/>
        <w:autoSpaceDN w:val="0"/>
        <w:adjustRightInd w:val="0"/>
        <w:spacing w:after="0" w:line="19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b/>
          <w:bCs/>
          <w:color w:val="006FBA"/>
          <w:sz w:val="26"/>
          <w:szCs w:val="26"/>
        </w:rPr>
        <w:t>A Company Driven by Innovation</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7" w:lineRule="auto"/>
        <w:ind w:right="80"/>
        <w:rPr>
          <w:rFonts w:ascii="Times New Roman" w:hAnsi="Times New Roman" w:cs="Times New Roman"/>
          <w:sz w:val="24"/>
          <w:szCs w:val="24"/>
        </w:rPr>
      </w:pPr>
      <w:r>
        <w:rPr>
          <w:rFonts w:ascii="Arial" w:hAnsi="Arial" w:cs="Arial"/>
          <w:sz w:val="16"/>
          <w:szCs w:val="16"/>
        </w:rPr>
        <w:t>When we get brand and product innovation right, source and sell brands and produ</w:t>
      </w:r>
      <w:r>
        <w:rPr>
          <w:rFonts w:ascii="Arial" w:hAnsi="Arial" w:cs="Arial"/>
          <w:sz w:val="16"/>
          <w:szCs w:val="16"/>
        </w:rPr>
        <w:t>cts effectively and efficiently, we grow and drive meaningful value creation. We generate higher sales and profit per unit, which enables us to capture a greater share of the value — profit and cash — where we choose to compete.</w:t>
      </w:r>
    </w:p>
    <w:p w:rsidR="00000000" w:rsidRDefault="0057438D">
      <w:pPr>
        <w:pStyle w:val="DefaultParagraphFont"/>
        <w:widowControl w:val="0"/>
        <w:autoSpaceDE w:val="0"/>
        <w:autoSpaceDN w:val="0"/>
        <w:adjustRightInd w:val="0"/>
        <w:spacing w:after="0" w:line="11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60" w:lineRule="auto"/>
        <w:ind w:right="20"/>
        <w:rPr>
          <w:rFonts w:ascii="Times New Roman" w:hAnsi="Times New Roman" w:cs="Times New Roman"/>
          <w:sz w:val="24"/>
          <w:szCs w:val="24"/>
        </w:rPr>
      </w:pPr>
      <w:r>
        <w:rPr>
          <w:rFonts w:ascii="Arial" w:hAnsi="Arial" w:cs="Arial"/>
          <w:sz w:val="15"/>
          <w:szCs w:val="15"/>
        </w:rPr>
        <w:t xml:space="preserve">It is this share of value </w:t>
      </w:r>
      <w:r>
        <w:rPr>
          <w:rFonts w:ascii="Arial" w:hAnsi="Arial" w:cs="Arial"/>
          <w:sz w:val="15"/>
          <w:szCs w:val="15"/>
        </w:rPr>
        <w:t>— the share of profit generated in a category — that we want to capture. We have about a % share of U.S. laundry market sales, but earn approximately % of the profit and cash generated in the category. We have a nearly % share of blades and razors sales gl</w:t>
      </w:r>
      <w:r>
        <w:rPr>
          <w:rFonts w:ascii="Arial" w:hAnsi="Arial" w:cs="Arial"/>
          <w:sz w:val="15"/>
          <w:szCs w:val="15"/>
        </w:rPr>
        <w:t>obally — and a % share of value or profit. We earn a higher share of profit as a direct result of our innovation-focused business strategy and business models.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691" w:right="720" w:bottom="0" w:left="1080" w:header="720" w:footer="720" w:gutter="0"/>
          <w:cols w:num="2" w:space="500" w:equalWidth="0">
            <w:col w:w="4600" w:space="500"/>
            <w:col w:w="462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7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660"/>
        <w:gridCol w:w="5140"/>
      </w:tblGrid>
      <w:tr w:rsidR="00000000">
        <w:tblPrEx>
          <w:tblCellMar>
            <w:top w:w="0" w:type="dxa"/>
            <w:left w:w="0" w:type="dxa"/>
            <w:bottom w:w="0" w:type="dxa"/>
            <w:right w:w="0" w:type="dxa"/>
          </w:tblCellMar>
        </w:tblPrEx>
        <w:trPr>
          <w:trHeight w:val="230"/>
        </w:trPr>
        <w:tc>
          <w:tcPr>
            <w:tcW w:w="4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29" w:lineRule="exact"/>
              <w:ind w:right="993"/>
              <w:jc w:val="center"/>
              <w:rPr>
                <w:rFonts w:ascii="Times New Roman" w:hAnsi="Times New Roman" w:cs="Times New Roman"/>
                <w:sz w:val="24"/>
                <w:szCs w:val="24"/>
              </w:rPr>
            </w:pPr>
            <w:r>
              <w:rPr>
                <w:rFonts w:ascii="Arial" w:hAnsi="Arial" w:cs="Arial"/>
                <w:b/>
                <w:bCs/>
                <w:color w:val="FFFFFF"/>
                <w:w w:val="94"/>
                <w:sz w:val="14"/>
                <w:szCs w:val="14"/>
              </w:rPr>
              <w:t>Pampers</w:t>
            </w:r>
            <w:r>
              <w:rPr>
                <w:rFonts w:ascii="Arial" w:hAnsi="Arial" w:cs="Arial"/>
                <w:b/>
                <w:bCs/>
                <w:color w:val="FFFFFF"/>
                <w:w w:val="94"/>
                <w:sz w:val="20"/>
                <w:szCs w:val="20"/>
                <w:vertAlign w:val="superscript"/>
              </w:rPr>
              <w:t>*</w:t>
            </w:r>
            <w:r>
              <w:rPr>
                <w:rFonts w:ascii="Arial" w:hAnsi="Arial" w:cs="Arial"/>
                <w:b/>
                <w:bCs/>
                <w:color w:val="FFFFFF"/>
                <w:w w:val="94"/>
                <w:sz w:val="14"/>
                <w:szCs w:val="14"/>
              </w:rPr>
              <w:t xml:space="preserve"> </w:t>
            </w:r>
            <w:r>
              <w:rPr>
                <w:rFonts w:ascii="Arial" w:hAnsi="Arial" w:cs="Arial"/>
                <w:color w:val="FFFFFF"/>
                <w:w w:val="94"/>
                <w:sz w:val="14"/>
                <w:szCs w:val="14"/>
              </w:rPr>
              <w:t>continues to upgrade the comfort, absorbency and</w:t>
            </w:r>
          </w:p>
        </w:tc>
        <w:tc>
          <w:tcPr>
            <w:tcW w:w="5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29" w:lineRule="exact"/>
              <w:ind w:left="993"/>
              <w:jc w:val="center"/>
              <w:rPr>
                <w:rFonts w:ascii="Times New Roman" w:hAnsi="Times New Roman" w:cs="Times New Roman"/>
                <w:sz w:val="24"/>
                <w:szCs w:val="24"/>
              </w:rPr>
            </w:pPr>
            <w:r>
              <w:rPr>
                <w:rFonts w:ascii="Arial" w:hAnsi="Arial" w:cs="Arial"/>
                <w:color w:val="FFFFFF"/>
                <w:w w:val="94"/>
                <w:sz w:val="14"/>
                <w:szCs w:val="14"/>
              </w:rPr>
              <w:t>Gillette</w:t>
            </w:r>
            <w:r>
              <w:rPr>
                <w:rFonts w:ascii="Arial" w:hAnsi="Arial" w:cs="Arial"/>
                <w:color w:val="FFFFFF"/>
                <w:w w:val="94"/>
                <w:sz w:val="20"/>
                <w:szCs w:val="20"/>
                <w:vertAlign w:val="superscript"/>
              </w:rPr>
              <w:t>*</w:t>
            </w:r>
            <w:r>
              <w:rPr>
                <w:rFonts w:ascii="Arial" w:hAnsi="Arial" w:cs="Arial"/>
                <w:color w:val="FFFFFF"/>
                <w:w w:val="94"/>
                <w:sz w:val="14"/>
                <w:szCs w:val="14"/>
              </w:rPr>
              <w:t xml:space="preserve"> is once again changing the face of shaving with</w:t>
            </w:r>
          </w:p>
        </w:tc>
      </w:tr>
      <w:tr w:rsidR="00000000">
        <w:tblPrEx>
          <w:tblCellMar>
            <w:top w:w="0" w:type="dxa"/>
            <w:left w:w="0" w:type="dxa"/>
            <w:bottom w:w="0" w:type="dxa"/>
            <w:right w:w="0" w:type="dxa"/>
          </w:tblCellMar>
        </w:tblPrEx>
        <w:trPr>
          <w:trHeight w:val="180"/>
        </w:trPr>
        <w:tc>
          <w:tcPr>
            <w:tcW w:w="4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9" w:lineRule="exact"/>
              <w:ind w:right="993"/>
              <w:jc w:val="center"/>
              <w:rPr>
                <w:rFonts w:ascii="Times New Roman" w:hAnsi="Times New Roman" w:cs="Times New Roman"/>
                <w:sz w:val="24"/>
                <w:szCs w:val="24"/>
              </w:rPr>
            </w:pPr>
            <w:r>
              <w:rPr>
                <w:rFonts w:ascii="Arial" w:hAnsi="Arial" w:cs="Arial"/>
                <w:color w:val="FFFFFF"/>
                <w:w w:val="91"/>
                <w:sz w:val="14"/>
                <w:szCs w:val="14"/>
              </w:rPr>
              <w:t>design of its line-up. Pampers Swaddlers — the #  choice</w:t>
            </w:r>
            <w:r>
              <w:rPr>
                <w:rFonts w:ascii="Arial" w:hAnsi="Arial" w:cs="Arial"/>
                <w:color w:val="FFFFFF"/>
                <w:w w:val="91"/>
                <w:sz w:val="16"/>
                <w:szCs w:val="16"/>
                <w:vertAlign w:val="superscript"/>
              </w:rPr>
              <w:t>†</w:t>
            </w:r>
            <w:r>
              <w:rPr>
                <w:rFonts w:ascii="Arial" w:hAnsi="Arial" w:cs="Arial"/>
                <w:color w:val="FFFFFF"/>
                <w:w w:val="91"/>
                <w:sz w:val="14"/>
                <w:szCs w:val="14"/>
              </w:rPr>
              <w:t xml:space="preserve"> of</w:t>
            </w:r>
          </w:p>
        </w:tc>
        <w:tc>
          <w:tcPr>
            <w:tcW w:w="5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9" w:lineRule="exact"/>
              <w:ind w:left="993"/>
              <w:jc w:val="center"/>
              <w:rPr>
                <w:rFonts w:ascii="Times New Roman" w:hAnsi="Times New Roman" w:cs="Times New Roman"/>
                <w:sz w:val="24"/>
                <w:szCs w:val="24"/>
              </w:rPr>
            </w:pPr>
            <w:r>
              <w:rPr>
                <w:rFonts w:ascii="Arial" w:hAnsi="Arial" w:cs="Arial"/>
                <w:b/>
                <w:bCs/>
                <w:color w:val="FFFFFF"/>
                <w:w w:val="91"/>
                <w:sz w:val="14"/>
                <w:szCs w:val="14"/>
              </w:rPr>
              <w:t>Gillette Fusion ProGlide</w:t>
            </w:r>
            <w:r>
              <w:rPr>
                <w:rFonts w:ascii="Arial" w:hAnsi="Arial" w:cs="Arial"/>
                <w:b/>
                <w:bCs/>
                <w:color w:val="FFFFFF"/>
                <w:w w:val="91"/>
                <w:sz w:val="16"/>
                <w:szCs w:val="16"/>
                <w:vertAlign w:val="superscript"/>
              </w:rPr>
              <w:t>*</w:t>
            </w:r>
            <w:r>
              <w:rPr>
                <w:rFonts w:ascii="Arial" w:hAnsi="Arial" w:cs="Arial"/>
                <w:b/>
                <w:bCs/>
                <w:color w:val="FFFFFF"/>
                <w:w w:val="91"/>
                <w:sz w:val="14"/>
                <w:szCs w:val="14"/>
              </w:rPr>
              <w:t xml:space="preserve"> with FlexBall</w:t>
            </w:r>
            <w:r>
              <w:rPr>
                <w:rFonts w:ascii="Arial" w:hAnsi="Arial" w:cs="Arial"/>
                <w:b/>
                <w:bCs/>
                <w:color w:val="FFFFFF"/>
                <w:w w:val="91"/>
                <w:sz w:val="16"/>
                <w:szCs w:val="16"/>
                <w:vertAlign w:val="superscript"/>
              </w:rPr>
              <w:t>*</w:t>
            </w:r>
            <w:r>
              <w:rPr>
                <w:rFonts w:ascii="Arial" w:hAnsi="Arial" w:cs="Arial"/>
                <w:b/>
                <w:bCs/>
                <w:color w:val="FFFFFF"/>
                <w:w w:val="91"/>
                <w:sz w:val="14"/>
                <w:szCs w:val="14"/>
              </w:rPr>
              <w:t xml:space="preserve"> Technology</w:t>
            </w:r>
            <w:r>
              <w:rPr>
                <w:rFonts w:ascii="Arial" w:hAnsi="Arial" w:cs="Arial"/>
                <w:color w:val="FFFFFF"/>
                <w:w w:val="91"/>
                <w:sz w:val="14"/>
                <w:szCs w:val="14"/>
              </w:rPr>
              <w:t>, which allows</w:t>
            </w:r>
          </w:p>
        </w:tc>
      </w:tr>
      <w:tr w:rsidR="00000000">
        <w:tblPrEx>
          <w:tblCellMar>
            <w:top w:w="0" w:type="dxa"/>
            <w:left w:w="0" w:type="dxa"/>
            <w:bottom w:w="0" w:type="dxa"/>
            <w:right w:w="0" w:type="dxa"/>
          </w:tblCellMar>
        </w:tblPrEx>
        <w:trPr>
          <w:trHeight w:val="180"/>
        </w:trPr>
        <w:tc>
          <w:tcPr>
            <w:tcW w:w="4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right="993"/>
              <w:jc w:val="center"/>
              <w:rPr>
                <w:rFonts w:ascii="Times New Roman" w:hAnsi="Times New Roman" w:cs="Times New Roman"/>
                <w:sz w:val="24"/>
                <w:szCs w:val="24"/>
              </w:rPr>
            </w:pPr>
            <w:r>
              <w:rPr>
                <w:rFonts w:ascii="Arial" w:hAnsi="Arial" w:cs="Arial"/>
                <w:color w:val="FFFFFF"/>
                <w:w w:val="96"/>
                <w:sz w:val="14"/>
                <w:szCs w:val="14"/>
              </w:rPr>
              <w:t>hospitals —</w:t>
            </w:r>
            <w:r>
              <w:rPr>
                <w:rFonts w:ascii="Arial" w:hAnsi="Arial" w:cs="Arial"/>
                <w:color w:val="FFFFFF"/>
                <w:w w:val="96"/>
                <w:sz w:val="14"/>
                <w:szCs w:val="14"/>
              </w:rPr>
              <w:t xml:space="preserve"> recently expanded into sizes  ,  and  , and now</w:t>
            </w:r>
          </w:p>
        </w:tc>
        <w:tc>
          <w:tcPr>
            <w:tcW w:w="5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9" w:lineRule="exact"/>
              <w:ind w:left="973"/>
              <w:jc w:val="center"/>
              <w:rPr>
                <w:rFonts w:ascii="Times New Roman" w:hAnsi="Times New Roman" w:cs="Times New Roman"/>
                <w:sz w:val="24"/>
                <w:szCs w:val="24"/>
              </w:rPr>
            </w:pPr>
            <w:r>
              <w:rPr>
                <w:rFonts w:ascii="Arial" w:hAnsi="Arial" w:cs="Arial"/>
                <w:color w:val="FFFFFF"/>
                <w:w w:val="89"/>
                <w:sz w:val="14"/>
                <w:szCs w:val="14"/>
              </w:rPr>
              <w:t>each cartridge to make maximum contact over contours</w:t>
            </w:r>
            <w:r>
              <w:rPr>
                <w:rFonts w:ascii="Arial" w:hAnsi="Arial" w:cs="Arial"/>
                <w:color w:val="FFFFFF"/>
                <w:w w:val="89"/>
                <w:sz w:val="16"/>
                <w:szCs w:val="16"/>
                <w:vertAlign w:val="superscript"/>
              </w:rPr>
              <w:t>†</w:t>
            </w:r>
            <w:r>
              <w:rPr>
                <w:rFonts w:ascii="Arial" w:hAnsi="Arial" w:cs="Arial"/>
                <w:color w:val="FFFFFF"/>
                <w:w w:val="89"/>
                <w:sz w:val="14"/>
                <w:szCs w:val="14"/>
              </w:rPr>
              <w:t xml:space="preserve"> and get virtually</w:t>
            </w:r>
          </w:p>
        </w:tc>
      </w:tr>
      <w:tr w:rsidR="00000000">
        <w:tblPrEx>
          <w:tblCellMar>
            <w:top w:w="0" w:type="dxa"/>
            <w:left w:w="0" w:type="dxa"/>
            <w:bottom w:w="0" w:type="dxa"/>
            <w:right w:w="0" w:type="dxa"/>
          </w:tblCellMar>
        </w:tblPrEx>
        <w:trPr>
          <w:trHeight w:val="159"/>
        </w:trPr>
        <w:tc>
          <w:tcPr>
            <w:tcW w:w="4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right="993"/>
              <w:jc w:val="center"/>
              <w:rPr>
                <w:rFonts w:ascii="Times New Roman" w:hAnsi="Times New Roman" w:cs="Times New Roman"/>
                <w:sz w:val="24"/>
                <w:szCs w:val="24"/>
              </w:rPr>
            </w:pPr>
            <w:r>
              <w:rPr>
                <w:rFonts w:ascii="Arial" w:hAnsi="Arial" w:cs="Arial"/>
                <w:color w:val="FFFFFF"/>
                <w:w w:val="95"/>
                <w:sz w:val="14"/>
                <w:szCs w:val="14"/>
              </w:rPr>
              <w:t>holds a   % value share of the U.S. diaper category.</w:t>
            </w:r>
          </w:p>
        </w:tc>
        <w:tc>
          <w:tcPr>
            <w:tcW w:w="5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left="993"/>
              <w:jc w:val="center"/>
              <w:rPr>
                <w:rFonts w:ascii="Times New Roman" w:hAnsi="Times New Roman" w:cs="Times New Roman"/>
                <w:sz w:val="24"/>
                <w:szCs w:val="24"/>
              </w:rPr>
            </w:pPr>
            <w:r>
              <w:rPr>
                <w:rFonts w:ascii="Arial" w:hAnsi="Arial" w:cs="Arial"/>
                <w:color w:val="FFFFFF"/>
                <w:w w:val="91"/>
                <w:sz w:val="14"/>
                <w:szCs w:val="14"/>
              </w:rPr>
              <w:t>every hair — addressing a top shaving need mentioned by  out of   men.</w:t>
            </w:r>
          </w:p>
        </w:tc>
      </w:tr>
      <w:tr w:rsidR="00000000">
        <w:tblPrEx>
          <w:tblCellMar>
            <w:top w:w="0" w:type="dxa"/>
            <w:left w:w="0" w:type="dxa"/>
            <w:bottom w:w="0" w:type="dxa"/>
            <w:right w:w="0" w:type="dxa"/>
          </w:tblCellMar>
        </w:tblPrEx>
        <w:trPr>
          <w:trHeight w:val="230"/>
        </w:trPr>
        <w:tc>
          <w:tcPr>
            <w:tcW w:w="4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93"/>
              <w:jc w:val="center"/>
              <w:rPr>
                <w:rFonts w:ascii="Times New Roman" w:hAnsi="Times New Roman" w:cs="Times New Roman"/>
                <w:sz w:val="24"/>
                <w:szCs w:val="24"/>
              </w:rPr>
            </w:pPr>
            <w:r>
              <w:rPr>
                <w:rFonts w:ascii="Arial" w:hAnsi="Arial" w:cs="Arial"/>
                <w:color w:val="FFFFFF"/>
                <w:w w:val="94"/>
                <w:sz w:val="16"/>
                <w:szCs w:val="16"/>
                <w:vertAlign w:val="superscript"/>
              </w:rPr>
              <w:t>†</w:t>
            </w:r>
            <w:r>
              <w:rPr>
                <w:rFonts w:ascii="Arial" w:hAnsi="Arial" w:cs="Arial"/>
                <w:i/>
                <w:iCs/>
                <w:color w:val="FFFFFF"/>
                <w:w w:val="94"/>
                <w:sz w:val="12"/>
                <w:szCs w:val="12"/>
              </w:rPr>
              <w:t>Based on sales of newborn hospital diapers</w:t>
            </w:r>
          </w:p>
        </w:tc>
        <w:tc>
          <w:tcPr>
            <w:tcW w:w="5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973"/>
              <w:jc w:val="center"/>
              <w:rPr>
                <w:rFonts w:ascii="Times New Roman" w:hAnsi="Times New Roman" w:cs="Times New Roman"/>
                <w:sz w:val="24"/>
                <w:szCs w:val="24"/>
              </w:rPr>
            </w:pPr>
            <w:r>
              <w:rPr>
                <w:rFonts w:ascii="Arial" w:hAnsi="Arial" w:cs="Arial"/>
                <w:color w:val="FFFFFF"/>
                <w:w w:val="88"/>
                <w:sz w:val="16"/>
                <w:szCs w:val="16"/>
                <w:vertAlign w:val="superscript"/>
              </w:rPr>
              <w:t>†</w:t>
            </w:r>
            <w:r>
              <w:rPr>
                <w:rFonts w:ascii="Arial" w:hAnsi="Arial" w:cs="Arial"/>
                <w:i/>
                <w:iCs/>
                <w:color w:val="FFFFFF"/>
                <w:w w:val="88"/>
                <w:sz w:val="12"/>
                <w:szCs w:val="12"/>
              </w:rPr>
              <w:t>vs. Fusion</w:t>
            </w: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691" w:right="800" w:bottom="0" w:left="920" w:header="720" w:footer="720" w:gutter="0"/>
          <w:cols w:space="500" w:equalWidth="0">
            <w:col w:w="9800" w:space="500"/>
          </w:cols>
          <w:noEndnote/>
        </w:sect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4"/>
          <w:szCs w:val="14"/>
        </w:rPr>
        <w:t>4  The Procter &amp; Gamble Company</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9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60" w:lineRule="auto"/>
        <w:ind w:right="40"/>
        <w:rPr>
          <w:rFonts w:ascii="Times New Roman" w:hAnsi="Times New Roman" w:cs="Times New Roman"/>
          <w:sz w:val="24"/>
          <w:szCs w:val="24"/>
        </w:rPr>
      </w:pPr>
      <w:r>
        <w:rPr>
          <w:rFonts w:ascii="Arial" w:hAnsi="Arial" w:cs="Arial"/>
          <w:sz w:val="15"/>
          <w:szCs w:val="15"/>
        </w:rPr>
        <w:t>We are consumer led. Their needs and wants come first. We meet those needs with differentiated brands and better-performing products — priced to deliver real and perceived consumer value. In all four industry sectors and in most of our businesses, there is</w:t>
      </w:r>
      <w:r>
        <w:rPr>
          <w:rFonts w:ascii="Arial" w:hAnsi="Arial" w:cs="Arial"/>
          <w:sz w:val="15"/>
          <w:szCs w:val="15"/>
        </w:rPr>
        <w:t xml:space="preserve"> as much, and often more, sales growth and value creation — profit and cash — in the premium and super-premium segments. We’ve been very successful in these segments.</w:t>
      </w:r>
    </w:p>
    <w:p w:rsidR="00000000" w:rsidRDefault="0057438D">
      <w:pPr>
        <w:pStyle w:val="DefaultParagraphFont"/>
        <w:widowControl w:val="0"/>
        <w:autoSpaceDE w:val="0"/>
        <w:autoSpaceDN w:val="0"/>
        <w:adjustRightInd w:val="0"/>
        <w:spacing w:after="0" w:line="10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22" w:lineRule="auto"/>
        <w:ind w:right="20"/>
        <w:rPr>
          <w:rFonts w:ascii="Times New Roman" w:hAnsi="Times New Roman" w:cs="Times New Roman"/>
          <w:sz w:val="24"/>
          <w:szCs w:val="24"/>
        </w:rPr>
      </w:pPr>
      <w:r>
        <w:rPr>
          <w:rFonts w:ascii="Arial" w:hAnsi="Arial" w:cs="Arial"/>
          <w:sz w:val="16"/>
          <w:szCs w:val="16"/>
        </w:rPr>
        <w:t>In the grooming market, premium products generate about % of sales. Gillette has an % sh</w:t>
      </w:r>
      <w:r>
        <w:rPr>
          <w:rFonts w:ascii="Arial" w:hAnsi="Arial" w:cs="Arial"/>
          <w:sz w:val="16"/>
          <w:szCs w:val="16"/>
        </w:rPr>
        <w:t>are of this segment. Four years ago, we introduced Fusion ProGlide, priced at the higher end of the premium segment. Fusion grew global share for consecutive quarters, reaching $ billion in sales faster than any other P&amp;G brand in history. Last month, we l</w:t>
      </w:r>
      <w:r>
        <w:rPr>
          <w:rFonts w:ascii="Arial" w:hAnsi="Arial" w:cs="Arial"/>
          <w:sz w:val="16"/>
          <w:szCs w:val="16"/>
        </w:rPr>
        <w:t>aunched the newest product in the Fusion line-up — Fusion ProGlide with FlexBall</w:t>
      </w:r>
      <w:r>
        <w:rPr>
          <w:rFonts w:ascii="Arial" w:hAnsi="Arial" w:cs="Arial"/>
          <w:sz w:val="24"/>
          <w:szCs w:val="24"/>
          <w:vertAlign w:val="superscript"/>
        </w:rPr>
        <w:t>*</w:t>
      </w:r>
      <w:r>
        <w:rPr>
          <w:rFonts w:ascii="Arial" w:hAnsi="Arial" w:cs="Arial"/>
          <w:sz w:val="16"/>
          <w:szCs w:val="16"/>
        </w:rPr>
        <w:t xml:space="preserve"> Technology, the first razor designed to respond to the contours of a man’s face, maintaining maximum contact and delivering a closer, more complete and comfortable shave. Men</w:t>
      </w:r>
      <w:r>
        <w:rPr>
          <w:rFonts w:ascii="Arial" w:hAnsi="Arial" w:cs="Arial"/>
          <w:sz w:val="16"/>
          <w:szCs w:val="16"/>
        </w:rPr>
        <w:t xml:space="preserve"> prefer this new razor -to- versus the best-selling razor in the world — our own Fusion ProGlide. FlexBall is off to a very good start, and appears to be revitalizing consumer interest in the category, driving an increase in U.S. male razor market sales, a</w:t>
      </w:r>
      <w:r>
        <w:rPr>
          <w:rFonts w:ascii="Arial" w:hAnsi="Arial" w:cs="Arial"/>
          <w:sz w:val="16"/>
          <w:szCs w:val="16"/>
        </w:rPr>
        <w:t>nd acceleration in Gillette’s sales and shares.</w:t>
      </w:r>
    </w:p>
    <w:p w:rsidR="00000000" w:rsidRDefault="0057438D">
      <w:pPr>
        <w:pStyle w:val="DefaultParagraphFont"/>
        <w:widowControl w:val="0"/>
        <w:autoSpaceDE w:val="0"/>
        <w:autoSpaceDN w:val="0"/>
        <w:adjustRightInd w:val="0"/>
        <w:spacing w:after="0" w:line="12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73" w:lineRule="auto"/>
        <w:jc w:val="both"/>
        <w:rPr>
          <w:rFonts w:ascii="Times New Roman" w:hAnsi="Times New Roman" w:cs="Times New Roman"/>
          <w:sz w:val="24"/>
          <w:szCs w:val="24"/>
        </w:rPr>
      </w:pPr>
      <w:r>
        <w:rPr>
          <w:rFonts w:ascii="Arial" w:hAnsi="Arial" w:cs="Arial"/>
          <w:sz w:val="16"/>
          <w:szCs w:val="16"/>
        </w:rPr>
        <w:t>Crest D White</w:t>
      </w:r>
      <w:r>
        <w:rPr>
          <w:rFonts w:ascii="Arial" w:hAnsi="Arial" w:cs="Arial"/>
          <w:sz w:val="24"/>
          <w:szCs w:val="24"/>
          <w:vertAlign w:val="superscript"/>
        </w:rPr>
        <w:t>*</w:t>
      </w:r>
      <w:r>
        <w:rPr>
          <w:rFonts w:ascii="Arial" w:hAnsi="Arial" w:cs="Arial"/>
          <w:sz w:val="16"/>
          <w:szCs w:val="16"/>
        </w:rPr>
        <w:t>, a premium oral care regimen, was also launched in the U.S. and has grown market share for consecutive quarters. On its own worldwide, D White is a billion-dollar business.</w:t>
      </w:r>
    </w:p>
    <w:p w:rsidR="00000000" w:rsidRDefault="0057438D">
      <w:pPr>
        <w:pStyle w:val="DefaultParagraphFont"/>
        <w:widowControl w:val="0"/>
        <w:autoSpaceDE w:val="0"/>
        <w:autoSpaceDN w:val="0"/>
        <w:adjustRightInd w:val="0"/>
        <w:spacing w:after="0" w:line="3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8" w:lineRule="auto"/>
        <w:ind w:right="20" w:firstLine="92"/>
        <w:rPr>
          <w:rFonts w:ascii="Times New Roman" w:hAnsi="Times New Roman" w:cs="Times New Roman"/>
          <w:sz w:val="24"/>
          <w:szCs w:val="24"/>
        </w:rPr>
      </w:pPr>
      <w:r>
        <w:rPr>
          <w:rFonts w:ascii="Arial" w:hAnsi="Arial" w:cs="Arial"/>
          <w:sz w:val="16"/>
          <w:szCs w:val="16"/>
        </w:rPr>
        <w:t>D White has also been an important driver of toothpaste market share growth in developing or emerging markets, for example, adding about a point-and-a-half share in Brazil and one point in Mexico last year. We recently launched D White in Europe,</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22" w:lineRule="auto"/>
        <w:ind w:right="220"/>
        <w:rPr>
          <w:rFonts w:ascii="Times New Roman" w:hAnsi="Times New Roman" w:cs="Times New Roman"/>
          <w:sz w:val="24"/>
          <w:szCs w:val="24"/>
        </w:rPr>
      </w:pPr>
      <w:r>
        <w:rPr>
          <w:rFonts w:ascii="Arial" w:hAnsi="Arial" w:cs="Arial"/>
          <w:color w:val="006FBA"/>
          <w:sz w:val="13"/>
          <w:szCs w:val="13"/>
        </w:rPr>
        <w:t xml:space="preserve">P&amp;G launched seven of the top most successful non-food products of the year in the U.S. </w:t>
      </w:r>
      <w:r>
        <w:rPr>
          <w:rFonts w:ascii="Arial" w:hAnsi="Arial" w:cs="Arial"/>
          <w:i/>
          <w:iCs/>
          <w:color w:val="006FBA"/>
          <w:sz w:val="13"/>
          <w:szCs w:val="13"/>
        </w:rPr>
        <w:t>(Source: IRI New Product Pacesetters list)</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3360" behindDoc="1" locked="0" layoutInCell="0" allowOverlap="1">
            <wp:simplePos x="0" y="0"/>
            <wp:positionH relativeFrom="column">
              <wp:posOffset>-3695065</wp:posOffset>
            </wp:positionH>
            <wp:positionV relativeFrom="paragraph">
              <wp:posOffset>-2971800</wp:posOffset>
            </wp:positionV>
            <wp:extent cx="7315200" cy="9601200"/>
            <wp:effectExtent l="0" t="0" r="0" b="0"/>
            <wp:wrapNone/>
            <wp:docPr id="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7438D">
      <w:pPr>
        <w:pStyle w:val="DefaultParagraphFont"/>
        <w:widowControl w:val="0"/>
        <w:autoSpaceDE w:val="0"/>
        <w:autoSpaceDN w:val="0"/>
        <w:adjustRightInd w:val="0"/>
        <w:spacing w:after="0" w:line="21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2" w:lineRule="auto"/>
        <w:ind w:right="220"/>
        <w:rPr>
          <w:rFonts w:ascii="Times New Roman" w:hAnsi="Times New Roman" w:cs="Times New Roman"/>
          <w:sz w:val="24"/>
          <w:szCs w:val="24"/>
        </w:rPr>
      </w:pPr>
      <w:r>
        <w:rPr>
          <w:rFonts w:ascii="Arial" w:hAnsi="Arial" w:cs="Arial"/>
          <w:sz w:val="16"/>
          <w:szCs w:val="16"/>
        </w:rPr>
        <w:t>driving category growth in a region where many other categories are declining. Following the D White launch, we introduced Crest D White Luxe</w:t>
      </w:r>
      <w:r>
        <w:rPr>
          <w:rFonts w:ascii="Arial" w:hAnsi="Arial" w:cs="Arial"/>
          <w:sz w:val="24"/>
          <w:szCs w:val="24"/>
          <w:vertAlign w:val="superscript"/>
        </w:rPr>
        <w:t>*</w:t>
      </w:r>
      <w:r>
        <w:rPr>
          <w:rFonts w:ascii="Arial" w:hAnsi="Arial" w:cs="Arial"/>
          <w:sz w:val="16"/>
          <w:szCs w:val="16"/>
        </w:rPr>
        <w:t xml:space="preserve"> toothpaste and Whitestrips</w:t>
      </w:r>
      <w:r>
        <w:rPr>
          <w:rFonts w:ascii="Arial" w:hAnsi="Arial" w:cs="Arial"/>
          <w:sz w:val="24"/>
          <w:szCs w:val="24"/>
          <w:vertAlign w:val="superscript"/>
        </w:rPr>
        <w:t>*</w:t>
      </w:r>
      <w:r>
        <w:rPr>
          <w:rFonts w:ascii="Arial" w:hAnsi="Arial" w:cs="Arial"/>
          <w:sz w:val="16"/>
          <w:szCs w:val="16"/>
        </w:rPr>
        <w:t>. The Luxe Glamorous White</w:t>
      </w:r>
      <w:r>
        <w:rPr>
          <w:rFonts w:ascii="Arial" w:hAnsi="Arial" w:cs="Arial"/>
          <w:sz w:val="24"/>
          <w:szCs w:val="24"/>
          <w:vertAlign w:val="superscript"/>
        </w:rPr>
        <w:t>*</w:t>
      </w:r>
      <w:r>
        <w:rPr>
          <w:rFonts w:ascii="Arial" w:hAnsi="Arial" w:cs="Arial"/>
          <w:sz w:val="16"/>
          <w:szCs w:val="16"/>
        </w:rPr>
        <w:t xml:space="preserve"> toothpaste removes up to % of surface stains on teeth in j</w:t>
      </w:r>
      <w:r>
        <w:rPr>
          <w:rFonts w:ascii="Arial" w:hAnsi="Arial" w:cs="Arial"/>
          <w:sz w:val="16"/>
          <w:szCs w:val="16"/>
        </w:rPr>
        <w:t>ust five days and protects against future stains with our proprietary WHITELOCK</w:t>
      </w:r>
      <w:r>
        <w:rPr>
          <w:rFonts w:ascii="Arial" w:hAnsi="Arial" w:cs="Arial"/>
          <w:sz w:val="24"/>
          <w:szCs w:val="24"/>
          <w:vertAlign w:val="superscript"/>
        </w:rPr>
        <w:t>*</w:t>
      </w:r>
      <w:r>
        <w:rPr>
          <w:rFonts w:ascii="Arial" w:hAnsi="Arial" w:cs="Arial"/>
          <w:sz w:val="16"/>
          <w:szCs w:val="16"/>
        </w:rPr>
        <w:t xml:space="preserve"> technology. The Whitestrips with FlexFit</w:t>
      </w:r>
      <w:r>
        <w:rPr>
          <w:rFonts w:ascii="Arial" w:hAnsi="Arial" w:cs="Arial"/>
          <w:sz w:val="24"/>
          <w:szCs w:val="24"/>
          <w:vertAlign w:val="superscript"/>
        </w:rPr>
        <w:t>*</w:t>
      </w:r>
      <w:r>
        <w:rPr>
          <w:rFonts w:ascii="Arial" w:hAnsi="Arial" w:cs="Arial"/>
          <w:sz w:val="16"/>
          <w:szCs w:val="16"/>
        </w:rPr>
        <w:t xml:space="preserve"> Technology stretch and mold to your teeth for a completely custom fit.</w:t>
      </w:r>
    </w:p>
    <w:p w:rsidR="00000000" w:rsidRDefault="0057438D">
      <w:pPr>
        <w:pStyle w:val="DefaultParagraphFont"/>
        <w:widowControl w:val="0"/>
        <w:autoSpaceDE w:val="0"/>
        <w:autoSpaceDN w:val="0"/>
        <w:adjustRightInd w:val="0"/>
        <w:spacing w:after="0" w:line="15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17" w:lineRule="auto"/>
        <w:rPr>
          <w:rFonts w:ascii="Times New Roman" w:hAnsi="Times New Roman" w:cs="Times New Roman"/>
          <w:sz w:val="24"/>
          <w:szCs w:val="24"/>
        </w:rPr>
      </w:pPr>
      <w:r>
        <w:rPr>
          <w:rFonts w:ascii="Arial" w:hAnsi="Arial" w:cs="Arial"/>
          <w:sz w:val="15"/>
          <w:szCs w:val="15"/>
        </w:rPr>
        <w:t>Tide, Gain and Ariel three-chamber unit dose laundry detergen</w:t>
      </w:r>
      <w:r>
        <w:rPr>
          <w:rFonts w:ascii="Arial" w:hAnsi="Arial" w:cs="Arial"/>
          <w:sz w:val="15"/>
          <w:szCs w:val="15"/>
        </w:rPr>
        <w:t>ts have been an innovation breakthrough in the laundry detergent category — resetting the bar for delightful consumer usage experience, product performance and convenience. Tide PODS</w:t>
      </w:r>
      <w:r>
        <w:rPr>
          <w:rFonts w:ascii="Arial" w:hAnsi="Arial" w:cs="Arial"/>
          <w:vertAlign w:val="superscript"/>
        </w:rPr>
        <w:t>*</w:t>
      </w:r>
      <w:r>
        <w:rPr>
          <w:rFonts w:ascii="Arial" w:hAnsi="Arial" w:cs="Arial"/>
          <w:sz w:val="15"/>
          <w:szCs w:val="15"/>
        </w:rPr>
        <w:t xml:space="preserve"> are priced at a % premium to liquid Tide and have grown to more than % o</w:t>
      </w:r>
      <w:r>
        <w:rPr>
          <w:rFonts w:ascii="Arial" w:hAnsi="Arial" w:cs="Arial"/>
          <w:sz w:val="15"/>
          <w:szCs w:val="15"/>
        </w:rPr>
        <w:t>f the laundry category. In March, we launched Gain Flings!</w:t>
      </w:r>
      <w:r>
        <w:rPr>
          <w:rFonts w:ascii="Arial" w:hAnsi="Arial" w:cs="Arial"/>
          <w:vertAlign w:val="superscript"/>
        </w:rPr>
        <w:t>*</w:t>
      </w:r>
      <w:r>
        <w:rPr>
          <w:rFonts w:ascii="Arial" w:hAnsi="Arial" w:cs="Arial"/>
          <w:sz w:val="15"/>
          <w:szCs w:val="15"/>
        </w:rPr>
        <w:t xml:space="preserve"> — priced at a % per use premium to Gain liquid detergent. Combined, Tide PODS and Gain Flings! now hold more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691" w:right="1080" w:bottom="236" w:left="720" w:header="720" w:footer="720" w:gutter="0"/>
          <w:cols w:num="2" w:space="480" w:equalWidth="0">
            <w:col w:w="4620" w:space="480"/>
            <w:col w:w="462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91"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840"/>
        <w:gridCol w:w="5100"/>
      </w:tblGrid>
      <w:tr w:rsidR="00000000">
        <w:tblPrEx>
          <w:tblCellMar>
            <w:top w:w="0" w:type="dxa"/>
            <w:left w:w="0" w:type="dxa"/>
            <w:bottom w:w="0" w:type="dxa"/>
            <w:right w:w="0" w:type="dxa"/>
          </w:tblCellMar>
        </w:tblPrEx>
        <w:trPr>
          <w:trHeight w:val="161"/>
        </w:trPr>
        <w:tc>
          <w:tcPr>
            <w:tcW w:w="4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0" w:lineRule="exact"/>
              <w:ind w:right="1368"/>
              <w:jc w:val="center"/>
              <w:rPr>
                <w:rFonts w:ascii="Times New Roman" w:hAnsi="Times New Roman" w:cs="Times New Roman"/>
                <w:sz w:val="24"/>
                <w:szCs w:val="24"/>
              </w:rPr>
            </w:pPr>
            <w:r>
              <w:rPr>
                <w:rFonts w:ascii="Arial" w:hAnsi="Arial" w:cs="Arial"/>
                <w:color w:val="FFFFFF"/>
                <w:w w:val="95"/>
                <w:sz w:val="14"/>
                <w:szCs w:val="14"/>
              </w:rPr>
              <w:t>Introduced in the U.K. in July</w:t>
            </w:r>
            <w:r>
              <w:rPr>
                <w:rFonts w:ascii="Arial" w:hAnsi="Arial" w:cs="Arial"/>
                <w:color w:val="FFFFFF"/>
                <w:w w:val="95"/>
                <w:sz w:val="14"/>
                <w:szCs w:val="14"/>
              </w:rPr>
              <w:t>and North America in</w:t>
            </w:r>
          </w:p>
        </w:tc>
        <w:tc>
          <w:tcPr>
            <w:tcW w:w="5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0" w:lineRule="exact"/>
              <w:ind w:left="1331"/>
              <w:jc w:val="center"/>
              <w:rPr>
                <w:rFonts w:ascii="Times New Roman" w:hAnsi="Times New Roman" w:cs="Times New Roman"/>
                <w:sz w:val="24"/>
                <w:szCs w:val="24"/>
              </w:rPr>
            </w:pPr>
            <w:r>
              <w:rPr>
                <w:rFonts w:ascii="Arial" w:hAnsi="Arial" w:cs="Arial"/>
                <w:color w:val="FFFFFF"/>
                <w:w w:val="94"/>
                <w:sz w:val="14"/>
                <w:szCs w:val="14"/>
              </w:rPr>
              <w:t>The manliest grooming brand is also the smartest.</w:t>
            </w:r>
          </w:p>
        </w:tc>
      </w:tr>
      <w:tr w:rsidR="00000000">
        <w:tblPrEx>
          <w:tblCellMar>
            <w:top w:w="0" w:type="dxa"/>
            <w:left w:w="0" w:type="dxa"/>
            <w:bottom w:w="0" w:type="dxa"/>
            <w:right w:w="0" w:type="dxa"/>
          </w:tblCellMar>
        </w:tblPrEx>
        <w:trPr>
          <w:trHeight w:val="201"/>
        </w:trPr>
        <w:tc>
          <w:tcPr>
            <w:tcW w:w="4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0" w:lineRule="exact"/>
              <w:ind w:right="1348"/>
              <w:jc w:val="center"/>
              <w:rPr>
                <w:rFonts w:ascii="Times New Roman" w:hAnsi="Times New Roman" w:cs="Times New Roman"/>
                <w:sz w:val="24"/>
                <w:szCs w:val="24"/>
              </w:rPr>
            </w:pPr>
            <w:r>
              <w:rPr>
                <w:rFonts w:ascii="Arial" w:hAnsi="Arial" w:cs="Arial"/>
                <w:color w:val="FFFFFF"/>
                <w:w w:val="96"/>
                <w:sz w:val="14"/>
                <w:szCs w:val="14"/>
              </w:rPr>
              <w:t xml:space="preserve">August, </w:t>
            </w:r>
            <w:r>
              <w:rPr>
                <w:rFonts w:ascii="Arial" w:hAnsi="Arial" w:cs="Arial"/>
                <w:b/>
                <w:bCs/>
                <w:color w:val="FFFFFF"/>
                <w:w w:val="96"/>
                <w:sz w:val="13"/>
                <w:szCs w:val="13"/>
              </w:rPr>
              <w:t>Always Discreet</w:t>
            </w:r>
            <w:r>
              <w:rPr>
                <w:rFonts w:ascii="Arial" w:hAnsi="Arial" w:cs="Arial"/>
                <w:b/>
                <w:bCs/>
                <w:color w:val="FFFFFF"/>
                <w:w w:val="96"/>
                <w:sz w:val="20"/>
                <w:szCs w:val="20"/>
                <w:vertAlign w:val="superscript"/>
              </w:rPr>
              <w:t>*</w:t>
            </w:r>
            <w:r>
              <w:rPr>
                <w:rFonts w:ascii="Arial" w:hAnsi="Arial" w:cs="Arial"/>
                <w:color w:val="FFFFFF"/>
                <w:w w:val="96"/>
                <w:sz w:val="14"/>
                <w:szCs w:val="14"/>
              </w:rPr>
              <w:t xml:space="preserve"> marks our significant entry</w:t>
            </w:r>
          </w:p>
        </w:tc>
        <w:tc>
          <w:tcPr>
            <w:tcW w:w="5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0" w:lineRule="exact"/>
              <w:ind w:left="1331"/>
              <w:jc w:val="center"/>
              <w:rPr>
                <w:rFonts w:ascii="Times New Roman" w:hAnsi="Times New Roman" w:cs="Times New Roman"/>
                <w:sz w:val="24"/>
                <w:szCs w:val="24"/>
              </w:rPr>
            </w:pPr>
            <w:r>
              <w:rPr>
                <w:rFonts w:ascii="Arial" w:hAnsi="Arial" w:cs="Arial"/>
                <w:b/>
                <w:bCs/>
                <w:color w:val="FFFFFF"/>
                <w:w w:val="89"/>
                <w:sz w:val="14"/>
                <w:szCs w:val="14"/>
              </w:rPr>
              <w:t>Old Spice Re-Fresh</w:t>
            </w:r>
            <w:r>
              <w:rPr>
                <w:rFonts w:ascii="Arial" w:hAnsi="Arial" w:cs="Arial"/>
                <w:b/>
                <w:bCs/>
                <w:color w:val="FFFFFF"/>
                <w:w w:val="89"/>
                <w:sz w:val="20"/>
                <w:szCs w:val="20"/>
                <w:vertAlign w:val="superscript"/>
              </w:rPr>
              <w:t>*</w:t>
            </w:r>
            <w:r>
              <w:rPr>
                <w:rFonts w:ascii="Arial" w:hAnsi="Arial" w:cs="Arial"/>
                <w:b/>
                <w:bCs/>
                <w:color w:val="FFFFFF"/>
                <w:w w:val="89"/>
                <w:sz w:val="14"/>
                <w:szCs w:val="14"/>
              </w:rPr>
              <w:t xml:space="preserve"> Body Spray’s </w:t>
            </w:r>
            <w:r>
              <w:rPr>
                <w:rFonts w:ascii="Arial" w:hAnsi="Arial" w:cs="Arial"/>
                <w:color w:val="FFFFFF"/>
                <w:w w:val="89"/>
                <w:sz w:val="14"/>
                <w:szCs w:val="14"/>
              </w:rPr>
              <w:t>unique Re-Fresh Technology</w:t>
            </w:r>
          </w:p>
        </w:tc>
      </w:tr>
      <w:tr w:rsidR="00000000">
        <w:tblPrEx>
          <w:tblCellMar>
            <w:top w:w="0" w:type="dxa"/>
            <w:left w:w="0" w:type="dxa"/>
            <w:bottom w:w="0" w:type="dxa"/>
            <w:right w:w="0" w:type="dxa"/>
          </w:tblCellMar>
        </w:tblPrEx>
        <w:trPr>
          <w:trHeight w:val="159"/>
        </w:trPr>
        <w:tc>
          <w:tcPr>
            <w:tcW w:w="4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right="1348"/>
              <w:jc w:val="center"/>
              <w:rPr>
                <w:rFonts w:ascii="Times New Roman" w:hAnsi="Times New Roman" w:cs="Times New Roman"/>
                <w:sz w:val="24"/>
                <w:szCs w:val="24"/>
              </w:rPr>
            </w:pPr>
            <w:r>
              <w:rPr>
                <w:rFonts w:ascii="Arial" w:hAnsi="Arial" w:cs="Arial"/>
                <w:color w:val="FFFFFF"/>
                <w:w w:val="93"/>
                <w:sz w:val="14"/>
                <w:szCs w:val="14"/>
              </w:rPr>
              <w:t>into the Adult Incontinence category — revolutionizing</w:t>
            </w:r>
          </w:p>
        </w:tc>
        <w:tc>
          <w:tcPr>
            <w:tcW w:w="5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left="1331"/>
              <w:jc w:val="center"/>
              <w:rPr>
                <w:rFonts w:ascii="Times New Roman" w:hAnsi="Times New Roman" w:cs="Times New Roman"/>
                <w:sz w:val="24"/>
                <w:szCs w:val="24"/>
              </w:rPr>
            </w:pPr>
            <w:r>
              <w:rPr>
                <w:rFonts w:ascii="Arial" w:hAnsi="Arial" w:cs="Arial"/>
                <w:color w:val="FFFFFF"/>
                <w:w w:val="92"/>
                <w:sz w:val="14"/>
                <w:szCs w:val="14"/>
              </w:rPr>
              <w:t>releases bursts of fragrance throughout the day, giving guys</w:t>
            </w:r>
          </w:p>
        </w:tc>
      </w:tr>
      <w:tr w:rsidR="00000000">
        <w:tblPrEx>
          <w:tblCellMar>
            <w:top w:w="0" w:type="dxa"/>
            <w:left w:w="0" w:type="dxa"/>
            <w:bottom w:w="0" w:type="dxa"/>
            <w:right w:w="0" w:type="dxa"/>
          </w:tblCellMar>
        </w:tblPrEx>
        <w:trPr>
          <w:trHeight w:val="180"/>
        </w:trPr>
        <w:tc>
          <w:tcPr>
            <w:tcW w:w="4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0" w:lineRule="exact"/>
              <w:ind w:right="1348"/>
              <w:jc w:val="center"/>
              <w:rPr>
                <w:rFonts w:ascii="Times New Roman" w:hAnsi="Times New Roman" w:cs="Times New Roman"/>
                <w:sz w:val="24"/>
                <w:szCs w:val="24"/>
              </w:rPr>
            </w:pPr>
            <w:r>
              <w:rPr>
                <w:rFonts w:ascii="Arial" w:hAnsi="Arial" w:cs="Arial"/>
                <w:color w:val="FFFFFF"/>
                <w:w w:val="94"/>
                <w:sz w:val="14"/>
                <w:szCs w:val="14"/>
              </w:rPr>
              <w:t>the way women manage sensitive bladders.</w:t>
            </w:r>
          </w:p>
        </w:tc>
        <w:tc>
          <w:tcPr>
            <w:tcW w:w="5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351"/>
              <w:jc w:val="center"/>
              <w:rPr>
                <w:rFonts w:ascii="Times New Roman" w:hAnsi="Times New Roman" w:cs="Times New Roman"/>
                <w:sz w:val="24"/>
                <w:szCs w:val="24"/>
              </w:rPr>
            </w:pPr>
            <w:r>
              <w:rPr>
                <w:rFonts w:ascii="Arial" w:hAnsi="Arial" w:cs="Arial"/>
                <w:color w:val="FFFFFF"/>
                <w:w w:val="89"/>
                <w:sz w:val="14"/>
                <w:szCs w:val="14"/>
              </w:rPr>
              <w:t>superior freshness when they need it most.</w:t>
            </w: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691" w:right="800" w:bottom="236" w:left="780" w:header="720" w:footer="720" w:gutter="0"/>
          <w:cols w:space="480" w:equalWidth="0">
            <w:col w:w="9940" w:space="4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5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280"/>
        <w:jc w:val="both"/>
        <w:rPr>
          <w:rFonts w:ascii="Times New Roman" w:hAnsi="Times New Roman" w:cs="Times New Roman"/>
          <w:sz w:val="24"/>
          <w:szCs w:val="24"/>
        </w:rPr>
      </w:pPr>
      <w:r>
        <w:rPr>
          <w:rFonts w:ascii="Arial" w:hAnsi="Arial" w:cs="Arial"/>
          <w:sz w:val="18"/>
          <w:szCs w:val="18"/>
        </w:rPr>
        <w:t>than a % value share of the U.S. laundry category and over % of the unit dose segment. We now offer this innovative product form in over countries.</w:t>
      </w:r>
    </w:p>
    <w:p w:rsidR="00000000" w:rsidRDefault="0057438D">
      <w:pPr>
        <w:pStyle w:val="DefaultParagraphFont"/>
        <w:widowControl w:val="0"/>
        <w:autoSpaceDE w:val="0"/>
        <w:autoSpaceDN w:val="0"/>
        <w:adjustRightInd w:val="0"/>
        <w:spacing w:after="0" w:line="142" w:lineRule="exact"/>
        <w:rPr>
          <w:rFonts w:ascii="Times New Roman" w:hAnsi="Times New Roman" w:cs="Times New Roman"/>
          <w:sz w:val="24"/>
          <w:szCs w:val="24"/>
        </w:rPr>
      </w:pPr>
      <w:r>
        <w:rPr>
          <w:noProof/>
        </w:rPr>
        <w:drawing>
          <wp:anchor distT="0" distB="0" distL="114300" distR="114300" simplePos="0" relativeHeight="251664384" behindDoc="1" locked="0" layoutInCell="0" allowOverlap="1">
            <wp:simplePos x="0" y="0"/>
            <wp:positionH relativeFrom="column">
              <wp:posOffset>-685165</wp:posOffset>
            </wp:positionH>
            <wp:positionV relativeFrom="paragraph">
              <wp:posOffset>-455930</wp:posOffset>
            </wp:positionV>
            <wp:extent cx="7315200" cy="8534400"/>
            <wp:effectExtent l="0" t="0" r="0" b="0"/>
            <wp:wrapNone/>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8534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7438D">
      <w:pPr>
        <w:pStyle w:val="DefaultParagraphFont"/>
        <w:widowControl w:val="0"/>
        <w:overflowPunct w:val="0"/>
        <w:autoSpaceDE w:val="0"/>
        <w:autoSpaceDN w:val="0"/>
        <w:adjustRightInd w:val="0"/>
        <w:spacing w:after="0" w:line="360" w:lineRule="auto"/>
        <w:ind w:right="40"/>
        <w:rPr>
          <w:rFonts w:ascii="Times New Roman" w:hAnsi="Times New Roman" w:cs="Times New Roman"/>
          <w:sz w:val="24"/>
          <w:szCs w:val="24"/>
        </w:rPr>
      </w:pPr>
      <w:r>
        <w:rPr>
          <w:rFonts w:ascii="Arial" w:hAnsi="Arial" w:cs="Arial"/>
          <w:sz w:val="15"/>
          <w:szCs w:val="15"/>
        </w:rPr>
        <w:t>We are currently entering the female Adult Incontinence category. This is an attractive $ billion category worldwide, growing at an annual rate of %. We’re entering the category with superior products that deliver significant consumer benefit advantages fr</w:t>
      </w:r>
      <w:r>
        <w:rPr>
          <w:rFonts w:ascii="Arial" w:hAnsi="Arial" w:cs="Arial"/>
          <w:sz w:val="15"/>
          <w:szCs w:val="15"/>
        </w:rPr>
        <w:t>om Always, a brand that women trust and prefer. We began shipments of Always Discreet in the U.K. last month, and will start shipments in North America and France this month.</w:t>
      </w:r>
    </w:p>
    <w:p w:rsidR="00000000" w:rsidRDefault="0057438D">
      <w:pPr>
        <w:pStyle w:val="DefaultParagraphFont"/>
        <w:widowControl w:val="0"/>
        <w:autoSpaceDE w:val="0"/>
        <w:autoSpaceDN w:val="0"/>
        <w:adjustRightInd w:val="0"/>
        <w:spacing w:after="0" w:line="10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7" w:lineRule="auto"/>
        <w:ind w:right="40"/>
        <w:rPr>
          <w:rFonts w:ascii="Times New Roman" w:hAnsi="Times New Roman" w:cs="Times New Roman"/>
          <w:sz w:val="24"/>
          <w:szCs w:val="24"/>
        </w:rPr>
      </w:pPr>
      <w:r>
        <w:rPr>
          <w:rFonts w:ascii="Arial" w:hAnsi="Arial" w:cs="Arial"/>
          <w:sz w:val="16"/>
          <w:szCs w:val="16"/>
        </w:rPr>
        <w:t xml:space="preserve">We are setting the brand and product innovation agenda in our industry. When we </w:t>
      </w:r>
      <w:r>
        <w:rPr>
          <w:rFonts w:ascii="Arial" w:hAnsi="Arial" w:cs="Arial"/>
          <w:sz w:val="16"/>
          <w:szCs w:val="16"/>
        </w:rPr>
        <w:t>do this well, we build consumer preference for our brands, extend our brands’ competitive advantage, grow sales and market share cumulatively over time, and capture a larger share of category value — profit and cash.</w:t>
      </w:r>
    </w:p>
    <w:p w:rsidR="00000000" w:rsidRDefault="0057438D">
      <w:pPr>
        <w:pStyle w:val="DefaultParagraphFont"/>
        <w:widowControl w:val="0"/>
        <w:autoSpaceDE w:val="0"/>
        <w:autoSpaceDN w:val="0"/>
        <w:adjustRightInd w:val="0"/>
        <w:spacing w:after="0" w:line="19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b/>
          <w:bCs/>
          <w:color w:val="006FBA"/>
          <w:sz w:val="26"/>
          <w:szCs w:val="26"/>
        </w:rPr>
        <w:t>A New P&amp;G</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3" w:lineRule="auto"/>
        <w:rPr>
          <w:rFonts w:ascii="Times New Roman" w:hAnsi="Times New Roman" w:cs="Times New Roman"/>
          <w:sz w:val="24"/>
          <w:szCs w:val="24"/>
        </w:rPr>
      </w:pPr>
      <w:r>
        <w:rPr>
          <w:rFonts w:ascii="Arial" w:hAnsi="Arial" w:cs="Arial"/>
          <w:sz w:val="18"/>
          <w:szCs w:val="18"/>
        </w:rPr>
        <w:t>In summary, we delivered co</w:t>
      </w:r>
      <w:r>
        <w:rPr>
          <w:rFonts w:ascii="Arial" w:hAnsi="Arial" w:cs="Arial"/>
          <w:sz w:val="18"/>
          <w:szCs w:val="18"/>
        </w:rPr>
        <w:t>mmitments in fiscal year , and we are taking an important strategic step forward by focusing the Company’s business and brand portfolio to accelerate performance. All of this will take time to execute, and the pace will be driven by our ability to create t</w:t>
      </w:r>
      <w:r>
        <w:rPr>
          <w:rFonts w:ascii="Arial" w:hAnsi="Arial" w:cs="Arial"/>
          <w:sz w:val="18"/>
          <w:szCs w:val="18"/>
        </w:rPr>
        <w:t>he most value for consumers and shareowners.</w:t>
      </w: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7" w:lineRule="auto"/>
        <w:ind w:right="100"/>
        <w:rPr>
          <w:rFonts w:ascii="Times New Roman" w:hAnsi="Times New Roman" w:cs="Times New Roman"/>
          <w:sz w:val="24"/>
          <w:szCs w:val="24"/>
        </w:rPr>
      </w:pPr>
      <w:r>
        <w:rPr>
          <w:rFonts w:ascii="Arial" w:hAnsi="Arial" w:cs="Arial"/>
          <w:sz w:val="16"/>
          <w:szCs w:val="16"/>
        </w:rPr>
        <w:t>In effect, we are creating a new P&amp;G. We will win consistently with to leading brands organized into about a dozen businesses in four industries marketed in the right countries with products that sell. We will create value through consumer-preferred brands</w:t>
      </w:r>
      <w:r>
        <w:rPr>
          <w:rFonts w:ascii="Arial" w:hAnsi="Arial" w:cs="Arial"/>
          <w:sz w:val="16"/>
          <w:szCs w:val="16"/>
        </w:rPr>
        <w:t xml:space="preserve"> and products that win at the zero, first and</w:t>
      </w: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br w:type="column"/>
      </w:r>
      <w:r>
        <w:rPr>
          <w:rFonts w:ascii="Arial" w:hAnsi="Arial" w:cs="Arial"/>
          <w:sz w:val="14"/>
          <w:szCs w:val="14"/>
        </w:rPr>
        <w:t>The Procter &amp; Gamble Company  5</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9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1460"/>
        <w:rPr>
          <w:rFonts w:ascii="Times New Roman" w:hAnsi="Times New Roman" w:cs="Times New Roman"/>
          <w:sz w:val="24"/>
          <w:szCs w:val="24"/>
        </w:rPr>
      </w:pPr>
      <w:r>
        <w:rPr>
          <w:rFonts w:ascii="Arial" w:hAnsi="Arial" w:cs="Arial"/>
          <w:i/>
          <w:iCs/>
          <w:color w:val="C9E3B5"/>
          <w:sz w:val="24"/>
          <w:szCs w:val="24"/>
        </w:rPr>
        <w:t>We are creating</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940" w:right="940"/>
        <w:jc w:val="center"/>
        <w:rPr>
          <w:rFonts w:ascii="Times New Roman" w:hAnsi="Times New Roman" w:cs="Times New Roman"/>
          <w:sz w:val="24"/>
          <w:szCs w:val="24"/>
        </w:rPr>
      </w:pPr>
      <w:r>
        <w:rPr>
          <w:rFonts w:ascii="Arial" w:hAnsi="Arial" w:cs="Arial"/>
          <w:i/>
          <w:iCs/>
          <w:color w:val="C9E3B5"/>
          <w:sz w:val="23"/>
          <w:szCs w:val="23"/>
        </w:rPr>
        <w:t>a new P&amp;G — a Company that will grow sales faster and more sustainably, will create value more reliably, and will be far simpler to manage.</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5408" behindDoc="1" locked="0" layoutInCell="0" allowOverlap="1">
            <wp:simplePos x="0" y="0"/>
            <wp:positionH relativeFrom="column">
              <wp:posOffset>295275</wp:posOffset>
            </wp:positionH>
            <wp:positionV relativeFrom="paragraph">
              <wp:posOffset>-718820</wp:posOffset>
            </wp:positionV>
            <wp:extent cx="0" cy="635"/>
            <wp:effectExtent l="0" t="0" r="0" b="0"/>
            <wp:wrapNone/>
            <wp:docPr id="1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0" cy="6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220"/>
        <w:rPr>
          <w:rFonts w:ascii="Times New Roman" w:hAnsi="Times New Roman" w:cs="Times New Roman"/>
          <w:sz w:val="24"/>
          <w:szCs w:val="24"/>
        </w:rPr>
      </w:pPr>
      <w:r>
        <w:rPr>
          <w:rFonts w:ascii="Arial" w:hAnsi="Arial" w:cs="Arial"/>
          <w:sz w:val="18"/>
          <w:szCs w:val="18"/>
        </w:rPr>
        <w:t>second moments of truth. The new P&amp;G will grow sales faster and more sustainably, and create value — profit and cash — more reliably for P&amp;G shareowners.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6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7"/>
          <w:szCs w:val="17"/>
        </w:rPr>
        <w:t>A.G. Lafley</w:t>
      </w:r>
    </w:p>
    <w:p w:rsidR="00000000" w:rsidRDefault="0057438D">
      <w:pPr>
        <w:pStyle w:val="DefaultParagraphFont"/>
        <w:widowControl w:val="0"/>
        <w:autoSpaceDE w:val="0"/>
        <w:autoSpaceDN w:val="0"/>
        <w:adjustRightInd w:val="0"/>
        <w:spacing w:after="0" w:line="8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i/>
          <w:iCs/>
          <w:sz w:val="14"/>
          <w:szCs w:val="14"/>
        </w:rPr>
        <w:t>Chairman of the Board, President and Chief Executive Officer</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691" w:right="720" w:bottom="56" w:left="1080" w:header="720" w:footer="720" w:gutter="0"/>
          <w:cols w:num="2" w:space="480" w:equalWidth="0">
            <w:col w:w="4620" w:space="480"/>
            <w:col w:w="462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4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260"/>
        <w:gridCol w:w="4600"/>
      </w:tblGrid>
      <w:tr w:rsidR="00000000">
        <w:tblPrEx>
          <w:tblCellMar>
            <w:top w:w="0" w:type="dxa"/>
            <w:left w:w="0" w:type="dxa"/>
            <w:bottom w:w="0" w:type="dxa"/>
            <w:right w:w="0" w:type="dxa"/>
          </w:tblCellMar>
        </w:tblPrEx>
        <w:trPr>
          <w:trHeight w:val="230"/>
        </w:trPr>
        <w:tc>
          <w:tcPr>
            <w:tcW w:w="5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29" w:lineRule="exact"/>
              <w:ind w:right="1051"/>
              <w:jc w:val="center"/>
              <w:rPr>
                <w:rFonts w:ascii="Times New Roman" w:hAnsi="Times New Roman" w:cs="Times New Roman"/>
                <w:sz w:val="24"/>
                <w:szCs w:val="24"/>
              </w:rPr>
            </w:pPr>
            <w:r>
              <w:rPr>
                <w:rFonts w:ascii="Arial" w:hAnsi="Arial" w:cs="Arial"/>
                <w:b/>
                <w:bCs/>
                <w:color w:val="FFFFFF"/>
                <w:w w:val="94"/>
                <w:sz w:val="14"/>
                <w:szCs w:val="14"/>
              </w:rPr>
              <w:t>Metamucil</w:t>
            </w:r>
            <w:r>
              <w:rPr>
                <w:rFonts w:ascii="Arial" w:hAnsi="Arial" w:cs="Arial"/>
                <w:b/>
                <w:bCs/>
                <w:color w:val="FFFFFF"/>
                <w:w w:val="94"/>
                <w:sz w:val="20"/>
                <w:szCs w:val="20"/>
                <w:vertAlign w:val="superscript"/>
              </w:rPr>
              <w:t>*</w:t>
            </w:r>
            <w:r>
              <w:rPr>
                <w:rFonts w:ascii="Arial" w:hAnsi="Arial" w:cs="Arial"/>
                <w:b/>
                <w:bCs/>
                <w:color w:val="FFFFFF"/>
                <w:w w:val="94"/>
                <w:sz w:val="14"/>
                <w:szCs w:val="14"/>
              </w:rPr>
              <w:t xml:space="preserve"> </w:t>
            </w:r>
            <w:r>
              <w:rPr>
                <w:rFonts w:ascii="Arial" w:hAnsi="Arial" w:cs="Arial"/>
                <w:color w:val="FFFFFF"/>
                <w:w w:val="94"/>
                <w:sz w:val="14"/>
                <w:szCs w:val="14"/>
              </w:rPr>
              <w:t>is launching a new family of products named</w:t>
            </w:r>
            <w:r>
              <w:rPr>
                <w:rFonts w:ascii="Arial" w:hAnsi="Arial" w:cs="Arial"/>
                <w:b/>
                <w:bCs/>
                <w:color w:val="FFFFFF"/>
                <w:w w:val="94"/>
                <w:sz w:val="14"/>
                <w:szCs w:val="14"/>
              </w:rPr>
              <w:t xml:space="preserve"> Meta</w:t>
            </w:r>
            <w:r>
              <w:rPr>
                <w:rFonts w:ascii="Arial" w:hAnsi="Arial" w:cs="Arial"/>
                <w:b/>
                <w:bCs/>
                <w:color w:val="FFFFFF"/>
                <w:w w:val="94"/>
                <w:sz w:val="20"/>
                <w:szCs w:val="20"/>
                <w:vertAlign w:val="superscript"/>
              </w:rPr>
              <w:t>*</w:t>
            </w:r>
            <w:r>
              <w:rPr>
                <w:rFonts w:ascii="Arial" w:hAnsi="Arial" w:cs="Arial"/>
                <w:color w:val="FFFFFF"/>
                <w:w w:val="94"/>
                <w:sz w:val="14"/>
                <w:szCs w:val="14"/>
              </w:rPr>
              <w:t>,</w:t>
            </w:r>
          </w:p>
        </w:tc>
        <w:tc>
          <w:tcPr>
            <w:tcW w:w="4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0" w:lineRule="exact"/>
              <w:ind w:left="1062"/>
              <w:jc w:val="center"/>
              <w:rPr>
                <w:rFonts w:ascii="Times New Roman" w:hAnsi="Times New Roman" w:cs="Times New Roman"/>
                <w:sz w:val="24"/>
                <w:szCs w:val="24"/>
              </w:rPr>
            </w:pPr>
            <w:r>
              <w:rPr>
                <w:rFonts w:ascii="Arial" w:hAnsi="Arial" w:cs="Arial"/>
                <w:color w:val="FFFFFF"/>
                <w:sz w:val="14"/>
                <w:szCs w:val="14"/>
              </w:rPr>
              <w:t>Available at U.S. retailers in September,</w:t>
            </w:r>
          </w:p>
        </w:tc>
      </w:tr>
      <w:tr w:rsidR="00000000">
        <w:tblPrEx>
          <w:tblCellMar>
            <w:top w:w="0" w:type="dxa"/>
            <w:left w:w="0" w:type="dxa"/>
            <w:bottom w:w="0" w:type="dxa"/>
            <w:right w:w="0" w:type="dxa"/>
          </w:tblCellMar>
        </w:tblPrEx>
        <w:trPr>
          <w:trHeight w:val="180"/>
        </w:trPr>
        <w:tc>
          <w:tcPr>
            <w:tcW w:w="5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right="1051"/>
              <w:jc w:val="center"/>
              <w:rPr>
                <w:rFonts w:ascii="Times New Roman" w:hAnsi="Times New Roman" w:cs="Times New Roman"/>
                <w:sz w:val="24"/>
                <w:szCs w:val="24"/>
              </w:rPr>
            </w:pPr>
            <w:r>
              <w:rPr>
                <w:rFonts w:ascii="Arial" w:hAnsi="Arial" w:cs="Arial"/>
                <w:color w:val="FFFFFF"/>
                <w:w w:val="93"/>
                <w:sz w:val="14"/>
                <w:szCs w:val="14"/>
              </w:rPr>
              <w:t>with a range of forms and wellness benefits — Metamucil,</w:t>
            </w:r>
          </w:p>
        </w:tc>
        <w:tc>
          <w:tcPr>
            <w:tcW w:w="4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9" w:lineRule="exact"/>
              <w:ind w:left="1062"/>
              <w:jc w:val="center"/>
              <w:rPr>
                <w:rFonts w:ascii="Times New Roman" w:hAnsi="Times New Roman" w:cs="Times New Roman"/>
                <w:sz w:val="24"/>
                <w:szCs w:val="24"/>
              </w:rPr>
            </w:pPr>
            <w:r>
              <w:rPr>
                <w:rFonts w:ascii="Arial" w:hAnsi="Arial" w:cs="Arial"/>
                <w:b/>
                <w:bCs/>
                <w:color w:val="FFFFFF"/>
                <w:w w:val="93"/>
                <w:sz w:val="14"/>
                <w:szCs w:val="14"/>
              </w:rPr>
              <w:t>Crest Sensi-Stop</w:t>
            </w:r>
            <w:r>
              <w:rPr>
                <w:rFonts w:ascii="Arial" w:hAnsi="Arial" w:cs="Arial"/>
                <w:b/>
                <w:bCs/>
                <w:color w:val="FFFFFF"/>
                <w:w w:val="93"/>
                <w:sz w:val="20"/>
                <w:szCs w:val="20"/>
                <w:vertAlign w:val="superscript"/>
              </w:rPr>
              <w:t>*</w:t>
            </w:r>
            <w:r>
              <w:rPr>
                <w:rFonts w:ascii="Arial" w:hAnsi="Arial" w:cs="Arial"/>
                <w:b/>
                <w:bCs/>
                <w:color w:val="FFFFFF"/>
                <w:w w:val="93"/>
                <w:sz w:val="14"/>
                <w:szCs w:val="14"/>
              </w:rPr>
              <w:t xml:space="preserve"> Strips </w:t>
            </w:r>
            <w:r>
              <w:rPr>
                <w:rFonts w:ascii="Arial" w:hAnsi="Arial" w:cs="Arial"/>
                <w:color w:val="FFFFFF"/>
                <w:w w:val="93"/>
                <w:sz w:val="14"/>
                <w:szCs w:val="14"/>
              </w:rPr>
              <w:t>is a revolutionary way to get tooth</w:t>
            </w:r>
          </w:p>
        </w:tc>
      </w:tr>
      <w:tr w:rsidR="00000000">
        <w:tblPrEx>
          <w:tblCellMar>
            <w:top w:w="0" w:type="dxa"/>
            <w:left w:w="0" w:type="dxa"/>
            <w:bottom w:w="0" w:type="dxa"/>
            <w:right w:w="0" w:type="dxa"/>
          </w:tblCellMar>
        </w:tblPrEx>
        <w:trPr>
          <w:trHeight w:val="180"/>
        </w:trPr>
        <w:tc>
          <w:tcPr>
            <w:tcW w:w="5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9" w:lineRule="exact"/>
              <w:ind w:right="1051"/>
              <w:jc w:val="center"/>
              <w:rPr>
                <w:rFonts w:ascii="Times New Roman" w:hAnsi="Times New Roman" w:cs="Times New Roman"/>
                <w:sz w:val="24"/>
                <w:szCs w:val="24"/>
              </w:rPr>
            </w:pPr>
            <w:r>
              <w:rPr>
                <w:rFonts w:ascii="Arial" w:hAnsi="Arial" w:cs="Arial"/>
                <w:color w:val="FFFFFF"/>
                <w:w w:val="96"/>
                <w:sz w:val="14"/>
                <w:szCs w:val="14"/>
              </w:rPr>
              <w:t>Meta Health Bars with psyllium fiber and MetaBiotic</w:t>
            </w:r>
            <w:r>
              <w:rPr>
                <w:rFonts w:ascii="Arial" w:hAnsi="Arial" w:cs="Arial"/>
                <w:color w:val="FFFFFF"/>
                <w:w w:val="96"/>
                <w:sz w:val="20"/>
                <w:szCs w:val="20"/>
                <w:vertAlign w:val="superscript"/>
              </w:rPr>
              <w:t>*</w:t>
            </w:r>
            <w:r>
              <w:rPr>
                <w:rFonts w:ascii="Arial" w:hAnsi="Arial" w:cs="Arial"/>
                <w:color w:val="FFFFFF"/>
                <w:w w:val="96"/>
                <w:sz w:val="14"/>
                <w:szCs w:val="14"/>
              </w:rPr>
              <w:t>, a  -in-  probiotic</w:t>
            </w:r>
          </w:p>
        </w:tc>
        <w:tc>
          <w:tcPr>
            <w:tcW w:w="4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left="1062"/>
              <w:jc w:val="center"/>
              <w:rPr>
                <w:rFonts w:ascii="Times New Roman" w:hAnsi="Times New Roman" w:cs="Times New Roman"/>
                <w:sz w:val="24"/>
                <w:szCs w:val="24"/>
              </w:rPr>
            </w:pPr>
            <w:r>
              <w:rPr>
                <w:rFonts w:ascii="Arial" w:hAnsi="Arial" w:cs="Arial"/>
                <w:color w:val="FFFFFF"/>
                <w:w w:val="97"/>
                <w:sz w:val="14"/>
                <w:szCs w:val="14"/>
              </w:rPr>
              <w:t>sensitivity relief. One strip applied for   minutes provides</w:t>
            </w:r>
          </w:p>
        </w:tc>
      </w:tr>
      <w:tr w:rsidR="00000000">
        <w:tblPrEx>
          <w:tblCellMar>
            <w:top w:w="0" w:type="dxa"/>
            <w:left w:w="0" w:type="dxa"/>
            <w:bottom w:w="0" w:type="dxa"/>
            <w:right w:w="0" w:type="dxa"/>
          </w:tblCellMar>
        </w:tblPrEx>
        <w:trPr>
          <w:trHeight w:val="159"/>
        </w:trPr>
        <w:tc>
          <w:tcPr>
            <w:tcW w:w="5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right="1031"/>
              <w:jc w:val="center"/>
              <w:rPr>
                <w:rFonts w:ascii="Times New Roman" w:hAnsi="Times New Roman" w:cs="Times New Roman"/>
                <w:sz w:val="24"/>
                <w:szCs w:val="24"/>
              </w:rPr>
            </w:pPr>
            <w:r>
              <w:rPr>
                <w:rFonts w:ascii="Arial" w:hAnsi="Arial" w:cs="Arial"/>
                <w:color w:val="FFFFFF"/>
                <w:w w:val="94"/>
                <w:sz w:val="14"/>
                <w:szCs w:val="14"/>
              </w:rPr>
              <w:t>supplement. To learn more about our new consumer-significant,</w:t>
            </w:r>
          </w:p>
        </w:tc>
        <w:tc>
          <w:tcPr>
            <w:tcW w:w="4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left="1062"/>
              <w:jc w:val="center"/>
              <w:rPr>
                <w:rFonts w:ascii="Times New Roman" w:hAnsi="Times New Roman" w:cs="Times New Roman"/>
                <w:sz w:val="24"/>
                <w:szCs w:val="24"/>
              </w:rPr>
            </w:pPr>
            <w:r>
              <w:rPr>
                <w:rFonts w:ascii="Arial" w:hAnsi="Arial" w:cs="Arial"/>
                <w:color w:val="FFFFFF"/>
                <w:w w:val="97"/>
                <w:sz w:val="14"/>
                <w:szCs w:val="14"/>
              </w:rPr>
              <w:t>immediate relief and up to one month of protection.</w:t>
            </w:r>
          </w:p>
        </w:tc>
      </w:tr>
      <w:tr w:rsidR="00000000">
        <w:tblPrEx>
          <w:tblCellMar>
            <w:top w:w="0" w:type="dxa"/>
            <w:left w:w="0" w:type="dxa"/>
            <w:bottom w:w="0" w:type="dxa"/>
            <w:right w:w="0" w:type="dxa"/>
          </w:tblCellMar>
        </w:tblPrEx>
        <w:trPr>
          <w:trHeight w:val="180"/>
        </w:trPr>
        <w:tc>
          <w:tcPr>
            <w:tcW w:w="5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31"/>
              <w:jc w:val="center"/>
              <w:rPr>
                <w:rFonts w:ascii="Times New Roman" w:hAnsi="Times New Roman" w:cs="Times New Roman"/>
                <w:sz w:val="24"/>
                <w:szCs w:val="24"/>
              </w:rPr>
            </w:pPr>
            <w:r>
              <w:rPr>
                <w:rFonts w:ascii="Arial" w:hAnsi="Arial" w:cs="Arial"/>
                <w:color w:val="FFFFFF"/>
                <w:w w:val="93"/>
                <w:sz w:val="14"/>
                <w:szCs w:val="14"/>
              </w:rPr>
              <w:t>clinically proven benefits, visit metawellness.com.</w:t>
            </w:r>
          </w:p>
        </w:tc>
        <w:tc>
          <w:tcPr>
            <w:tcW w:w="4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691" w:right="820" w:bottom="56" w:left="840" w:header="720" w:footer="720" w:gutter="0"/>
          <w:cols w:space="480" w:equalWidth="0">
            <w:col w:w="9860" w:space="480"/>
          </w:cols>
          <w:noEndnote/>
        </w:sect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66432" behindDoc="1" locked="0" layoutInCell="0" allowOverlap="1">
            <wp:simplePos x="0" y="0"/>
            <wp:positionH relativeFrom="page">
              <wp:posOffset>0</wp:posOffset>
            </wp:positionH>
            <wp:positionV relativeFrom="page">
              <wp:posOffset>0</wp:posOffset>
            </wp:positionV>
            <wp:extent cx="7315200" cy="9601200"/>
            <wp:effectExtent l="0" t="0" r="0" b="0"/>
            <wp:wrapNone/>
            <wp:docPr id="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FFFFFF"/>
          <w:sz w:val="14"/>
          <w:szCs w:val="14"/>
        </w:rPr>
        <w:t>6  The Procter &amp; Gamble Company</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1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40"/>
          <w:szCs w:val="40"/>
        </w:rPr>
        <w:t>P&amp;G — A Company of Leading Brands</w:t>
      </w:r>
    </w:p>
    <w:p w:rsidR="00000000" w:rsidRDefault="0057438D">
      <w:pPr>
        <w:pStyle w:val="DefaultParagraphFont"/>
        <w:widowControl w:val="0"/>
        <w:autoSpaceDE w:val="0"/>
        <w:autoSpaceDN w:val="0"/>
        <w:adjustRightInd w:val="0"/>
        <w:spacing w:after="0" w:line="12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color w:val="9DDAEB"/>
        </w:rPr>
        <w:t>P&amp;G has   brands with annual sales of $  billion to more than $   billion, and   with sales of</w:t>
      </w:r>
    </w:p>
    <w:p w:rsidR="00000000" w:rsidRDefault="0057438D">
      <w:pPr>
        <w:pStyle w:val="DefaultParagraphFont"/>
        <w:widowControl w:val="0"/>
        <w:autoSpaceDE w:val="0"/>
        <w:autoSpaceDN w:val="0"/>
        <w:adjustRightInd w:val="0"/>
        <w:spacing w:after="0" w:line="5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0" w:lineRule="auto"/>
        <w:rPr>
          <w:rFonts w:ascii="Times New Roman" w:hAnsi="Times New Roman" w:cs="Times New Roman"/>
          <w:sz w:val="24"/>
          <w:szCs w:val="24"/>
        </w:rPr>
      </w:pPr>
      <w:r>
        <w:rPr>
          <w:rFonts w:ascii="Arial" w:hAnsi="Arial" w:cs="Arial"/>
          <w:color w:val="9DDAEB"/>
        </w:rPr>
        <w:t>$ million to $ billion — many of those with billion-dollar potential. Nearly all of our billion-dollar brands and the vast majority of our $ million to $ billio</w:t>
      </w:r>
      <w:r>
        <w:rPr>
          <w:rFonts w:ascii="Arial" w:hAnsi="Arial" w:cs="Arial"/>
          <w:color w:val="9DDAEB"/>
        </w:rPr>
        <w:t>n brands hold the number one or two position in their category or segment, and they all have significant growth and value creation potential.</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color w:val="FFFFFF"/>
          <w:sz w:val="19"/>
          <w:szCs w:val="19"/>
        </w:rPr>
        <w:t>Baby, Feminine and Family Care</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9"/>
          <w:szCs w:val="19"/>
        </w:rPr>
        <w:t>Fabric and Home Care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691" w:right="1080" w:bottom="1440" w:left="720" w:header="720" w:footer="720" w:gutter="0"/>
          <w:cols w:space="720" w:equalWidth="0">
            <w:col w:w="972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noProof/>
        </w:rPr>
        <w:drawing>
          <wp:anchor distT="0" distB="0" distL="114300" distR="114300" simplePos="0" relativeHeight="251667456" behindDoc="1" locked="0" layoutInCell="0" allowOverlap="1">
            <wp:simplePos x="0" y="0"/>
            <wp:positionH relativeFrom="page">
              <wp:posOffset>0</wp:posOffset>
            </wp:positionH>
            <wp:positionV relativeFrom="page">
              <wp:posOffset>0</wp:posOffset>
            </wp:positionV>
            <wp:extent cx="7315200" cy="9601200"/>
            <wp:effectExtent l="0" t="0" r="0" b="0"/>
            <wp:wrapNone/>
            <wp:docPr id="1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FFFFFF"/>
          <w:sz w:val="14"/>
          <w:szCs w:val="14"/>
        </w:rPr>
        <w:t>The Procter &amp; Gamble Company  7</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color w:val="FFFFFF"/>
          <w:sz w:val="19"/>
          <w:szCs w:val="19"/>
        </w:rPr>
        <w:t>Beauty</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9"/>
          <w:szCs w:val="19"/>
        </w:rPr>
        <w:t>Health and Grooming</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691" w:right="720" w:bottom="1440" w:left="1080" w:header="720" w:footer="720" w:gutter="0"/>
          <w:cols w:space="720" w:equalWidth="0">
            <w:col w:w="9720"/>
          </w:cols>
          <w:noEndnote/>
        </w:sect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noProof/>
        </w:rPr>
        <w:drawing>
          <wp:anchor distT="0" distB="0" distL="114300" distR="114300" simplePos="0" relativeHeight="251668480" behindDoc="1" locked="0" layoutInCell="0" allowOverlap="1">
            <wp:simplePos x="0" y="0"/>
            <wp:positionH relativeFrom="page">
              <wp:posOffset>0</wp:posOffset>
            </wp:positionH>
            <wp:positionV relativeFrom="page">
              <wp:posOffset>0</wp:posOffset>
            </wp:positionV>
            <wp:extent cx="7315200" cy="9601200"/>
            <wp:effectExtent l="0" t="0" r="0" b="0"/>
            <wp:wrapNone/>
            <wp:docPr id="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FFFFFF"/>
          <w:sz w:val="14"/>
          <w:szCs w:val="14"/>
        </w:rPr>
        <w:t>8  The Procter &amp; Gamble Company</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2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6" w:lineRule="auto"/>
        <w:ind w:left="20" w:right="620"/>
        <w:rPr>
          <w:rFonts w:ascii="Times New Roman" w:hAnsi="Times New Roman" w:cs="Times New Roman"/>
          <w:sz w:val="24"/>
          <w:szCs w:val="24"/>
        </w:rPr>
      </w:pPr>
      <w:r>
        <w:rPr>
          <w:rFonts w:ascii="Arial" w:hAnsi="Arial" w:cs="Arial"/>
          <w:b/>
          <w:bCs/>
          <w:color w:val="FFFFFF"/>
          <w:sz w:val="28"/>
          <w:szCs w:val="28"/>
        </w:rPr>
        <w:t>P&amp;G is a company generating $ billion in annual sales, with brands and categories organized in four industry-based sectors.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22"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firstRow="0" w:lastRow="0" w:firstColumn="0" w:lastColumn="0" w:noHBand="0" w:noVBand="0"/>
      </w:tblPr>
      <w:tblGrid>
        <w:gridCol w:w="2180"/>
        <w:gridCol w:w="2380"/>
        <w:gridCol w:w="2700"/>
        <w:gridCol w:w="2280"/>
        <w:gridCol w:w="20"/>
      </w:tblGrid>
      <w:tr w:rsidR="00000000">
        <w:tblPrEx>
          <w:tblCellMar>
            <w:top w:w="0" w:type="dxa"/>
            <w:left w:w="0" w:type="dxa"/>
            <w:bottom w:w="0" w:type="dxa"/>
            <w:right w:w="0" w:type="dxa"/>
          </w:tblCellMar>
        </w:tblPrEx>
        <w:trPr>
          <w:trHeight w:val="184"/>
        </w:trPr>
        <w:tc>
          <w:tcPr>
            <w:tcW w:w="45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6"/>
                <w:szCs w:val="16"/>
              </w:rPr>
              <w:t>BABY, FEMININE AND FAMILY CARE</w:t>
            </w:r>
          </w:p>
        </w:tc>
        <w:tc>
          <w:tcPr>
            <w:tcW w:w="2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40"/>
              <w:rPr>
                <w:rFonts w:ascii="Times New Roman" w:hAnsi="Times New Roman" w:cs="Times New Roman"/>
                <w:sz w:val="24"/>
                <w:szCs w:val="24"/>
              </w:rPr>
            </w:pPr>
            <w:r>
              <w:rPr>
                <w:rFonts w:ascii="Arial" w:hAnsi="Arial" w:cs="Arial"/>
                <w:b/>
                <w:bCs/>
                <w:color w:val="FFFFFF"/>
                <w:sz w:val="16"/>
                <w:szCs w:val="16"/>
              </w:rPr>
              <w:t>BEAUTY</w:t>
            </w:r>
          </w:p>
        </w:tc>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70"/>
        </w:trPr>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4"/>
                <w:szCs w:val="14"/>
              </w:rPr>
              <w:t>Baby Care</w:t>
            </w:r>
          </w:p>
        </w:tc>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b/>
                <w:bCs/>
                <w:color w:val="FFFFFF"/>
                <w:sz w:val="14"/>
                <w:szCs w:val="14"/>
              </w:rPr>
              <w:t>Family Care</w:t>
            </w:r>
          </w:p>
        </w:tc>
        <w:tc>
          <w:tcPr>
            <w:tcW w:w="2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40"/>
              <w:rPr>
                <w:rFonts w:ascii="Times New Roman" w:hAnsi="Times New Roman" w:cs="Times New Roman"/>
                <w:sz w:val="24"/>
                <w:szCs w:val="24"/>
              </w:rPr>
            </w:pPr>
            <w:r>
              <w:rPr>
                <w:rFonts w:ascii="Arial" w:hAnsi="Arial" w:cs="Arial"/>
                <w:b/>
                <w:bCs/>
                <w:color w:val="FFFFFF"/>
                <w:sz w:val="14"/>
                <w:szCs w:val="14"/>
              </w:rPr>
              <w:t>Beauty Care</w:t>
            </w:r>
          </w:p>
        </w:tc>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Arial" w:hAnsi="Arial" w:cs="Arial"/>
                <w:b/>
                <w:bCs/>
                <w:color w:val="FFFFFF"/>
                <w:sz w:val="14"/>
                <w:szCs w:val="14"/>
              </w:rPr>
              <w:t>Hair Care and Color</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1"/>
                <w:szCs w:val="11"/>
              </w:rPr>
              <w:t xml:space="preserve">CATEGORIES: </w:t>
            </w:r>
            <w:r>
              <w:rPr>
                <w:rFonts w:ascii="Arial" w:hAnsi="Arial" w:cs="Arial"/>
                <w:i/>
                <w:iCs/>
                <w:color w:val="FFFFFF"/>
                <w:sz w:val="14"/>
                <w:szCs w:val="14"/>
              </w:rPr>
              <w:t>Diapers &amp; Pants,</w:t>
            </w:r>
          </w:p>
        </w:tc>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b/>
                <w:bCs/>
                <w:color w:val="FFFFFF"/>
                <w:sz w:val="11"/>
                <w:szCs w:val="11"/>
              </w:rPr>
              <w:t xml:space="preserve">CATEGORIES: </w:t>
            </w:r>
            <w:r>
              <w:rPr>
                <w:rFonts w:ascii="Arial" w:hAnsi="Arial" w:cs="Arial"/>
                <w:i/>
                <w:iCs/>
                <w:color w:val="FFFFFF"/>
                <w:sz w:val="14"/>
                <w:szCs w:val="14"/>
              </w:rPr>
              <w:t>Paper Towels,</w:t>
            </w:r>
          </w:p>
        </w:tc>
        <w:tc>
          <w:tcPr>
            <w:tcW w:w="2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40"/>
              <w:rPr>
                <w:rFonts w:ascii="Times New Roman" w:hAnsi="Times New Roman" w:cs="Times New Roman"/>
                <w:sz w:val="24"/>
                <w:szCs w:val="24"/>
              </w:rPr>
            </w:pPr>
            <w:r>
              <w:rPr>
                <w:rFonts w:ascii="Arial" w:hAnsi="Arial" w:cs="Arial"/>
                <w:b/>
                <w:bCs/>
                <w:color w:val="FFFFFF"/>
                <w:sz w:val="11"/>
                <w:szCs w:val="11"/>
              </w:rPr>
              <w:t xml:space="preserve">CATEGORIES: </w:t>
            </w:r>
            <w:r>
              <w:rPr>
                <w:rFonts w:ascii="Arial" w:hAnsi="Arial" w:cs="Arial"/>
                <w:i/>
                <w:iCs/>
                <w:color w:val="FFFFFF"/>
                <w:sz w:val="14"/>
                <w:szCs w:val="14"/>
              </w:rPr>
              <w:t>Antiperspirant and</w:t>
            </w:r>
          </w:p>
        </w:tc>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Arial" w:hAnsi="Arial" w:cs="Arial"/>
                <w:b/>
                <w:bCs/>
                <w:color w:val="FFFFFF"/>
                <w:w w:val="94"/>
                <w:sz w:val="11"/>
                <w:szCs w:val="11"/>
              </w:rPr>
              <w:t xml:space="preserve">CATEGORIES: </w:t>
            </w:r>
            <w:r>
              <w:rPr>
                <w:rFonts w:ascii="Arial" w:hAnsi="Arial" w:cs="Arial"/>
                <w:i/>
                <w:iCs/>
                <w:color w:val="FFFFFF"/>
                <w:w w:val="94"/>
                <w:sz w:val="14"/>
                <w:szCs w:val="14"/>
              </w:rPr>
              <w:t>Hair Care, Hair Color</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i/>
                <w:iCs/>
                <w:color w:val="FFFFFF"/>
                <w:sz w:val="14"/>
                <w:szCs w:val="14"/>
              </w:rPr>
              <w:t>Baby Wipes</w:t>
            </w:r>
          </w:p>
        </w:tc>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i/>
                <w:iCs/>
                <w:color w:val="FFFFFF"/>
                <w:sz w:val="14"/>
                <w:szCs w:val="14"/>
              </w:rPr>
              <w:t>Tissues, Toilet Paper</w:t>
            </w:r>
          </w:p>
        </w:tc>
        <w:tc>
          <w:tcPr>
            <w:tcW w:w="2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40"/>
              <w:rPr>
                <w:rFonts w:ascii="Times New Roman" w:hAnsi="Times New Roman" w:cs="Times New Roman"/>
                <w:sz w:val="24"/>
                <w:szCs w:val="24"/>
              </w:rPr>
            </w:pPr>
            <w:r>
              <w:rPr>
                <w:rFonts w:ascii="Arial" w:hAnsi="Arial" w:cs="Arial"/>
                <w:i/>
                <w:iCs/>
                <w:color w:val="FFFFFF"/>
                <w:sz w:val="14"/>
                <w:szCs w:val="14"/>
              </w:rPr>
              <w:t>Deodorant, Cosmetics, Personal</w:t>
            </w:r>
          </w:p>
        </w:tc>
        <w:tc>
          <w:tcPr>
            <w:tcW w:w="22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Arial" w:hAnsi="Arial" w:cs="Arial"/>
                <w:b/>
                <w:bCs/>
                <w:color w:val="FFFFFF"/>
                <w:sz w:val="14"/>
                <w:szCs w:val="14"/>
              </w:rPr>
              <w:t>Salon Professional</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0"/>
        </w:trPr>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27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40"/>
              <w:rPr>
                <w:rFonts w:ascii="Times New Roman" w:hAnsi="Times New Roman" w:cs="Times New Roman"/>
                <w:sz w:val="24"/>
                <w:szCs w:val="24"/>
              </w:rPr>
            </w:pPr>
            <w:r>
              <w:rPr>
                <w:rFonts w:ascii="Arial" w:hAnsi="Arial" w:cs="Arial"/>
                <w:i/>
                <w:iCs/>
                <w:color w:val="FFFFFF"/>
                <w:sz w:val="14"/>
                <w:szCs w:val="14"/>
              </w:rPr>
              <w:t>Cleansing, Skin Care</w:t>
            </w:r>
          </w:p>
        </w:tc>
        <w:tc>
          <w:tcPr>
            <w:tcW w:w="22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0"/>
        </w:trPr>
        <w:tc>
          <w:tcPr>
            <w:tcW w:w="2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4"/>
                <w:szCs w:val="14"/>
              </w:rPr>
              <w:t>Feminine Care</w:t>
            </w:r>
          </w:p>
        </w:tc>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27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22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Arial" w:hAnsi="Arial" w:cs="Arial"/>
                <w:b/>
                <w:bCs/>
                <w:color w:val="FFFFFF"/>
                <w:sz w:val="11"/>
                <w:szCs w:val="11"/>
              </w:rPr>
              <w:t xml:space="preserve">CATEGORIES: </w:t>
            </w:r>
            <w:r>
              <w:rPr>
                <w:rFonts w:ascii="Arial" w:hAnsi="Arial" w:cs="Arial"/>
                <w:i/>
                <w:iCs/>
                <w:color w:val="FFFFFF"/>
                <w:sz w:val="14"/>
                <w:szCs w:val="14"/>
              </w:rPr>
              <w:t>Salon Professional</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0"/>
        </w:trPr>
        <w:tc>
          <w:tcPr>
            <w:tcW w:w="2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2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22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1"/>
                <w:szCs w:val="11"/>
              </w:rPr>
              <w:t xml:space="preserve">CATEGORIES: </w:t>
            </w:r>
            <w:r>
              <w:rPr>
                <w:rFonts w:ascii="Arial" w:hAnsi="Arial" w:cs="Arial"/>
                <w:i/>
                <w:iCs/>
                <w:color w:val="FFFFFF"/>
                <w:sz w:val="14"/>
                <w:szCs w:val="14"/>
              </w:rPr>
              <w:t>Adult Incontinence,</w:t>
            </w:r>
          </w:p>
        </w:tc>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40"/>
              <w:rPr>
                <w:rFonts w:ascii="Times New Roman" w:hAnsi="Times New Roman" w:cs="Times New Roman"/>
                <w:sz w:val="24"/>
                <w:szCs w:val="24"/>
              </w:rPr>
            </w:pPr>
            <w:r>
              <w:rPr>
                <w:rFonts w:ascii="Arial" w:hAnsi="Arial" w:cs="Arial"/>
                <w:b/>
                <w:bCs/>
                <w:color w:val="FFFFFF"/>
                <w:sz w:val="14"/>
                <w:szCs w:val="14"/>
              </w:rPr>
              <w:t>Prestige</w:t>
            </w:r>
          </w:p>
        </w:tc>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i/>
                <w:iCs/>
                <w:color w:val="FFFFFF"/>
                <w:sz w:val="14"/>
                <w:szCs w:val="14"/>
              </w:rPr>
              <w:t>Feminine Care</w:t>
            </w:r>
          </w:p>
        </w:tc>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40"/>
              <w:rPr>
                <w:rFonts w:ascii="Times New Roman" w:hAnsi="Times New Roman" w:cs="Times New Roman"/>
                <w:sz w:val="24"/>
                <w:szCs w:val="24"/>
              </w:rPr>
            </w:pPr>
            <w:r>
              <w:rPr>
                <w:rFonts w:ascii="Arial" w:hAnsi="Arial" w:cs="Arial"/>
                <w:b/>
                <w:bCs/>
                <w:color w:val="FFFFFF"/>
                <w:sz w:val="11"/>
                <w:szCs w:val="11"/>
              </w:rPr>
              <w:t xml:space="preserve">CATEGORIES: </w:t>
            </w:r>
            <w:r>
              <w:rPr>
                <w:rFonts w:ascii="Arial" w:hAnsi="Arial" w:cs="Arial"/>
                <w:i/>
                <w:iCs/>
                <w:color w:val="FFFFFF"/>
                <w:sz w:val="14"/>
                <w:szCs w:val="14"/>
              </w:rPr>
              <w:t>Prestige</w:t>
            </w:r>
          </w:p>
        </w:tc>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56"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firstRow="0" w:lastRow="0" w:firstColumn="0" w:lastColumn="0" w:noHBand="0" w:noVBand="0"/>
      </w:tblPr>
      <w:tblGrid>
        <w:gridCol w:w="2240"/>
        <w:gridCol w:w="2160"/>
        <w:gridCol w:w="2980"/>
        <w:gridCol w:w="2180"/>
        <w:gridCol w:w="20"/>
      </w:tblGrid>
      <w:tr w:rsidR="00000000">
        <w:tblPrEx>
          <w:tblCellMar>
            <w:top w:w="0" w:type="dxa"/>
            <w:left w:w="0" w:type="dxa"/>
            <w:bottom w:w="0" w:type="dxa"/>
            <w:right w:w="0" w:type="dxa"/>
          </w:tblCellMar>
        </w:tblPrEx>
        <w:trPr>
          <w:trHeight w:val="184"/>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3" w:lineRule="exact"/>
              <w:rPr>
                <w:rFonts w:ascii="Times New Roman" w:hAnsi="Times New Roman" w:cs="Times New Roman"/>
                <w:sz w:val="24"/>
                <w:szCs w:val="24"/>
              </w:rPr>
            </w:pPr>
            <w:r>
              <w:rPr>
                <w:rFonts w:ascii="Arial" w:hAnsi="Arial" w:cs="Arial"/>
                <w:b/>
                <w:bCs/>
                <w:color w:val="FFFFFF"/>
                <w:sz w:val="16"/>
                <w:szCs w:val="16"/>
              </w:rPr>
              <w:t>FABRIC AND HOME CARE</w:t>
            </w:r>
          </w:p>
        </w:tc>
        <w:tc>
          <w:tcPr>
            <w:tcW w:w="2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3" w:lineRule="exact"/>
              <w:ind w:left="700"/>
              <w:rPr>
                <w:rFonts w:ascii="Times New Roman" w:hAnsi="Times New Roman" w:cs="Times New Roman"/>
                <w:sz w:val="24"/>
                <w:szCs w:val="24"/>
              </w:rPr>
            </w:pPr>
            <w:r>
              <w:rPr>
                <w:rFonts w:ascii="Arial" w:hAnsi="Arial" w:cs="Arial"/>
                <w:b/>
                <w:bCs/>
                <w:color w:val="FFFFFF"/>
                <w:sz w:val="16"/>
                <w:szCs w:val="16"/>
              </w:rPr>
              <w:t>HEALTH AND GROOMING</w:t>
            </w:r>
          </w:p>
        </w:tc>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70"/>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4"/>
                <w:szCs w:val="14"/>
              </w:rPr>
              <w:t>Fabric Care</w:t>
            </w:r>
          </w:p>
        </w:tc>
        <w:tc>
          <w:tcPr>
            <w:tcW w:w="2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Arial" w:hAnsi="Arial" w:cs="Arial"/>
                <w:b/>
                <w:bCs/>
                <w:color w:val="FFFFFF"/>
                <w:sz w:val="14"/>
                <w:szCs w:val="14"/>
              </w:rPr>
              <w:t>Personal Power</w:t>
            </w: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b/>
                <w:bCs/>
                <w:color w:val="FFFFFF"/>
                <w:sz w:val="14"/>
                <w:szCs w:val="14"/>
              </w:rPr>
              <w:t>Personal Health Care</w:t>
            </w:r>
          </w:p>
        </w:tc>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b/>
                <w:bCs/>
                <w:color w:val="FFFFFF"/>
                <w:sz w:val="14"/>
                <w:szCs w:val="14"/>
              </w:rPr>
              <w:t>Shave Care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1"/>
                <w:szCs w:val="11"/>
              </w:rPr>
              <w:t xml:space="preserve">CATEGORIES: </w:t>
            </w:r>
            <w:r>
              <w:rPr>
                <w:rFonts w:ascii="Arial" w:hAnsi="Arial" w:cs="Arial"/>
                <w:i/>
                <w:iCs/>
                <w:color w:val="FFFFFF"/>
                <w:sz w:val="14"/>
                <w:szCs w:val="14"/>
              </w:rPr>
              <w:t>Fabric Enhancers,</w:t>
            </w:r>
          </w:p>
        </w:tc>
        <w:tc>
          <w:tcPr>
            <w:tcW w:w="2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Arial" w:hAnsi="Arial" w:cs="Arial"/>
                <w:b/>
                <w:bCs/>
                <w:color w:val="FFFFFF"/>
                <w:sz w:val="11"/>
                <w:szCs w:val="11"/>
              </w:rPr>
              <w:t xml:space="preserve">CATEGORIES: </w:t>
            </w:r>
            <w:r>
              <w:rPr>
                <w:rFonts w:ascii="Arial" w:hAnsi="Arial" w:cs="Arial"/>
                <w:i/>
                <w:iCs/>
                <w:color w:val="FFFFFF"/>
                <w:sz w:val="14"/>
                <w:szCs w:val="14"/>
              </w:rPr>
              <w:t>Batteries</w:t>
            </w: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b/>
                <w:bCs/>
                <w:color w:val="FFFFFF"/>
                <w:sz w:val="11"/>
                <w:szCs w:val="11"/>
              </w:rPr>
              <w:t xml:space="preserve">CATEGORIES: </w:t>
            </w:r>
            <w:r>
              <w:rPr>
                <w:rFonts w:ascii="Arial" w:hAnsi="Arial" w:cs="Arial"/>
                <w:i/>
                <w:iCs/>
                <w:color w:val="FFFFFF"/>
                <w:sz w:val="14"/>
                <w:szCs w:val="14"/>
              </w:rPr>
              <w:t>Gastrointestinal,</w:t>
            </w:r>
          </w:p>
        </w:tc>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b/>
                <w:bCs/>
                <w:color w:val="FFFFFF"/>
                <w:sz w:val="11"/>
                <w:szCs w:val="11"/>
              </w:rPr>
              <w:t xml:space="preserve">CATEGORIES: </w:t>
            </w:r>
            <w:r>
              <w:rPr>
                <w:rFonts w:ascii="Arial" w:hAnsi="Arial" w:cs="Arial"/>
                <w:i/>
                <w:iCs/>
                <w:color w:val="FFFFFF"/>
                <w:sz w:val="14"/>
                <w:szCs w:val="14"/>
              </w:rPr>
              <w:t>Electronic Hair</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i/>
                <w:iCs/>
                <w:color w:val="FFFFFF"/>
                <w:sz w:val="14"/>
                <w:szCs w:val="14"/>
              </w:rPr>
              <w:t>Laundry Additives, Laundry</w:t>
            </w:r>
          </w:p>
        </w:tc>
        <w:tc>
          <w:tcPr>
            <w:tcW w:w="2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i/>
                <w:iCs/>
                <w:color w:val="FFFFFF"/>
                <w:sz w:val="14"/>
                <w:szCs w:val="14"/>
              </w:rPr>
              <w:t>Rapid Diagnostics, Respiratory,</w:t>
            </w:r>
          </w:p>
        </w:tc>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i/>
                <w:iCs/>
                <w:color w:val="FFFFFF"/>
                <w:w w:val="90"/>
                <w:sz w:val="14"/>
                <w:szCs w:val="14"/>
              </w:rPr>
              <w:t>Removal, Female Blades &amp; Razors,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i/>
                <w:iCs/>
                <w:color w:val="FFFFFF"/>
                <w:sz w:val="14"/>
                <w:szCs w:val="14"/>
              </w:rPr>
              <w:t>Detergents</w:t>
            </w:r>
          </w:p>
        </w:tc>
        <w:tc>
          <w:tcPr>
            <w:tcW w:w="2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i/>
                <w:iCs/>
                <w:color w:val="FFFFFF"/>
                <w:sz w:val="14"/>
                <w:szCs w:val="14"/>
              </w:rPr>
              <w:t>Vitamins / Minerals / Supplements,</w:t>
            </w:r>
          </w:p>
        </w:tc>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i/>
                <w:iCs/>
                <w:color w:val="FFFFFF"/>
                <w:w w:val="99"/>
                <w:sz w:val="14"/>
                <w:szCs w:val="14"/>
              </w:rPr>
              <w:t>Male Blades &amp; Razors, Pre/Post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22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4"/>
                <w:szCs w:val="14"/>
              </w:rPr>
              <w:t>Home Care</w:t>
            </w:r>
          </w:p>
        </w:tc>
        <w:tc>
          <w:tcPr>
            <w:tcW w:w="2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i/>
                <w:iCs/>
                <w:color w:val="FFFFFF"/>
                <w:sz w:val="14"/>
                <w:szCs w:val="14"/>
              </w:rPr>
              <w:t>Other Personal Health Care</w:t>
            </w:r>
          </w:p>
        </w:tc>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i/>
                <w:iCs/>
                <w:color w:val="FFFFFF"/>
                <w:sz w:val="14"/>
                <w:szCs w:val="14"/>
              </w:rPr>
              <w:t>Shave, Other Shave Care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0"/>
        </w:trPr>
        <w:tc>
          <w:tcPr>
            <w:tcW w:w="22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2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1"/>
                <w:szCs w:val="11"/>
              </w:rPr>
              <w:t xml:space="preserve">CATEGORIES: </w:t>
            </w:r>
            <w:r>
              <w:rPr>
                <w:rFonts w:ascii="Arial" w:hAnsi="Arial" w:cs="Arial"/>
                <w:i/>
                <w:iCs/>
                <w:color w:val="FFFFFF"/>
                <w:sz w:val="14"/>
                <w:szCs w:val="14"/>
              </w:rPr>
              <w:t>Air Care, Dish Care,</w:t>
            </w:r>
          </w:p>
        </w:tc>
        <w:tc>
          <w:tcPr>
            <w:tcW w:w="2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b/>
                <w:bCs/>
                <w:color w:val="FFFFFF"/>
                <w:sz w:val="14"/>
                <w:szCs w:val="14"/>
              </w:rPr>
              <w:t>Oral Care</w:t>
            </w:r>
          </w:p>
        </w:tc>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i/>
                <w:iCs/>
                <w:color w:val="FFFFFF"/>
                <w:sz w:val="14"/>
                <w:szCs w:val="14"/>
              </w:rPr>
              <w:t>Surface Care, P&amp;G Professional</w:t>
            </w:r>
          </w:p>
        </w:tc>
        <w:tc>
          <w:tcPr>
            <w:tcW w:w="2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b/>
                <w:bCs/>
                <w:color w:val="FFFFFF"/>
                <w:sz w:val="11"/>
                <w:szCs w:val="11"/>
              </w:rPr>
              <w:t xml:space="preserve">CATEGORIES: </w:t>
            </w:r>
            <w:r>
              <w:rPr>
                <w:rFonts w:ascii="Arial" w:hAnsi="Arial" w:cs="Arial"/>
                <w:i/>
                <w:iCs/>
                <w:color w:val="FFFFFF"/>
                <w:sz w:val="14"/>
                <w:szCs w:val="14"/>
              </w:rPr>
              <w:t>Toothbrush,</w:t>
            </w:r>
          </w:p>
        </w:tc>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00"/>
              <w:rPr>
                <w:rFonts w:ascii="Times New Roman" w:hAnsi="Times New Roman" w:cs="Times New Roman"/>
                <w:sz w:val="24"/>
                <w:szCs w:val="24"/>
              </w:rPr>
            </w:pPr>
            <w:r>
              <w:rPr>
                <w:rFonts w:ascii="Arial" w:hAnsi="Arial" w:cs="Arial"/>
                <w:i/>
                <w:iCs/>
                <w:color w:val="FFFFFF"/>
                <w:sz w:val="14"/>
                <w:szCs w:val="14"/>
              </w:rPr>
              <w:t>Toothpaste, Other Oral Care</w:t>
            </w:r>
          </w:p>
        </w:tc>
        <w:tc>
          <w:tcPr>
            <w:tcW w:w="2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6" w:lineRule="auto"/>
        <w:ind w:left="20" w:right="2520"/>
        <w:rPr>
          <w:rFonts w:ascii="Times New Roman" w:hAnsi="Times New Roman" w:cs="Times New Roman"/>
          <w:sz w:val="24"/>
          <w:szCs w:val="24"/>
        </w:rPr>
      </w:pPr>
      <w:r>
        <w:rPr>
          <w:rFonts w:ascii="Arial" w:hAnsi="Arial" w:cs="Arial"/>
          <w:b/>
          <w:bCs/>
          <w:color w:val="FFFFFF"/>
          <w:sz w:val="28"/>
          <w:szCs w:val="28"/>
        </w:rPr>
        <w:t>We take our portfolio of brands to consumers through five regional Selling and Market Operations.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4775" cy="85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rFonts w:ascii="Arial" w:hAnsi="Arial" w:cs="Arial"/>
          <w:color w:val="FFFFFF"/>
          <w:sz w:val="15"/>
          <w:szCs w:val="15"/>
        </w:rPr>
        <w:t xml:space="preserve"> Asia</w:t>
      </w:r>
    </w:p>
    <w:p w:rsidR="00000000" w:rsidRDefault="0057438D">
      <w:pPr>
        <w:pStyle w:val="DefaultParagraphFont"/>
        <w:widowControl w:val="0"/>
        <w:autoSpaceDE w:val="0"/>
        <w:autoSpaceDN w:val="0"/>
        <w:adjustRightInd w:val="0"/>
        <w:spacing w:after="0" w:line="13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ind w:left="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5725" cy="85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Pr>
          <w:rFonts w:ascii="Arial" w:hAnsi="Arial" w:cs="Arial"/>
          <w:color w:val="FFFFFF"/>
          <w:sz w:val="15"/>
          <w:szCs w:val="15"/>
        </w:rPr>
        <w:t xml:space="preserve"> Europe</w:t>
      </w:r>
    </w:p>
    <w:p w:rsidR="00000000" w:rsidRDefault="0057438D">
      <w:pPr>
        <w:pStyle w:val="DefaultParagraphFont"/>
        <w:widowControl w:val="0"/>
        <w:autoSpaceDE w:val="0"/>
        <w:autoSpaceDN w:val="0"/>
        <w:adjustRightInd w:val="0"/>
        <w:spacing w:after="0" w:line="14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5725" cy="85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Pr>
          <w:rFonts w:ascii="Arial" w:hAnsi="Arial" w:cs="Arial"/>
          <w:color w:val="FFFFFF"/>
          <w:sz w:val="15"/>
          <w:szCs w:val="15"/>
        </w:rPr>
        <w:t xml:space="preserve"> Latin America</w:t>
      </w:r>
    </w:p>
    <w:p w:rsidR="00000000" w:rsidRDefault="0057438D">
      <w:pPr>
        <w:pStyle w:val="DefaultParagraphFont"/>
        <w:widowControl w:val="0"/>
        <w:autoSpaceDE w:val="0"/>
        <w:autoSpaceDN w:val="0"/>
        <w:adjustRightInd w:val="0"/>
        <w:spacing w:after="0" w:line="13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5725" cy="85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Pr>
          <w:rFonts w:ascii="Arial" w:hAnsi="Arial" w:cs="Arial"/>
          <w:color w:val="FFFFFF"/>
          <w:sz w:val="15"/>
          <w:szCs w:val="15"/>
        </w:rPr>
        <w:t xml:space="preserve"> North America</w:t>
      </w:r>
    </w:p>
    <w:p w:rsidR="00000000" w:rsidRDefault="0057438D">
      <w:pPr>
        <w:pStyle w:val="DefaultParagraphFont"/>
        <w:widowControl w:val="0"/>
        <w:autoSpaceDE w:val="0"/>
        <w:autoSpaceDN w:val="0"/>
        <w:adjustRightInd w:val="0"/>
        <w:spacing w:after="0" w:line="13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5725" cy="85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Pr>
          <w:rFonts w:ascii="Arial" w:hAnsi="Arial" w:cs="Arial"/>
          <w:color w:val="FFFFFF"/>
          <w:sz w:val="15"/>
          <w:szCs w:val="15"/>
        </w:rPr>
        <w:t xml:space="preserve"> India, Middle East</w:t>
      </w:r>
    </w:p>
    <w:p w:rsidR="00000000" w:rsidRDefault="0057438D">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ind w:left="200"/>
        <w:rPr>
          <w:rFonts w:ascii="Times New Roman" w:hAnsi="Times New Roman" w:cs="Times New Roman"/>
          <w:sz w:val="24"/>
          <w:szCs w:val="24"/>
        </w:rPr>
      </w:pPr>
      <w:r>
        <w:rPr>
          <w:rFonts w:ascii="Arial" w:hAnsi="Arial" w:cs="Arial"/>
          <w:color w:val="FFFFFF"/>
          <w:sz w:val="15"/>
          <w:szCs w:val="15"/>
        </w:rPr>
        <w:t>and Africa (IMEA)</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691" w:right="1240" w:bottom="1000" w:left="700" w:header="720" w:footer="720" w:gutter="0"/>
          <w:cols w:space="720" w:equalWidth="0">
            <w:col w:w="9580"/>
          </w:cols>
          <w:noEndnote/>
        </w:sectPr>
      </w:pPr>
    </w:p>
    <w:tbl>
      <w:tblPr>
        <w:tblW w:w="0" w:type="auto"/>
        <w:tblLayout w:type="fixed"/>
        <w:tblCellMar>
          <w:left w:w="0" w:type="dxa"/>
          <w:right w:w="0" w:type="dxa"/>
        </w:tblCellMar>
        <w:tblLook w:val="0000" w:firstRow="0" w:lastRow="0" w:firstColumn="0" w:lastColumn="0" w:noHBand="0" w:noVBand="0"/>
      </w:tblPr>
      <w:tblGrid>
        <w:gridCol w:w="860"/>
        <w:gridCol w:w="860"/>
        <w:gridCol w:w="100"/>
        <w:gridCol w:w="180"/>
        <w:gridCol w:w="420"/>
        <w:gridCol w:w="40"/>
        <w:gridCol w:w="380"/>
        <w:gridCol w:w="120"/>
        <w:gridCol w:w="260"/>
        <w:gridCol w:w="140"/>
        <w:gridCol w:w="580"/>
        <w:gridCol w:w="120"/>
        <w:gridCol w:w="340"/>
        <w:gridCol w:w="160"/>
        <w:gridCol w:w="200"/>
        <w:gridCol w:w="300"/>
        <w:gridCol w:w="320"/>
        <w:gridCol w:w="80"/>
        <w:gridCol w:w="200"/>
        <w:gridCol w:w="40"/>
        <w:gridCol w:w="1080"/>
        <w:gridCol w:w="1080"/>
        <w:gridCol w:w="40"/>
        <w:gridCol w:w="480"/>
        <w:gridCol w:w="380"/>
        <w:gridCol w:w="40"/>
        <w:gridCol w:w="140"/>
        <w:gridCol w:w="20"/>
        <w:gridCol w:w="820"/>
        <w:gridCol w:w="20"/>
      </w:tblGrid>
      <w:tr w:rsidR="00000000">
        <w:tblPrEx>
          <w:tblCellMar>
            <w:top w:w="0" w:type="dxa"/>
            <w:left w:w="0" w:type="dxa"/>
            <w:bottom w:w="0" w:type="dxa"/>
            <w:right w:w="0" w:type="dxa"/>
          </w:tblCellMar>
        </w:tblPrEx>
        <w:trPr>
          <w:trHeight w:val="223"/>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0" w:type="dxa"/>
            <w:gridSpan w:val="8"/>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80"/>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6"/>
                <w:szCs w:val="16"/>
              </w:rPr>
              <w:t>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19"/>
        </w:trPr>
        <w:tc>
          <w:tcPr>
            <w:tcW w:w="8800" w:type="dxa"/>
            <w:gridSpan w:val="26"/>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Form 10-K Index</w:t>
            </w:r>
          </w:p>
        </w:tc>
        <w:tc>
          <w:tcPr>
            <w:tcW w:w="980" w:type="dxa"/>
            <w:gridSpan w:val="3"/>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Page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240" w:type="dxa"/>
            <w:gridSpan w:val="1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560"/>
              <w:jc w:val="center"/>
              <w:rPr>
                <w:rFonts w:ascii="Times New Roman" w:hAnsi="Times New Roman" w:cs="Times New Roman"/>
                <w:sz w:val="24"/>
                <w:szCs w:val="24"/>
              </w:rPr>
            </w:pPr>
            <w:r>
              <w:rPr>
                <w:rFonts w:ascii="Times New Roman" w:hAnsi="Times New Roman" w:cs="Times New Roman"/>
                <w:b/>
                <w:bCs/>
                <w:w w:val="99"/>
                <w:sz w:val="19"/>
                <w:szCs w:val="19"/>
              </w:rPr>
              <w:t>Part I</w:t>
            </w:r>
          </w:p>
        </w:tc>
        <w:tc>
          <w:tcPr>
            <w:tcW w:w="980" w:type="dxa"/>
            <w:gridSpan w:val="3"/>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240" w:type="dxa"/>
            <w:gridSpan w:val="1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11"/>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1.</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w w:val="97"/>
                <w:sz w:val="19"/>
                <w:szCs w:val="19"/>
              </w:rPr>
              <w:t>Business</w:t>
            </w:r>
          </w:p>
        </w:tc>
        <w:tc>
          <w:tcPr>
            <w:tcW w:w="7080" w:type="dxa"/>
            <w:gridSpan w:val="2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9"/>
                <w:szCs w:val="19"/>
              </w:rPr>
              <w:t>11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2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single" w:sz="8" w:space="0" w:color="auto"/>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2"/>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1A.</w:t>
            </w:r>
          </w:p>
        </w:tc>
        <w:tc>
          <w:tcPr>
            <w:tcW w:w="114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w w:val="98"/>
                <w:sz w:val="19"/>
                <w:szCs w:val="19"/>
              </w:rPr>
              <w:t>Risk Factors</w:t>
            </w:r>
          </w:p>
        </w:tc>
        <w:tc>
          <w:tcPr>
            <w:tcW w:w="6800" w:type="dxa"/>
            <w:gridSpan w:val="2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9"/>
                <w:szCs w:val="19"/>
              </w:rPr>
              <w:t>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2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single" w:sz="8" w:space="0" w:color="auto"/>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1B.</w:t>
            </w:r>
          </w:p>
        </w:tc>
        <w:tc>
          <w:tcPr>
            <w:tcW w:w="2360" w:type="dxa"/>
            <w:gridSpan w:val="8"/>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w w:val="99"/>
                <w:sz w:val="19"/>
                <w:szCs w:val="19"/>
              </w:rPr>
              <w:t>Unresolved Staff Comments</w:t>
            </w:r>
          </w:p>
        </w:tc>
        <w:tc>
          <w:tcPr>
            <w:tcW w:w="5580" w:type="dxa"/>
            <w:gridSpan w:val="17"/>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16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2.</w:t>
            </w: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w w:val="98"/>
                <w:sz w:val="19"/>
                <w:szCs w:val="19"/>
              </w:rPr>
              <w:t>Properties</w:t>
            </w:r>
          </w:p>
        </w:tc>
        <w:tc>
          <w:tcPr>
            <w:tcW w:w="6980" w:type="dxa"/>
            <w:gridSpan w:val="23"/>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16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3.</w:t>
            </w:r>
          </w:p>
        </w:tc>
        <w:tc>
          <w:tcPr>
            <w:tcW w:w="160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w w:val="99"/>
                <w:sz w:val="19"/>
                <w:szCs w:val="19"/>
              </w:rPr>
              <w:t>Legal Proceedings</w:t>
            </w:r>
          </w:p>
        </w:tc>
        <w:tc>
          <w:tcPr>
            <w:tcW w:w="6340" w:type="dxa"/>
            <w:gridSpan w:val="20"/>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16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2"/>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4.</w:t>
            </w:r>
          </w:p>
        </w:tc>
        <w:tc>
          <w:tcPr>
            <w:tcW w:w="7940" w:type="dxa"/>
            <w:gridSpan w:val="2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Mine Safety Disclosure</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9"/>
                <w:szCs w:val="19"/>
              </w:rPr>
              <w:t>16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45"/>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40" w:type="dxa"/>
            <w:gridSpan w:val="12"/>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580"/>
              <w:jc w:val="center"/>
              <w:rPr>
                <w:rFonts w:ascii="Times New Roman" w:hAnsi="Times New Roman" w:cs="Times New Roman"/>
                <w:sz w:val="24"/>
                <w:szCs w:val="24"/>
              </w:rPr>
            </w:pPr>
            <w:r>
              <w:rPr>
                <w:rFonts w:ascii="Times New Roman" w:hAnsi="Times New Roman" w:cs="Times New Roman"/>
                <w:b/>
                <w:bCs/>
                <w:w w:val="97"/>
                <w:sz w:val="19"/>
                <w:szCs w:val="19"/>
              </w:rPr>
              <w:t>Part II</w:t>
            </w:r>
          </w:p>
        </w:tc>
        <w:tc>
          <w:tcPr>
            <w:tcW w:w="1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0"/>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5.</w:t>
            </w:r>
          </w:p>
        </w:tc>
        <w:tc>
          <w:tcPr>
            <w:tcW w:w="7940" w:type="dxa"/>
            <w:gridSpan w:val="2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Market for Registrant's Common Equity, Related Stockholder Matters and Issuer</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8"/>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940" w:type="dxa"/>
            <w:gridSpan w:val="2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Purchases of Equity Securities</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9"/>
                <w:szCs w:val="19"/>
              </w:rPr>
              <w:t>19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2"/>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6.</w:t>
            </w:r>
          </w:p>
        </w:tc>
        <w:tc>
          <w:tcPr>
            <w:tcW w:w="2100" w:type="dxa"/>
            <w:gridSpan w:val="7"/>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Selected Financial Data</w:t>
            </w:r>
          </w:p>
        </w:tc>
        <w:tc>
          <w:tcPr>
            <w:tcW w:w="4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40" w:type="dxa"/>
            <w:gridSpan w:val="16"/>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21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56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gridSpan w:val="3"/>
            <w:tcBorders>
              <w:top w:val="nil"/>
              <w:left w:val="nil"/>
              <w:bottom w:val="nil"/>
              <w:right w:val="single" w:sz="8" w:space="0" w:color="auto"/>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80" w:type="dxa"/>
            <w:gridSpan w:val="3"/>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gridSpan w:val="2"/>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7.</w:t>
            </w:r>
          </w:p>
        </w:tc>
        <w:tc>
          <w:tcPr>
            <w:tcW w:w="7940" w:type="dxa"/>
            <w:gridSpan w:val="2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 xml:space="preserve">Management's Discussion and Analysis of Financial Condition and </w:t>
            </w:r>
            <w:r>
              <w:rPr>
                <w:rFonts w:ascii="Times New Roman" w:hAnsi="Times New Roman" w:cs="Times New Roman"/>
                <w:sz w:val="19"/>
                <w:szCs w:val="19"/>
              </w:rPr>
              <w:t>Results of Operations</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9"/>
                <w:szCs w:val="19"/>
              </w:rPr>
              <w:t>22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7A.</w:t>
            </w:r>
          </w:p>
        </w:tc>
        <w:tc>
          <w:tcPr>
            <w:tcW w:w="7000" w:type="dxa"/>
            <w:gridSpan w:val="21"/>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Quantitative and Qualitative Disclosures About Market Risk</w:t>
            </w:r>
          </w:p>
        </w:tc>
        <w:tc>
          <w:tcPr>
            <w:tcW w:w="940" w:type="dxa"/>
            <w:gridSpan w:val="4"/>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43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5"/>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8.</w:t>
            </w:r>
          </w:p>
        </w:tc>
        <w:tc>
          <w:tcPr>
            <w:tcW w:w="4800" w:type="dxa"/>
            <w:gridSpan w:val="18"/>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Financial Statements and Supplementary Data</w:t>
            </w:r>
          </w:p>
        </w:tc>
        <w:tc>
          <w:tcPr>
            <w:tcW w:w="3140" w:type="dxa"/>
            <w:gridSpan w:val="7"/>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3"/>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80" w:type="dxa"/>
            <w:gridSpan w:val="2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Management's Reports and Reports of Independent Registered Public Accounting Firm</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9"/>
                <w:szCs w:val="19"/>
              </w:rPr>
              <w:t>44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40" w:type="dxa"/>
            <w:gridSpan w:val="1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Consolidated Statements of Earnings</w:t>
            </w:r>
          </w:p>
        </w:tc>
        <w:tc>
          <w:tcPr>
            <w:tcW w:w="3820" w:type="dxa"/>
            <w:gridSpan w:val="10"/>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gridSpan w:val="2"/>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47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980" w:type="dxa"/>
            <w:gridSpan w:val="18"/>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Consolidated Statements of Comprehensive Income</w:t>
            </w:r>
          </w:p>
        </w:tc>
        <w:tc>
          <w:tcPr>
            <w:tcW w:w="3100" w:type="dxa"/>
            <w:gridSpan w:val="6"/>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48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20" w:type="dxa"/>
            <w:gridSpan w:val="9"/>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99"/>
                <w:sz w:val="19"/>
                <w:szCs w:val="19"/>
              </w:rPr>
              <w:t>Consolidated Balance Sheets</w:t>
            </w:r>
          </w:p>
        </w:tc>
        <w:tc>
          <w:tcPr>
            <w:tcW w:w="4860" w:type="dxa"/>
            <w:gridSpan w:val="15"/>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49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2"/>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740" w:type="dxa"/>
            <w:gridSpan w:val="16"/>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Consolidated Statements of Shareholders' Equity</w:t>
            </w:r>
          </w:p>
        </w:tc>
        <w:tc>
          <w:tcPr>
            <w:tcW w:w="3340" w:type="dxa"/>
            <w:gridSpan w:val="8"/>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50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80" w:type="dxa"/>
            <w:gridSpan w:val="2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Consolidated Statements of Cash Flows</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9"/>
                <w:szCs w:val="19"/>
              </w:rPr>
              <w:t>51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0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0" w:type="dxa"/>
            <w:gridSpan w:val="4"/>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20" w:type="dxa"/>
            <w:gridSpan w:val="2"/>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gridSpan w:val="2"/>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80" w:type="dxa"/>
            <w:gridSpan w:val="2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Notes to Consolidated Financial Statements</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9"/>
                <w:szCs w:val="19"/>
              </w:rPr>
              <w:t>52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56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0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0" w:type="dxa"/>
            <w:gridSpan w:val="4"/>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20" w:type="dxa"/>
            <w:gridSpan w:val="2"/>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gridSpan w:val="2"/>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shd w:val="clear" w:color="auto" w:fill="000000"/>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9.</w:t>
            </w:r>
          </w:p>
        </w:tc>
        <w:tc>
          <w:tcPr>
            <w:tcW w:w="7940" w:type="dxa"/>
            <w:gridSpan w:val="2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Changes in and Disagreements with Accountants on Accounting and Financial Disclosure</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9"/>
                <w:szCs w:val="19"/>
              </w:rPr>
              <w:t>77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2"/>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9A.</w:t>
            </w:r>
          </w:p>
        </w:tc>
        <w:tc>
          <w:tcPr>
            <w:tcW w:w="2100" w:type="dxa"/>
            <w:gridSpan w:val="7"/>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Controls and Procedures</w:t>
            </w:r>
          </w:p>
        </w:tc>
        <w:tc>
          <w:tcPr>
            <w:tcW w:w="4940" w:type="dxa"/>
            <w:gridSpan w:val="15"/>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00" w:type="dxa"/>
            <w:gridSpan w:val="3"/>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77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9B.</w:t>
            </w:r>
          </w:p>
        </w:tc>
        <w:tc>
          <w:tcPr>
            <w:tcW w:w="7940" w:type="dxa"/>
            <w:gridSpan w:val="2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Other Information</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9"/>
                <w:szCs w:val="19"/>
              </w:rPr>
              <w:t>77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45"/>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40" w:type="dxa"/>
            <w:gridSpan w:val="12"/>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580"/>
              <w:jc w:val="center"/>
              <w:rPr>
                <w:rFonts w:ascii="Times New Roman" w:hAnsi="Times New Roman" w:cs="Times New Roman"/>
                <w:sz w:val="24"/>
                <w:szCs w:val="24"/>
              </w:rPr>
            </w:pPr>
            <w:r>
              <w:rPr>
                <w:rFonts w:ascii="Times New Roman" w:hAnsi="Times New Roman" w:cs="Times New Roman"/>
                <w:b/>
                <w:bCs/>
                <w:w w:val="98"/>
                <w:sz w:val="19"/>
                <w:szCs w:val="19"/>
              </w:rPr>
              <w:t>Part III</w:t>
            </w:r>
          </w:p>
        </w:tc>
        <w:tc>
          <w:tcPr>
            <w:tcW w:w="1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11"/>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10.</w:t>
            </w:r>
          </w:p>
        </w:tc>
        <w:tc>
          <w:tcPr>
            <w:tcW w:w="7940" w:type="dxa"/>
            <w:gridSpan w:val="2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Directors, Executive Officers and Corporate Governance</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9"/>
                <w:szCs w:val="19"/>
              </w:rPr>
              <w:t>78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2"/>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11.</w:t>
            </w:r>
          </w:p>
        </w:tc>
        <w:tc>
          <w:tcPr>
            <w:tcW w:w="2100" w:type="dxa"/>
            <w:gridSpan w:val="7"/>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w w:val="98"/>
                <w:sz w:val="19"/>
                <w:szCs w:val="19"/>
              </w:rPr>
              <w:t>Executive Compensation</w:t>
            </w:r>
          </w:p>
        </w:tc>
        <w:tc>
          <w:tcPr>
            <w:tcW w:w="2420" w:type="dxa"/>
            <w:gridSpan w:val="9"/>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20" w:type="dxa"/>
            <w:gridSpan w:val="9"/>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78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12.</w:t>
            </w:r>
          </w:p>
        </w:tc>
        <w:tc>
          <w:tcPr>
            <w:tcW w:w="7940" w:type="dxa"/>
            <w:gridSpan w:val="2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Security Ownership of Certain Beneficial Owners and Management and Related Stockholder Matters</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9"/>
                <w:szCs w:val="19"/>
              </w:rPr>
              <w:t>78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13.</w:t>
            </w:r>
          </w:p>
        </w:tc>
        <w:tc>
          <w:tcPr>
            <w:tcW w:w="7900" w:type="dxa"/>
            <w:gridSpan w:val="2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Certain Relationships and Related Transactions and Director Independence</w:t>
            </w:r>
          </w:p>
        </w:tc>
        <w:tc>
          <w:tcPr>
            <w:tcW w:w="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80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6"/>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14.</w:t>
            </w:r>
          </w:p>
        </w:tc>
        <w:tc>
          <w:tcPr>
            <w:tcW w:w="5920" w:type="dxa"/>
            <w:gridSpan w:val="20"/>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Principal Accountant Fees and Services</w:t>
            </w:r>
          </w:p>
        </w:tc>
        <w:tc>
          <w:tcPr>
            <w:tcW w:w="2020" w:type="dxa"/>
            <w:gridSpan w:val="5"/>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80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40"/>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40" w:type="dxa"/>
            <w:gridSpan w:val="12"/>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580"/>
              <w:jc w:val="center"/>
              <w:rPr>
                <w:rFonts w:ascii="Times New Roman" w:hAnsi="Times New Roman" w:cs="Times New Roman"/>
                <w:sz w:val="24"/>
                <w:szCs w:val="24"/>
              </w:rPr>
            </w:pPr>
            <w:r>
              <w:rPr>
                <w:rFonts w:ascii="Times New Roman" w:hAnsi="Times New Roman" w:cs="Times New Roman"/>
                <w:b/>
                <w:bCs/>
                <w:sz w:val="19"/>
                <w:szCs w:val="19"/>
              </w:rPr>
              <w:t>Part IV</w:t>
            </w:r>
          </w:p>
        </w:tc>
        <w:tc>
          <w:tcPr>
            <w:tcW w:w="1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11"/>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15.</w:t>
            </w:r>
          </w:p>
        </w:tc>
        <w:tc>
          <w:tcPr>
            <w:tcW w:w="3540" w:type="dxa"/>
            <w:gridSpan w:val="1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9"/>
                <w:szCs w:val="19"/>
              </w:rPr>
              <w:t>Exhibits and Financial Statement Schedules</w:t>
            </w:r>
          </w:p>
        </w:tc>
        <w:tc>
          <w:tcPr>
            <w:tcW w:w="4400" w:type="dxa"/>
            <w:gridSpan w:val="13"/>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80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9" w:right="880" w:bottom="1440" w:left="860" w:header="720" w:footer="720" w:gutter="0"/>
          <w:cols w:space="720" w:equalWidth="0">
            <w:col w:w="9780"/>
          </w:cols>
          <w:noEndnote/>
        </w:sectPr>
      </w:pPr>
    </w:p>
    <w:p w:rsidR="00000000" w:rsidRDefault="0057438D">
      <w:pPr>
        <w:pStyle w:val="DefaultParagraphFont"/>
        <w:widowControl w:val="0"/>
        <w:autoSpaceDE w:val="0"/>
        <w:autoSpaceDN w:val="0"/>
        <w:adjustRightInd w:val="0"/>
        <w:spacing w:after="0" w:line="239" w:lineRule="auto"/>
        <w:ind w:left="940"/>
        <w:rPr>
          <w:rFonts w:ascii="Times New Roman" w:hAnsi="Times New Roman" w:cs="Times New Roman"/>
          <w:sz w:val="24"/>
          <w:szCs w:val="24"/>
        </w:rPr>
      </w:pPr>
      <w:r>
        <w:rPr>
          <w:rFonts w:ascii="Times New Roman" w:hAnsi="Times New Roman" w:cs="Times New Roman"/>
          <w:b/>
          <w:bCs/>
          <w:sz w:val="27"/>
          <w:szCs w:val="27"/>
        </w:rPr>
        <w:t>UNITED STATES SECURITIES AND EXCHANGE COMMISSION</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3680"/>
        <w:rPr>
          <w:rFonts w:ascii="Times New Roman" w:hAnsi="Times New Roman" w:cs="Times New Roman"/>
          <w:sz w:val="24"/>
          <w:szCs w:val="24"/>
        </w:rPr>
      </w:pPr>
      <w:r>
        <w:rPr>
          <w:rFonts w:ascii="Times New Roman" w:hAnsi="Times New Roman" w:cs="Times New Roman"/>
          <w:b/>
          <w:bCs/>
          <w:sz w:val="23"/>
          <w:szCs w:val="23"/>
        </w:rPr>
        <w:t>Washington, D.C. 20549</w:t>
      </w:r>
    </w:p>
    <w:p w:rsidR="00000000" w:rsidRDefault="0057438D">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240"/>
        <w:rPr>
          <w:rFonts w:ascii="Times New Roman" w:hAnsi="Times New Roman" w:cs="Times New Roman"/>
          <w:sz w:val="24"/>
          <w:szCs w:val="24"/>
        </w:rPr>
      </w:pPr>
      <w:r>
        <w:rPr>
          <w:rFonts w:ascii="Times New Roman" w:hAnsi="Times New Roman" w:cs="Times New Roman"/>
          <w:b/>
          <w:bCs/>
          <w:sz w:val="27"/>
          <w:szCs w:val="27"/>
        </w:rPr>
        <w:t>Form 10-K</w:t>
      </w:r>
    </w:p>
    <w:p w:rsidR="00000000" w:rsidRDefault="0057438D">
      <w:pPr>
        <w:pStyle w:val="DefaultParagraphFont"/>
        <w:widowControl w:val="0"/>
        <w:autoSpaceDE w:val="0"/>
        <w:autoSpaceDN w:val="0"/>
        <w:adjustRightInd w:val="0"/>
        <w:spacing w:after="0" w:line="256" w:lineRule="exact"/>
        <w:rPr>
          <w:rFonts w:ascii="Times New Roman" w:hAnsi="Times New Roman" w:cs="Times New Roman"/>
          <w:sz w:val="24"/>
          <w:szCs w:val="24"/>
        </w:rPr>
      </w:pPr>
      <w:r>
        <w:rPr>
          <w:noProof/>
        </w:rPr>
        <mc:AlternateContent>
          <mc:Choice Requires="wps">
            <w:drawing>
              <wp:anchor distT="0" distB="0" distL="114300" distR="114300" simplePos="0" relativeHeight="251669504" behindDoc="1" locked="0" layoutInCell="0" allowOverlap="1">
                <wp:simplePos x="0" y="0"/>
                <wp:positionH relativeFrom="column">
                  <wp:posOffset>518160</wp:posOffset>
                </wp:positionH>
                <wp:positionV relativeFrom="paragraph">
                  <wp:posOffset>-167640</wp:posOffset>
                </wp:positionV>
                <wp:extent cx="5176520" cy="0"/>
                <wp:effectExtent l="0" t="0" r="0" b="0"/>
                <wp:wrapNone/>
                <wp:docPr id="11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7652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3.2pt" to="448.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aHwIAAEUEAAAOAAAAZHJzL2Uyb0RvYy54bWysU8GO2jAQvVfqP1i5Q2I2sGxEWFUJ9EK7&#10;SLv9AGM7xKpjW7YhoKr/3rEDiG0vVVUOZpyZefNm3njxfOokOnLrhFZlgsdZgriimgm1L5Nvb+vR&#10;PEHOE8WI1IqXyZm75Hn58cOiNwWf6FZLxi0CEOWK3pRJ670p0tTRlnfEjbXhCpyNth3xcLX7lFnS&#10;A3on00mWzdJeW2asptw5+FoPzmQZ8ZuGU//SNI57JMsEuPl42njuwpkuF6TYW2JaQS80yD+w6IhQ&#10;UPQGVRNP0MGKP6A6Qa12uvFjqrtUN42gPPYA3eDst25eW2J47AWG48xtTO7/wdKvx61FgoF2eJYg&#10;RToQaSMUR/ghDKc3roCYSm1taI+e1KvZaPrdIaWrlqg9jyTfzgbycMhI36WEizNQYtd/0QxiyMHr&#10;OKlTY7sACTNApyjI+SYIP3lE4eMUP86mE9CNXn0pKa6Jxjr/mesOBaNMJJCOwOS4cT4QIcU1JNRR&#10;ei2kjHpLhXpgO8F4GjOcloIFb4hzdr+rpEVHElYm/mJb4LkPC9A1ce0QF13DMll9UCyWaTlhq4vt&#10;iZCDDbSkCoWgSSB6sYZl+fGUPa3mq3k+yiez1SjP6nr0aV3lo9kaP07rh7qqavwzcMZ50QrGuAq0&#10;r4uL879bjMsTGlbutrq3AaXv0eMkgez1P5KOKgdhhxXZaXbe2qv6sKsx+PKuwmO4v4N9//qXvwAA&#10;AP//AwBQSwMEFAAGAAgAAAAhABlDMDfcAAAACgEAAA8AAABkcnMvZG93bnJldi54bWxMj0FLw0AQ&#10;he+C/2EZwVu7aZWQptkUEQJebaXgbZMdk9Dd2ZjdpPHfO4Kgx5l57833isPirJhxDL0nBZt1AgKp&#10;8aanVsHbqVplIELUZLT1hAq+MMChvL0pdG78lV5xPsZWcAiFXCvoYhxyKUPTodNh7Qckvn340enI&#10;49hKM+orhzsrt0mSSqd74g+dHvC5w+ZynBxjPNh5V89TXb1/Slk3L/ZkzpVS93fL0x5ExCX+ieEH&#10;nz1QMlPtJzJBWAXZJmWlgtU2fQTBgmyXcpf6dyPLQv6vUH4DAAD//wMAUEsBAi0AFAAGAAgAAAAh&#10;ALaDOJL+AAAA4QEAABMAAAAAAAAAAAAAAAAAAAAAAFtDb250ZW50X1R5cGVzXS54bWxQSwECLQAU&#10;AAYACAAAACEAOP0h/9YAAACUAQAACwAAAAAAAAAAAAAAAAAvAQAAX3JlbHMvLnJlbHNQSwECLQAU&#10;AAYACAAAACEAPmQAWh8CAABFBAAADgAAAAAAAAAAAAAAAAAuAgAAZHJzL2Uyb0RvYy54bWxQSwEC&#10;LQAUAAYACAAAACEAGUMwN9wAAAAKAQAADwAAAAAAAAAAAAAAAAB5BAAAZHJzL2Rvd25yZXYueG1s&#10;UEsFBgAAAAAEAAQA8wAAAIIFAAAAAA==&#10;" o:allowincell="f" strokeweight=".33653mm"/>
            </w:pict>
          </mc:Fallback>
        </mc:AlternateContent>
      </w:r>
      <w:r>
        <w:rPr>
          <w:noProof/>
        </w:rPr>
        <mc:AlternateContent>
          <mc:Choice Requires="wps">
            <w:drawing>
              <wp:anchor distT="0" distB="0" distL="114300" distR="114300" simplePos="0" relativeHeight="251670528" behindDoc="1" locked="0" layoutInCell="0" allowOverlap="1">
                <wp:simplePos x="0" y="0"/>
                <wp:positionH relativeFrom="column">
                  <wp:posOffset>518160</wp:posOffset>
                </wp:positionH>
                <wp:positionV relativeFrom="paragraph">
                  <wp:posOffset>1905</wp:posOffset>
                </wp:positionV>
                <wp:extent cx="5176520" cy="0"/>
                <wp:effectExtent l="0" t="0" r="0" b="0"/>
                <wp:wrapNone/>
                <wp:docPr id="11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7652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5pt" to="448.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4qHQIAAEUEAAAOAAAAZHJzL2Uyb0RvYy54bWysU8GO2yAQvVfqPyDuie3UyWatOKvKTnrZ&#10;diPt9gMI4BgVAwISJ6r67x1wHO1uL1VVH/DADG/ezBtWD+dOohO3TmhV4myaYsQV1UyoQ4m/v2wn&#10;S4ycJ4oRqRUv8YU7/LD++GHVm4LPdKsl4xYBiHJFb0rcem+KJHG05R1xU224AmejbUc8bO0hYZb0&#10;gN7JZJami6TXlhmrKXcOTuvBidcRv2k49U9N47hHssTAzcfVxnUf1mS9IsXBEtMKeqVB/oFFR4SC&#10;pDeomniCjlb8AdUJarXTjZ9S3SW6aQTlsQaoJkvfVfPcEsNjLdAcZ25tcv8Pln477SwSDLTL5hgp&#10;0oFIj0JxlOWhOb1xBcRUamdDefSsns2jpj8cUrpqiTrwSPLlYuBeFm4kb66EjTOQYt9/1QxiyNHr&#10;2KlzY7sACT1A5yjI5SYIP3tE4XCe3S3mM9CNjr6EFONFY53/wnWHglFiCaQjMDk9Oh+IkGIMCXmU&#10;3gopo95SoR7YzkLJweW0FCx448Ye9pW06ETCyMQvlvUuLEDXxLVDXEQYhsnqo2IxTcsJ21xtT4Qc&#10;bKAlVUgERQLRqzUMy8/79H6z3CzzST5bbCZ5WteTz9sqnyy22d28/lRXVZ39CpyzvGgFY1wF2uPg&#10;ZvnfDcb1CQ0jdxvdW4OSt+ixk0B2/EfSUeUg7DAie80uOzuqD7Mag6/vKjyG13uwX7/+9W8AAAD/&#10;/wMAUEsDBBQABgAIAAAAIQCB11Fm2AAAAAQBAAAPAAAAZHJzL2Rvd25yZXYueG1sTI9BS8QwEIXv&#10;gv8hjODNTdeF0q1NFxEKXt0VYW9JM7bFZFKbtFv/vbMnPT7emzffqw6rd2LBKQ6BFGw3GQikNtiB&#10;OgXvp+ahABGTJqtdIFTwgxEO9e1NpUsbLvSGyzF1gksollpBn9JYShnbHr2OmzAisfcZJq8Ty6mT&#10;dtIXLvdOPmZZLr0eiD/0esSXHtuv4+wZY+eWvVlm05y/pTTtqzvZj0ap+7v1+QlEwjX9heGKzzdQ&#10;M5MJM9konIJim3NSwQ4Eu8U+5yHmKmVdyf/w9S8AAAD//wMAUEsBAi0AFAAGAAgAAAAhALaDOJL+&#10;AAAA4QEAABMAAAAAAAAAAAAAAAAAAAAAAFtDb250ZW50X1R5cGVzXS54bWxQSwECLQAUAAYACAAA&#10;ACEAOP0h/9YAAACUAQAACwAAAAAAAAAAAAAAAAAvAQAAX3JlbHMvLnJlbHNQSwECLQAUAAYACAAA&#10;ACEA72buKh0CAABFBAAADgAAAAAAAAAAAAAAAAAuAgAAZHJzL2Uyb0RvYy54bWxQSwECLQAUAAYA&#10;CAAAACEAgddRZtgAAAAEAQAADwAAAAAAAAAAAAAAAAB3BAAAZHJzL2Rvd25yZXYueG1sUEsFBgAA&#10;AAAEAAQA8wAAAHwFAAAAAA==&#10;" o:allowincell="f" strokeweight=".33653mm"/>
            </w:pict>
          </mc:Fallback>
        </mc:AlternateContent>
      </w:r>
    </w:p>
    <w:p w:rsidR="00000000" w:rsidRDefault="0057438D">
      <w:pPr>
        <w:pStyle w:val="DefaultParagraphFont"/>
        <w:widowControl w:val="0"/>
        <w:autoSpaceDE w:val="0"/>
        <w:autoSpaceDN w:val="0"/>
        <w:adjustRightInd w:val="0"/>
        <w:spacing w:after="0" w:line="240" w:lineRule="auto"/>
        <w:ind w:left="4520"/>
        <w:rPr>
          <w:rFonts w:ascii="Times New Roman" w:hAnsi="Times New Roman" w:cs="Times New Roman"/>
          <w:sz w:val="24"/>
          <w:szCs w:val="24"/>
        </w:rPr>
      </w:pPr>
      <w:r>
        <w:rPr>
          <w:rFonts w:ascii="Times New Roman" w:hAnsi="Times New Roman" w:cs="Times New Roman"/>
          <w:sz w:val="17"/>
          <w:szCs w:val="17"/>
        </w:rPr>
        <w:t>(Mark one)</w:t>
      </w:r>
    </w:p>
    <w:p w:rsidR="00000000" w:rsidRDefault="0057438D">
      <w:pPr>
        <w:pStyle w:val="DefaultParagraphFont"/>
        <w:widowControl w:val="0"/>
        <w:autoSpaceDE w:val="0"/>
        <w:autoSpaceDN w:val="0"/>
        <w:adjustRightInd w:val="0"/>
        <w:spacing w:after="0" w:line="14" w:lineRule="exact"/>
        <w:rPr>
          <w:rFonts w:ascii="Times New Roman" w:hAnsi="Times New Roman" w:cs="Times New Roman"/>
          <w:sz w:val="24"/>
          <w:szCs w:val="24"/>
        </w:rPr>
      </w:pPr>
    </w:p>
    <w:p w:rsidR="00000000" w:rsidRDefault="0057438D">
      <w:pPr>
        <w:pStyle w:val="DefaultParagraphFont"/>
        <w:widowControl w:val="0"/>
        <w:numPr>
          <w:ilvl w:val="0"/>
          <w:numId w:val="1"/>
        </w:numPr>
        <w:tabs>
          <w:tab w:val="clear" w:pos="720"/>
          <w:tab w:val="num" w:pos="700"/>
        </w:tabs>
        <w:overflowPunct w:val="0"/>
        <w:autoSpaceDE w:val="0"/>
        <w:autoSpaceDN w:val="0"/>
        <w:adjustRightInd w:val="0"/>
        <w:spacing w:after="0" w:line="240" w:lineRule="auto"/>
        <w:ind w:left="700" w:hanging="685"/>
        <w:jc w:val="both"/>
        <w:rPr>
          <w:rFonts w:ascii="Times New Roman" w:hAnsi="Times New Roman" w:cs="Times New Roman"/>
          <w:sz w:val="19"/>
          <w:szCs w:val="19"/>
        </w:rPr>
      </w:pPr>
      <w:r>
        <w:rPr>
          <w:rFonts w:ascii="Times New Roman" w:hAnsi="Times New Roman" w:cs="Times New Roman"/>
          <w:sz w:val="19"/>
          <w:szCs w:val="19"/>
        </w:rPr>
        <w:t>ANNUAL REPORT PURSUANT TO SECTION 13 OR 15(d) OF THE SECURITIES EXCHANGE ACT OF 1934</w:t>
      </w:r>
    </w:p>
    <w:p w:rsidR="00000000" w:rsidRDefault="0057438D">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3360"/>
        <w:rPr>
          <w:rFonts w:ascii="Times New Roman" w:hAnsi="Times New Roman" w:cs="Times New Roman"/>
          <w:sz w:val="24"/>
          <w:szCs w:val="24"/>
        </w:rPr>
      </w:pPr>
      <w:r>
        <w:rPr>
          <w:rFonts w:ascii="Times New Roman" w:hAnsi="Times New Roman" w:cs="Times New Roman"/>
          <w:sz w:val="19"/>
          <w:szCs w:val="19"/>
        </w:rPr>
        <w:t>For the Fiscal Year Ended June 30, 2014</w:t>
      </w:r>
    </w:p>
    <w:p w:rsidR="00000000" w:rsidRDefault="0057438D">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760"/>
        <w:rPr>
          <w:rFonts w:ascii="Times New Roman" w:hAnsi="Times New Roman" w:cs="Times New Roman"/>
          <w:sz w:val="24"/>
          <w:szCs w:val="24"/>
        </w:rPr>
      </w:pPr>
      <w:r>
        <w:rPr>
          <w:rFonts w:ascii="Times New Roman" w:hAnsi="Times New Roman" w:cs="Times New Roman"/>
          <w:sz w:val="19"/>
          <w:szCs w:val="19"/>
        </w:rPr>
        <w:t>OR</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left="4720" w:right="320" w:hanging="4696"/>
        <w:rPr>
          <w:rFonts w:ascii="Times New Roman" w:hAnsi="Times New Roman" w:cs="Times New Roman"/>
          <w:sz w:val="24"/>
          <w:szCs w:val="24"/>
        </w:rPr>
      </w:pPr>
      <w:r>
        <w:rPr>
          <w:rFonts w:ascii="Times New Roman" w:hAnsi="Times New Roman" w:cs="Times New Roman"/>
          <w:sz w:val="19"/>
          <w:szCs w:val="19"/>
        </w:rPr>
        <w:t>[ ] TRANSITION REPORT PURSUANT TO SECTION 13 OR 15(d) OF THE SECURITIES EXCHANGE ACT OF 1934</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3580"/>
        <w:rPr>
          <w:rFonts w:ascii="Times New Roman" w:hAnsi="Times New Roman" w:cs="Times New Roman"/>
          <w:sz w:val="24"/>
          <w:szCs w:val="24"/>
        </w:rPr>
      </w:pPr>
      <w:r>
        <w:rPr>
          <w:rFonts w:ascii="Times New Roman" w:hAnsi="Times New Roman" w:cs="Times New Roman"/>
          <w:sz w:val="19"/>
          <w:szCs w:val="19"/>
        </w:rPr>
        <w:t>For the transition period from   to</w:t>
      </w:r>
    </w:p>
    <w:p w:rsidR="00000000" w:rsidRDefault="0057438D">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3840"/>
        <w:rPr>
          <w:rFonts w:ascii="Times New Roman" w:hAnsi="Times New Roman" w:cs="Times New Roman"/>
          <w:sz w:val="24"/>
          <w:szCs w:val="24"/>
        </w:rPr>
      </w:pPr>
      <w:r>
        <w:rPr>
          <w:rFonts w:ascii="Times New Roman" w:hAnsi="Times New Roman" w:cs="Times New Roman"/>
          <w:sz w:val="19"/>
          <w:szCs w:val="19"/>
        </w:rPr>
        <w:t>Commission File No. 1-434</w:t>
      </w:r>
    </w:p>
    <w:p w:rsidR="00000000" w:rsidRDefault="0057438D">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80"/>
        <w:rPr>
          <w:rFonts w:ascii="Times New Roman" w:hAnsi="Times New Roman" w:cs="Times New Roman"/>
          <w:sz w:val="24"/>
          <w:szCs w:val="24"/>
        </w:rPr>
      </w:pPr>
      <w:r>
        <w:rPr>
          <w:rFonts w:ascii="Times New Roman" w:hAnsi="Times New Roman" w:cs="Times New Roman"/>
          <w:b/>
          <w:bCs/>
          <w:sz w:val="31"/>
          <w:szCs w:val="31"/>
        </w:rPr>
        <w:t>THE PROCTER &amp; GAMBLE COMPANY</w:t>
      </w:r>
    </w:p>
    <w:p w:rsidR="00000000" w:rsidRDefault="0057438D">
      <w:pPr>
        <w:pStyle w:val="DefaultParagraphFont"/>
        <w:widowControl w:val="0"/>
        <w:autoSpaceDE w:val="0"/>
        <w:autoSpaceDN w:val="0"/>
        <w:adjustRightInd w:val="0"/>
        <w:spacing w:after="0" w:line="240" w:lineRule="auto"/>
        <w:ind w:left="2800"/>
        <w:rPr>
          <w:rFonts w:ascii="Times New Roman" w:hAnsi="Times New Roman" w:cs="Times New Roman"/>
          <w:sz w:val="24"/>
          <w:szCs w:val="24"/>
        </w:rPr>
      </w:pPr>
      <w:r>
        <w:rPr>
          <w:noProof/>
        </w:rPr>
        <mc:AlternateContent>
          <mc:Choice Requires="wps">
            <w:drawing>
              <wp:anchor distT="0" distB="0" distL="114300" distR="114300" simplePos="0" relativeHeight="251671552" behindDoc="1" locked="0" layoutInCell="0" allowOverlap="1">
                <wp:simplePos x="0" y="0"/>
                <wp:positionH relativeFrom="column">
                  <wp:posOffset>1130300</wp:posOffset>
                </wp:positionH>
                <wp:positionV relativeFrom="paragraph">
                  <wp:posOffset>-161925</wp:posOffset>
                </wp:positionV>
                <wp:extent cx="3951605" cy="0"/>
                <wp:effectExtent l="0" t="0" r="0" b="0"/>
                <wp:wrapNone/>
                <wp:docPr id="114"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5160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12.75pt" to="400.1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oHQIAAEUEAAAOAAAAZHJzL2Uyb0RvYy54bWysU8GO2jAQvVfqP1i+QxI2UIgIq4pAL7SL&#10;tNsPMLZDrDq2ZRsCqvrvHTsE7W4vVdUcnLFn/ObNzPPy8dJKdObWCa1KnI1TjLiimgl1LPH3l+1o&#10;jpHzRDEiteIlvnKHH1cfPyw7U/CJbrRk3CIAUa7oTIkb702RJI42vCVurA1X4Ky1bYmHrT0mzJIO&#10;0FuZTNJ0lnTaMmM15c7BadU78Sri1zWn/qmuHfdIlhi4+bjauB7CmqyWpDhaYhpBbzTIP7BoiVCQ&#10;9A5VEU/QyYo/oFpBrXa69mOq20TXtaA81gDVZOm7ap4bYnisBZrjzL1N7v/B0m/nvUWCweyyHCNF&#10;WhjSTiiOsmloTmdcATFrtbehPHpRz2an6Q+HlF43RB15JPlyNXAvCzeSN1fCxhlIcei+agYx5OR1&#10;7NSltm2AhB6gSxzI9T4QfvGIwuHDYprN0ilGdPAlpBguGuv8F65bFIwSSyAdgcl553wgQoohJORR&#10;eiukjPOWCnXAdpJBjcHltBQseOPGHg9radGZBMnEL5b1LixAV8Q1fVxE6MVk9UmxmKbhhG1utidC&#10;9jbQkiokgiKB6M3qxfJzkS428808H+WT2WaUp1U1+rxd56PZNvs0rR6q9brKfgXOWV40gjGuAu1B&#10;uFn+d8K4PaFecnfp3huUvEWPnQSywz+SjlMOg+0lctDsurfD9EGrMfj2rsJjeL0H+/XrX/0GAAD/&#10;/wMAUEsDBBQABgAIAAAAIQDlSKaI3AAAAAsBAAAPAAAAZHJzL2Rvd25yZXYueG1sTI9BS8QwEIXv&#10;gv8hjOBtN3WX1VqbLiIUvLq7CN6SZmyLyaQ2abf+e0cQ9Phm3rz5XrlfvBMzjrEPpOBmnYFAaoLt&#10;qVVwOtarHERMmqx2gVDBF0bYV5cXpS5sONMLzofUCg6hWGgFXUpDIWVsOvQ6rsOAxLv3MHqdWI6t&#10;tKM+c7h3cpNlt9LrnvhDpwd86rD5OEyeMbZuvjfzZOq3TylN8+yO9rVW6vpqeXwAkXBJf2b4wecb&#10;qJjJhIlsFI71Xc5dkoLVZrcDwY48y7YgzO9EVqX836H6BgAA//8DAFBLAQItABQABgAIAAAAIQC2&#10;gziS/gAAAOEBAAATAAAAAAAAAAAAAAAAAAAAAABbQ29udGVudF9UeXBlc10ueG1sUEsBAi0AFAAG&#10;AAgAAAAhADj9If/WAAAAlAEAAAsAAAAAAAAAAAAAAAAALwEAAF9yZWxzLy5yZWxzUEsBAi0AFAAG&#10;AAgAAAAhAL+uXCgdAgAARQQAAA4AAAAAAAAAAAAAAAAALgIAAGRycy9lMm9Eb2MueG1sUEsBAi0A&#10;FAAGAAgAAAAhAOVIpojcAAAACwEAAA8AAAAAAAAAAAAAAAAAdwQAAGRycy9kb3ducmV2LnhtbFBL&#10;BQYAAAAABAAEAPMAAACABQAAAAA=&#10;" o:allowincell="f" strokeweight=".33653mm"/>
            </w:pict>
          </mc:Fallback>
        </mc:AlternateContent>
      </w:r>
      <w:r>
        <w:rPr>
          <w:rFonts w:ascii="Times New Roman" w:hAnsi="Times New Roman" w:cs="Times New Roman"/>
          <w:sz w:val="19"/>
          <w:szCs w:val="19"/>
        </w:rPr>
        <w:t>One Procter &amp; Gamble Plaza, Cincinnati, Ohio 45202</w:t>
      </w:r>
    </w:p>
    <w:p w:rsidR="00000000" w:rsidRDefault="0057438D">
      <w:pPr>
        <w:pStyle w:val="DefaultParagraphFont"/>
        <w:widowControl w:val="0"/>
        <w:autoSpaceDE w:val="0"/>
        <w:autoSpaceDN w:val="0"/>
        <w:adjustRightInd w:val="0"/>
        <w:spacing w:after="0" w:line="4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3860"/>
        <w:rPr>
          <w:rFonts w:ascii="Times New Roman" w:hAnsi="Times New Roman" w:cs="Times New Roman"/>
          <w:sz w:val="24"/>
          <w:szCs w:val="24"/>
        </w:rPr>
      </w:pPr>
      <w:r>
        <w:rPr>
          <w:rFonts w:ascii="Times New Roman" w:hAnsi="Times New Roman" w:cs="Times New Roman"/>
          <w:sz w:val="19"/>
          <w:szCs w:val="19"/>
        </w:rPr>
        <w:t>Telephone (513) 983-1100</w:t>
      </w:r>
    </w:p>
    <w:p w:rsidR="00000000" w:rsidRDefault="0057438D">
      <w:pPr>
        <w:pStyle w:val="DefaultParagraphFont"/>
        <w:widowControl w:val="0"/>
        <w:autoSpaceDE w:val="0"/>
        <w:autoSpaceDN w:val="0"/>
        <w:adjustRightInd w:val="0"/>
        <w:spacing w:after="0" w:line="4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3140"/>
        <w:rPr>
          <w:rFonts w:ascii="Times New Roman" w:hAnsi="Times New Roman" w:cs="Times New Roman"/>
          <w:sz w:val="24"/>
          <w:szCs w:val="24"/>
        </w:rPr>
      </w:pPr>
      <w:r>
        <w:rPr>
          <w:rFonts w:ascii="Times New Roman" w:hAnsi="Times New Roman" w:cs="Times New Roman"/>
          <w:sz w:val="19"/>
          <w:szCs w:val="19"/>
        </w:rPr>
        <w:t>IRS Employer Identification No. 31-0411980</w:t>
      </w:r>
    </w:p>
    <w:p w:rsidR="00000000" w:rsidRDefault="0057438D">
      <w:pPr>
        <w:pStyle w:val="DefaultParagraphFont"/>
        <w:widowControl w:val="0"/>
        <w:autoSpaceDE w:val="0"/>
        <w:autoSpaceDN w:val="0"/>
        <w:adjustRightInd w:val="0"/>
        <w:spacing w:after="0" w:line="4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3780"/>
        <w:rPr>
          <w:rFonts w:ascii="Times New Roman" w:hAnsi="Times New Roman" w:cs="Times New Roman"/>
          <w:sz w:val="24"/>
          <w:szCs w:val="24"/>
        </w:rPr>
      </w:pPr>
      <w:r>
        <w:rPr>
          <w:rFonts w:ascii="Times New Roman" w:hAnsi="Times New Roman" w:cs="Times New Roman"/>
          <w:sz w:val="19"/>
          <w:szCs w:val="19"/>
        </w:rPr>
        <w:t>State of Incorporation: Ohio</w:t>
      </w:r>
    </w:p>
    <w:p w:rsidR="00000000" w:rsidRDefault="0057438D">
      <w:pPr>
        <w:pStyle w:val="DefaultParagraphFont"/>
        <w:widowControl w:val="0"/>
        <w:autoSpaceDE w:val="0"/>
        <w:autoSpaceDN w:val="0"/>
        <w:adjustRightInd w:val="0"/>
        <w:spacing w:after="0" w:line="88" w:lineRule="exact"/>
        <w:rPr>
          <w:rFonts w:ascii="Times New Roman" w:hAnsi="Times New Roman" w:cs="Times New Roman"/>
          <w:sz w:val="24"/>
          <w:szCs w:val="24"/>
        </w:rPr>
      </w:pPr>
      <w:r>
        <w:rPr>
          <w:noProof/>
        </w:rPr>
        <mc:AlternateContent>
          <mc:Choice Requires="wps">
            <w:drawing>
              <wp:anchor distT="0" distB="0" distL="114300" distR="114300" simplePos="0" relativeHeight="251672576" behindDoc="1" locked="0" layoutInCell="0" allowOverlap="1">
                <wp:simplePos x="0" y="0"/>
                <wp:positionH relativeFrom="column">
                  <wp:posOffset>1130300</wp:posOffset>
                </wp:positionH>
                <wp:positionV relativeFrom="paragraph">
                  <wp:posOffset>38100</wp:posOffset>
                </wp:positionV>
                <wp:extent cx="3951605" cy="0"/>
                <wp:effectExtent l="0" t="0" r="0" b="0"/>
                <wp:wrapNone/>
                <wp:docPr id="113"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5160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3pt" to="400.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23hHwIAAEUEAAAOAAAAZHJzL2Uyb0RvYy54bWysU02P2jAQvVfqf7B8hyR8FSLCqkqgl22L&#10;tNsfYGyHWHVsyzYEVPW/d+wQxLaXqioHM87MvHkz87x+urQSnbl1QqsCZ+MUI66oZkIdC/ztdTda&#10;YuQ8UYxIrXiBr9zhp837d+vO5HyiGy0ZtwhAlMs7U+DGe5MniaMNb4kba8MVOGttW+Lhao8Js6QD&#10;9FYmkzRdJJ22zFhNuXPwteqdeBPx65pT/7WuHfdIFhi4+XjaeB7CmWzWJD9aYhpBbzTIP7BoiVBQ&#10;9A5VEU/QyYo/oFpBrXa69mOq20TXtaA89gDdZOlv3bw0xPDYCwzHmfuY3P+DpV/Oe4sEg91lU4wU&#10;aWFJz0JxlC3CcDrjcogp1d6G9uhFvZhnTb87pHTZEHXkkeTr1UBeFjKSNynh4gyUOHSfNYMYcvI6&#10;TupS2zZAwgzQJS7kel8Iv3hE4eN0Nc8W6RwjOvgSkg+Jxjr/iesWBaPAEkhHYHJ+dj4QIfkQEuoo&#10;vRNSxn1LhTpgO8myecxwWgoWvCHO2eOhlBadSZBM/MW2wPMYFqAr4po+Lrp6MVl9UiyWaThh25vt&#10;iZC9DbSkCoWgSSB6s3qx/Filq+1yu5yNZpPFdjRLq2r0cVfORotd9mFeTauyrLKfgXM2yxvBGFeB&#10;9iDcbPZ3wrg9oV5yd+neB5S8RY+TBLLDfyQdtxwW20vkoNl1b4ftg1Zj8O1dhcfweAf78fVvfgEA&#10;AP//AwBQSwMEFAAGAAgAAAAhALiSuV3YAAAABwEAAA8AAABkcnMvZG93bnJldi54bWxMj0FLxDAQ&#10;he+C/yGM4M1NdGGttekiQsGruyJ4S5qxLSaT2qTd+u8dvehpeLw3b76p9mvwYsEpDZE0XG8UCKQ2&#10;uoE6DS/H5qoAkbIhZ3wk1PCFCfb1+VllShdP9IzLIXeCSyiVRkOf81hKmdoeg0mbOCKx9x6nYDLL&#10;qZNuMicuD17eKLWTwQzEF3oz4mOP7cdhDoyx9cudXWbbvH1Kadsnf3SvjdaXF+vDPYiMa/4Lww8+&#10;70DNTDbO5JLwrG8L/iVr2PFgv1BqC8L+allX8j9//Q0AAP//AwBQSwECLQAUAAYACAAAACEAtoM4&#10;kv4AAADhAQAAEwAAAAAAAAAAAAAAAAAAAAAAW0NvbnRlbnRfVHlwZXNdLnhtbFBLAQItABQABgAI&#10;AAAAIQA4/SH/1gAAAJQBAAALAAAAAAAAAAAAAAAAAC8BAABfcmVscy8ucmVsc1BLAQItABQABgAI&#10;AAAAIQA6a23hHwIAAEUEAAAOAAAAAAAAAAAAAAAAAC4CAABkcnMvZTJvRG9jLnhtbFBLAQItABQA&#10;BgAIAAAAIQC4krld2AAAAAcBAAAPAAAAAAAAAAAAAAAAAHkEAABkcnMvZG93bnJldi54bWxQSwUG&#10;AAAAAAQABADzAAAAfgUAAAAA&#10;" o:allowincell="f" strokeweight=".33653mm"/>
            </w:pict>
          </mc:Fallback>
        </mc:AlternateContent>
      </w:r>
    </w:p>
    <w:p w:rsidR="00000000" w:rsidRDefault="0057438D">
      <w:pPr>
        <w:pStyle w:val="DefaultParagraphFont"/>
        <w:widowControl w:val="0"/>
        <w:autoSpaceDE w:val="0"/>
        <w:autoSpaceDN w:val="0"/>
        <w:adjustRightInd w:val="0"/>
        <w:spacing w:after="0" w:line="240" w:lineRule="auto"/>
        <w:ind w:left="2700"/>
        <w:rPr>
          <w:rFonts w:ascii="Times New Roman" w:hAnsi="Times New Roman" w:cs="Times New Roman"/>
          <w:sz w:val="24"/>
          <w:szCs w:val="24"/>
        </w:rPr>
      </w:pPr>
      <w:r>
        <w:rPr>
          <w:rFonts w:ascii="Times New Roman" w:hAnsi="Times New Roman" w:cs="Times New Roman"/>
          <w:sz w:val="19"/>
          <w:szCs w:val="19"/>
        </w:rPr>
        <w:t>Securities registered pursuant to Section 12(b) of the Act:</w:t>
      </w:r>
    </w:p>
    <w:p w:rsidR="00000000" w:rsidRDefault="0057438D">
      <w:pPr>
        <w:pStyle w:val="DefaultParagraphFont"/>
        <w:widowControl w:val="0"/>
        <w:autoSpaceDE w:val="0"/>
        <w:autoSpaceDN w:val="0"/>
        <w:adjustRightInd w:val="0"/>
        <w:spacing w:after="0" w:line="15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720"/>
        <w:gridCol w:w="320"/>
        <w:gridCol w:w="4740"/>
        <w:gridCol w:w="20"/>
      </w:tblGrid>
      <w:tr w:rsidR="00000000">
        <w:tblPrEx>
          <w:tblCellMar>
            <w:top w:w="0" w:type="dxa"/>
            <w:left w:w="0" w:type="dxa"/>
            <w:bottom w:w="0" w:type="dxa"/>
            <w:right w:w="0" w:type="dxa"/>
          </w:tblCellMar>
        </w:tblPrEx>
        <w:trPr>
          <w:trHeight w:val="254"/>
        </w:trPr>
        <w:tc>
          <w:tcPr>
            <w:tcW w:w="4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920"/>
              <w:rPr>
                <w:rFonts w:ascii="Times New Roman" w:hAnsi="Times New Roman" w:cs="Times New Roman"/>
                <w:sz w:val="24"/>
                <w:szCs w:val="24"/>
              </w:rPr>
            </w:pPr>
            <w:r>
              <w:rPr>
                <w:rFonts w:ascii="Times New Roman" w:hAnsi="Times New Roman" w:cs="Times New Roman"/>
                <w:b/>
                <w:bCs/>
                <w:sz w:val="19"/>
                <w:szCs w:val="19"/>
              </w:rPr>
              <w:t>Title of each class</w:t>
            </w: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80"/>
              <w:rPr>
                <w:rFonts w:ascii="Times New Roman" w:hAnsi="Times New Roman" w:cs="Times New Roman"/>
                <w:sz w:val="24"/>
                <w:szCs w:val="24"/>
              </w:rPr>
            </w:pPr>
            <w:r>
              <w:rPr>
                <w:rFonts w:ascii="Times New Roman" w:hAnsi="Times New Roman" w:cs="Times New Roman"/>
                <w:b/>
                <w:bCs/>
                <w:sz w:val="19"/>
                <w:szCs w:val="19"/>
              </w:rPr>
              <w:t>Name of each exchange on which registered</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4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3"/>
        </w:trPr>
        <w:tc>
          <w:tcPr>
            <w:tcW w:w="4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940"/>
              <w:rPr>
                <w:rFonts w:ascii="Times New Roman" w:hAnsi="Times New Roman" w:cs="Times New Roman"/>
                <w:sz w:val="24"/>
                <w:szCs w:val="24"/>
              </w:rPr>
            </w:pPr>
            <w:r>
              <w:rPr>
                <w:rFonts w:ascii="Times New Roman" w:hAnsi="Times New Roman" w:cs="Times New Roman"/>
                <w:b/>
                <w:bCs/>
                <w:sz w:val="19"/>
                <w:szCs w:val="19"/>
              </w:rPr>
              <w:t>Common Stock, without Par Value</w:t>
            </w:r>
          </w:p>
        </w:tc>
        <w:tc>
          <w:tcPr>
            <w:tcW w:w="3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b/>
                <w:bCs/>
                <w:sz w:val="19"/>
                <w:szCs w:val="19"/>
              </w:rPr>
              <w:t>New York Stock Exchange, NYSE Euronext-Paris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8"/>
          <w:szCs w:val="18"/>
        </w:rPr>
        <w:t xml:space="preserve">Indicate by check mark if the registrant is a well-known seasoned issuer, as defined in Rule 405 of the Securities Act. Yes </w:t>
      </w:r>
      <w:r>
        <w:rPr>
          <w:rFonts w:ascii="Times New Roman" w:hAnsi="Times New Roman" w:cs="Times New Roman"/>
          <w:noProof/>
          <w:sz w:val="24"/>
          <w:szCs w:val="24"/>
        </w:rPr>
        <w:drawing>
          <wp:inline distT="0" distB="0" distL="0" distR="0">
            <wp:extent cx="104775" cy="114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Pr>
          <w:rFonts w:ascii="Times New Roman" w:hAnsi="Times New Roman" w:cs="Times New Roman"/>
          <w:sz w:val="18"/>
          <w:szCs w:val="18"/>
        </w:rPr>
        <w:t xml:space="preserve"> No </w:t>
      </w:r>
      <w:r>
        <w:rPr>
          <w:rFonts w:ascii="Times New Roman" w:hAnsi="Times New Roman" w:cs="Times New Roman"/>
          <w:noProof/>
          <w:sz w:val="24"/>
          <w:szCs w:val="24"/>
        </w:rPr>
        <w:drawing>
          <wp:inline distT="0" distB="0" distL="0" distR="0">
            <wp:extent cx="104775" cy="114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p>
    <w:p w:rsidR="00000000" w:rsidRDefault="0057438D">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8"/>
          <w:szCs w:val="18"/>
        </w:rPr>
        <w:t xml:space="preserve">Indicate by check mark if the registrant is not required to file reports pursuant to Section 13 or 15(d) of the Act.  Yes </w:t>
      </w:r>
      <w:r>
        <w:rPr>
          <w:rFonts w:ascii="Times New Roman" w:hAnsi="Times New Roman" w:cs="Times New Roman"/>
          <w:noProof/>
          <w:sz w:val="24"/>
          <w:szCs w:val="24"/>
        </w:rPr>
        <w:drawing>
          <wp:inline distT="0" distB="0" distL="0" distR="0">
            <wp:extent cx="104775" cy="114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Pr>
          <w:rFonts w:ascii="Times New Roman" w:hAnsi="Times New Roman" w:cs="Times New Roman"/>
          <w:sz w:val="18"/>
          <w:szCs w:val="18"/>
        </w:rPr>
        <w:t xml:space="preserve"> No </w:t>
      </w:r>
      <w:r>
        <w:rPr>
          <w:rFonts w:ascii="Times New Roman" w:hAnsi="Times New Roman" w:cs="Times New Roman"/>
          <w:noProof/>
          <w:sz w:val="24"/>
          <w:szCs w:val="24"/>
        </w:rPr>
        <w:drawing>
          <wp:inline distT="0" distB="0" distL="0" distR="0">
            <wp:extent cx="104775" cy="114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p>
    <w:p w:rsidR="00000000" w:rsidRDefault="0057438D">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left="20" w:right="40"/>
        <w:rPr>
          <w:rFonts w:ascii="Times New Roman" w:hAnsi="Times New Roman" w:cs="Times New Roman"/>
          <w:sz w:val="24"/>
          <w:szCs w:val="24"/>
        </w:rPr>
      </w:pPr>
      <w:r>
        <w:rPr>
          <w:rFonts w:ascii="Times New Roman" w:hAnsi="Times New Roman" w:cs="Times New Roman"/>
          <w:sz w:val="18"/>
          <w:szCs w:val="18"/>
        </w:rPr>
        <w:t>Indicate by check mark whether the registrant (1) has filed all reports required to be filed by Section 13 or 15(d) of the Securities Exchange Act of 1934 during the preceding 12 months (or for such shorter period that the registrant w</w:t>
      </w:r>
      <w:r>
        <w:rPr>
          <w:rFonts w:ascii="Times New Roman" w:hAnsi="Times New Roman" w:cs="Times New Roman"/>
          <w:sz w:val="18"/>
          <w:szCs w:val="18"/>
        </w:rPr>
        <w:t xml:space="preserve">as required to file such reports), and (2) has been subject to such filing requirements for the past 90 days. Yes </w:t>
      </w:r>
      <w:r>
        <w:rPr>
          <w:rFonts w:ascii="Times New Roman" w:hAnsi="Times New Roman" w:cs="Times New Roman"/>
          <w:noProof/>
          <w:sz w:val="24"/>
          <w:szCs w:val="24"/>
        </w:rPr>
        <w:drawing>
          <wp:inline distT="0" distB="0" distL="0" distR="0">
            <wp:extent cx="104775" cy="114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Pr>
          <w:rFonts w:ascii="Times New Roman" w:hAnsi="Times New Roman" w:cs="Times New Roman"/>
          <w:sz w:val="18"/>
          <w:szCs w:val="18"/>
        </w:rPr>
        <w:t xml:space="preserve"> No </w:t>
      </w:r>
      <w:r>
        <w:rPr>
          <w:rFonts w:ascii="Times New Roman" w:hAnsi="Times New Roman" w:cs="Times New Roman"/>
          <w:noProof/>
          <w:sz w:val="24"/>
          <w:szCs w:val="24"/>
        </w:rPr>
        <w:drawing>
          <wp:inline distT="0" distB="0" distL="0" distR="0">
            <wp:extent cx="104775" cy="114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left="20"/>
        <w:rPr>
          <w:rFonts w:ascii="Times New Roman" w:hAnsi="Times New Roman" w:cs="Times New Roman"/>
          <w:sz w:val="24"/>
          <w:szCs w:val="24"/>
        </w:rPr>
      </w:pPr>
      <w:r>
        <w:rPr>
          <w:rFonts w:ascii="Times New Roman" w:hAnsi="Times New Roman" w:cs="Times New Roman"/>
          <w:sz w:val="18"/>
          <w:szCs w:val="18"/>
        </w:rPr>
        <w:t>Indicate by check mark whether the registrant has submitted elect</w:t>
      </w:r>
      <w:r>
        <w:rPr>
          <w:rFonts w:ascii="Times New Roman" w:hAnsi="Times New Roman" w:cs="Times New Roman"/>
          <w:sz w:val="18"/>
          <w:szCs w:val="18"/>
        </w:rPr>
        <w:t>ronically and posted on its corporate website, if any, every Interactive Data File required to be submitted and posted pursuant to Rule 405 of Regulation S-T (§232.405 of this chapter) during the preceding 12 months (or for such shorter period that the reg</w:t>
      </w:r>
      <w:r>
        <w:rPr>
          <w:rFonts w:ascii="Times New Roman" w:hAnsi="Times New Roman" w:cs="Times New Roman"/>
          <w:sz w:val="18"/>
          <w:szCs w:val="18"/>
        </w:rPr>
        <w:t xml:space="preserve">istrant was required to submit and post such files). Yes </w:t>
      </w:r>
      <w:r>
        <w:rPr>
          <w:rFonts w:ascii="Times New Roman" w:hAnsi="Times New Roman" w:cs="Times New Roman"/>
          <w:noProof/>
          <w:sz w:val="24"/>
          <w:szCs w:val="24"/>
        </w:rPr>
        <w:drawing>
          <wp:inline distT="0" distB="0" distL="0" distR="0">
            <wp:extent cx="104775" cy="114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Pr>
          <w:rFonts w:ascii="Times New Roman" w:hAnsi="Times New Roman" w:cs="Times New Roman"/>
          <w:sz w:val="18"/>
          <w:szCs w:val="18"/>
        </w:rPr>
        <w:t xml:space="preserve"> No </w:t>
      </w:r>
      <w:r>
        <w:rPr>
          <w:rFonts w:ascii="Times New Roman" w:hAnsi="Times New Roman" w:cs="Times New Roman"/>
          <w:noProof/>
          <w:sz w:val="24"/>
          <w:szCs w:val="24"/>
        </w:rPr>
        <w:drawing>
          <wp:inline distT="0" distB="0" distL="0" distR="0">
            <wp:extent cx="104775" cy="114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left="20" w:right="120"/>
        <w:jc w:val="both"/>
        <w:rPr>
          <w:rFonts w:ascii="Times New Roman" w:hAnsi="Times New Roman" w:cs="Times New Roman"/>
          <w:sz w:val="24"/>
          <w:szCs w:val="24"/>
        </w:rPr>
      </w:pPr>
      <w:r>
        <w:rPr>
          <w:rFonts w:ascii="Times New Roman" w:hAnsi="Times New Roman" w:cs="Times New Roman"/>
          <w:sz w:val="18"/>
          <w:szCs w:val="18"/>
        </w:rPr>
        <w:t>Indicate by check mark if disclosure of delinquent filers pursuant to Item 405 of Regulation S-K is not contained herein,</w:t>
      </w:r>
      <w:r>
        <w:rPr>
          <w:rFonts w:ascii="Times New Roman" w:hAnsi="Times New Roman" w:cs="Times New Roman"/>
          <w:sz w:val="18"/>
          <w:szCs w:val="18"/>
        </w:rPr>
        <w:t xml:space="preserve"> and will not be contained, to the best of registrant's knowledge, in definitive proxy or information statements incorporated by reference in Part III of this Form 10-K or any amendment to this Form 10-K. </w:t>
      </w:r>
      <w:r>
        <w:rPr>
          <w:rFonts w:ascii="Times New Roman" w:hAnsi="Times New Roman" w:cs="Times New Roman"/>
          <w:noProof/>
          <w:sz w:val="24"/>
          <w:szCs w:val="24"/>
        </w:rPr>
        <w:drawing>
          <wp:inline distT="0" distB="0" distL="0" distR="0">
            <wp:extent cx="104775" cy="114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8"/>
          <w:szCs w:val="18"/>
        </w:rPr>
        <w:t>Indicate by check mark whether the registrant is a large accelerated filer, an accelerated filer, a non-accelerated filer or a smaller</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firstRow="0" w:lastRow="0" w:firstColumn="0" w:lastColumn="0" w:noHBand="0" w:noVBand="0"/>
      </w:tblPr>
      <w:tblGrid>
        <w:gridCol w:w="1900"/>
        <w:gridCol w:w="1860"/>
        <w:gridCol w:w="2340"/>
        <w:gridCol w:w="2440"/>
      </w:tblGrid>
      <w:tr w:rsidR="00000000">
        <w:tblPrEx>
          <w:tblCellMar>
            <w:top w:w="0" w:type="dxa"/>
            <w:left w:w="0" w:type="dxa"/>
            <w:bottom w:w="0" w:type="dxa"/>
            <w:right w:w="0" w:type="dxa"/>
          </w:tblCellMar>
        </w:tblPrEx>
        <w:trPr>
          <w:trHeight w:val="218"/>
        </w:trPr>
        <w:tc>
          <w:tcPr>
            <w:tcW w:w="610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reporting company (as defined in Rule 12b-2 of the Exchange Act).</w:t>
            </w:r>
          </w:p>
        </w:tc>
        <w:tc>
          <w:tcPr>
            <w:tcW w:w="2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r>
      <w:tr w:rsidR="00000000">
        <w:tblPrEx>
          <w:tblCellMar>
            <w:top w:w="0" w:type="dxa"/>
            <w:left w:w="0" w:type="dxa"/>
            <w:bottom w:w="0" w:type="dxa"/>
            <w:right w:w="0" w:type="dxa"/>
          </w:tblCellMar>
        </w:tblPrEx>
        <w:trPr>
          <w:trHeight w:val="237"/>
        </w:trPr>
        <w:tc>
          <w:tcPr>
            <w:tcW w:w="1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Large accelerated filer</w:t>
            </w:r>
          </w:p>
        </w:tc>
        <w:tc>
          <w:tcPr>
            <w:tcW w:w="1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8"/>
                <w:szCs w:val="18"/>
              </w:rPr>
              <w:t>Accelerated filer</w:t>
            </w:r>
          </w:p>
        </w:tc>
        <w:tc>
          <w:tcPr>
            <w:tcW w:w="2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18"/>
                <w:szCs w:val="18"/>
              </w:rPr>
              <w:t>Non-accelerated filer</w:t>
            </w:r>
          </w:p>
        </w:tc>
        <w:tc>
          <w:tcPr>
            <w:tcW w:w="2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8"/>
                <w:szCs w:val="18"/>
              </w:rPr>
              <w:t>Smaller reporting company</w:t>
            </w:r>
          </w:p>
        </w:tc>
      </w:tr>
    </w:tbl>
    <w:p w:rsidR="00000000" w:rsidRDefault="0057438D">
      <w:pPr>
        <w:pStyle w:val="DefaultParagraphFont"/>
        <w:widowControl w:val="0"/>
        <w:autoSpaceDE w:val="0"/>
        <w:autoSpaceDN w:val="0"/>
        <w:adjustRightInd w:val="0"/>
        <w:spacing w:after="0" w:line="198" w:lineRule="exact"/>
        <w:rPr>
          <w:rFonts w:ascii="Times New Roman" w:hAnsi="Times New Roman" w:cs="Times New Roman"/>
          <w:sz w:val="24"/>
          <w:szCs w:val="24"/>
        </w:rPr>
      </w:pPr>
      <w:r>
        <w:rPr>
          <w:noProof/>
        </w:rPr>
        <w:drawing>
          <wp:anchor distT="0" distB="0" distL="114300" distR="114300" simplePos="0" relativeHeight="251673600" behindDoc="1" locked="0" layoutInCell="0" allowOverlap="1">
            <wp:simplePos x="0" y="0"/>
            <wp:positionH relativeFrom="column">
              <wp:posOffset>1100455</wp:posOffset>
            </wp:positionH>
            <wp:positionV relativeFrom="paragraph">
              <wp:posOffset>-125730</wp:posOffset>
            </wp:positionV>
            <wp:extent cx="102870" cy="116840"/>
            <wp:effectExtent l="0" t="0" r="0" b="0"/>
            <wp:wrapNone/>
            <wp:docPr id="1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2870" cy="1168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0" allowOverlap="1">
            <wp:simplePos x="0" y="0"/>
            <wp:positionH relativeFrom="column">
              <wp:posOffset>2226310</wp:posOffset>
            </wp:positionH>
            <wp:positionV relativeFrom="paragraph">
              <wp:posOffset>-125730</wp:posOffset>
            </wp:positionV>
            <wp:extent cx="102870" cy="116840"/>
            <wp:effectExtent l="0" t="0" r="0" b="0"/>
            <wp:wrapNone/>
            <wp:docPr id="1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2870" cy="1168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0" allowOverlap="1">
            <wp:simplePos x="0" y="0"/>
            <wp:positionH relativeFrom="column">
              <wp:posOffset>3660140</wp:posOffset>
            </wp:positionH>
            <wp:positionV relativeFrom="paragraph">
              <wp:posOffset>-125730</wp:posOffset>
            </wp:positionV>
            <wp:extent cx="276860" cy="116840"/>
            <wp:effectExtent l="0" t="0" r="8890" b="0"/>
            <wp:wrapNone/>
            <wp:docPr id="1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860" cy="1168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0" allowOverlap="1">
            <wp:simplePos x="0" y="0"/>
            <wp:positionH relativeFrom="column">
              <wp:posOffset>5455920</wp:posOffset>
            </wp:positionH>
            <wp:positionV relativeFrom="paragraph">
              <wp:posOffset>-125730</wp:posOffset>
            </wp:positionV>
            <wp:extent cx="102870" cy="116840"/>
            <wp:effectExtent l="0" t="0" r="0" b="0"/>
            <wp:wrapNone/>
            <wp:docPr id="1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870" cy="11684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8"/>
          <w:szCs w:val="18"/>
        </w:rPr>
        <w:t xml:space="preserve">Indicate by check mark whether the registrant is a shell company (as defined in Rule 12b-2 of the Exchange Act). Yes </w:t>
      </w:r>
      <w:r>
        <w:rPr>
          <w:rFonts w:ascii="Times New Roman" w:hAnsi="Times New Roman" w:cs="Times New Roman"/>
          <w:noProof/>
          <w:sz w:val="24"/>
          <w:szCs w:val="24"/>
        </w:rPr>
        <w:drawing>
          <wp:inline distT="0" distB="0" distL="0" distR="0">
            <wp:extent cx="104775" cy="114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Pr>
          <w:rFonts w:ascii="Times New Roman" w:hAnsi="Times New Roman" w:cs="Times New Roman"/>
          <w:sz w:val="18"/>
          <w:szCs w:val="18"/>
        </w:rPr>
        <w:t xml:space="preserve"> No </w:t>
      </w:r>
      <w:r>
        <w:rPr>
          <w:rFonts w:ascii="Times New Roman" w:hAnsi="Times New Roman" w:cs="Times New Roman"/>
          <w:noProof/>
          <w:sz w:val="24"/>
          <w:szCs w:val="24"/>
        </w:rPr>
        <w:drawing>
          <wp:inline distT="0" distB="0" distL="0" distR="0">
            <wp:extent cx="104775" cy="114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p>
    <w:p w:rsidR="00000000" w:rsidRDefault="0057438D">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8"/>
          <w:szCs w:val="18"/>
        </w:rPr>
        <w:t>The aggregate market value of the voting stock held by non-affiliates amounted to $221 billion on December 31, 2013.</w:t>
      </w:r>
    </w:p>
    <w:p w:rsidR="00000000" w:rsidRDefault="0057438D">
      <w:pPr>
        <w:pStyle w:val="DefaultParagraphFont"/>
        <w:widowControl w:val="0"/>
        <w:autoSpaceDE w:val="0"/>
        <w:autoSpaceDN w:val="0"/>
        <w:adjustRightInd w:val="0"/>
        <w:spacing w:after="0" w:line="22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8"/>
          <w:szCs w:val="18"/>
        </w:rPr>
        <w:t>There were 2,707,652,337 shares of Common Stock outstanding a</w:t>
      </w:r>
      <w:r>
        <w:rPr>
          <w:rFonts w:ascii="Times New Roman" w:hAnsi="Times New Roman" w:cs="Times New Roman"/>
          <w:sz w:val="18"/>
          <w:szCs w:val="18"/>
        </w:rPr>
        <w:t>s of July 31, 2014.</w:t>
      </w:r>
    </w:p>
    <w:p w:rsidR="00000000" w:rsidRDefault="0057438D">
      <w:pPr>
        <w:pStyle w:val="DefaultParagraphFont"/>
        <w:widowControl w:val="0"/>
        <w:autoSpaceDE w:val="0"/>
        <w:autoSpaceDN w:val="0"/>
        <w:adjustRightInd w:val="0"/>
        <w:spacing w:after="0" w:line="22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3500"/>
        <w:rPr>
          <w:rFonts w:ascii="Times New Roman" w:hAnsi="Times New Roman" w:cs="Times New Roman"/>
          <w:sz w:val="24"/>
          <w:szCs w:val="24"/>
        </w:rPr>
      </w:pPr>
      <w:r>
        <w:rPr>
          <w:rFonts w:ascii="Times New Roman" w:hAnsi="Times New Roman" w:cs="Times New Roman"/>
          <w:sz w:val="18"/>
          <w:szCs w:val="18"/>
          <w:u w:val="single"/>
        </w:rPr>
        <w:t>Documents Incorporated by Reference</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left="20" w:right="20"/>
        <w:rPr>
          <w:rFonts w:ascii="Times New Roman" w:hAnsi="Times New Roman" w:cs="Times New Roman"/>
          <w:sz w:val="24"/>
          <w:szCs w:val="24"/>
        </w:rPr>
      </w:pPr>
      <w:r>
        <w:rPr>
          <w:rFonts w:ascii="Times New Roman" w:hAnsi="Times New Roman" w:cs="Times New Roman"/>
          <w:sz w:val="18"/>
          <w:szCs w:val="18"/>
        </w:rPr>
        <w:t>Portions of the Proxy Statement for the 2014 Annual Meeting of Shareholders which will be filed within one hundred and twenty days of the fiscal year ended June 30, 2014 (2014 Proxy Statement) are incorporated by reference into Part III of this report to t</w:t>
      </w:r>
      <w:r>
        <w:rPr>
          <w:rFonts w:ascii="Times New Roman" w:hAnsi="Times New Roman" w:cs="Times New Roman"/>
          <w:sz w:val="18"/>
          <w:szCs w:val="18"/>
        </w:rPr>
        <w:t>he extent described herein.</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744" w:right="900" w:bottom="704" w:left="840" w:header="720" w:footer="720" w:gutter="0"/>
          <w:cols w:space="720" w:equalWidth="0">
            <w:col w:w="978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11</w:t>
      </w: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u w:val="single"/>
        </w:rPr>
        <w:t>PART I</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709" w:left="5460" w:header="720" w:footer="720" w:gutter="0"/>
          <w:cols w:space="720" w:equalWidth="0">
            <w:col w:w="516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1. </w:t>
      </w:r>
      <w:r>
        <w:rPr>
          <w:rFonts w:ascii="Times New Roman" w:hAnsi="Times New Roman" w:cs="Times New Roman"/>
          <w:sz w:val="19"/>
          <w:szCs w:val="19"/>
          <w:u w:val="single"/>
        </w:rPr>
        <w:t>Business</w:t>
      </w:r>
      <w:r>
        <w:rPr>
          <w:rFonts w:ascii="Times New Roman" w:hAnsi="Times New Roman" w:cs="Times New Roman"/>
          <w:sz w:val="19"/>
          <w:szCs w:val="19"/>
        </w:rPr>
        <w:t>.</w:t>
      </w:r>
    </w:p>
    <w:p w:rsidR="00000000" w:rsidRDefault="0057438D">
      <w:pPr>
        <w:pStyle w:val="DefaultParagraphFont"/>
        <w:widowControl w:val="0"/>
        <w:autoSpaceDE w:val="0"/>
        <w:autoSpaceDN w:val="0"/>
        <w:adjustRightInd w:val="0"/>
        <w:spacing w:after="0" w:line="12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Additional information required by this item is incorporated herein by reference to Management's Discussion and Anal</w:t>
      </w:r>
      <w:r>
        <w:rPr>
          <w:rFonts w:ascii="Times New Roman" w:hAnsi="Times New Roman" w:cs="Times New Roman"/>
          <w:sz w:val="19"/>
          <w:szCs w:val="19"/>
        </w:rPr>
        <w:t>ysis (MD&amp;A); Note 1 to our Consolidated Financial Statements and Note 12 to our Consolidated Financial Statements. Unless the context indicates otherwise, the terms the "Company," "P&amp;G," "we," "our" or "us" as used herein refer to The Procter &amp; Gamble Comp</w:t>
      </w:r>
      <w:r>
        <w:rPr>
          <w:rFonts w:ascii="Times New Roman" w:hAnsi="Times New Roman" w:cs="Times New Roman"/>
          <w:sz w:val="19"/>
          <w:szCs w:val="19"/>
        </w:rPr>
        <w:t>any (the registrant) and its subsidiaries.</w:t>
      </w:r>
    </w:p>
    <w:p w:rsidR="00000000" w:rsidRDefault="0057438D">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20"/>
        <w:rPr>
          <w:rFonts w:ascii="Times New Roman" w:hAnsi="Times New Roman" w:cs="Times New Roman"/>
          <w:sz w:val="24"/>
          <w:szCs w:val="24"/>
        </w:rPr>
      </w:pPr>
      <w:r>
        <w:rPr>
          <w:rFonts w:ascii="Times New Roman" w:hAnsi="Times New Roman" w:cs="Times New Roman"/>
          <w:sz w:val="19"/>
          <w:szCs w:val="19"/>
        </w:rPr>
        <w:t>The Procter &amp; Gamble Company is focused on providing branded consumer packaged</w:t>
      </w:r>
      <w:r>
        <w:rPr>
          <w:rFonts w:ascii="Times New Roman" w:hAnsi="Times New Roman" w:cs="Times New Roman"/>
          <w:sz w:val="19"/>
          <w:szCs w:val="19"/>
        </w:rPr>
        <w:t xml:space="preserve"> goods of superior quality and value to improve the lives of the world's consumers. The Company was incorporated in Ohio in 1905, having been built from a business founded in 1837 by William Procter and James Gamble. Today, we sell our products in more tha</w:t>
      </w:r>
      <w:r>
        <w:rPr>
          <w:rFonts w:ascii="Times New Roman" w:hAnsi="Times New Roman" w:cs="Times New Roman"/>
          <w:sz w:val="19"/>
          <w:szCs w:val="19"/>
        </w:rPr>
        <w:t>n 180 countries and territories.</w:t>
      </w:r>
    </w:p>
    <w:p w:rsidR="00000000" w:rsidRDefault="0057438D">
      <w:pPr>
        <w:pStyle w:val="DefaultParagraphFont"/>
        <w:widowControl w:val="0"/>
        <w:autoSpaceDE w:val="0"/>
        <w:autoSpaceDN w:val="0"/>
        <w:adjustRightInd w:val="0"/>
        <w:spacing w:after="0" w:line="8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160"/>
        <w:rPr>
          <w:rFonts w:ascii="Times New Roman" w:hAnsi="Times New Roman" w:cs="Times New Roman"/>
          <w:sz w:val="24"/>
          <w:szCs w:val="24"/>
        </w:rPr>
      </w:pPr>
      <w:r>
        <w:rPr>
          <w:rFonts w:ascii="Times New Roman" w:hAnsi="Times New Roman" w:cs="Times New Roman"/>
          <w:sz w:val="19"/>
          <w:szCs w:val="19"/>
        </w:rPr>
        <w:t>Throughout this Form 10-K, we incorporate by reference information from other documents filed with the Securities and Exchange Commission (SEC).</w:t>
      </w:r>
    </w:p>
    <w:p w:rsidR="00000000" w:rsidRDefault="0057438D">
      <w:pPr>
        <w:pStyle w:val="DefaultParagraphFont"/>
        <w:widowControl w:val="0"/>
        <w:autoSpaceDE w:val="0"/>
        <w:autoSpaceDN w:val="0"/>
        <w:adjustRightInd w:val="0"/>
        <w:spacing w:after="0" w:line="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100"/>
        <w:rPr>
          <w:rFonts w:ascii="Times New Roman" w:hAnsi="Times New Roman" w:cs="Times New Roman"/>
          <w:sz w:val="24"/>
          <w:szCs w:val="24"/>
        </w:rPr>
      </w:pPr>
      <w:r>
        <w:rPr>
          <w:rFonts w:ascii="Times New Roman" w:hAnsi="Times New Roman" w:cs="Times New Roman"/>
          <w:sz w:val="19"/>
          <w:szCs w:val="19"/>
        </w:rPr>
        <w:t>The Company's annual report on Form 10-K, quarterly reports on Form 10-Q and</w:t>
      </w:r>
      <w:r>
        <w:rPr>
          <w:rFonts w:ascii="Times New Roman" w:hAnsi="Times New Roman" w:cs="Times New Roman"/>
          <w:sz w:val="19"/>
          <w:szCs w:val="19"/>
        </w:rPr>
        <w:t xml:space="preserve"> current reports on Form 8-K, and amendments thereto, are filed electronically with the SEC. The SEC maintains an internet site that contains these reports at: www.sec.gov. You can also access these reports through links from our website at: www.pg.com/inv</w:t>
      </w:r>
      <w:r>
        <w:rPr>
          <w:rFonts w:ascii="Times New Roman" w:hAnsi="Times New Roman" w:cs="Times New Roman"/>
          <w:sz w:val="19"/>
          <w:szCs w:val="19"/>
        </w:rPr>
        <w:t>estors.</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20"/>
        <w:rPr>
          <w:rFonts w:ascii="Times New Roman" w:hAnsi="Times New Roman" w:cs="Times New Roman"/>
          <w:sz w:val="24"/>
          <w:szCs w:val="24"/>
        </w:rPr>
      </w:pPr>
      <w:r>
        <w:rPr>
          <w:rFonts w:ascii="Times New Roman" w:hAnsi="Times New Roman" w:cs="Times New Roman"/>
          <w:sz w:val="19"/>
          <w:szCs w:val="19"/>
        </w:rPr>
        <w:t>Copies of these reports are also available, without charge, by contacting Computershare Inc., 250 Royall Street, Canton, MA 02021.</w:t>
      </w:r>
    </w:p>
    <w:p w:rsidR="00000000" w:rsidRDefault="0057438D">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Financial Information about Segments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As of June 30, 2014, the Company has five reportable segments under U.S. GAAP: Beauty; Grooming; Health Care; Fabric Care and Home Care; and Baby, Feminine and Family Care. Many of the factors necessary for understanding these businesses are similar. Opera</w:t>
      </w:r>
      <w:r>
        <w:rPr>
          <w:rFonts w:ascii="Times New Roman" w:hAnsi="Times New Roman" w:cs="Times New Roman"/>
          <w:sz w:val="19"/>
          <w:szCs w:val="19"/>
        </w:rPr>
        <w:t>ting margins of the individual businesses vary due to the nature of materials and processes used to manufacture the products, the capital intensity of the businesses and differences in selling, general and administrative expenses as a percentage of net sal</w:t>
      </w:r>
      <w:r>
        <w:rPr>
          <w:rFonts w:ascii="Times New Roman" w:hAnsi="Times New Roman" w:cs="Times New Roman"/>
          <w:sz w:val="19"/>
          <w:szCs w:val="19"/>
        </w:rPr>
        <w:t>es. Net sales growth by business is also expected to vary slightly due to the underlying growth of the markets and product categories in which they operate. While none of our reportable segments are highly seasonal, components within certain reportable seg</w:t>
      </w:r>
      <w:r>
        <w:rPr>
          <w:rFonts w:ascii="Times New Roman" w:hAnsi="Times New Roman" w:cs="Times New Roman"/>
          <w:sz w:val="19"/>
          <w:szCs w:val="19"/>
        </w:rPr>
        <w:t>ments, such as Batteries (Fabric Care and Home Care), Appliances (Grooming) and Prestige Fragrances (Beauty) are seasonal. In addition, anticipation or occurrence of natural disasters, such as hurricanes, can drive unusually high demand for batteries.</w:t>
      </w:r>
    </w:p>
    <w:p w:rsidR="00000000" w:rsidRDefault="0057438D">
      <w:pPr>
        <w:pStyle w:val="DefaultParagraphFont"/>
        <w:widowControl w:val="0"/>
        <w:autoSpaceDE w:val="0"/>
        <w:autoSpaceDN w:val="0"/>
        <w:adjustRightInd w:val="0"/>
        <w:spacing w:after="0" w:line="9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rPr>
          <w:rFonts w:ascii="Times New Roman" w:hAnsi="Times New Roman" w:cs="Times New Roman"/>
          <w:sz w:val="24"/>
          <w:szCs w:val="24"/>
        </w:rPr>
      </w:pPr>
      <w:r>
        <w:rPr>
          <w:rFonts w:ascii="Times New Roman" w:hAnsi="Times New Roman" w:cs="Times New Roman"/>
          <w:sz w:val="19"/>
          <w:szCs w:val="19"/>
        </w:rPr>
        <w:t>Add</w:t>
      </w:r>
      <w:r>
        <w:rPr>
          <w:rFonts w:ascii="Times New Roman" w:hAnsi="Times New Roman" w:cs="Times New Roman"/>
          <w:sz w:val="19"/>
          <w:szCs w:val="19"/>
        </w:rPr>
        <w:t>itional information about our reportable segments can be found in MD&amp;A and Note 12 to our Consolidated Financial Statements.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8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Narrative Description of Business</w:t>
      </w:r>
    </w:p>
    <w:p w:rsidR="00000000" w:rsidRDefault="0057438D">
      <w:pPr>
        <w:pStyle w:val="DefaultParagraphFont"/>
        <w:widowControl w:val="0"/>
        <w:autoSpaceDE w:val="0"/>
        <w:autoSpaceDN w:val="0"/>
        <w:adjustRightInd w:val="0"/>
        <w:spacing w:after="0" w:line="12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60"/>
        <w:rPr>
          <w:rFonts w:ascii="Times New Roman" w:hAnsi="Times New Roman" w:cs="Times New Roman"/>
          <w:sz w:val="24"/>
          <w:szCs w:val="24"/>
        </w:rPr>
      </w:pPr>
      <w:r>
        <w:rPr>
          <w:rFonts w:ascii="Times New Roman" w:hAnsi="Times New Roman" w:cs="Times New Roman"/>
          <w:b/>
          <w:bCs/>
          <w:sz w:val="19"/>
          <w:szCs w:val="19"/>
        </w:rPr>
        <w:t>Business Model</w:t>
      </w:r>
      <w:r>
        <w:rPr>
          <w:rFonts w:ascii="Times New Roman" w:hAnsi="Times New Roman" w:cs="Times New Roman"/>
          <w:sz w:val="19"/>
          <w:szCs w:val="19"/>
        </w:rPr>
        <w:t>. Our business model relies on the</w:t>
      </w:r>
      <w:r>
        <w:rPr>
          <w:rFonts w:ascii="Times New Roman" w:hAnsi="Times New Roman" w:cs="Times New Roman"/>
          <w:b/>
          <w:bCs/>
          <w:sz w:val="19"/>
          <w:szCs w:val="19"/>
        </w:rPr>
        <w:t xml:space="preserve"> </w:t>
      </w:r>
      <w:r>
        <w:rPr>
          <w:rFonts w:ascii="Times New Roman" w:hAnsi="Times New Roman" w:cs="Times New Roman"/>
          <w:sz w:val="19"/>
          <w:szCs w:val="19"/>
        </w:rPr>
        <w:t>continued growth and success of existing bra</w:t>
      </w:r>
      <w:r>
        <w:rPr>
          <w:rFonts w:ascii="Times New Roman" w:hAnsi="Times New Roman" w:cs="Times New Roman"/>
          <w:sz w:val="19"/>
          <w:szCs w:val="19"/>
        </w:rPr>
        <w:t>nds and products, as well as the creation of new products. The markets and industry segments in which we offer our products are highly competitive. Our products are sold in more than 180 countries and territories around the world primarily through mass mer</w:t>
      </w:r>
      <w:r>
        <w:rPr>
          <w:rFonts w:ascii="Times New Roman" w:hAnsi="Times New Roman" w:cs="Times New Roman"/>
          <w:sz w:val="19"/>
          <w:szCs w:val="19"/>
        </w:rPr>
        <w:t>chandisers, grocery stores, membership club stores, drug stores, department stores, salons, e-commerce and high-frequency stores. We utilize our superior marketing and online presence to win with consumers at the "zero moment of truth" - when they are sear</w:t>
      </w:r>
      <w:r>
        <w:rPr>
          <w:rFonts w:ascii="Times New Roman" w:hAnsi="Times New Roman" w:cs="Times New Roman"/>
          <w:sz w:val="19"/>
          <w:szCs w:val="19"/>
        </w:rPr>
        <w:t xml:space="preserve">ching for information about a brand or product. We work collaboratively with our customers to improve the in-store presence of our products and win the "first moment of truth" - when a consumer is shopping in the store. We must also win the "second moment </w:t>
      </w:r>
      <w:r>
        <w:rPr>
          <w:rFonts w:ascii="Times New Roman" w:hAnsi="Times New Roman" w:cs="Times New Roman"/>
          <w:sz w:val="19"/>
          <w:szCs w:val="19"/>
        </w:rPr>
        <w:t>of truth" - when a consumer uses the product, evaluates how well it met his or her expectations and decides whether it was a good value. We believe we must continue to provide new, innovative products and branding to the consumer in order to grow our busin</w:t>
      </w:r>
      <w:r>
        <w:rPr>
          <w:rFonts w:ascii="Times New Roman" w:hAnsi="Times New Roman" w:cs="Times New Roman"/>
          <w:sz w:val="19"/>
          <w:szCs w:val="19"/>
        </w:rPr>
        <w:t>ess. Research and product development activities, designed to enable sustained organic growth, continued to carry a high priority during the past fiscal year. While many of the benefits from these efforts will not be realized until future years, we believe</w:t>
      </w:r>
      <w:r>
        <w:rPr>
          <w:rFonts w:ascii="Times New Roman" w:hAnsi="Times New Roman" w:cs="Times New Roman"/>
          <w:sz w:val="19"/>
          <w:szCs w:val="19"/>
        </w:rPr>
        <w:t xml:space="preserve"> these activities demonstrate our commitment to future growth.</w:t>
      </w:r>
    </w:p>
    <w:p w:rsidR="00000000" w:rsidRDefault="0057438D">
      <w:pPr>
        <w:pStyle w:val="DefaultParagraphFont"/>
        <w:widowControl w:val="0"/>
        <w:autoSpaceDE w:val="0"/>
        <w:autoSpaceDN w:val="0"/>
        <w:adjustRightInd w:val="0"/>
        <w:spacing w:after="0" w:line="14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71" w:lineRule="auto"/>
        <w:ind w:right="460"/>
        <w:jc w:val="both"/>
        <w:rPr>
          <w:rFonts w:ascii="Times New Roman" w:hAnsi="Times New Roman" w:cs="Times New Roman"/>
          <w:sz w:val="24"/>
          <w:szCs w:val="24"/>
        </w:rPr>
      </w:pPr>
      <w:r>
        <w:rPr>
          <w:rFonts w:ascii="Times New Roman" w:hAnsi="Times New Roman" w:cs="Times New Roman"/>
          <w:b/>
          <w:bCs/>
          <w:sz w:val="19"/>
          <w:szCs w:val="19"/>
        </w:rPr>
        <w:t>Key Product Categories</w:t>
      </w:r>
      <w:r>
        <w:rPr>
          <w:rFonts w:ascii="Times New Roman" w:hAnsi="Times New Roman" w:cs="Times New Roman"/>
          <w:sz w:val="19"/>
          <w:szCs w:val="19"/>
        </w:rPr>
        <w:t>. Information on key product</w:t>
      </w:r>
      <w:r>
        <w:rPr>
          <w:rFonts w:ascii="Times New Roman" w:hAnsi="Times New Roman" w:cs="Times New Roman"/>
          <w:b/>
          <w:bCs/>
          <w:sz w:val="19"/>
          <w:szCs w:val="19"/>
        </w:rPr>
        <w:t xml:space="preserve"> </w:t>
      </w:r>
      <w:r>
        <w:rPr>
          <w:rFonts w:ascii="Times New Roman" w:hAnsi="Times New Roman" w:cs="Times New Roman"/>
          <w:sz w:val="19"/>
          <w:szCs w:val="19"/>
        </w:rPr>
        <w:t>categories can be found in Note 12 to our Consolidated Financial Statements.</w:t>
      </w:r>
    </w:p>
    <w:p w:rsidR="00000000" w:rsidRDefault="0057438D">
      <w:pPr>
        <w:pStyle w:val="DefaultParagraphFont"/>
        <w:widowControl w:val="0"/>
        <w:autoSpaceDE w:val="0"/>
        <w:autoSpaceDN w:val="0"/>
        <w:adjustRightInd w:val="0"/>
        <w:spacing w:after="0" w:line="11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40"/>
        <w:rPr>
          <w:rFonts w:ascii="Times New Roman" w:hAnsi="Times New Roman" w:cs="Times New Roman"/>
          <w:sz w:val="24"/>
          <w:szCs w:val="24"/>
        </w:rPr>
      </w:pPr>
      <w:r>
        <w:rPr>
          <w:rFonts w:ascii="Times New Roman" w:hAnsi="Times New Roman" w:cs="Times New Roman"/>
          <w:b/>
          <w:bCs/>
          <w:sz w:val="19"/>
          <w:szCs w:val="19"/>
        </w:rPr>
        <w:t>Key Customers</w:t>
      </w:r>
      <w:r>
        <w:rPr>
          <w:rFonts w:ascii="Times New Roman" w:hAnsi="Times New Roman" w:cs="Times New Roman"/>
          <w:sz w:val="19"/>
          <w:szCs w:val="19"/>
        </w:rPr>
        <w:t>. Our customers include mass</w:t>
      </w:r>
      <w:r>
        <w:rPr>
          <w:rFonts w:ascii="Times New Roman" w:hAnsi="Times New Roman" w:cs="Times New Roman"/>
          <w:b/>
          <w:bCs/>
          <w:sz w:val="19"/>
          <w:szCs w:val="19"/>
        </w:rPr>
        <w:t xml:space="preserve"> </w:t>
      </w:r>
      <w:r>
        <w:rPr>
          <w:rFonts w:ascii="Times New Roman" w:hAnsi="Times New Roman" w:cs="Times New Roman"/>
          <w:sz w:val="19"/>
          <w:szCs w:val="19"/>
        </w:rPr>
        <w:t>merchandisers, grocery stores, membership club stores, drug stores, department stores, salons, distributors, e-commerce and high-frequency stores. Sales to Wal-Mart Stores, Inc. and its affiliates represent approximately 14% of our total revenue in 2014, 2</w:t>
      </w:r>
      <w:r>
        <w:rPr>
          <w:rFonts w:ascii="Times New Roman" w:hAnsi="Times New Roman" w:cs="Times New Roman"/>
          <w:sz w:val="19"/>
          <w:szCs w:val="19"/>
        </w:rPr>
        <w:t>013 and 2012. No other customer represents more than 10% of our net sales. Our top ten customers account for approximately 30% of our total unit volume in 2014 and 2013 and 31% of our total unit volume in 2012. The nature of our business results in no mate</w:t>
      </w:r>
      <w:r>
        <w:rPr>
          <w:rFonts w:ascii="Times New Roman" w:hAnsi="Times New Roman" w:cs="Times New Roman"/>
          <w:sz w:val="19"/>
          <w:szCs w:val="19"/>
        </w:rPr>
        <w:t>rial backlog orders or contracts with the government. We believe our practices related to working capital items for customers and suppliers are consistent with the industry segments in which we compete.</w:t>
      </w:r>
    </w:p>
    <w:p w:rsidR="00000000" w:rsidRDefault="0057438D">
      <w:pPr>
        <w:pStyle w:val="DefaultParagraphFont"/>
        <w:widowControl w:val="0"/>
        <w:autoSpaceDE w:val="0"/>
        <w:autoSpaceDN w:val="0"/>
        <w:adjustRightInd w:val="0"/>
        <w:spacing w:after="0" w:line="14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rPr>
          <w:rFonts w:ascii="Times New Roman" w:hAnsi="Times New Roman" w:cs="Times New Roman"/>
          <w:sz w:val="24"/>
          <w:szCs w:val="24"/>
        </w:rPr>
      </w:pPr>
      <w:r>
        <w:rPr>
          <w:rFonts w:ascii="Times New Roman" w:hAnsi="Times New Roman" w:cs="Times New Roman"/>
          <w:b/>
          <w:bCs/>
          <w:sz w:val="19"/>
          <w:szCs w:val="19"/>
        </w:rPr>
        <w:t>Sources and Availability of Materials</w:t>
      </w:r>
      <w:r>
        <w:rPr>
          <w:rFonts w:ascii="Times New Roman" w:hAnsi="Times New Roman" w:cs="Times New Roman"/>
          <w:sz w:val="19"/>
          <w:szCs w:val="19"/>
        </w:rPr>
        <w:t>. Almost all of</w:t>
      </w:r>
      <w:r>
        <w:rPr>
          <w:rFonts w:ascii="Times New Roman" w:hAnsi="Times New Roman" w:cs="Times New Roman"/>
          <w:sz w:val="19"/>
          <w:szCs w:val="19"/>
        </w:rPr>
        <w:t xml:space="preserve"> the</w:t>
      </w:r>
      <w:r>
        <w:rPr>
          <w:rFonts w:ascii="Times New Roman" w:hAnsi="Times New Roman" w:cs="Times New Roman"/>
          <w:b/>
          <w:bCs/>
          <w:sz w:val="19"/>
          <w:szCs w:val="19"/>
        </w:rPr>
        <w:t xml:space="preserve"> </w:t>
      </w:r>
      <w:r>
        <w:rPr>
          <w:rFonts w:ascii="Times New Roman" w:hAnsi="Times New Roman" w:cs="Times New Roman"/>
          <w:sz w:val="19"/>
          <w:szCs w:val="19"/>
        </w:rPr>
        <w:t>raw and packaging materials used by the Company are purchased from others, some of which are single-source suppliers. We produce certain raw materials, primarily chemicals, for further use in the manufacturing process. In addition, fuel, natural gas a</w:t>
      </w:r>
      <w:r>
        <w:rPr>
          <w:rFonts w:ascii="Times New Roman" w:hAnsi="Times New Roman" w:cs="Times New Roman"/>
          <w:sz w:val="19"/>
          <w:szCs w:val="19"/>
        </w:rPr>
        <w:t>nd derivative products are important commodities consumed in our manufacturing process and in the distribution of input materials and finished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709" w:left="840" w:header="720" w:footer="720" w:gutter="0"/>
          <w:cols w:num="2" w:space="440" w:equalWidth="0">
            <w:col w:w="4680" w:space="440"/>
            <w:col w:w="4680"/>
          </w:cols>
          <w:noEndnote/>
        </w:sectPr>
      </w:pPr>
    </w:p>
    <w:p w:rsidR="00000000" w:rsidRDefault="0057438D">
      <w:pPr>
        <w:pStyle w:val="DefaultParagraphFont"/>
        <w:widowControl w:val="0"/>
        <w:tabs>
          <w:tab w:val="left" w:pos="360"/>
        </w:tabs>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7"/>
          <w:szCs w:val="17"/>
        </w:rPr>
        <w:t>12</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100"/>
        <w:rPr>
          <w:rFonts w:ascii="Times New Roman" w:hAnsi="Times New Roman" w:cs="Times New Roman"/>
          <w:sz w:val="24"/>
          <w:szCs w:val="24"/>
        </w:rPr>
      </w:pPr>
      <w:r>
        <w:rPr>
          <w:rFonts w:ascii="Times New Roman" w:hAnsi="Times New Roman" w:cs="Times New Roman"/>
          <w:sz w:val="19"/>
          <w:szCs w:val="19"/>
        </w:rPr>
        <w:t>product to customers. The prices we pay for m</w:t>
      </w:r>
      <w:r>
        <w:rPr>
          <w:rFonts w:ascii="Times New Roman" w:hAnsi="Times New Roman" w:cs="Times New Roman"/>
          <w:sz w:val="19"/>
          <w:szCs w:val="19"/>
        </w:rPr>
        <w:t>aterials and other commodities are subject to fluctuation. When prices for these items change, we may or may not pass the change to our customers. The Company purchases a substantial variety of other raw and packaging materials, none of which is material t</w:t>
      </w:r>
      <w:r>
        <w:rPr>
          <w:rFonts w:ascii="Times New Roman" w:hAnsi="Times New Roman" w:cs="Times New Roman"/>
          <w:sz w:val="19"/>
          <w:szCs w:val="19"/>
        </w:rPr>
        <w:t>o our business taken as a whole.</w:t>
      </w:r>
    </w:p>
    <w:p w:rsidR="00000000" w:rsidRDefault="0057438D">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0"/>
        <w:rPr>
          <w:rFonts w:ascii="Times New Roman" w:hAnsi="Times New Roman" w:cs="Times New Roman"/>
          <w:sz w:val="24"/>
          <w:szCs w:val="24"/>
        </w:rPr>
      </w:pPr>
      <w:r>
        <w:rPr>
          <w:rFonts w:ascii="Times New Roman" w:hAnsi="Times New Roman" w:cs="Times New Roman"/>
          <w:b/>
          <w:bCs/>
          <w:sz w:val="19"/>
          <w:szCs w:val="19"/>
        </w:rPr>
        <w:t>Trademarks and Patents</w:t>
      </w:r>
      <w:r>
        <w:rPr>
          <w:rFonts w:ascii="Times New Roman" w:hAnsi="Times New Roman" w:cs="Times New Roman"/>
          <w:sz w:val="19"/>
          <w:szCs w:val="19"/>
        </w:rPr>
        <w:t>. We own or have licenses under</w:t>
      </w:r>
      <w:r>
        <w:rPr>
          <w:rFonts w:ascii="Times New Roman" w:hAnsi="Times New Roman" w:cs="Times New Roman"/>
          <w:b/>
          <w:bCs/>
          <w:sz w:val="19"/>
          <w:szCs w:val="19"/>
        </w:rPr>
        <w:t xml:space="preserve"> </w:t>
      </w:r>
      <w:r>
        <w:rPr>
          <w:rFonts w:ascii="Times New Roman" w:hAnsi="Times New Roman" w:cs="Times New Roman"/>
          <w:sz w:val="19"/>
          <w:szCs w:val="19"/>
        </w:rPr>
        <w:t>patents and registered trademarks which are used in connection with our activity in all businesses. Some of these patents or licenses cover significant product formulat</w:t>
      </w:r>
      <w:r>
        <w:rPr>
          <w:rFonts w:ascii="Times New Roman" w:hAnsi="Times New Roman" w:cs="Times New Roman"/>
          <w:sz w:val="19"/>
          <w:szCs w:val="19"/>
        </w:rPr>
        <w:t>ion and processes used to manufacture our products. The trademarks are important to the overall marketing and branding of our products. All major products and trademarks in each business are registered. In part, our success can be attributed to the existen</w:t>
      </w:r>
      <w:r>
        <w:rPr>
          <w:rFonts w:ascii="Times New Roman" w:hAnsi="Times New Roman" w:cs="Times New Roman"/>
          <w:sz w:val="19"/>
          <w:szCs w:val="19"/>
        </w:rPr>
        <w:t>ce and continued protection of these trademarks, patents and licenses.</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b/>
          <w:bCs/>
          <w:sz w:val="19"/>
          <w:szCs w:val="19"/>
        </w:rPr>
        <w:t>Competitive Condition</w:t>
      </w:r>
      <w:r>
        <w:rPr>
          <w:rFonts w:ascii="Times New Roman" w:hAnsi="Times New Roman" w:cs="Times New Roman"/>
          <w:sz w:val="19"/>
          <w:szCs w:val="19"/>
        </w:rPr>
        <w:t>. The markets in which our products</w:t>
      </w:r>
      <w:r>
        <w:rPr>
          <w:rFonts w:ascii="Times New Roman" w:hAnsi="Times New Roman" w:cs="Times New Roman"/>
          <w:b/>
          <w:bCs/>
          <w:sz w:val="19"/>
          <w:szCs w:val="19"/>
        </w:rPr>
        <w:t xml:space="preserve"> </w:t>
      </w:r>
      <w:r>
        <w:rPr>
          <w:rFonts w:ascii="Times New Roman" w:hAnsi="Times New Roman" w:cs="Times New Roman"/>
          <w:sz w:val="19"/>
          <w:szCs w:val="19"/>
        </w:rPr>
        <w:t>are sold are highly competitive. Our products comp</w:t>
      </w:r>
      <w:r>
        <w:rPr>
          <w:rFonts w:ascii="Times New Roman" w:hAnsi="Times New Roman" w:cs="Times New Roman"/>
          <w:sz w:val="19"/>
          <w:szCs w:val="19"/>
        </w:rPr>
        <w:t>ete against similar products of many large and small companies, including well-known global competitors. In many of the markets and industry segments in which we sell our products, we compete against other branded products as well as retailers' private-lab</w:t>
      </w:r>
      <w:r>
        <w:rPr>
          <w:rFonts w:ascii="Times New Roman" w:hAnsi="Times New Roman" w:cs="Times New Roman"/>
          <w:sz w:val="19"/>
          <w:szCs w:val="19"/>
        </w:rPr>
        <w:t>el brands. We are well positioned in the industry segments and markets in which we operate, often holding a leadership or significant market share position. We support our products with advertising, promotions and other marketing vehicles to build awarenes</w:t>
      </w:r>
      <w:r>
        <w:rPr>
          <w:rFonts w:ascii="Times New Roman" w:hAnsi="Times New Roman" w:cs="Times New Roman"/>
          <w:sz w:val="19"/>
          <w:szCs w:val="19"/>
        </w:rPr>
        <w:t>s and trial of our brands and products in conjunction with an extensive sales force. We believe this combination provides the most efficient method of marketing for these types of products. Product quality, performance, value and packaging are also importa</w:t>
      </w:r>
      <w:r>
        <w:rPr>
          <w:rFonts w:ascii="Times New Roman" w:hAnsi="Times New Roman" w:cs="Times New Roman"/>
          <w:sz w:val="19"/>
          <w:szCs w:val="19"/>
        </w:rPr>
        <w:t>nt differentiating factors.</w:t>
      </w:r>
    </w:p>
    <w:p w:rsidR="00000000" w:rsidRDefault="0057438D">
      <w:pPr>
        <w:pStyle w:val="DefaultParagraphFont"/>
        <w:widowControl w:val="0"/>
        <w:autoSpaceDE w:val="0"/>
        <w:autoSpaceDN w:val="0"/>
        <w:adjustRightInd w:val="0"/>
        <w:spacing w:after="0" w:line="1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9" w:lineRule="auto"/>
        <w:ind w:right="60"/>
        <w:rPr>
          <w:rFonts w:ascii="Times New Roman" w:hAnsi="Times New Roman" w:cs="Times New Roman"/>
          <w:sz w:val="24"/>
          <w:szCs w:val="24"/>
        </w:rPr>
      </w:pPr>
      <w:r>
        <w:rPr>
          <w:rFonts w:ascii="Times New Roman" w:hAnsi="Times New Roman" w:cs="Times New Roman"/>
          <w:b/>
          <w:bCs/>
          <w:sz w:val="19"/>
          <w:szCs w:val="19"/>
        </w:rPr>
        <w:t>Research and Development Expenditures</w:t>
      </w:r>
      <w:r>
        <w:rPr>
          <w:rFonts w:ascii="Times New Roman" w:hAnsi="Times New Roman" w:cs="Times New Roman"/>
          <w:sz w:val="19"/>
          <w:szCs w:val="19"/>
        </w:rPr>
        <w:t>. Research and</w:t>
      </w:r>
      <w:r>
        <w:rPr>
          <w:rFonts w:ascii="Times New Roman" w:hAnsi="Times New Roman" w:cs="Times New Roman"/>
          <w:b/>
          <w:bCs/>
          <w:sz w:val="19"/>
          <w:szCs w:val="19"/>
        </w:rPr>
        <w:t xml:space="preserve"> </w:t>
      </w:r>
      <w:r>
        <w:rPr>
          <w:rFonts w:ascii="Times New Roman" w:hAnsi="Times New Roman" w:cs="Times New Roman"/>
          <w:sz w:val="19"/>
          <w:szCs w:val="19"/>
        </w:rPr>
        <w:t>development expenditures enable us to develop technologies and obtain patents across all categories in order to meet the needs and improve the lives of our consumers. Total re</w:t>
      </w:r>
      <w:r>
        <w:rPr>
          <w:rFonts w:ascii="Times New Roman" w:hAnsi="Times New Roman" w:cs="Times New Roman"/>
          <w:sz w:val="19"/>
          <w:szCs w:val="19"/>
        </w:rPr>
        <w:t>search and development expenses were $2.0 billion in 2014, 2013 and 2012.</w:t>
      </w:r>
    </w:p>
    <w:p w:rsidR="00000000" w:rsidRDefault="0057438D">
      <w:pPr>
        <w:pStyle w:val="DefaultParagraphFont"/>
        <w:widowControl w:val="0"/>
        <w:autoSpaceDE w:val="0"/>
        <w:autoSpaceDN w:val="0"/>
        <w:adjustRightInd w:val="0"/>
        <w:spacing w:after="0" w:line="13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1" w:lineRule="auto"/>
        <w:ind w:right="220"/>
        <w:rPr>
          <w:rFonts w:ascii="Times New Roman" w:hAnsi="Times New Roman" w:cs="Times New Roman"/>
          <w:sz w:val="24"/>
          <w:szCs w:val="24"/>
        </w:rPr>
      </w:pPr>
      <w:r>
        <w:rPr>
          <w:rFonts w:ascii="Times New Roman" w:hAnsi="Times New Roman" w:cs="Times New Roman"/>
          <w:b/>
          <w:bCs/>
          <w:sz w:val="19"/>
          <w:szCs w:val="19"/>
        </w:rPr>
        <w:t>Expenditures for Environmental Compliance</w:t>
      </w:r>
      <w:r>
        <w:rPr>
          <w:rFonts w:ascii="Times New Roman" w:hAnsi="Times New Roman" w:cs="Times New Roman"/>
          <w:sz w:val="19"/>
          <w:szCs w:val="19"/>
        </w:rPr>
        <w:t>.</w:t>
      </w:r>
      <w:r>
        <w:rPr>
          <w:rFonts w:ascii="Times New Roman" w:hAnsi="Times New Roman" w:cs="Times New Roman"/>
          <w:b/>
          <w:bCs/>
          <w:sz w:val="19"/>
          <w:szCs w:val="19"/>
        </w:rPr>
        <w:t xml:space="preserve"> </w:t>
      </w:r>
      <w:r>
        <w:rPr>
          <w:rFonts w:ascii="Times New Roman" w:hAnsi="Times New Roman" w:cs="Times New Roman"/>
          <w:sz w:val="19"/>
          <w:szCs w:val="19"/>
        </w:rPr>
        <w:t>Expenditures for compliance with federal, state and local environmental laws and regulations are fairly consistent from year to year and a</w:t>
      </w:r>
      <w:r>
        <w:rPr>
          <w:rFonts w:ascii="Times New Roman" w:hAnsi="Times New Roman" w:cs="Times New Roman"/>
          <w:sz w:val="19"/>
          <w:szCs w:val="19"/>
        </w:rPr>
        <w:t>re not material to the Company. No material change is expected in fiscal year 2015.</w:t>
      </w:r>
    </w:p>
    <w:p w:rsidR="00000000" w:rsidRDefault="0057438D">
      <w:pPr>
        <w:pStyle w:val="DefaultParagraphFont"/>
        <w:widowControl w:val="0"/>
        <w:autoSpaceDE w:val="0"/>
        <w:autoSpaceDN w:val="0"/>
        <w:adjustRightInd w:val="0"/>
        <w:spacing w:after="0" w:line="13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20"/>
        <w:rPr>
          <w:rFonts w:ascii="Times New Roman" w:hAnsi="Times New Roman" w:cs="Times New Roman"/>
          <w:sz w:val="24"/>
          <w:szCs w:val="24"/>
        </w:rPr>
      </w:pPr>
      <w:r>
        <w:rPr>
          <w:rFonts w:ascii="Times New Roman" w:hAnsi="Times New Roman" w:cs="Times New Roman"/>
          <w:b/>
          <w:bCs/>
          <w:sz w:val="19"/>
          <w:szCs w:val="19"/>
        </w:rPr>
        <w:t>Employees</w:t>
      </w:r>
      <w:r>
        <w:rPr>
          <w:rFonts w:ascii="Times New Roman" w:hAnsi="Times New Roman" w:cs="Times New Roman"/>
          <w:sz w:val="19"/>
          <w:szCs w:val="19"/>
        </w:rPr>
        <w:t>. Total number of employees is an estimate of</w:t>
      </w:r>
      <w:r>
        <w:rPr>
          <w:rFonts w:ascii="Times New Roman" w:hAnsi="Times New Roman" w:cs="Times New Roman"/>
          <w:b/>
          <w:bCs/>
          <w:sz w:val="19"/>
          <w:szCs w:val="19"/>
        </w:rPr>
        <w:t xml:space="preserve"> </w:t>
      </w:r>
      <w:r>
        <w:rPr>
          <w:rFonts w:ascii="Times New Roman" w:hAnsi="Times New Roman" w:cs="Times New Roman"/>
          <w:sz w:val="19"/>
          <w:szCs w:val="19"/>
        </w:rPr>
        <w:t xml:space="preserve">total Company employees excluding interns, co-ops and employees of joint ventures. The number of employees includes </w:t>
      </w:r>
      <w:r>
        <w:rPr>
          <w:rFonts w:ascii="Times New Roman" w:hAnsi="Times New Roman" w:cs="Times New Roman"/>
          <w:sz w:val="19"/>
          <w:szCs w:val="19"/>
        </w:rPr>
        <w:t>manufacturing and non-manufacturing employees. A discussion of progress on non-manufacturing enrollment objectives is included in Note 3 to our Consolidated Financial Statements. Historical numbers include employees of discontinued operations.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
          <w:szCs w:val="2"/>
        </w:rPr>
      </w:pPr>
    </w:p>
    <w:tbl>
      <w:tblPr>
        <w:tblW w:w="0" w:type="auto"/>
        <w:tblLayout w:type="fixed"/>
        <w:tblCellMar>
          <w:left w:w="0" w:type="dxa"/>
          <w:right w:w="0" w:type="dxa"/>
        </w:tblCellMar>
        <w:tblLook w:val="0000" w:firstRow="0" w:lastRow="0" w:firstColumn="0" w:lastColumn="0" w:noHBand="0" w:noVBand="0"/>
      </w:tblPr>
      <w:tblGrid>
        <w:gridCol w:w="960"/>
        <w:gridCol w:w="3700"/>
      </w:tblGrid>
      <w:tr w:rsidR="00000000">
        <w:tblPrEx>
          <w:tblCellMar>
            <w:top w:w="0" w:type="dxa"/>
            <w:left w:w="0" w:type="dxa"/>
            <w:bottom w:w="0" w:type="dxa"/>
            <w:right w:w="0" w:type="dxa"/>
          </w:tblCellMar>
        </w:tblPrEx>
        <w:trPr>
          <w:trHeight w:val="251"/>
        </w:trPr>
        <w:tc>
          <w:tcPr>
            <w:tcW w:w="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7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Total Number of Employees</w:t>
            </w:r>
          </w:p>
        </w:tc>
      </w:tr>
      <w:tr w:rsidR="00000000">
        <w:tblPrEx>
          <w:tblCellMar>
            <w:top w:w="0" w:type="dxa"/>
            <w:left w:w="0" w:type="dxa"/>
            <w:bottom w:w="0" w:type="dxa"/>
            <w:right w:w="0" w:type="dxa"/>
          </w:tblCellMar>
        </w:tblPrEx>
        <w:trPr>
          <w:trHeight w:val="237"/>
        </w:trPr>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25"/>
              <w:jc w:val="right"/>
              <w:rPr>
                <w:rFonts w:ascii="Times New Roman" w:hAnsi="Times New Roman" w:cs="Times New Roman"/>
                <w:sz w:val="24"/>
                <w:szCs w:val="24"/>
              </w:rPr>
            </w:pPr>
            <w:r>
              <w:rPr>
                <w:rFonts w:ascii="Times New Roman" w:hAnsi="Times New Roman" w:cs="Times New Roman"/>
                <w:sz w:val="19"/>
                <w:szCs w:val="19"/>
              </w:rPr>
              <w:t>2014</w:t>
            </w:r>
          </w:p>
        </w:tc>
        <w:tc>
          <w:tcPr>
            <w:tcW w:w="3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118,000</w:t>
            </w:r>
          </w:p>
        </w:tc>
      </w:tr>
      <w:tr w:rsidR="00000000">
        <w:tblPrEx>
          <w:tblCellMar>
            <w:top w:w="0" w:type="dxa"/>
            <w:left w:w="0" w:type="dxa"/>
            <w:bottom w:w="0" w:type="dxa"/>
            <w:right w:w="0" w:type="dxa"/>
          </w:tblCellMar>
        </w:tblPrEx>
        <w:trPr>
          <w:trHeight w:val="27"/>
        </w:trPr>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25"/>
              <w:jc w:val="right"/>
              <w:rPr>
                <w:rFonts w:ascii="Times New Roman" w:hAnsi="Times New Roman" w:cs="Times New Roman"/>
                <w:sz w:val="24"/>
                <w:szCs w:val="24"/>
              </w:rPr>
            </w:pPr>
            <w:r>
              <w:rPr>
                <w:rFonts w:ascii="Times New Roman" w:hAnsi="Times New Roman" w:cs="Times New Roman"/>
                <w:sz w:val="19"/>
                <w:szCs w:val="19"/>
              </w:rPr>
              <w:t>2013</w:t>
            </w:r>
          </w:p>
        </w:tc>
        <w:tc>
          <w:tcPr>
            <w:tcW w:w="3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121,000</w:t>
            </w:r>
          </w:p>
        </w:tc>
      </w:tr>
      <w:tr w:rsidR="00000000">
        <w:tblPrEx>
          <w:tblCellMar>
            <w:top w:w="0" w:type="dxa"/>
            <w:left w:w="0" w:type="dxa"/>
            <w:bottom w:w="0" w:type="dxa"/>
            <w:right w:w="0" w:type="dxa"/>
          </w:tblCellMar>
        </w:tblPrEx>
        <w:trPr>
          <w:trHeight w:val="255"/>
        </w:trPr>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25"/>
              <w:jc w:val="right"/>
              <w:rPr>
                <w:rFonts w:ascii="Times New Roman" w:hAnsi="Times New Roman" w:cs="Times New Roman"/>
                <w:sz w:val="24"/>
                <w:szCs w:val="24"/>
              </w:rPr>
            </w:pPr>
            <w:r>
              <w:rPr>
                <w:rFonts w:ascii="Times New Roman" w:hAnsi="Times New Roman" w:cs="Times New Roman"/>
                <w:sz w:val="19"/>
                <w:szCs w:val="19"/>
              </w:rPr>
              <w:t>2012</w:t>
            </w:r>
          </w:p>
        </w:tc>
        <w:tc>
          <w:tcPr>
            <w:tcW w:w="3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126,000</w:t>
            </w:r>
          </w:p>
        </w:tc>
      </w:tr>
      <w:tr w:rsidR="00000000">
        <w:tblPrEx>
          <w:tblCellMar>
            <w:top w:w="0" w:type="dxa"/>
            <w:left w:w="0" w:type="dxa"/>
            <w:bottom w:w="0" w:type="dxa"/>
            <w:right w:w="0" w:type="dxa"/>
          </w:tblCellMar>
        </w:tblPrEx>
        <w:trPr>
          <w:trHeight w:val="31"/>
        </w:trPr>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25"/>
              <w:jc w:val="right"/>
              <w:rPr>
                <w:rFonts w:ascii="Times New Roman" w:hAnsi="Times New Roman" w:cs="Times New Roman"/>
                <w:sz w:val="24"/>
                <w:szCs w:val="24"/>
              </w:rPr>
            </w:pPr>
            <w:r>
              <w:rPr>
                <w:rFonts w:ascii="Times New Roman" w:hAnsi="Times New Roman" w:cs="Times New Roman"/>
                <w:sz w:val="19"/>
                <w:szCs w:val="19"/>
              </w:rPr>
              <w:t>2011</w:t>
            </w:r>
          </w:p>
        </w:tc>
        <w:tc>
          <w:tcPr>
            <w:tcW w:w="3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129,000</w:t>
            </w:r>
          </w:p>
        </w:tc>
      </w:tr>
      <w:tr w:rsidR="00000000">
        <w:tblPrEx>
          <w:tblCellMar>
            <w:top w:w="0" w:type="dxa"/>
            <w:left w:w="0" w:type="dxa"/>
            <w:bottom w:w="0" w:type="dxa"/>
            <w:right w:w="0" w:type="dxa"/>
          </w:tblCellMar>
        </w:tblPrEx>
        <w:trPr>
          <w:trHeight w:val="255"/>
        </w:trPr>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25"/>
              <w:jc w:val="right"/>
              <w:rPr>
                <w:rFonts w:ascii="Times New Roman" w:hAnsi="Times New Roman" w:cs="Times New Roman"/>
                <w:sz w:val="24"/>
                <w:szCs w:val="24"/>
              </w:rPr>
            </w:pPr>
            <w:r>
              <w:rPr>
                <w:rFonts w:ascii="Times New Roman" w:hAnsi="Times New Roman" w:cs="Times New Roman"/>
                <w:sz w:val="19"/>
                <w:szCs w:val="19"/>
              </w:rPr>
              <w:t>2010</w:t>
            </w:r>
          </w:p>
        </w:tc>
        <w:tc>
          <w:tcPr>
            <w:tcW w:w="3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127,000</w:t>
            </w:r>
          </w:p>
        </w:tc>
      </w:tr>
      <w:tr w:rsidR="00000000">
        <w:tblPrEx>
          <w:tblCellMar>
            <w:top w:w="0" w:type="dxa"/>
            <w:left w:w="0" w:type="dxa"/>
            <w:bottom w:w="0" w:type="dxa"/>
            <w:right w:w="0" w:type="dxa"/>
          </w:tblCellMar>
        </w:tblPrEx>
        <w:trPr>
          <w:trHeight w:val="31"/>
        </w:trPr>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9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25"/>
              <w:jc w:val="right"/>
              <w:rPr>
                <w:rFonts w:ascii="Times New Roman" w:hAnsi="Times New Roman" w:cs="Times New Roman"/>
                <w:sz w:val="24"/>
                <w:szCs w:val="24"/>
              </w:rPr>
            </w:pPr>
            <w:r>
              <w:rPr>
                <w:rFonts w:ascii="Times New Roman" w:hAnsi="Times New Roman" w:cs="Times New Roman"/>
                <w:sz w:val="19"/>
                <w:szCs w:val="19"/>
              </w:rPr>
              <w:t>2009</w:t>
            </w:r>
          </w:p>
        </w:tc>
        <w:tc>
          <w:tcPr>
            <w:tcW w:w="3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132,000</w:t>
            </w:r>
          </w:p>
        </w:tc>
      </w:tr>
      <w:tr w:rsidR="00000000">
        <w:tblPrEx>
          <w:tblCellMar>
            <w:top w:w="0" w:type="dxa"/>
            <w:left w:w="0" w:type="dxa"/>
            <w:bottom w:w="0" w:type="dxa"/>
            <w:right w:w="0" w:type="dxa"/>
          </w:tblCellMar>
        </w:tblPrEx>
        <w:trPr>
          <w:trHeight w:val="31"/>
        </w:trPr>
        <w:tc>
          <w:tcPr>
            <w:tcW w:w="9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9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520"/>
        <w:rPr>
          <w:rFonts w:ascii="Times New Roman" w:hAnsi="Times New Roman" w:cs="Times New Roman"/>
          <w:sz w:val="24"/>
          <w:szCs w:val="24"/>
        </w:rPr>
      </w:pPr>
      <w:r>
        <w:rPr>
          <w:rFonts w:ascii="Times New Roman" w:hAnsi="Times New Roman" w:cs="Times New Roman"/>
          <w:b/>
          <w:bCs/>
          <w:sz w:val="19"/>
          <w:szCs w:val="19"/>
        </w:rPr>
        <w:t>Financial Information about Foreign and Domestic Operations</w:t>
      </w:r>
    </w:p>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60"/>
        <w:rPr>
          <w:rFonts w:ascii="Times New Roman" w:hAnsi="Times New Roman" w:cs="Times New Roman"/>
          <w:sz w:val="24"/>
          <w:szCs w:val="24"/>
        </w:rPr>
      </w:pPr>
      <w:r>
        <w:rPr>
          <w:rFonts w:ascii="Times New Roman" w:hAnsi="Times New Roman" w:cs="Times New Roman"/>
          <w:sz w:val="19"/>
          <w:szCs w:val="19"/>
        </w:rPr>
        <w:t>Net sales in the U.S. ac</w:t>
      </w:r>
      <w:r>
        <w:rPr>
          <w:rFonts w:ascii="Times New Roman" w:hAnsi="Times New Roman" w:cs="Times New Roman"/>
          <w:sz w:val="19"/>
          <w:szCs w:val="19"/>
        </w:rPr>
        <w:t>count for approximately 35% of total net sales. No other individual country exceeds 10% of total net sales. Operations outside the U.S. are generally characterized by the same conditions discussed in the description of the business above and may be affecte</w:t>
      </w:r>
      <w:r>
        <w:rPr>
          <w:rFonts w:ascii="Times New Roman" w:hAnsi="Times New Roman" w:cs="Times New Roman"/>
          <w:sz w:val="19"/>
          <w:szCs w:val="19"/>
        </w:rPr>
        <w:t>d by additional factors including changing currency values, different rates of inflation, economic growth and political and economic uncertainties and disruptions. Our sales by geography for the fiscal years ended June 30 were as follows:</w:t>
      </w:r>
    </w:p>
    <w:p w:rsidR="00000000" w:rsidRDefault="0057438D">
      <w:pPr>
        <w:pStyle w:val="DefaultParagraphFont"/>
        <w:widowControl w:val="0"/>
        <w:autoSpaceDE w:val="0"/>
        <w:autoSpaceDN w:val="0"/>
        <w:adjustRightInd w:val="0"/>
        <w:spacing w:after="0" w:line="14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000"/>
        <w:gridCol w:w="500"/>
        <w:gridCol w:w="60"/>
        <w:gridCol w:w="500"/>
        <w:gridCol w:w="80"/>
        <w:gridCol w:w="540"/>
        <w:gridCol w:w="20"/>
      </w:tblGrid>
      <w:tr w:rsidR="00000000">
        <w:tblPrEx>
          <w:tblCellMar>
            <w:top w:w="0" w:type="dxa"/>
            <w:left w:w="0" w:type="dxa"/>
            <w:bottom w:w="0" w:type="dxa"/>
            <w:right w:w="0" w:type="dxa"/>
          </w:tblCellMar>
        </w:tblPrEx>
        <w:trPr>
          <w:trHeight w:val="203"/>
        </w:trPr>
        <w:tc>
          <w:tcPr>
            <w:tcW w:w="3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2014</w:t>
            </w:r>
          </w:p>
        </w:tc>
        <w:tc>
          <w:tcPr>
            <w:tcW w:w="5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2013</w:t>
            </w:r>
          </w:p>
        </w:tc>
        <w:tc>
          <w:tcPr>
            <w:tcW w:w="6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r>
      <w:tr w:rsidR="00000000">
        <w:tblPrEx>
          <w:tblCellMar>
            <w:top w:w="0" w:type="dxa"/>
            <w:left w:w="0" w:type="dxa"/>
            <w:bottom w:w="0" w:type="dxa"/>
            <w:right w:w="0" w:type="dxa"/>
          </w:tblCellMar>
        </w:tblPrEx>
        <w:trPr>
          <w:trHeight w:val="25"/>
        </w:trPr>
        <w:tc>
          <w:tcPr>
            <w:tcW w:w="30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6"/>
        </w:trPr>
        <w:tc>
          <w:tcPr>
            <w:tcW w:w="3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75" w:lineRule="exact"/>
              <w:ind w:left="40"/>
              <w:rPr>
                <w:rFonts w:ascii="Times New Roman" w:hAnsi="Times New Roman" w:cs="Times New Roman"/>
                <w:sz w:val="24"/>
                <w:szCs w:val="24"/>
              </w:rPr>
            </w:pPr>
            <w:r>
              <w:rPr>
                <w:rFonts w:ascii="Times New Roman" w:hAnsi="Times New Roman" w:cs="Times New Roman"/>
                <w:sz w:val="19"/>
                <w:szCs w:val="19"/>
              </w:rPr>
              <w:t xml:space="preserve">North America </w:t>
            </w:r>
            <w:r>
              <w:rPr>
                <w:rFonts w:ascii="Times New Roman" w:hAnsi="Times New Roman" w:cs="Times New Roman"/>
                <w:sz w:val="24"/>
                <w:szCs w:val="24"/>
                <w:vertAlign w:val="superscript"/>
              </w:rPr>
              <w:t>(1)</w:t>
            </w:r>
          </w:p>
        </w:tc>
        <w:tc>
          <w:tcPr>
            <w:tcW w:w="5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7"/>
                <w:sz w:val="19"/>
                <w:szCs w:val="19"/>
              </w:rPr>
              <w:t>39%</w:t>
            </w: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39%</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39%</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55"/>
        </w:trPr>
        <w:tc>
          <w:tcPr>
            <w:tcW w:w="3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Western Europe</w:t>
            </w:r>
          </w:p>
        </w:tc>
        <w:tc>
          <w:tcPr>
            <w:tcW w:w="5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7"/>
                <w:sz w:val="19"/>
                <w:szCs w:val="19"/>
              </w:rPr>
              <w:t>18%</w:t>
            </w:r>
          </w:p>
        </w:tc>
        <w:tc>
          <w:tcPr>
            <w:tcW w:w="5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7"/>
                <w:sz w:val="19"/>
                <w:szCs w:val="19"/>
              </w:rPr>
              <w:t>18%</w:t>
            </w:r>
          </w:p>
        </w:tc>
        <w:tc>
          <w:tcPr>
            <w:tcW w:w="6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19%</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31"/>
        </w:trPr>
        <w:tc>
          <w:tcPr>
            <w:tcW w:w="3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Asia</w:t>
            </w:r>
          </w:p>
        </w:tc>
        <w:tc>
          <w:tcPr>
            <w:tcW w:w="5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7"/>
                <w:sz w:val="19"/>
                <w:szCs w:val="19"/>
              </w:rPr>
              <w:t>18%</w:t>
            </w:r>
          </w:p>
        </w:tc>
        <w:tc>
          <w:tcPr>
            <w:tcW w:w="5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18%</w:t>
            </w:r>
          </w:p>
        </w:tc>
        <w:tc>
          <w:tcPr>
            <w:tcW w:w="6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18%</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6"/>
        </w:trPr>
        <w:tc>
          <w:tcPr>
            <w:tcW w:w="3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 xml:space="preserve">CEEMEA </w:t>
            </w:r>
            <w:r>
              <w:rPr>
                <w:rFonts w:ascii="Times New Roman" w:hAnsi="Times New Roman" w:cs="Times New Roman"/>
                <w:sz w:val="24"/>
                <w:szCs w:val="24"/>
                <w:vertAlign w:val="superscript"/>
              </w:rPr>
              <w:t>(2)</w:t>
            </w:r>
          </w:p>
        </w:tc>
        <w:tc>
          <w:tcPr>
            <w:tcW w:w="5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7"/>
                <w:sz w:val="19"/>
                <w:szCs w:val="19"/>
              </w:rPr>
              <w:t>15%</w:t>
            </w:r>
          </w:p>
        </w:tc>
        <w:tc>
          <w:tcPr>
            <w:tcW w:w="5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15%</w:t>
            </w:r>
          </w:p>
        </w:tc>
        <w:tc>
          <w:tcPr>
            <w:tcW w:w="6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55"/>
        </w:trPr>
        <w:tc>
          <w:tcPr>
            <w:tcW w:w="3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Latin America</w:t>
            </w:r>
          </w:p>
        </w:tc>
        <w:tc>
          <w:tcPr>
            <w:tcW w:w="5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7"/>
                <w:sz w:val="19"/>
                <w:szCs w:val="19"/>
              </w:rPr>
              <w:t>10%</w:t>
            </w:r>
          </w:p>
        </w:tc>
        <w:tc>
          <w:tcPr>
            <w:tcW w:w="56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7"/>
                <w:sz w:val="19"/>
                <w:szCs w:val="19"/>
              </w:rPr>
              <w:t>10%</w:t>
            </w:r>
          </w:p>
        </w:tc>
        <w:tc>
          <w:tcPr>
            <w:tcW w:w="62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10%</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31"/>
        </w:trPr>
        <w:tc>
          <w:tcPr>
            <w:tcW w:w="3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47" w:lineRule="exact"/>
        <w:rPr>
          <w:rFonts w:ascii="Times New Roman" w:hAnsi="Times New Roman" w:cs="Times New Roman"/>
          <w:sz w:val="24"/>
          <w:szCs w:val="24"/>
        </w:rPr>
      </w:pPr>
    </w:p>
    <w:p w:rsidR="00000000" w:rsidRDefault="0057438D">
      <w:pPr>
        <w:pStyle w:val="DefaultParagraphFont"/>
        <w:widowControl w:val="0"/>
        <w:numPr>
          <w:ilvl w:val="0"/>
          <w:numId w:val="2"/>
        </w:numPr>
        <w:tabs>
          <w:tab w:val="clear" w:pos="720"/>
          <w:tab w:val="num" w:pos="340"/>
        </w:tabs>
        <w:overflowPunct w:val="0"/>
        <w:autoSpaceDE w:val="0"/>
        <w:autoSpaceDN w:val="0"/>
        <w:adjustRightInd w:val="0"/>
        <w:spacing w:after="0" w:line="214" w:lineRule="auto"/>
        <w:ind w:left="340" w:right="440" w:hanging="339"/>
        <w:jc w:val="both"/>
        <w:rPr>
          <w:rFonts w:ascii="Times New Roman" w:hAnsi="Times New Roman" w:cs="Times New Roman"/>
          <w:sz w:val="25"/>
          <w:szCs w:val="25"/>
          <w:vertAlign w:val="superscript"/>
        </w:rPr>
      </w:pPr>
      <w:r>
        <w:rPr>
          <w:rFonts w:ascii="Times New Roman" w:hAnsi="Times New Roman" w:cs="Times New Roman"/>
          <w:sz w:val="17"/>
          <w:szCs w:val="17"/>
        </w:rPr>
        <w:t>North America includes results for the United States and Canada only.</w:t>
      </w:r>
    </w:p>
    <w:p w:rsidR="00000000" w:rsidRDefault="0057438D">
      <w:pPr>
        <w:pStyle w:val="DefaultParagraphFont"/>
        <w:widowControl w:val="0"/>
        <w:autoSpaceDE w:val="0"/>
        <w:autoSpaceDN w:val="0"/>
        <w:adjustRightInd w:val="0"/>
        <w:spacing w:after="0" w:line="4"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2"/>
        </w:numPr>
        <w:tabs>
          <w:tab w:val="clear" w:pos="720"/>
          <w:tab w:val="num" w:pos="340"/>
        </w:tabs>
        <w:overflowPunct w:val="0"/>
        <w:autoSpaceDE w:val="0"/>
        <w:autoSpaceDN w:val="0"/>
        <w:adjustRightInd w:val="0"/>
        <w:spacing w:after="0" w:line="214" w:lineRule="auto"/>
        <w:ind w:left="340" w:right="160" w:hanging="339"/>
        <w:jc w:val="both"/>
        <w:rPr>
          <w:rFonts w:ascii="Times New Roman" w:hAnsi="Times New Roman" w:cs="Times New Roman"/>
          <w:sz w:val="25"/>
          <w:szCs w:val="25"/>
          <w:vertAlign w:val="superscript"/>
        </w:rPr>
      </w:pPr>
      <w:r>
        <w:rPr>
          <w:rFonts w:ascii="Times New Roman" w:hAnsi="Times New Roman" w:cs="Times New Roman"/>
          <w:sz w:val="17"/>
          <w:szCs w:val="17"/>
        </w:rPr>
        <w:t>CEEMEA includes Central and Eastern Europe, Middle East and Africa.</w:t>
      </w:r>
    </w:p>
    <w:p w:rsidR="00000000" w:rsidRDefault="0057438D">
      <w:pPr>
        <w:pStyle w:val="DefaultParagraphFont"/>
        <w:widowControl w:val="0"/>
        <w:autoSpaceDE w:val="0"/>
        <w:autoSpaceDN w:val="0"/>
        <w:adjustRightInd w:val="0"/>
        <w:spacing w:after="0" w:line="15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900"/>
        <w:rPr>
          <w:rFonts w:ascii="Times New Roman" w:hAnsi="Times New Roman" w:cs="Times New Roman"/>
          <w:sz w:val="24"/>
          <w:szCs w:val="24"/>
        </w:rPr>
      </w:pPr>
      <w:r>
        <w:rPr>
          <w:rFonts w:ascii="Times New Roman" w:hAnsi="Times New Roman" w:cs="Times New Roman"/>
          <w:sz w:val="19"/>
          <w:szCs w:val="19"/>
        </w:rPr>
        <w:t>Net sales and total assets in the United States and internationally were as follows (in billions):</w:t>
      </w:r>
    </w:p>
    <w:p w:rsidR="00000000" w:rsidRDefault="0057438D">
      <w:pPr>
        <w:pStyle w:val="DefaultParagraphFont"/>
        <w:widowControl w:val="0"/>
        <w:autoSpaceDE w:val="0"/>
        <w:autoSpaceDN w:val="0"/>
        <w:adjustRightInd w:val="0"/>
        <w:spacing w:after="0" w:line="95" w:lineRule="exact"/>
        <w:rPr>
          <w:rFonts w:ascii="Times New Roman" w:hAnsi="Times New Roman" w:cs="Times New Roman"/>
          <w:sz w:val="24"/>
          <w:szCs w:val="24"/>
        </w:rPr>
      </w:pPr>
    </w:p>
    <w:tbl>
      <w:tblPr>
        <w:tblW w:w="0" w:type="auto"/>
        <w:tblInd w:w="40" w:type="dxa"/>
        <w:tblLayout w:type="fixed"/>
        <w:tblCellMar>
          <w:left w:w="0" w:type="dxa"/>
          <w:right w:w="0" w:type="dxa"/>
        </w:tblCellMar>
        <w:tblLook w:val="0000" w:firstRow="0" w:lastRow="0" w:firstColumn="0" w:lastColumn="0" w:noHBand="0" w:noVBand="0"/>
      </w:tblPr>
      <w:tblGrid>
        <w:gridCol w:w="1540"/>
        <w:gridCol w:w="220"/>
        <w:gridCol w:w="1380"/>
        <w:gridCol w:w="1440"/>
      </w:tblGrid>
      <w:tr w:rsidR="00000000">
        <w:tblPrEx>
          <w:tblCellMar>
            <w:top w:w="0" w:type="dxa"/>
            <w:left w:w="0" w:type="dxa"/>
            <w:bottom w:w="0" w:type="dxa"/>
            <w:right w:w="0" w:type="dxa"/>
          </w:tblCellMar>
        </w:tblPrEx>
        <w:trPr>
          <w:trHeight w:val="203"/>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7"/>
              <w:jc w:val="center"/>
              <w:rPr>
                <w:rFonts w:ascii="Times New Roman" w:hAnsi="Times New Roman" w:cs="Times New Roman"/>
                <w:sz w:val="24"/>
                <w:szCs w:val="24"/>
              </w:rPr>
            </w:pPr>
            <w:r>
              <w:rPr>
                <w:rFonts w:ascii="Times New Roman" w:hAnsi="Times New Roman" w:cs="Times New Roman"/>
                <w:b/>
                <w:bCs/>
                <w:sz w:val="15"/>
                <w:szCs w:val="15"/>
              </w:rPr>
              <w:t>United States</w:t>
            </w:r>
          </w:p>
        </w:tc>
        <w:tc>
          <w:tcPr>
            <w:tcW w:w="1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center"/>
              <w:rPr>
                <w:rFonts w:ascii="Times New Roman" w:hAnsi="Times New Roman" w:cs="Times New Roman"/>
                <w:sz w:val="24"/>
                <w:szCs w:val="24"/>
              </w:rPr>
            </w:pPr>
            <w:r>
              <w:rPr>
                <w:rFonts w:ascii="Times New Roman" w:hAnsi="Times New Roman" w:cs="Times New Roman"/>
                <w:b/>
                <w:bCs/>
                <w:sz w:val="15"/>
                <w:szCs w:val="15"/>
              </w:rPr>
              <w:t>International</w:t>
            </w:r>
          </w:p>
        </w:tc>
      </w:tr>
      <w:tr w:rsidR="00000000">
        <w:tblPrEx>
          <w:tblCellMar>
            <w:top w:w="0" w:type="dxa"/>
            <w:left w:w="0" w:type="dxa"/>
            <w:bottom w:w="0" w:type="dxa"/>
            <w:right w:w="0" w:type="dxa"/>
          </w:tblCellMar>
        </w:tblPrEx>
        <w:trPr>
          <w:trHeight w:val="22"/>
        </w:trPr>
        <w:tc>
          <w:tcPr>
            <w:tcW w:w="15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8"/>
        </w:trPr>
        <w:tc>
          <w:tcPr>
            <w:tcW w:w="3140" w:type="dxa"/>
            <w:gridSpan w:val="3"/>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Net Sales (for the years ended June 30)</w:t>
            </w:r>
          </w:p>
        </w:tc>
        <w:tc>
          <w:tcPr>
            <w:tcW w:w="14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55"/>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2014</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7"/>
              <w:jc w:val="center"/>
              <w:rPr>
                <w:rFonts w:ascii="Times New Roman" w:hAnsi="Times New Roman" w:cs="Times New Roman"/>
                <w:sz w:val="24"/>
                <w:szCs w:val="24"/>
              </w:rPr>
            </w:pPr>
            <w:r>
              <w:rPr>
                <w:rFonts w:ascii="Times New Roman" w:hAnsi="Times New Roman" w:cs="Times New Roman"/>
                <w:w w:val="98"/>
                <w:sz w:val="19"/>
                <w:szCs w:val="19"/>
              </w:rPr>
              <w:t>$29.4</w:t>
            </w:r>
          </w:p>
        </w:tc>
        <w:tc>
          <w:tcPr>
            <w:tcW w:w="1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center"/>
              <w:rPr>
                <w:rFonts w:ascii="Times New Roman" w:hAnsi="Times New Roman" w:cs="Times New Roman"/>
                <w:sz w:val="24"/>
                <w:szCs w:val="24"/>
              </w:rPr>
            </w:pPr>
            <w:r>
              <w:rPr>
                <w:rFonts w:ascii="Times New Roman" w:hAnsi="Times New Roman" w:cs="Times New Roman"/>
                <w:w w:val="98"/>
                <w:sz w:val="19"/>
                <w:szCs w:val="19"/>
              </w:rPr>
              <w:t>$53.7</w:t>
            </w:r>
          </w:p>
        </w:tc>
      </w:tr>
      <w:tr w:rsidR="00000000">
        <w:tblPrEx>
          <w:tblCellMar>
            <w:top w:w="0" w:type="dxa"/>
            <w:left w:w="0" w:type="dxa"/>
            <w:bottom w:w="0" w:type="dxa"/>
            <w:right w:w="0" w:type="dxa"/>
          </w:tblCellMar>
        </w:tblPrEx>
        <w:trPr>
          <w:trHeight w:val="31"/>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2013</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3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27"/>
              <w:jc w:val="center"/>
              <w:rPr>
                <w:rFonts w:ascii="Times New Roman" w:hAnsi="Times New Roman" w:cs="Times New Roman"/>
                <w:sz w:val="24"/>
                <w:szCs w:val="24"/>
              </w:rPr>
            </w:pPr>
            <w:r>
              <w:rPr>
                <w:rFonts w:ascii="Times New Roman" w:hAnsi="Times New Roman" w:cs="Times New Roman"/>
                <w:w w:val="98"/>
                <w:sz w:val="19"/>
                <w:szCs w:val="19"/>
              </w:rPr>
              <w:t>$29.2</w:t>
            </w:r>
          </w:p>
        </w:tc>
        <w:tc>
          <w:tcPr>
            <w:tcW w:w="14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7"/>
              <w:jc w:val="center"/>
              <w:rPr>
                <w:rFonts w:ascii="Times New Roman" w:hAnsi="Times New Roman" w:cs="Times New Roman"/>
                <w:sz w:val="24"/>
                <w:szCs w:val="24"/>
              </w:rPr>
            </w:pPr>
            <w:r>
              <w:rPr>
                <w:rFonts w:ascii="Times New Roman" w:hAnsi="Times New Roman" w:cs="Times New Roman"/>
                <w:w w:val="98"/>
                <w:sz w:val="19"/>
                <w:szCs w:val="19"/>
              </w:rPr>
              <w:t>$53.4</w:t>
            </w:r>
          </w:p>
        </w:tc>
      </w:tr>
      <w:tr w:rsidR="00000000">
        <w:tblPrEx>
          <w:tblCellMar>
            <w:top w:w="0" w:type="dxa"/>
            <w:left w:w="0" w:type="dxa"/>
            <w:bottom w:w="0" w:type="dxa"/>
            <w:right w:w="0" w:type="dxa"/>
          </w:tblCellMar>
        </w:tblPrEx>
        <w:trPr>
          <w:trHeight w:val="255"/>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2012</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7"/>
              <w:jc w:val="center"/>
              <w:rPr>
                <w:rFonts w:ascii="Times New Roman" w:hAnsi="Times New Roman" w:cs="Times New Roman"/>
                <w:sz w:val="24"/>
                <w:szCs w:val="24"/>
              </w:rPr>
            </w:pPr>
            <w:r>
              <w:rPr>
                <w:rFonts w:ascii="Times New Roman" w:hAnsi="Times New Roman" w:cs="Times New Roman"/>
                <w:w w:val="98"/>
                <w:sz w:val="19"/>
                <w:szCs w:val="19"/>
              </w:rPr>
              <w:t>$28.4</w:t>
            </w:r>
          </w:p>
        </w:tc>
        <w:tc>
          <w:tcPr>
            <w:tcW w:w="1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center"/>
              <w:rPr>
                <w:rFonts w:ascii="Times New Roman" w:hAnsi="Times New Roman" w:cs="Times New Roman"/>
                <w:sz w:val="24"/>
                <w:szCs w:val="24"/>
              </w:rPr>
            </w:pPr>
            <w:r>
              <w:rPr>
                <w:rFonts w:ascii="Times New Roman" w:hAnsi="Times New Roman" w:cs="Times New Roman"/>
                <w:w w:val="98"/>
                <w:sz w:val="19"/>
                <w:szCs w:val="19"/>
              </w:rPr>
              <w:t>$53.6</w:t>
            </w:r>
          </w:p>
        </w:tc>
      </w:tr>
      <w:tr w:rsidR="00000000">
        <w:tblPrEx>
          <w:tblCellMar>
            <w:top w:w="0" w:type="dxa"/>
            <w:left w:w="0" w:type="dxa"/>
            <w:bottom w:w="0" w:type="dxa"/>
            <w:right w:w="0" w:type="dxa"/>
          </w:tblCellMar>
        </w:tblPrEx>
        <w:trPr>
          <w:trHeight w:val="31"/>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1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53"/>
        </w:trPr>
        <w:tc>
          <w:tcPr>
            <w:tcW w:w="1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Total Assets (June 30)</w:t>
            </w:r>
          </w:p>
        </w:tc>
        <w:tc>
          <w:tcPr>
            <w:tcW w:w="1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33"/>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2014</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3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27"/>
              <w:jc w:val="center"/>
              <w:rPr>
                <w:rFonts w:ascii="Times New Roman" w:hAnsi="Times New Roman" w:cs="Times New Roman"/>
                <w:sz w:val="24"/>
                <w:szCs w:val="24"/>
              </w:rPr>
            </w:pPr>
            <w:r>
              <w:rPr>
                <w:rFonts w:ascii="Times New Roman" w:hAnsi="Times New Roman" w:cs="Times New Roman"/>
                <w:w w:val="98"/>
                <w:sz w:val="19"/>
                <w:szCs w:val="19"/>
              </w:rPr>
              <w:t>$68.8</w:t>
            </w:r>
          </w:p>
        </w:tc>
        <w:tc>
          <w:tcPr>
            <w:tcW w:w="14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7"/>
              <w:jc w:val="center"/>
              <w:rPr>
                <w:rFonts w:ascii="Times New Roman" w:hAnsi="Times New Roman" w:cs="Times New Roman"/>
                <w:sz w:val="24"/>
                <w:szCs w:val="24"/>
              </w:rPr>
            </w:pPr>
            <w:r>
              <w:rPr>
                <w:rFonts w:ascii="Times New Roman" w:hAnsi="Times New Roman" w:cs="Times New Roman"/>
                <w:w w:val="98"/>
                <w:sz w:val="19"/>
                <w:szCs w:val="19"/>
              </w:rPr>
              <w:t>$75.5</w:t>
            </w:r>
          </w:p>
        </w:tc>
      </w:tr>
      <w:tr w:rsidR="00000000">
        <w:tblPrEx>
          <w:tblCellMar>
            <w:top w:w="0" w:type="dxa"/>
            <w:left w:w="0" w:type="dxa"/>
            <w:bottom w:w="0" w:type="dxa"/>
            <w:right w:w="0" w:type="dxa"/>
          </w:tblCellMar>
        </w:tblPrEx>
        <w:trPr>
          <w:trHeight w:val="255"/>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2013</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7"/>
              <w:jc w:val="center"/>
              <w:rPr>
                <w:rFonts w:ascii="Times New Roman" w:hAnsi="Times New Roman" w:cs="Times New Roman"/>
                <w:sz w:val="24"/>
                <w:szCs w:val="24"/>
              </w:rPr>
            </w:pPr>
            <w:r>
              <w:rPr>
                <w:rFonts w:ascii="Times New Roman" w:hAnsi="Times New Roman" w:cs="Times New Roman"/>
                <w:w w:val="98"/>
                <w:sz w:val="19"/>
                <w:szCs w:val="19"/>
              </w:rPr>
              <w:t>$68.3</w:t>
            </w:r>
          </w:p>
        </w:tc>
        <w:tc>
          <w:tcPr>
            <w:tcW w:w="1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center"/>
              <w:rPr>
                <w:rFonts w:ascii="Times New Roman" w:hAnsi="Times New Roman" w:cs="Times New Roman"/>
                <w:sz w:val="24"/>
                <w:szCs w:val="24"/>
              </w:rPr>
            </w:pPr>
            <w:r>
              <w:rPr>
                <w:rFonts w:ascii="Times New Roman" w:hAnsi="Times New Roman" w:cs="Times New Roman"/>
                <w:w w:val="98"/>
                <w:sz w:val="19"/>
                <w:szCs w:val="19"/>
              </w:rPr>
              <w:t>$71.0</w:t>
            </w:r>
          </w:p>
        </w:tc>
      </w:tr>
      <w:tr w:rsidR="00000000">
        <w:tblPrEx>
          <w:tblCellMar>
            <w:top w:w="0" w:type="dxa"/>
            <w:left w:w="0" w:type="dxa"/>
            <w:bottom w:w="0" w:type="dxa"/>
            <w:right w:w="0" w:type="dxa"/>
          </w:tblCellMar>
        </w:tblPrEx>
        <w:trPr>
          <w:trHeight w:val="31"/>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2012</w:t>
            </w: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3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27"/>
              <w:jc w:val="center"/>
              <w:rPr>
                <w:rFonts w:ascii="Times New Roman" w:hAnsi="Times New Roman" w:cs="Times New Roman"/>
                <w:sz w:val="24"/>
                <w:szCs w:val="24"/>
              </w:rPr>
            </w:pPr>
            <w:r>
              <w:rPr>
                <w:rFonts w:ascii="Times New Roman" w:hAnsi="Times New Roman" w:cs="Times New Roman"/>
                <w:w w:val="98"/>
                <w:sz w:val="19"/>
                <w:szCs w:val="19"/>
              </w:rPr>
              <w:t>$68.0</w:t>
            </w:r>
          </w:p>
        </w:tc>
        <w:tc>
          <w:tcPr>
            <w:tcW w:w="14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7"/>
              <w:jc w:val="center"/>
              <w:rPr>
                <w:rFonts w:ascii="Times New Roman" w:hAnsi="Times New Roman" w:cs="Times New Roman"/>
                <w:sz w:val="24"/>
                <w:szCs w:val="24"/>
              </w:rPr>
            </w:pPr>
            <w:r>
              <w:rPr>
                <w:rFonts w:ascii="Times New Roman" w:hAnsi="Times New Roman" w:cs="Times New Roman"/>
                <w:w w:val="98"/>
                <w:sz w:val="19"/>
                <w:szCs w:val="19"/>
              </w:rPr>
              <w:t>$64.2</w:t>
            </w:r>
          </w:p>
        </w:tc>
      </w:tr>
      <w:tr w:rsidR="00000000">
        <w:tblPrEx>
          <w:tblCellMar>
            <w:top w:w="0" w:type="dxa"/>
            <w:left w:w="0" w:type="dxa"/>
            <w:bottom w:w="0" w:type="dxa"/>
            <w:right w:w="0" w:type="dxa"/>
          </w:tblCellMar>
        </w:tblPrEx>
        <w:trPr>
          <w:trHeight w:val="31"/>
        </w:trPr>
        <w:tc>
          <w:tcPr>
            <w:tcW w:w="1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9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1A. </w:t>
      </w:r>
      <w:r>
        <w:rPr>
          <w:rFonts w:ascii="Times New Roman" w:hAnsi="Times New Roman" w:cs="Times New Roman"/>
          <w:sz w:val="19"/>
          <w:szCs w:val="19"/>
          <w:u w:val="single"/>
        </w:rPr>
        <w:t>Risk Factors.</w:t>
      </w:r>
    </w:p>
    <w:p w:rsidR="00000000" w:rsidRDefault="0057438D">
      <w:pPr>
        <w:pStyle w:val="DefaultParagraphFont"/>
        <w:widowControl w:val="0"/>
        <w:autoSpaceDE w:val="0"/>
        <w:autoSpaceDN w:val="0"/>
        <w:adjustRightInd w:val="0"/>
        <w:spacing w:after="0" w:line="12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40"/>
        <w:rPr>
          <w:rFonts w:ascii="Times New Roman" w:hAnsi="Times New Roman" w:cs="Times New Roman"/>
          <w:sz w:val="24"/>
          <w:szCs w:val="24"/>
        </w:rPr>
      </w:pPr>
      <w:r>
        <w:rPr>
          <w:rFonts w:ascii="Times New Roman" w:hAnsi="Times New Roman" w:cs="Times New Roman"/>
          <w:sz w:val="19"/>
          <w:szCs w:val="19"/>
        </w:rPr>
        <w:t>We discuss our expectations regarding future performance, events and outcomes, such as our business outlook and objectives in this Form 10-K, quarterly reports, press releases and other written and oral communications. All statements, except for historical</w:t>
      </w:r>
      <w:r>
        <w:rPr>
          <w:rFonts w:ascii="Times New Roman" w:hAnsi="Times New Roman" w:cs="Times New Roman"/>
          <w:sz w:val="19"/>
          <w:szCs w:val="19"/>
        </w:rPr>
        <w:t xml:space="preserve"> and present factual information, are “forward-looking statements” and are based on financial data and business plans available only as of the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80" w:bottom="540" w:left="840" w:header="720" w:footer="720" w:gutter="0"/>
          <w:cols w:num="2" w:space="420" w:equalWidth="0">
            <w:col w:w="4700" w:space="420"/>
            <w:col w:w="46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120"/>
        <w:rPr>
          <w:rFonts w:ascii="Times New Roman" w:hAnsi="Times New Roman" w:cs="Times New Roman"/>
          <w:sz w:val="24"/>
          <w:szCs w:val="24"/>
        </w:rPr>
      </w:pPr>
      <w:r>
        <w:rPr>
          <w:rFonts w:ascii="Times New Roman" w:hAnsi="Times New Roman" w:cs="Times New Roman"/>
          <w:sz w:val="19"/>
          <w:szCs w:val="19"/>
        </w:rPr>
        <w:t>time the statements are made, which may become outdated or incomplete. We assume no obligation to update any forward-looking statements as a result of new information, future events, or other factors. Forward-looking statements are inherently uncertain and</w:t>
      </w:r>
      <w:r>
        <w:rPr>
          <w:rFonts w:ascii="Times New Roman" w:hAnsi="Times New Roman" w:cs="Times New Roman"/>
          <w:sz w:val="19"/>
          <w:szCs w:val="19"/>
        </w:rPr>
        <w:t xml:space="preserve"> investors must recognize that events could significantly differ from our expectations.</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rPr>
          <w:rFonts w:ascii="Times New Roman" w:hAnsi="Times New Roman" w:cs="Times New Roman"/>
          <w:sz w:val="24"/>
          <w:szCs w:val="24"/>
        </w:rPr>
      </w:pPr>
      <w:r>
        <w:rPr>
          <w:rFonts w:ascii="Times New Roman" w:hAnsi="Times New Roman" w:cs="Times New Roman"/>
          <w:sz w:val="19"/>
          <w:szCs w:val="19"/>
        </w:rPr>
        <w:t>The following discussion of “risk factors” identifies the most significant factors that may adversely affect our business, operations, financial position or future fin</w:t>
      </w:r>
      <w:r>
        <w:rPr>
          <w:rFonts w:ascii="Times New Roman" w:hAnsi="Times New Roman" w:cs="Times New Roman"/>
          <w:sz w:val="19"/>
          <w:szCs w:val="19"/>
        </w:rPr>
        <w:t xml:space="preserve">ancial performance. This information should be read in conjunction with MD&amp;A and the Consolidated Financial Statements and related Notes incorporated in this report. The following discussion of risks is not all inclusive, but is designed to highlight what </w:t>
      </w:r>
      <w:r>
        <w:rPr>
          <w:rFonts w:ascii="Times New Roman" w:hAnsi="Times New Roman" w:cs="Times New Roman"/>
          <w:sz w:val="19"/>
          <w:szCs w:val="19"/>
        </w:rPr>
        <w:t>we believe are important factors to consider when evaluating our expectations. These factors could cause our future results to differ from those in the forward-looking statements and from historical trends.</w:t>
      </w:r>
    </w:p>
    <w:p w:rsidR="00000000" w:rsidRDefault="0057438D">
      <w:pPr>
        <w:pStyle w:val="DefaultParagraphFont"/>
        <w:widowControl w:val="0"/>
        <w:autoSpaceDE w:val="0"/>
        <w:autoSpaceDN w:val="0"/>
        <w:adjustRightInd w:val="0"/>
        <w:spacing w:after="0" w:line="13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71" w:lineRule="auto"/>
        <w:ind w:right="40"/>
        <w:rPr>
          <w:rFonts w:ascii="Times New Roman" w:hAnsi="Times New Roman" w:cs="Times New Roman"/>
          <w:sz w:val="24"/>
          <w:szCs w:val="24"/>
        </w:rPr>
      </w:pPr>
      <w:r>
        <w:rPr>
          <w:rFonts w:ascii="Times New Roman" w:hAnsi="Times New Roman" w:cs="Times New Roman"/>
          <w:b/>
          <w:bCs/>
          <w:sz w:val="19"/>
          <w:szCs w:val="19"/>
        </w:rPr>
        <w:t>A change in consumer demand for our products and</w:t>
      </w:r>
      <w:r>
        <w:rPr>
          <w:rFonts w:ascii="Times New Roman" w:hAnsi="Times New Roman" w:cs="Times New Roman"/>
          <w:b/>
          <w:bCs/>
          <w:sz w:val="19"/>
          <w:szCs w:val="19"/>
        </w:rPr>
        <w:t>/or lack of market growth could have a significant impact on our business.</w:t>
      </w:r>
    </w:p>
    <w:p w:rsidR="00000000" w:rsidRDefault="0057438D">
      <w:pPr>
        <w:pStyle w:val="DefaultParagraphFont"/>
        <w:widowControl w:val="0"/>
        <w:autoSpaceDE w:val="0"/>
        <w:autoSpaceDN w:val="0"/>
        <w:adjustRightInd w:val="0"/>
        <w:spacing w:after="0" w:line="6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We are a consumer products company and rely on continued global demand for our brands and products. To achieve business goals, we must develop and sell products that appeal to cons</w:t>
      </w:r>
      <w:r>
        <w:rPr>
          <w:rFonts w:ascii="Times New Roman" w:hAnsi="Times New Roman" w:cs="Times New Roman"/>
          <w:sz w:val="19"/>
          <w:szCs w:val="19"/>
        </w:rPr>
        <w:t>umers. This is dependent on a number of factors, including our ability to develop effective sales, advertising and marketing programs. We expect to achieve our financial targets, in part, by focusing on the most profitable businesses, biggest innovations a</w:t>
      </w:r>
      <w:r>
        <w:rPr>
          <w:rFonts w:ascii="Times New Roman" w:hAnsi="Times New Roman" w:cs="Times New Roman"/>
          <w:sz w:val="19"/>
          <w:szCs w:val="19"/>
        </w:rPr>
        <w:t>nd most important emerging markets. We also expect to achieve our financial targets, in part, by achieving disproportionate growth in developing regions. If demand for our products and/or market growth rates, in either developed or developing markets, fall</w:t>
      </w:r>
      <w:r>
        <w:rPr>
          <w:rFonts w:ascii="Times New Roman" w:hAnsi="Times New Roman" w:cs="Times New Roman"/>
          <w:sz w:val="19"/>
          <w:szCs w:val="19"/>
        </w:rPr>
        <w:t>s substantially below expected levels or our market share declines significantly in these businesses, our volume, and consequently our results, could be negatively impacted. This could occur due to, among other things, unforeseen negative economic or polit</w:t>
      </w:r>
      <w:r>
        <w:rPr>
          <w:rFonts w:ascii="Times New Roman" w:hAnsi="Times New Roman" w:cs="Times New Roman"/>
          <w:sz w:val="19"/>
          <w:szCs w:val="19"/>
        </w:rPr>
        <w:t>ical events, unexpected changes in consumer trends and habits or negative consumer responses to pricing actions.</w:t>
      </w:r>
    </w:p>
    <w:p w:rsidR="00000000" w:rsidRDefault="0057438D">
      <w:pPr>
        <w:pStyle w:val="DefaultParagraphFont"/>
        <w:widowControl w:val="0"/>
        <w:autoSpaceDE w:val="0"/>
        <w:autoSpaceDN w:val="0"/>
        <w:adjustRightInd w:val="0"/>
        <w:spacing w:after="0" w:line="14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4" w:lineRule="auto"/>
        <w:ind w:right="120"/>
        <w:rPr>
          <w:rFonts w:ascii="Times New Roman" w:hAnsi="Times New Roman" w:cs="Times New Roman"/>
          <w:sz w:val="24"/>
          <w:szCs w:val="24"/>
        </w:rPr>
      </w:pPr>
      <w:r>
        <w:rPr>
          <w:rFonts w:ascii="Times New Roman" w:hAnsi="Times New Roman" w:cs="Times New Roman"/>
          <w:b/>
          <w:bCs/>
          <w:sz w:val="19"/>
          <w:szCs w:val="19"/>
        </w:rPr>
        <w:t>The ability to achieve our business objectives is dependent on how well we can compete with our local and global competitors in new and existi</w:t>
      </w:r>
      <w:r>
        <w:rPr>
          <w:rFonts w:ascii="Times New Roman" w:hAnsi="Times New Roman" w:cs="Times New Roman"/>
          <w:b/>
          <w:bCs/>
          <w:sz w:val="19"/>
          <w:szCs w:val="19"/>
        </w:rPr>
        <w:t>ng markets and channels.</w:t>
      </w:r>
    </w:p>
    <w:p w:rsidR="00000000" w:rsidRDefault="0057438D">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The consumer products industry is highly competitive. Across all of our categories, we compete against a wide variety of global and loc</w:t>
      </w:r>
      <w:r>
        <w:rPr>
          <w:rFonts w:ascii="Times New Roman" w:hAnsi="Times New Roman" w:cs="Times New Roman"/>
          <w:sz w:val="19"/>
          <w:szCs w:val="19"/>
        </w:rPr>
        <w:t>al competitors. As a result, there are ongoing competitive pressures in the environments in which we operate, as well as challenges in maintaining profit margins. This includes, among other things, increasing competition from mid- and lower-tier value prod</w:t>
      </w:r>
      <w:r>
        <w:rPr>
          <w:rFonts w:ascii="Times New Roman" w:hAnsi="Times New Roman" w:cs="Times New Roman"/>
          <w:sz w:val="19"/>
          <w:szCs w:val="19"/>
        </w:rPr>
        <w:t>ucts in both developed and developing markets. To address these challenges, we must be able to successfully respond to competitive factors, including pricing, promotional incentives and trade terms. In addition, the emergence of new sales channels may affe</w:t>
      </w:r>
      <w:r>
        <w:rPr>
          <w:rFonts w:ascii="Times New Roman" w:hAnsi="Times New Roman" w:cs="Times New Roman"/>
          <w:sz w:val="19"/>
          <w:szCs w:val="19"/>
        </w:rPr>
        <w:t>ct customer and consumer preferences, as well as market dynamics. Failure to</w:t>
      </w:r>
    </w:p>
    <w:p w:rsidR="00000000" w:rsidRDefault="0057438D">
      <w:pPr>
        <w:pStyle w:val="DefaultParagraphFont"/>
        <w:widowControl w:val="0"/>
        <w:autoSpaceDE w:val="0"/>
        <w:autoSpaceDN w:val="0"/>
        <w:adjustRightInd w:val="0"/>
        <w:spacing w:after="0" w:line="240" w:lineRule="auto"/>
        <w:ind w:left="2280"/>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 xml:space="preserve">The Procter &amp; Gamble Company  </w:t>
      </w:r>
      <w:r>
        <w:rPr>
          <w:rFonts w:ascii="Times New Roman" w:hAnsi="Times New Roman" w:cs="Times New Roman"/>
          <w:sz w:val="19"/>
          <w:szCs w:val="19"/>
        </w:rPr>
        <w:t>13</w:t>
      </w:r>
    </w:p>
    <w:p w:rsidR="00000000" w:rsidRDefault="0057438D">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140"/>
        <w:rPr>
          <w:rFonts w:ascii="Times New Roman" w:hAnsi="Times New Roman" w:cs="Times New Roman"/>
          <w:sz w:val="24"/>
          <w:szCs w:val="24"/>
        </w:rPr>
      </w:pPr>
      <w:r>
        <w:rPr>
          <w:rFonts w:ascii="Times New Roman" w:hAnsi="Times New Roman" w:cs="Times New Roman"/>
          <w:sz w:val="19"/>
          <w:szCs w:val="19"/>
        </w:rPr>
        <w:t>effectively compete in these new channels could negatively impact results.</w:t>
      </w:r>
    </w:p>
    <w:p w:rsidR="00000000" w:rsidRDefault="0057438D">
      <w:pPr>
        <w:pStyle w:val="DefaultParagraphFont"/>
        <w:widowControl w:val="0"/>
        <w:autoSpaceDE w:val="0"/>
        <w:autoSpaceDN w:val="0"/>
        <w:adjustRightInd w:val="0"/>
        <w:spacing w:after="0" w:line="10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4" w:lineRule="auto"/>
        <w:ind w:right="60"/>
        <w:rPr>
          <w:rFonts w:ascii="Times New Roman" w:hAnsi="Times New Roman" w:cs="Times New Roman"/>
          <w:sz w:val="24"/>
          <w:szCs w:val="24"/>
        </w:rPr>
      </w:pPr>
      <w:r>
        <w:rPr>
          <w:rFonts w:ascii="Times New Roman" w:hAnsi="Times New Roman" w:cs="Times New Roman"/>
          <w:b/>
          <w:bCs/>
          <w:sz w:val="19"/>
          <w:szCs w:val="19"/>
        </w:rPr>
        <w:t>Our ability to meet our growth targets depends on successful product</w:t>
      </w:r>
      <w:r>
        <w:rPr>
          <w:rFonts w:ascii="Times New Roman" w:hAnsi="Times New Roman" w:cs="Times New Roman"/>
          <w:b/>
          <w:bCs/>
          <w:sz w:val="19"/>
          <w:szCs w:val="19"/>
        </w:rPr>
        <w:t>, marketing and operations innovation and our ability to successfully respond to competitive innovation</w:t>
      </w:r>
      <w:r>
        <w:rPr>
          <w:rFonts w:ascii="Times New Roman" w:hAnsi="Times New Roman" w:cs="Times New Roman"/>
          <w:sz w:val="19"/>
          <w:szCs w:val="19"/>
        </w:rPr>
        <w:t>.</w:t>
      </w:r>
    </w:p>
    <w:p w:rsidR="00000000" w:rsidRDefault="0057438D">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40"/>
        <w:rPr>
          <w:rFonts w:ascii="Times New Roman" w:hAnsi="Times New Roman" w:cs="Times New Roman"/>
          <w:sz w:val="24"/>
          <w:szCs w:val="24"/>
        </w:rPr>
      </w:pPr>
      <w:r>
        <w:rPr>
          <w:rFonts w:ascii="Times New Roman" w:hAnsi="Times New Roman" w:cs="Times New Roman"/>
          <w:sz w:val="19"/>
          <w:szCs w:val="19"/>
        </w:rPr>
        <w:t>Achieving our business results depends, in part, on the successful development, introduction and marketing of new products and improvements to our equ</w:t>
      </w:r>
      <w:r>
        <w:rPr>
          <w:rFonts w:ascii="Times New Roman" w:hAnsi="Times New Roman" w:cs="Times New Roman"/>
          <w:sz w:val="19"/>
          <w:szCs w:val="19"/>
        </w:rPr>
        <w:t xml:space="preserve">ipment and manufacturing processes. Successful innovation depends on our ability to correctly anticipate customer and consumer acceptance, to obtain and maintain necessary intellectual property protections and to avoid infringing the intellectual property </w:t>
      </w:r>
      <w:r>
        <w:rPr>
          <w:rFonts w:ascii="Times New Roman" w:hAnsi="Times New Roman" w:cs="Times New Roman"/>
          <w:sz w:val="19"/>
          <w:szCs w:val="19"/>
        </w:rPr>
        <w:t>rights of others. We must also be able to successfully respond to technological advances made by competitors and intellectual property rights granted to competitors. Failure to do so could compromise our competitive position and impact our results.</w:t>
      </w:r>
    </w:p>
    <w:p w:rsidR="00000000" w:rsidRDefault="0057438D">
      <w:pPr>
        <w:pStyle w:val="DefaultParagraphFont"/>
        <w:widowControl w:val="0"/>
        <w:autoSpaceDE w:val="0"/>
        <w:autoSpaceDN w:val="0"/>
        <w:adjustRightInd w:val="0"/>
        <w:spacing w:after="0" w:line="14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160"/>
        <w:rPr>
          <w:rFonts w:ascii="Times New Roman" w:hAnsi="Times New Roman" w:cs="Times New Roman"/>
          <w:sz w:val="24"/>
          <w:szCs w:val="24"/>
        </w:rPr>
      </w:pPr>
      <w:r>
        <w:rPr>
          <w:rFonts w:ascii="Times New Roman" w:hAnsi="Times New Roman" w:cs="Times New Roman"/>
          <w:b/>
          <w:bCs/>
          <w:sz w:val="19"/>
          <w:szCs w:val="19"/>
        </w:rPr>
        <w:t>Our bu</w:t>
      </w:r>
      <w:r>
        <w:rPr>
          <w:rFonts w:ascii="Times New Roman" w:hAnsi="Times New Roman" w:cs="Times New Roman"/>
          <w:b/>
          <w:bCs/>
          <w:sz w:val="19"/>
          <w:szCs w:val="19"/>
        </w:rPr>
        <w:t>sinesses face cost fluctuations and pressures that could affect our business results.</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20"/>
        <w:rPr>
          <w:rFonts w:ascii="Times New Roman" w:hAnsi="Times New Roman" w:cs="Times New Roman"/>
          <w:sz w:val="24"/>
          <w:szCs w:val="24"/>
        </w:rPr>
      </w:pPr>
      <w:r>
        <w:rPr>
          <w:rFonts w:ascii="Times New Roman" w:hAnsi="Times New Roman" w:cs="Times New Roman"/>
          <w:sz w:val="19"/>
          <w:szCs w:val="19"/>
        </w:rPr>
        <w:t>Our costs are subject to fluctuations, particularly due to changes in commodity prices, raw materials, labor costs, energy costs, pension and healthcare costs and foreign exchange and interest rates. Therefore, our success is dependent, in part, on our con</w:t>
      </w:r>
      <w:r>
        <w:rPr>
          <w:rFonts w:ascii="Times New Roman" w:hAnsi="Times New Roman" w:cs="Times New Roman"/>
          <w:sz w:val="19"/>
          <w:szCs w:val="19"/>
        </w:rPr>
        <w:t>tinued ability to manage these fluctuations through pricing actions, cost saving projects and sourcing decisions, while maintaining and improving margins and market share. In addition, our financial projections include cost savings described in our announc</w:t>
      </w:r>
      <w:r>
        <w:rPr>
          <w:rFonts w:ascii="Times New Roman" w:hAnsi="Times New Roman" w:cs="Times New Roman"/>
          <w:sz w:val="19"/>
          <w:szCs w:val="19"/>
        </w:rPr>
        <w:t>ed productivity plan. Failure to deliver these savings could adversely impact our results.</w:t>
      </w:r>
    </w:p>
    <w:p w:rsidR="00000000" w:rsidRDefault="0057438D">
      <w:pPr>
        <w:pStyle w:val="DefaultParagraphFont"/>
        <w:widowControl w:val="0"/>
        <w:autoSpaceDE w:val="0"/>
        <w:autoSpaceDN w:val="0"/>
        <w:adjustRightInd w:val="0"/>
        <w:spacing w:after="0" w:line="13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160"/>
        <w:rPr>
          <w:rFonts w:ascii="Times New Roman" w:hAnsi="Times New Roman" w:cs="Times New Roman"/>
          <w:sz w:val="24"/>
          <w:szCs w:val="24"/>
        </w:rPr>
      </w:pPr>
      <w:r>
        <w:rPr>
          <w:rFonts w:ascii="Times New Roman" w:hAnsi="Times New Roman" w:cs="Times New Roman"/>
          <w:b/>
          <w:bCs/>
          <w:sz w:val="19"/>
          <w:szCs w:val="19"/>
        </w:rPr>
        <w:t>We face risks that are inherent in global manufacturing that could negatively impact our business results.</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We need to maintain key manufacturing and supply arrange</w:t>
      </w:r>
      <w:r>
        <w:rPr>
          <w:rFonts w:ascii="Times New Roman" w:hAnsi="Times New Roman" w:cs="Times New Roman"/>
          <w:sz w:val="19"/>
          <w:szCs w:val="19"/>
        </w:rPr>
        <w:t>ments, including any key sole supplier and sole manufacturing plant arrangements, to achieve our cost targets. While we have business continuity and contingency plans for key manufacturing sites and the supply of raw materials, it may be impracticable to h</w:t>
      </w:r>
      <w:r>
        <w:rPr>
          <w:rFonts w:ascii="Times New Roman" w:hAnsi="Times New Roman" w:cs="Times New Roman"/>
          <w:sz w:val="19"/>
          <w:szCs w:val="19"/>
        </w:rPr>
        <w:t>ave a sufficient alternative source, particularly when the input materials are in limited supply. In addition, our strategy for global growth includes increased presence in emerging markets. Some emerging markets have greater political volatility and great</w:t>
      </w:r>
      <w:r>
        <w:rPr>
          <w:rFonts w:ascii="Times New Roman" w:hAnsi="Times New Roman" w:cs="Times New Roman"/>
          <w:sz w:val="19"/>
          <w:szCs w:val="19"/>
        </w:rPr>
        <w:t>er vulnerability to infrastructure and labor disruptions than established markets. Any significant disruption of manufacturing, such as labor disputes, loss or impairment of key manufacturing sites, natural disasters, acts of war or terrorism and other ext</w:t>
      </w:r>
      <w:r>
        <w:rPr>
          <w:rFonts w:ascii="Times New Roman" w:hAnsi="Times New Roman" w:cs="Times New Roman"/>
          <w:sz w:val="19"/>
          <w:szCs w:val="19"/>
        </w:rPr>
        <w:t>ernal factors over which we have no control, could interrupt product supply and, if not remedied, have an adverse impact on our business.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880" w:bottom="547" w:left="840" w:header="720" w:footer="720" w:gutter="0"/>
          <w:cols w:num="2" w:space="440" w:equalWidth="0">
            <w:col w:w="4680" w:space="440"/>
            <w:col w:w="4680"/>
          </w:cols>
          <w:noEndnote/>
        </w:sectPr>
      </w:pPr>
    </w:p>
    <w:p w:rsidR="00000000" w:rsidRDefault="0057438D">
      <w:pPr>
        <w:pStyle w:val="DefaultParagraphFont"/>
        <w:widowControl w:val="0"/>
        <w:tabs>
          <w:tab w:val="left" w:pos="360"/>
        </w:tabs>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7"/>
          <w:szCs w:val="17"/>
        </w:rPr>
        <w:t>14</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360"/>
        <w:rPr>
          <w:rFonts w:ascii="Times New Roman" w:hAnsi="Times New Roman" w:cs="Times New Roman"/>
          <w:sz w:val="24"/>
          <w:szCs w:val="24"/>
        </w:rPr>
      </w:pPr>
      <w:r>
        <w:rPr>
          <w:rFonts w:ascii="Times New Roman" w:hAnsi="Times New Roman" w:cs="Times New Roman"/>
          <w:b/>
          <w:bCs/>
          <w:sz w:val="19"/>
          <w:szCs w:val="19"/>
        </w:rPr>
        <w:t>We rely on third parties in many aspect our busines</w:t>
      </w:r>
      <w:r>
        <w:rPr>
          <w:rFonts w:ascii="Times New Roman" w:hAnsi="Times New Roman" w:cs="Times New Roman"/>
          <w:b/>
          <w:bCs/>
          <w:sz w:val="19"/>
          <w:szCs w:val="19"/>
        </w:rPr>
        <w:t>s, which creates additional risk.</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40"/>
        <w:rPr>
          <w:rFonts w:ascii="Times New Roman" w:hAnsi="Times New Roman" w:cs="Times New Roman"/>
          <w:sz w:val="24"/>
          <w:szCs w:val="24"/>
        </w:rPr>
      </w:pPr>
      <w:r>
        <w:rPr>
          <w:rFonts w:ascii="Times New Roman" w:hAnsi="Times New Roman" w:cs="Times New Roman"/>
          <w:sz w:val="19"/>
          <w:szCs w:val="19"/>
        </w:rPr>
        <w:t>Due to the scale and scope of our business, we must rely on relationships with third parties for certain functions, such as our suppliers, distributors, contractors, joint venture partners or external business partners. W</w:t>
      </w:r>
      <w:r>
        <w:rPr>
          <w:rFonts w:ascii="Times New Roman" w:hAnsi="Times New Roman" w:cs="Times New Roman"/>
          <w:sz w:val="19"/>
          <w:szCs w:val="19"/>
        </w:rPr>
        <w:t>hile we have policies and procedures for managing these relationships, they inherently involve a lesser degree of control over business operations, governance and compliance, thereby potentially increasing our financial, legal, reputational and/or operatio</w:t>
      </w:r>
      <w:r>
        <w:rPr>
          <w:rFonts w:ascii="Times New Roman" w:hAnsi="Times New Roman" w:cs="Times New Roman"/>
          <w:sz w:val="19"/>
          <w:szCs w:val="19"/>
        </w:rPr>
        <w:t>nal risk.</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820"/>
        <w:rPr>
          <w:rFonts w:ascii="Times New Roman" w:hAnsi="Times New Roman" w:cs="Times New Roman"/>
          <w:sz w:val="24"/>
          <w:szCs w:val="24"/>
        </w:rPr>
      </w:pPr>
      <w:r>
        <w:rPr>
          <w:rFonts w:ascii="Times New Roman" w:hAnsi="Times New Roman" w:cs="Times New Roman"/>
          <w:b/>
          <w:bCs/>
          <w:sz w:val="19"/>
          <w:szCs w:val="19"/>
        </w:rPr>
        <w:t>We face risks associated with having significant international operations.</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100"/>
        <w:rPr>
          <w:rFonts w:ascii="Times New Roman" w:hAnsi="Times New Roman" w:cs="Times New Roman"/>
          <w:sz w:val="24"/>
          <w:szCs w:val="24"/>
        </w:rPr>
      </w:pPr>
      <w:r>
        <w:rPr>
          <w:rFonts w:ascii="Times New Roman" w:hAnsi="Times New Roman" w:cs="Times New Roman"/>
          <w:sz w:val="19"/>
          <w:szCs w:val="19"/>
        </w:rPr>
        <w:t>We are a global company, with manufacturing operations in more than 40 countries and a significant portion of our revenue outside the U.S. Our international operations are subject to a number of risks, including, but not limited to:</w:t>
      </w:r>
    </w:p>
    <w:p w:rsidR="00000000" w:rsidRDefault="0057438D">
      <w:pPr>
        <w:pStyle w:val="DefaultParagraphFont"/>
        <w:widowControl w:val="0"/>
        <w:autoSpaceDE w:val="0"/>
        <w:autoSpaceDN w:val="0"/>
        <w:adjustRightInd w:val="0"/>
        <w:spacing w:after="0" w:line="16" w:lineRule="exact"/>
        <w:rPr>
          <w:rFonts w:ascii="Times New Roman" w:hAnsi="Times New Roman" w:cs="Times New Roman"/>
          <w:sz w:val="24"/>
          <w:szCs w:val="24"/>
        </w:rPr>
      </w:pPr>
    </w:p>
    <w:p w:rsidR="00000000" w:rsidRDefault="0057438D">
      <w:pPr>
        <w:pStyle w:val="DefaultParagraphFont"/>
        <w:widowControl w:val="0"/>
        <w:numPr>
          <w:ilvl w:val="0"/>
          <w:numId w:val="3"/>
        </w:numPr>
        <w:tabs>
          <w:tab w:val="clear" w:pos="720"/>
          <w:tab w:val="num" w:pos="340"/>
        </w:tabs>
        <w:overflowPunct w:val="0"/>
        <w:autoSpaceDE w:val="0"/>
        <w:autoSpaceDN w:val="0"/>
        <w:adjustRightInd w:val="0"/>
        <w:spacing w:after="0" w:line="251" w:lineRule="auto"/>
        <w:ind w:left="340" w:right="100" w:hanging="335"/>
        <w:rPr>
          <w:rFonts w:ascii="Times New Roman" w:hAnsi="Times New Roman" w:cs="Times New Roman"/>
          <w:sz w:val="19"/>
          <w:szCs w:val="19"/>
        </w:rPr>
      </w:pPr>
      <w:r>
        <w:rPr>
          <w:rFonts w:ascii="Times New Roman" w:hAnsi="Times New Roman" w:cs="Times New Roman"/>
          <w:sz w:val="19"/>
          <w:szCs w:val="19"/>
        </w:rPr>
        <w:t>compliance with U.S.</w:t>
      </w:r>
      <w:r>
        <w:rPr>
          <w:rFonts w:ascii="Times New Roman" w:hAnsi="Times New Roman" w:cs="Times New Roman"/>
          <w:sz w:val="19"/>
          <w:szCs w:val="19"/>
        </w:rPr>
        <w:t xml:space="preserve"> laws affecting operations outside of the United States, such as the Foreign Corrupt Practices Act;</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19"/>
          <w:szCs w:val="19"/>
        </w:rPr>
      </w:pPr>
    </w:p>
    <w:p w:rsidR="00000000" w:rsidRDefault="0057438D">
      <w:pPr>
        <w:pStyle w:val="DefaultParagraphFont"/>
        <w:widowControl w:val="0"/>
        <w:numPr>
          <w:ilvl w:val="0"/>
          <w:numId w:val="3"/>
        </w:numPr>
        <w:tabs>
          <w:tab w:val="clear" w:pos="720"/>
          <w:tab w:val="num" w:pos="340"/>
        </w:tabs>
        <w:overflowPunct w:val="0"/>
        <w:autoSpaceDE w:val="0"/>
        <w:autoSpaceDN w:val="0"/>
        <w:adjustRightInd w:val="0"/>
        <w:spacing w:after="0" w:line="240" w:lineRule="auto"/>
        <w:ind w:left="340" w:hanging="335"/>
        <w:jc w:val="both"/>
        <w:rPr>
          <w:rFonts w:ascii="Times New Roman" w:hAnsi="Times New Roman" w:cs="Times New Roman"/>
          <w:sz w:val="19"/>
          <w:szCs w:val="19"/>
        </w:rPr>
      </w:pPr>
      <w:r>
        <w:rPr>
          <w:rFonts w:ascii="Times New Roman" w:hAnsi="Times New Roman" w:cs="Times New Roman"/>
          <w:sz w:val="19"/>
          <w:szCs w:val="19"/>
        </w:rPr>
        <w:t>compliance with a variety of local regulations and laws;</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numPr>
          <w:ilvl w:val="0"/>
          <w:numId w:val="3"/>
        </w:numPr>
        <w:tabs>
          <w:tab w:val="clear" w:pos="720"/>
          <w:tab w:val="num" w:pos="340"/>
        </w:tabs>
        <w:overflowPunct w:val="0"/>
        <w:autoSpaceDE w:val="0"/>
        <w:autoSpaceDN w:val="0"/>
        <w:adjustRightInd w:val="0"/>
        <w:spacing w:after="0" w:line="240" w:lineRule="auto"/>
        <w:ind w:left="340" w:hanging="335"/>
        <w:jc w:val="both"/>
        <w:rPr>
          <w:rFonts w:ascii="Times New Roman" w:hAnsi="Times New Roman" w:cs="Times New Roman"/>
          <w:sz w:val="19"/>
          <w:szCs w:val="19"/>
        </w:rPr>
      </w:pPr>
      <w:r>
        <w:rPr>
          <w:rFonts w:ascii="Times New Roman" w:hAnsi="Times New Roman" w:cs="Times New Roman"/>
          <w:sz w:val="19"/>
          <w:szCs w:val="19"/>
        </w:rPr>
        <w:t>changes in tax laws and the interpretation of those laws;</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numPr>
          <w:ilvl w:val="0"/>
          <w:numId w:val="3"/>
        </w:numPr>
        <w:tabs>
          <w:tab w:val="clear" w:pos="720"/>
          <w:tab w:val="num" w:pos="340"/>
        </w:tabs>
        <w:overflowPunct w:val="0"/>
        <w:autoSpaceDE w:val="0"/>
        <w:autoSpaceDN w:val="0"/>
        <w:adjustRightInd w:val="0"/>
        <w:spacing w:after="0" w:line="251" w:lineRule="auto"/>
        <w:ind w:left="340" w:right="300" w:hanging="335"/>
        <w:jc w:val="both"/>
        <w:rPr>
          <w:rFonts w:ascii="Times New Roman" w:hAnsi="Times New Roman" w:cs="Times New Roman"/>
          <w:sz w:val="19"/>
          <w:szCs w:val="19"/>
        </w:rPr>
      </w:pPr>
      <w:r>
        <w:rPr>
          <w:rFonts w:ascii="Times New Roman" w:hAnsi="Times New Roman" w:cs="Times New Roman"/>
          <w:sz w:val="19"/>
          <w:szCs w:val="19"/>
        </w:rPr>
        <w:t>changes in exchange controls and other limits on our ability to repatriate earnings from overseas;</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19"/>
          <w:szCs w:val="19"/>
        </w:rPr>
      </w:pPr>
    </w:p>
    <w:p w:rsidR="00000000" w:rsidRDefault="0057438D">
      <w:pPr>
        <w:pStyle w:val="DefaultParagraphFont"/>
        <w:widowControl w:val="0"/>
        <w:numPr>
          <w:ilvl w:val="0"/>
          <w:numId w:val="3"/>
        </w:numPr>
        <w:tabs>
          <w:tab w:val="clear" w:pos="720"/>
          <w:tab w:val="num" w:pos="340"/>
        </w:tabs>
        <w:overflowPunct w:val="0"/>
        <w:autoSpaceDE w:val="0"/>
        <w:autoSpaceDN w:val="0"/>
        <w:adjustRightInd w:val="0"/>
        <w:spacing w:after="0" w:line="240" w:lineRule="auto"/>
        <w:ind w:left="340" w:hanging="335"/>
        <w:jc w:val="both"/>
        <w:rPr>
          <w:rFonts w:ascii="Times New Roman" w:hAnsi="Times New Roman" w:cs="Times New Roman"/>
          <w:sz w:val="19"/>
          <w:szCs w:val="19"/>
        </w:rPr>
      </w:pPr>
      <w:r>
        <w:rPr>
          <w:rFonts w:ascii="Times New Roman" w:hAnsi="Times New Roman" w:cs="Times New Roman"/>
          <w:sz w:val="19"/>
          <w:szCs w:val="19"/>
        </w:rPr>
        <w:t>discriminatory or conflicting fiscal policies;</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numPr>
          <w:ilvl w:val="0"/>
          <w:numId w:val="3"/>
        </w:numPr>
        <w:tabs>
          <w:tab w:val="clear" w:pos="720"/>
          <w:tab w:val="num" w:pos="340"/>
        </w:tabs>
        <w:overflowPunct w:val="0"/>
        <w:autoSpaceDE w:val="0"/>
        <w:autoSpaceDN w:val="0"/>
        <w:adjustRightInd w:val="0"/>
        <w:spacing w:after="0" w:line="251" w:lineRule="auto"/>
        <w:ind w:left="340" w:right="800" w:hanging="335"/>
        <w:jc w:val="both"/>
        <w:rPr>
          <w:rFonts w:ascii="Times New Roman" w:hAnsi="Times New Roman" w:cs="Times New Roman"/>
          <w:sz w:val="19"/>
          <w:szCs w:val="19"/>
        </w:rPr>
      </w:pPr>
      <w:r>
        <w:rPr>
          <w:rFonts w:ascii="Times New Roman" w:hAnsi="Times New Roman" w:cs="Times New Roman"/>
          <w:sz w:val="19"/>
          <w:szCs w:val="19"/>
        </w:rPr>
        <w:t>difficulties enforcing intellectual property and contractual rights in certain jurisdictions;</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19"/>
          <w:szCs w:val="19"/>
        </w:rPr>
      </w:pPr>
    </w:p>
    <w:p w:rsidR="00000000" w:rsidRDefault="0057438D">
      <w:pPr>
        <w:pStyle w:val="DefaultParagraphFont"/>
        <w:widowControl w:val="0"/>
        <w:numPr>
          <w:ilvl w:val="0"/>
          <w:numId w:val="3"/>
        </w:numPr>
        <w:tabs>
          <w:tab w:val="clear" w:pos="720"/>
          <w:tab w:val="num" w:pos="340"/>
        </w:tabs>
        <w:overflowPunct w:val="0"/>
        <w:autoSpaceDE w:val="0"/>
        <w:autoSpaceDN w:val="0"/>
        <w:adjustRightInd w:val="0"/>
        <w:spacing w:after="0" w:line="251" w:lineRule="auto"/>
        <w:ind w:left="340" w:right="420" w:hanging="335"/>
        <w:jc w:val="both"/>
        <w:rPr>
          <w:rFonts w:ascii="Times New Roman" w:hAnsi="Times New Roman" w:cs="Times New Roman"/>
          <w:sz w:val="19"/>
          <w:szCs w:val="19"/>
        </w:rPr>
      </w:pPr>
      <w:r>
        <w:rPr>
          <w:rFonts w:ascii="Times New Roman" w:hAnsi="Times New Roman" w:cs="Times New Roman"/>
          <w:sz w:val="19"/>
          <w:szCs w:val="19"/>
        </w:rPr>
        <w:t>risk of</w:t>
      </w:r>
      <w:r>
        <w:rPr>
          <w:rFonts w:ascii="Times New Roman" w:hAnsi="Times New Roman" w:cs="Times New Roman"/>
          <w:sz w:val="19"/>
          <w:szCs w:val="19"/>
        </w:rPr>
        <w:t xml:space="preserve"> uncollectible accounts and longer collection cycles;</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19"/>
          <w:szCs w:val="19"/>
        </w:rPr>
      </w:pPr>
    </w:p>
    <w:p w:rsidR="00000000" w:rsidRDefault="0057438D">
      <w:pPr>
        <w:pStyle w:val="DefaultParagraphFont"/>
        <w:widowControl w:val="0"/>
        <w:numPr>
          <w:ilvl w:val="0"/>
          <w:numId w:val="3"/>
        </w:numPr>
        <w:tabs>
          <w:tab w:val="clear" w:pos="720"/>
          <w:tab w:val="num" w:pos="340"/>
        </w:tabs>
        <w:overflowPunct w:val="0"/>
        <w:autoSpaceDE w:val="0"/>
        <w:autoSpaceDN w:val="0"/>
        <w:adjustRightInd w:val="0"/>
        <w:spacing w:after="0" w:line="251" w:lineRule="auto"/>
        <w:ind w:left="340" w:hanging="335"/>
        <w:rPr>
          <w:rFonts w:ascii="Times New Roman" w:hAnsi="Times New Roman" w:cs="Times New Roman"/>
          <w:sz w:val="19"/>
          <w:szCs w:val="19"/>
        </w:rPr>
      </w:pPr>
      <w:r>
        <w:rPr>
          <w:rFonts w:ascii="Times New Roman" w:hAnsi="Times New Roman" w:cs="Times New Roman"/>
          <w:sz w:val="19"/>
          <w:szCs w:val="19"/>
        </w:rPr>
        <w:t>effective and immediate implementation of control environment processes across our diverse operations and employee base; and</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19"/>
          <w:szCs w:val="19"/>
        </w:rPr>
      </w:pPr>
    </w:p>
    <w:p w:rsidR="00000000" w:rsidRDefault="0057438D">
      <w:pPr>
        <w:pStyle w:val="DefaultParagraphFont"/>
        <w:widowControl w:val="0"/>
        <w:numPr>
          <w:ilvl w:val="0"/>
          <w:numId w:val="3"/>
        </w:numPr>
        <w:tabs>
          <w:tab w:val="clear" w:pos="720"/>
          <w:tab w:val="num" w:pos="340"/>
        </w:tabs>
        <w:overflowPunct w:val="0"/>
        <w:autoSpaceDE w:val="0"/>
        <w:autoSpaceDN w:val="0"/>
        <w:adjustRightInd w:val="0"/>
        <w:spacing w:after="0" w:line="269" w:lineRule="auto"/>
        <w:ind w:left="340" w:right="220" w:hanging="335"/>
        <w:rPr>
          <w:rFonts w:ascii="Times New Roman" w:hAnsi="Times New Roman" w:cs="Times New Roman"/>
          <w:sz w:val="19"/>
          <w:szCs w:val="19"/>
        </w:rPr>
      </w:pPr>
      <w:r>
        <w:rPr>
          <w:rFonts w:ascii="Times New Roman" w:hAnsi="Times New Roman" w:cs="Times New Roman"/>
          <w:sz w:val="19"/>
          <w:szCs w:val="19"/>
        </w:rPr>
        <w:t>imposition of increased or new tariffs, quotas, trade barriers or similar restrictions on our sales outside the U.S.</w:t>
      </w:r>
    </w:p>
    <w:p w:rsidR="00000000" w:rsidRDefault="0057438D">
      <w:pPr>
        <w:pStyle w:val="DefaultParagraphFont"/>
        <w:widowControl w:val="0"/>
        <w:autoSpaceDE w:val="0"/>
        <w:autoSpaceDN w:val="0"/>
        <w:adjustRightInd w:val="0"/>
        <w:spacing w:after="0" w:line="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0"/>
        <w:rPr>
          <w:rFonts w:ascii="Times New Roman" w:hAnsi="Times New Roman" w:cs="Times New Roman"/>
          <w:sz w:val="24"/>
          <w:szCs w:val="24"/>
        </w:rPr>
      </w:pPr>
      <w:r>
        <w:rPr>
          <w:rFonts w:ascii="Times New Roman" w:hAnsi="Times New Roman" w:cs="Times New Roman"/>
          <w:sz w:val="19"/>
          <w:szCs w:val="19"/>
        </w:rPr>
        <w:t xml:space="preserve">We have sizable businesses and maintain local currency cash balances in a number of foreign countries with exchange, import authorization </w:t>
      </w:r>
      <w:r>
        <w:rPr>
          <w:rFonts w:ascii="Times New Roman" w:hAnsi="Times New Roman" w:cs="Times New Roman"/>
          <w:sz w:val="19"/>
          <w:szCs w:val="19"/>
        </w:rPr>
        <w:t>or pricing controls, including, but not limited to, Venezuela, Argentina, China, India and Egypt. Our results of operations and/or financial condition could be adversely impacted if we are unable to successfully manage these and other risks of internationa</w:t>
      </w:r>
      <w:r>
        <w:rPr>
          <w:rFonts w:ascii="Times New Roman" w:hAnsi="Times New Roman" w:cs="Times New Roman"/>
          <w:sz w:val="19"/>
          <w:szCs w:val="19"/>
        </w:rPr>
        <w:t>l operations in an increasingly volatile environment.</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380"/>
        <w:rPr>
          <w:rFonts w:ascii="Times New Roman" w:hAnsi="Times New Roman" w:cs="Times New Roman"/>
          <w:sz w:val="24"/>
          <w:szCs w:val="24"/>
        </w:rPr>
      </w:pPr>
      <w:r>
        <w:rPr>
          <w:rFonts w:ascii="Times New Roman" w:hAnsi="Times New Roman" w:cs="Times New Roman"/>
          <w:b/>
          <w:bCs/>
          <w:sz w:val="19"/>
          <w:szCs w:val="19"/>
        </w:rPr>
        <w:t>Fluctuations in exchange rates may have an adverse impact on our business results or financial condition.</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20"/>
        <w:rPr>
          <w:rFonts w:ascii="Times New Roman" w:hAnsi="Times New Roman" w:cs="Times New Roman"/>
          <w:sz w:val="24"/>
          <w:szCs w:val="24"/>
        </w:rPr>
      </w:pPr>
      <w:r>
        <w:rPr>
          <w:rFonts w:ascii="Times New Roman" w:hAnsi="Times New Roman" w:cs="Times New Roman"/>
          <w:sz w:val="19"/>
          <w:szCs w:val="19"/>
        </w:rPr>
        <w:t>We hold assets and incur liabilities, earn revenues and pay expenses in a variety of currencies other than the U.S. dollar. Because our consolidated financial statements are presented in U.S. dollars, the financial statements of our subsidiaries outside th</w:t>
      </w:r>
      <w:r>
        <w:rPr>
          <w:rFonts w:ascii="Times New Roman" w:hAnsi="Times New Roman" w:cs="Times New Roman"/>
          <w:sz w:val="19"/>
          <w:szCs w:val="19"/>
        </w:rPr>
        <w:t>e U.S. are translated into U.S. dollars. Our operations outside of the U.S. generate a significant portion of our net revenue. Fluctuations in exchange rates may therefore adversely impact our business results or financial condition. See also the Results o</w:t>
      </w:r>
      <w:r>
        <w:rPr>
          <w:rFonts w:ascii="Times New Roman" w:hAnsi="Times New Roman" w:cs="Times New Roman"/>
          <w:sz w:val="19"/>
          <w:szCs w:val="19"/>
        </w:rPr>
        <w:t>f Operations and Cash Flow, Financial Condition and Liquidity sections of the</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900"/>
        <w:rPr>
          <w:rFonts w:ascii="Times New Roman" w:hAnsi="Times New Roman" w:cs="Times New Roman"/>
          <w:sz w:val="24"/>
          <w:szCs w:val="24"/>
        </w:rPr>
      </w:pPr>
      <w:r>
        <w:rPr>
          <w:rFonts w:ascii="Times New Roman" w:hAnsi="Times New Roman" w:cs="Times New Roman"/>
          <w:sz w:val="19"/>
          <w:szCs w:val="19"/>
        </w:rPr>
        <w:t>MD&amp;A and Note 5 to our Consolidated Financial Statements.</w:t>
      </w:r>
    </w:p>
    <w:p w:rsidR="00000000" w:rsidRDefault="0057438D">
      <w:pPr>
        <w:pStyle w:val="DefaultParagraphFont"/>
        <w:widowControl w:val="0"/>
        <w:autoSpaceDE w:val="0"/>
        <w:autoSpaceDN w:val="0"/>
        <w:adjustRightInd w:val="0"/>
        <w:spacing w:after="0" w:line="10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71" w:lineRule="auto"/>
        <w:ind w:right="420"/>
        <w:rPr>
          <w:rFonts w:ascii="Times New Roman" w:hAnsi="Times New Roman" w:cs="Times New Roman"/>
          <w:sz w:val="24"/>
          <w:szCs w:val="24"/>
        </w:rPr>
      </w:pPr>
      <w:r>
        <w:rPr>
          <w:rFonts w:ascii="Times New Roman" w:hAnsi="Times New Roman" w:cs="Times New Roman"/>
          <w:b/>
          <w:bCs/>
          <w:sz w:val="19"/>
          <w:szCs w:val="19"/>
        </w:rPr>
        <w:t xml:space="preserve">We face risks related to changes in the global and political economic environment, including the global capital </w:t>
      </w:r>
      <w:r>
        <w:rPr>
          <w:rFonts w:ascii="Times New Roman" w:hAnsi="Times New Roman" w:cs="Times New Roman"/>
          <w:b/>
          <w:bCs/>
          <w:sz w:val="19"/>
          <w:szCs w:val="19"/>
        </w:rPr>
        <w:t>and credit markets.</w:t>
      </w:r>
    </w:p>
    <w:p w:rsidR="00000000" w:rsidRDefault="0057438D">
      <w:pPr>
        <w:pStyle w:val="DefaultParagraphFont"/>
        <w:widowControl w:val="0"/>
        <w:autoSpaceDE w:val="0"/>
        <w:autoSpaceDN w:val="0"/>
        <w:adjustRightInd w:val="0"/>
        <w:spacing w:after="0" w:line="6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sz w:val="19"/>
          <w:szCs w:val="19"/>
        </w:rPr>
        <w:t>Our business is impacted by global economic conditions, which continue to be volatile. Our products are sold in more than 180 countries and territories around the world. If the global economy experiences significant disruptions, our bu</w:t>
      </w:r>
      <w:r>
        <w:rPr>
          <w:rFonts w:ascii="Times New Roman" w:hAnsi="Times New Roman" w:cs="Times New Roman"/>
          <w:sz w:val="19"/>
          <w:szCs w:val="19"/>
        </w:rPr>
        <w:t xml:space="preserve">siness could be negatively impacted by reduced demand for our products related to: a slow-down in the general economy; supplier, vendor or customer disruptions resulting from tighter credit markets; and/or temporary interruptions in our ability to conduct </w:t>
      </w:r>
      <w:r>
        <w:rPr>
          <w:rFonts w:ascii="Times New Roman" w:hAnsi="Times New Roman" w:cs="Times New Roman"/>
          <w:sz w:val="19"/>
          <w:szCs w:val="19"/>
        </w:rPr>
        <w:t>day-to-day transactions through our financial intermediaries involving the payment to or collection of funds from our customers, vendors and suppliers.</w:t>
      </w:r>
    </w:p>
    <w:p w:rsidR="00000000" w:rsidRDefault="0057438D">
      <w:pPr>
        <w:pStyle w:val="DefaultParagraphFont"/>
        <w:widowControl w:val="0"/>
        <w:autoSpaceDE w:val="0"/>
        <w:autoSpaceDN w:val="0"/>
        <w:adjustRightInd w:val="0"/>
        <w:spacing w:after="0" w:line="9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40"/>
        <w:rPr>
          <w:rFonts w:ascii="Times New Roman" w:hAnsi="Times New Roman" w:cs="Times New Roman"/>
          <w:sz w:val="24"/>
          <w:szCs w:val="24"/>
        </w:rPr>
      </w:pPr>
      <w:r>
        <w:rPr>
          <w:rFonts w:ascii="Times New Roman" w:hAnsi="Times New Roman" w:cs="Times New Roman"/>
          <w:sz w:val="19"/>
          <w:szCs w:val="19"/>
        </w:rPr>
        <w:t>Our objective is to maintain credit ratings that provide us with ready access to global capital and credit markets. Any downgrade of our current credit ratings by a credit rating agency could increase our future borrowing costs and impair our ability to ac</w:t>
      </w:r>
      <w:r>
        <w:rPr>
          <w:rFonts w:ascii="Times New Roman" w:hAnsi="Times New Roman" w:cs="Times New Roman"/>
          <w:sz w:val="19"/>
          <w:szCs w:val="19"/>
        </w:rPr>
        <w:t>cess capital and credit markets on terms commercially acceptable to us.</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40"/>
        <w:rPr>
          <w:rFonts w:ascii="Times New Roman" w:hAnsi="Times New Roman" w:cs="Times New Roman"/>
          <w:sz w:val="24"/>
          <w:szCs w:val="24"/>
        </w:rPr>
      </w:pPr>
      <w:r>
        <w:rPr>
          <w:rFonts w:ascii="Times New Roman" w:hAnsi="Times New Roman" w:cs="Times New Roman"/>
          <w:sz w:val="19"/>
          <w:szCs w:val="19"/>
        </w:rPr>
        <w:t xml:space="preserve">We could also be negatively impacted by political issues or crises in individual countries or regions, including sovereign risk related to a default by or deterioration in the credit </w:t>
      </w:r>
      <w:r>
        <w:rPr>
          <w:rFonts w:ascii="Times New Roman" w:hAnsi="Times New Roman" w:cs="Times New Roman"/>
          <w:sz w:val="19"/>
          <w:szCs w:val="19"/>
        </w:rPr>
        <w:t xml:space="preserve">worthiness of local governments. For example, we could be adversely impacted by instability in the banking and governmental sectors of certain countries in the European Union or the dynamics associated with the federal and state debt and budget challenges </w:t>
      </w:r>
      <w:r>
        <w:rPr>
          <w:rFonts w:ascii="Times New Roman" w:hAnsi="Times New Roman" w:cs="Times New Roman"/>
          <w:sz w:val="19"/>
          <w:szCs w:val="19"/>
        </w:rPr>
        <w:t>in the U.S.</w:t>
      </w: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Consequently, our success will depend, in part, on our ability to manage continued global and/or economic uncertainty, especially in our significant geographies, as well as any political or economic disruption. These risks could negatively imp</w:t>
      </w:r>
      <w:r>
        <w:rPr>
          <w:rFonts w:ascii="Times New Roman" w:hAnsi="Times New Roman" w:cs="Times New Roman"/>
          <w:sz w:val="19"/>
          <w:szCs w:val="19"/>
        </w:rPr>
        <w:t>act our overall liquidity and financing costs, as well as our ability to collect receipts due from governments, including refunds of value added taxes, and/or create significant credit risks relative to our local customers and depository institutions.</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71" w:lineRule="auto"/>
        <w:ind w:right="200"/>
        <w:rPr>
          <w:rFonts w:ascii="Times New Roman" w:hAnsi="Times New Roman" w:cs="Times New Roman"/>
          <w:sz w:val="24"/>
          <w:szCs w:val="24"/>
        </w:rPr>
      </w:pPr>
      <w:r>
        <w:rPr>
          <w:rFonts w:ascii="Times New Roman" w:hAnsi="Times New Roman" w:cs="Times New Roman"/>
          <w:b/>
          <w:bCs/>
          <w:sz w:val="19"/>
          <w:szCs w:val="19"/>
        </w:rPr>
        <w:t xml:space="preserve">If </w:t>
      </w:r>
      <w:r>
        <w:rPr>
          <w:rFonts w:ascii="Times New Roman" w:hAnsi="Times New Roman" w:cs="Times New Roman"/>
          <w:b/>
          <w:bCs/>
          <w:sz w:val="19"/>
          <w:szCs w:val="19"/>
        </w:rPr>
        <w:t>the reputation of the Company or one or more of our brands erodes significantly, it could have a material impact on our financial results.</w:t>
      </w:r>
    </w:p>
    <w:p w:rsidR="00000000" w:rsidRDefault="0057438D">
      <w:pPr>
        <w:pStyle w:val="DefaultParagraphFont"/>
        <w:widowControl w:val="0"/>
        <w:autoSpaceDE w:val="0"/>
        <w:autoSpaceDN w:val="0"/>
        <w:adjustRightInd w:val="0"/>
        <w:spacing w:after="0" w:line="6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rPr>
          <w:rFonts w:ascii="Times New Roman" w:hAnsi="Times New Roman" w:cs="Times New Roman"/>
          <w:sz w:val="24"/>
          <w:szCs w:val="24"/>
        </w:rPr>
      </w:pPr>
      <w:r>
        <w:rPr>
          <w:rFonts w:ascii="Times New Roman" w:hAnsi="Times New Roman" w:cs="Times New Roman"/>
          <w:sz w:val="19"/>
          <w:szCs w:val="19"/>
        </w:rPr>
        <w:t>The Company's reputation is the foundation of our relationships with key stakeholders and other constituencies, such</w:t>
      </w:r>
      <w:r>
        <w:rPr>
          <w:rFonts w:ascii="Times New Roman" w:hAnsi="Times New Roman" w:cs="Times New Roman"/>
          <w:sz w:val="19"/>
          <w:szCs w:val="19"/>
        </w:rPr>
        <w:t xml:space="preserve"> as customers and suppliers. In addition, many of our brands have worldwide recognition. This recognition is the result of the large investments we have made in our products over many years. The quality and safety of our products is critical to our busines</w:t>
      </w:r>
      <w:r>
        <w:rPr>
          <w:rFonts w:ascii="Times New Roman" w:hAnsi="Times New Roman" w:cs="Times New Roman"/>
          <w:sz w:val="19"/>
          <w:szCs w:val="19"/>
        </w:rPr>
        <w:t>s. Our Company also devotes significant time and resources to programs that are consistent with our corporate values and are designed to protect and preserve our reputation, such as social responsibility and environmental sustainability. If we are unable t</w:t>
      </w:r>
      <w:r>
        <w:rPr>
          <w:rFonts w:ascii="Times New Roman" w:hAnsi="Times New Roman" w:cs="Times New Roman"/>
          <w:sz w:val="19"/>
          <w:szCs w:val="19"/>
        </w:rPr>
        <w:t>o effectively</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80" w:bottom="710" w:left="840" w:header="720" w:footer="720" w:gutter="0"/>
          <w:cols w:num="2" w:space="440" w:equalWidth="0">
            <w:col w:w="4680" w:space="440"/>
            <w:col w:w="46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manage real or perceived issues, including concerns about safety, quality, efficacy or similar matters, sentiments toward the Company or our products could be negatively impacted; our ability to operate freely could be impaired and our financial results co</w:t>
      </w:r>
      <w:r>
        <w:rPr>
          <w:rFonts w:ascii="Times New Roman" w:hAnsi="Times New Roman" w:cs="Times New Roman"/>
          <w:sz w:val="19"/>
          <w:szCs w:val="19"/>
        </w:rPr>
        <w:t>uld suffer. Our financial success is directly dependent on the success of our brands and the success of these brands can suffer if our marketing plans or product initiatives do not have the desired impact on a brand's image or its ability to attract consum</w:t>
      </w:r>
      <w:r>
        <w:rPr>
          <w:rFonts w:ascii="Times New Roman" w:hAnsi="Times New Roman" w:cs="Times New Roman"/>
          <w:sz w:val="19"/>
          <w:szCs w:val="19"/>
        </w:rPr>
        <w:t>ers. Our results could also be negatively impacted if one of our brands suffers a substantial impediment to its reputation due to a significant product recall, product-related litigation, allegations of product tampering or the distribution and sale of cou</w:t>
      </w:r>
      <w:r>
        <w:rPr>
          <w:rFonts w:ascii="Times New Roman" w:hAnsi="Times New Roman" w:cs="Times New Roman"/>
          <w:sz w:val="19"/>
          <w:szCs w:val="19"/>
        </w:rPr>
        <w:t>nterfeit products. Widespread use of social media and networking sites by consumers has greatly increased the speed and accessibility of information dissemination. Negative or inaccurate postings or comments about the Company could generate adverse publici</w:t>
      </w:r>
      <w:r>
        <w:rPr>
          <w:rFonts w:ascii="Times New Roman" w:hAnsi="Times New Roman" w:cs="Times New Roman"/>
          <w:sz w:val="19"/>
          <w:szCs w:val="19"/>
        </w:rPr>
        <w:t>ty that could damage the reputation of our brands. In addition, given the association of our individual products with the Company, an issue with one of our products could negatively affect the reputation of our other products, or the Company as a whole, th</w:t>
      </w:r>
      <w:r>
        <w:rPr>
          <w:rFonts w:ascii="Times New Roman" w:hAnsi="Times New Roman" w:cs="Times New Roman"/>
          <w:sz w:val="19"/>
          <w:szCs w:val="19"/>
        </w:rPr>
        <w:t>ereby potentially hurting results.</w:t>
      </w: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60"/>
        <w:rPr>
          <w:rFonts w:ascii="Times New Roman" w:hAnsi="Times New Roman" w:cs="Times New Roman"/>
          <w:sz w:val="24"/>
          <w:szCs w:val="24"/>
        </w:rPr>
      </w:pPr>
      <w:r>
        <w:rPr>
          <w:rFonts w:ascii="Times New Roman" w:hAnsi="Times New Roman" w:cs="Times New Roman"/>
          <w:b/>
          <w:bCs/>
          <w:sz w:val="19"/>
          <w:szCs w:val="19"/>
        </w:rPr>
        <w:t>Our ability to successfully manage ongoing organizational change could impact our business results.</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60"/>
        <w:rPr>
          <w:rFonts w:ascii="Times New Roman" w:hAnsi="Times New Roman" w:cs="Times New Roman"/>
          <w:sz w:val="24"/>
          <w:szCs w:val="24"/>
        </w:rPr>
      </w:pPr>
      <w:r>
        <w:rPr>
          <w:rFonts w:ascii="Times New Roman" w:hAnsi="Times New Roman" w:cs="Times New Roman"/>
          <w:sz w:val="19"/>
          <w:szCs w:val="19"/>
        </w:rPr>
        <w:t>Our financial targets assume a consistent level of productivity improvement. If we are unable to deliver expected produ</w:t>
      </w:r>
      <w:r>
        <w:rPr>
          <w:rFonts w:ascii="Times New Roman" w:hAnsi="Times New Roman" w:cs="Times New Roman"/>
          <w:sz w:val="19"/>
          <w:szCs w:val="19"/>
        </w:rPr>
        <w:t>ctivity improvements, while continuing to invest in business growth, our financial results could be adversely impacted. We continue to execute a number of significant business and organizational changes, including acquisitions, divestitures and workforce o</w:t>
      </w:r>
      <w:r>
        <w:rPr>
          <w:rFonts w:ascii="Times New Roman" w:hAnsi="Times New Roman" w:cs="Times New Roman"/>
          <w:sz w:val="19"/>
          <w:szCs w:val="19"/>
        </w:rPr>
        <w:t>ptimization projects to support our growth strategies. We expect these types of changes, which may include many staffing adjustments as well as employee departures, to continue for the foreseeable future. Successfully managing these changes, including rete</w:t>
      </w:r>
      <w:r>
        <w:rPr>
          <w:rFonts w:ascii="Times New Roman" w:hAnsi="Times New Roman" w:cs="Times New Roman"/>
          <w:sz w:val="19"/>
          <w:szCs w:val="19"/>
        </w:rPr>
        <w:t>ntion of particularly key employees, is critical to our business success. We are generally a build-from-within company and our success is dependent on identifying, developing and retaining key employees to provide uninterrupted leadership and direction for</w:t>
      </w:r>
      <w:r>
        <w:rPr>
          <w:rFonts w:ascii="Times New Roman" w:hAnsi="Times New Roman" w:cs="Times New Roman"/>
          <w:sz w:val="19"/>
          <w:szCs w:val="19"/>
        </w:rPr>
        <w:t xml:space="preserve"> our business. This includes developing and retaining organizational capabilities in key growth markets where the depth of skilled or experienced employees may be limited and competition for these resources is intense.</w:t>
      </w:r>
    </w:p>
    <w:p w:rsidR="00000000" w:rsidRDefault="0057438D">
      <w:pPr>
        <w:pStyle w:val="DefaultParagraphFont"/>
        <w:widowControl w:val="0"/>
        <w:autoSpaceDE w:val="0"/>
        <w:autoSpaceDN w:val="0"/>
        <w:adjustRightInd w:val="0"/>
        <w:spacing w:after="0" w:line="14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71" w:lineRule="auto"/>
        <w:ind w:right="120"/>
        <w:jc w:val="both"/>
        <w:rPr>
          <w:rFonts w:ascii="Times New Roman" w:hAnsi="Times New Roman" w:cs="Times New Roman"/>
          <w:sz w:val="24"/>
          <w:szCs w:val="24"/>
        </w:rPr>
      </w:pPr>
      <w:r>
        <w:rPr>
          <w:rFonts w:ascii="Times New Roman" w:hAnsi="Times New Roman" w:cs="Times New Roman"/>
          <w:b/>
          <w:bCs/>
          <w:sz w:val="19"/>
          <w:szCs w:val="19"/>
        </w:rPr>
        <w:t>Our ability to successfully manage o</w:t>
      </w:r>
      <w:r>
        <w:rPr>
          <w:rFonts w:ascii="Times New Roman" w:hAnsi="Times New Roman" w:cs="Times New Roman"/>
          <w:b/>
          <w:bCs/>
          <w:sz w:val="19"/>
          <w:szCs w:val="19"/>
        </w:rPr>
        <w:t>ngoing acquisition, joint venture and divestiture activities could impact our business results.</w:t>
      </w:r>
    </w:p>
    <w:p w:rsidR="00000000" w:rsidRDefault="0057438D">
      <w:pPr>
        <w:pStyle w:val="DefaultParagraphFont"/>
        <w:widowControl w:val="0"/>
        <w:autoSpaceDE w:val="0"/>
        <w:autoSpaceDN w:val="0"/>
        <w:adjustRightInd w:val="0"/>
        <w:spacing w:after="0" w:line="6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0"/>
        <w:rPr>
          <w:rFonts w:ascii="Times New Roman" w:hAnsi="Times New Roman" w:cs="Times New Roman"/>
          <w:sz w:val="24"/>
          <w:szCs w:val="24"/>
        </w:rPr>
      </w:pPr>
      <w:r>
        <w:rPr>
          <w:rFonts w:ascii="Times New Roman" w:hAnsi="Times New Roman" w:cs="Times New Roman"/>
          <w:sz w:val="19"/>
          <w:szCs w:val="19"/>
        </w:rPr>
        <w:t>As a company that manages a portfolio of consumer brands, our ongoing business model involves a certain level of acquisition, joint venture and divestiture activities. We must be able to successfully manage the impacts of these activities, while at the sam</w:t>
      </w:r>
      <w:r>
        <w:rPr>
          <w:rFonts w:ascii="Times New Roman" w:hAnsi="Times New Roman" w:cs="Times New Roman"/>
          <w:sz w:val="19"/>
          <w:szCs w:val="19"/>
        </w:rPr>
        <w:t>e time delivering against our business objectives. Specifically, our financial results could be adversely impacted if: 1) changes in the cash flows or other market-based assumptions cause the value of acquired</w:t>
      </w:r>
    </w:p>
    <w:p w:rsidR="00000000" w:rsidRDefault="0057438D">
      <w:pPr>
        <w:pStyle w:val="DefaultParagraphFont"/>
        <w:widowControl w:val="0"/>
        <w:autoSpaceDE w:val="0"/>
        <w:autoSpaceDN w:val="0"/>
        <w:adjustRightInd w:val="0"/>
        <w:spacing w:after="0" w:line="240" w:lineRule="auto"/>
        <w:ind w:left="2280"/>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 xml:space="preserve">The Procter &amp; Gamble Company  </w:t>
      </w:r>
      <w:r>
        <w:rPr>
          <w:rFonts w:ascii="Times New Roman" w:hAnsi="Times New Roman" w:cs="Times New Roman"/>
          <w:sz w:val="19"/>
          <w:szCs w:val="19"/>
        </w:rPr>
        <w:t>15</w:t>
      </w:r>
    </w:p>
    <w:p w:rsidR="00000000" w:rsidRDefault="0057438D">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rPr>
          <w:rFonts w:ascii="Times New Roman" w:hAnsi="Times New Roman" w:cs="Times New Roman"/>
          <w:sz w:val="24"/>
          <w:szCs w:val="24"/>
        </w:rPr>
      </w:pPr>
      <w:r>
        <w:rPr>
          <w:rFonts w:ascii="Times New Roman" w:hAnsi="Times New Roman" w:cs="Times New Roman"/>
          <w:sz w:val="19"/>
          <w:szCs w:val="19"/>
        </w:rPr>
        <w:t>assets to f</w:t>
      </w:r>
      <w:r>
        <w:rPr>
          <w:rFonts w:ascii="Times New Roman" w:hAnsi="Times New Roman" w:cs="Times New Roman"/>
          <w:sz w:val="19"/>
          <w:szCs w:val="19"/>
        </w:rPr>
        <w:t>all below book value, 2) we are unable to offset the dilutive impacts from the loss of revenue associated with divested brands, or 3) we are not able to deliver the expected cost and growth synergies associated with our acquisitions and joint ventures, whi</w:t>
      </w:r>
      <w:r>
        <w:rPr>
          <w:rFonts w:ascii="Times New Roman" w:hAnsi="Times New Roman" w:cs="Times New Roman"/>
          <w:sz w:val="19"/>
          <w:szCs w:val="19"/>
        </w:rPr>
        <w:t>ch could also have an impact on goodwill and intangible assets.</w:t>
      </w:r>
    </w:p>
    <w:p w:rsidR="00000000" w:rsidRDefault="0057438D">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71" w:lineRule="auto"/>
        <w:ind w:right="20"/>
        <w:rPr>
          <w:rFonts w:ascii="Times New Roman" w:hAnsi="Times New Roman" w:cs="Times New Roman"/>
          <w:sz w:val="24"/>
          <w:szCs w:val="24"/>
        </w:rPr>
      </w:pPr>
      <w:r>
        <w:rPr>
          <w:rFonts w:ascii="Times New Roman" w:hAnsi="Times New Roman" w:cs="Times New Roman"/>
          <w:b/>
          <w:bCs/>
          <w:sz w:val="19"/>
          <w:szCs w:val="19"/>
        </w:rPr>
        <w:t>Our business is subject to changes in legislation, regulation and enforcement, and our ability to manage and resolve pending legal matters in the U.S. and abroad.</w:t>
      </w:r>
    </w:p>
    <w:p w:rsidR="00000000" w:rsidRDefault="0057438D">
      <w:pPr>
        <w:pStyle w:val="DefaultParagraphFont"/>
        <w:widowControl w:val="0"/>
        <w:autoSpaceDE w:val="0"/>
        <w:autoSpaceDN w:val="0"/>
        <w:adjustRightInd w:val="0"/>
        <w:spacing w:after="0" w:line="6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60"/>
        <w:rPr>
          <w:rFonts w:ascii="Times New Roman" w:hAnsi="Times New Roman" w:cs="Times New Roman"/>
          <w:sz w:val="24"/>
          <w:szCs w:val="24"/>
        </w:rPr>
      </w:pPr>
      <w:r>
        <w:rPr>
          <w:rFonts w:ascii="Times New Roman" w:hAnsi="Times New Roman" w:cs="Times New Roman"/>
          <w:sz w:val="19"/>
          <w:szCs w:val="19"/>
        </w:rPr>
        <w:t>Changes in laws, regulation</w:t>
      </w:r>
      <w:r>
        <w:rPr>
          <w:rFonts w:ascii="Times New Roman" w:hAnsi="Times New Roman" w:cs="Times New Roman"/>
          <w:sz w:val="19"/>
          <w:szCs w:val="19"/>
        </w:rPr>
        <w:t>s and related interpretations, including changes in accounting standards, taxation requirements and increased enforcement actions and penalties may alter the environment in which we do business. The increasingly complex and rapidly changing legal and regul</w:t>
      </w:r>
      <w:r>
        <w:rPr>
          <w:rFonts w:ascii="Times New Roman" w:hAnsi="Times New Roman" w:cs="Times New Roman"/>
          <w:sz w:val="19"/>
          <w:szCs w:val="19"/>
        </w:rPr>
        <w:t>atory environment creates additional challenges for our ethics and compliance programs. Our ability to continue to meet these challenges could have an impact on our legal, reputational and business risk.</w:t>
      </w:r>
    </w:p>
    <w:p w:rsidR="00000000" w:rsidRDefault="0057438D">
      <w:pPr>
        <w:pStyle w:val="DefaultParagraphFont"/>
        <w:widowControl w:val="0"/>
        <w:autoSpaceDE w:val="0"/>
        <w:autoSpaceDN w:val="0"/>
        <w:adjustRightInd w:val="0"/>
        <w:spacing w:after="0" w:line="7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firstLine="37"/>
        <w:rPr>
          <w:rFonts w:ascii="Times New Roman" w:hAnsi="Times New Roman" w:cs="Times New Roman"/>
          <w:sz w:val="24"/>
          <w:szCs w:val="24"/>
        </w:rPr>
      </w:pPr>
      <w:r>
        <w:rPr>
          <w:rFonts w:ascii="Times New Roman" w:hAnsi="Times New Roman" w:cs="Times New Roman"/>
          <w:sz w:val="19"/>
          <w:szCs w:val="19"/>
        </w:rPr>
        <w:t>As a U.S.-based multinational company, we are subje</w:t>
      </w:r>
      <w:r>
        <w:rPr>
          <w:rFonts w:ascii="Times New Roman" w:hAnsi="Times New Roman" w:cs="Times New Roman"/>
          <w:sz w:val="19"/>
          <w:szCs w:val="19"/>
        </w:rPr>
        <w:t>ct to tax regulations in the U.S. and multiple foreign jurisdictions, some of which are interdependent. For example, certain income that is earned and taxed in countries outside the U.S. is not taxed in the U.S., provided those earnings are indefinitely re</w:t>
      </w:r>
      <w:r>
        <w:rPr>
          <w:rFonts w:ascii="Times New Roman" w:hAnsi="Times New Roman" w:cs="Times New Roman"/>
          <w:sz w:val="19"/>
          <w:szCs w:val="19"/>
        </w:rPr>
        <w:t>invested outside the U.S. If these or other tax regulations should change, our financial results could be impacted. For example, there are increasing calls in the U.S. from members of leadership in both major U.S. political parties for “comprehensive tax r</w:t>
      </w:r>
      <w:r>
        <w:rPr>
          <w:rFonts w:ascii="Times New Roman" w:hAnsi="Times New Roman" w:cs="Times New Roman"/>
          <w:sz w:val="19"/>
          <w:szCs w:val="19"/>
        </w:rPr>
        <w:t>eform” which may significantly change the income tax rules that are applicable to U.S. domiciled corporations, such as P&amp;G. It is very difficult to assess whether the overall effect of such potential legislation would be cumulatively positive or negative f</w:t>
      </w:r>
      <w:r>
        <w:rPr>
          <w:rFonts w:ascii="Times New Roman" w:hAnsi="Times New Roman" w:cs="Times New Roman"/>
          <w:sz w:val="19"/>
          <w:szCs w:val="19"/>
        </w:rPr>
        <w:t>or our earnings and cash flows, but such changes could significantly impact our financial results.</w:t>
      </w:r>
    </w:p>
    <w:p w:rsidR="00000000" w:rsidRDefault="0057438D">
      <w:pPr>
        <w:pStyle w:val="DefaultParagraphFont"/>
        <w:widowControl w:val="0"/>
        <w:autoSpaceDE w:val="0"/>
        <w:autoSpaceDN w:val="0"/>
        <w:adjustRightInd w:val="0"/>
        <w:spacing w:after="0" w:line="1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80"/>
        <w:rPr>
          <w:rFonts w:ascii="Times New Roman" w:hAnsi="Times New Roman" w:cs="Times New Roman"/>
          <w:sz w:val="24"/>
          <w:szCs w:val="24"/>
        </w:rPr>
      </w:pPr>
      <w:r>
        <w:rPr>
          <w:rFonts w:ascii="Times New Roman" w:hAnsi="Times New Roman" w:cs="Times New Roman"/>
          <w:sz w:val="19"/>
          <w:szCs w:val="19"/>
        </w:rPr>
        <w:t>Our ability to manage regulatory, environmental, tax (including, but not limited to, any audits or other investigations) and legal matters (including, but not limited to, product liability, patent and other intellectual property matters) and to resolve pen</w:t>
      </w:r>
      <w:r>
        <w:rPr>
          <w:rFonts w:ascii="Times New Roman" w:hAnsi="Times New Roman" w:cs="Times New Roman"/>
          <w:sz w:val="19"/>
          <w:szCs w:val="19"/>
        </w:rPr>
        <w:t>ding legal matters without significant liability may materially impact our results of operations and financial position. Furthermore, if pending legal matters, including the competition law and antitrust investigations described in Note 11 to our Consolida</w:t>
      </w:r>
      <w:r>
        <w:rPr>
          <w:rFonts w:ascii="Times New Roman" w:hAnsi="Times New Roman" w:cs="Times New Roman"/>
          <w:sz w:val="19"/>
          <w:szCs w:val="19"/>
        </w:rPr>
        <w:t>ted Financial Statements, result in fines or costs in excess of the amounts accrued to date, that could materially impact our results of operations and financial position.</w:t>
      </w:r>
    </w:p>
    <w:p w:rsidR="00000000" w:rsidRDefault="0057438D">
      <w:pPr>
        <w:pStyle w:val="DefaultParagraphFont"/>
        <w:widowControl w:val="0"/>
        <w:autoSpaceDE w:val="0"/>
        <w:autoSpaceDN w:val="0"/>
        <w:adjustRightInd w:val="0"/>
        <w:spacing w:after="0" w:line="14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71" w:lineRule="auto"/>
        <w:ind w:right="500"/>
        <w:rPr>
          <w:rFonts w:ascii="Times New Roman" w:hAnsi="Times New Roman" w:cs="Times New Roman"/>
          <w:sz w:val="24"/>
          <w:szCs w:val="24"/>
        </w:rPr>
      </w:pPr>
      <w:r>
        <w:rPr>
          <w:rFonts w:ascii="Times New Roman" w:hAnsi="Times New Roman" w:cs="Times New Roman"/>
          <w:b/>
          <w:bCs/>
          <w:sz w:val="19"/>
          <w:szCs w:val="19"/>
        </w:rPr>
        <w:t>A significant change in customer relationships or in customer demand for our produc</w:t>
      </w:r>
      <w:r>
        <w:rPr>
          <w:rFonts w:ascii="Times New Roman" w:hAnsi="Times New Roman" w:cs="Times New Roman"/>
          <w:b/>
          <w:bCs/>
          <w:sz w:val="19"/>
          <w:szCs w:val="19"/>
        </w:rPr>
        <w:t>ts could have a significant impact on our business.</w:t>
      </w:r>
    </w:p>
    <w:p w:rsidR="00000000" w:rsidRDefault="0057438D">
      <w:pPr>
        <w:pStyle w:val="DefaultParagraphFont"/>
        <w:widowControl w:val="0"/>
        <w:autoSpaceDE w:val="0"/>
        <w:autoSpaceDN w:val="0"/>
        <w:adjustRightInd w:val="0"/>
        <w:spacing w:after="0" w:line="6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140"/>
        <w:rPr>
          <w:rFonts w:ascii="Times New Roman" w:hAnsi="Times New Roman" w:cs="Times New Roman"/>
          <w:sz w:val="24"/>
          <w:szCs w:val="24"/>
        </w:rPr>
      </w:pPr>
      <w:r>
        <w:rPr>
          <w:rFonts w:ascii="Times New Roman" w:hAnsi="Times New Roman" w:cs="Times New Roman"/>
          <w:sz w:val="19"/>
          <w:szCs w:val="19"/>
        </w:rPr>
        <w:t>We sell most of our products via retail customers, which consist of mass merchandisers, grocery stores, membership club stores, drug stores, department stores, salons, distributors, e-commerce and high-f</w:t>
      </w:r>
      <w:r>
        <w:rPr>
          <w:rFonts w:ascii="Times New Roman" w:hAnsi="Times New Roman" w:cs="Times New Roman"/>
          <w:sz w:val="19"/>
          <w:szCs w:val="19"/>
        </w:rPr>
        <w:t>requency stores. Our success is dependent on our ability to successfully manage relationships with our retail trade customers. This includes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880" w:bottom="594" w:left="840" w:header="720" w:footer="720" w:gutter="0"/>
          <w:cols w:num="2" w:space="460" w:equalWidth="0">
            <w:col w:w="4660" w:space="460"/>
            <w:col w:w="4680"/>
          </w:cols>
          <w:noEndnote/>
        </w:sectPr>
      </w:pPr>
    </w:p>
    <w:p w:rsidR="00000000" w:rsidRDefault="0057438D">
      <w:pPr>
        <w:pStyle w:val="DefaultParagraphFont"/>
        <w:widowControl w:val="0"/>
        <w:tabs>
          <w:tab w:val="left" w:pos="360"/>
        </w:tabs>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7"/>
          <w:szCs w:val="17"/>
        </w:rPr>
        <w:t>16</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our ability to offer trade terms that are accept</w:t>
      </w:r>
      <w:r>
        <w:rPr>
          <w:rFonts w:ascii="Times New Roman" w:hAnsi="Times New Roman" w:cs="Times New Roman"/>
          <w:sz w:val="19"/>
          <w:szCs w:val="19"/>
        </w:rPr>
        <w:t>able to our customers and are aligned with our pricing and profitability targets. Our business could suffer if we cannot reach agreement with a key customer based on our trade terms and principles. Our business would be negatively impacted if a key custome</w:t>
      </w:r>
      <w:r>
        <w:rPr>
          <w:rFonts w:ascii="Times New Roman" w:hAnsi="Times New Roman" w:cs="Times New Roman"/>
          <w:sz w:val="19"/>
          <w:szCs w:val="19"/>
        </w:rPr>
        <w:t>r were to significantly reduce the inventory level of our products or experience a significant business disruption.</w:t>
      </w:r>
    </w:p>
    <w:p w:rsidR="00000000" w:rsidRDefault="0057438D">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rPr>
          <w:rFonts w:ascii="Times New Roman" w:hAnsi="Times New Roman" w:cs="Times New Roman"/>
          <w:sz w:val="24"/>
          <w:szCs w:val="24"/>
        </w:rPr>
      </w:pPr>
      <w:r>
        <w:rPr>
          <w:rFonts w:ascii="Times New Roman" w:hAnsi="Times New Roman" w:cs="Times New Roman"/>
          <w:sz w:val="19"/>
          <w:szCs w:val="19"/>
        </w:rPr>
        <w:t>Consolidation among our retail customers could also create significant cost and margin pressure and lead to more complexity across broader geographic boundaries for both us and our key retailers. This would be particularly challenging if major customers ar</w:t>
      </w:r>
      <w:r>
        <w:rPr>
          <w:rFonts w:ascii="Times New Roman" w:hAnsi="Times New Roman" w:cs="Times New Roman"/>
          <w:sz w:val="19"/>
          <w:szCs w:val="19"/>
        </w:rPr>
        <w:t>e addressing local trade pressures, local law and regulation changes or financial distress.</w:t>
      </w:r>
    </w:p>
    <w:p w:rsidR="00000000" w:rsidRDefault="0057438D">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1" w:lineRule="auto"/>
        <w:ind w:right="220"/>
        <w:rPr>
          <w:rFonts w:ascii="Times New Roman" w:hAnsi="Times New Roman" w:cs="Times New Roman"/>
          <w:sz w:val="24"/>
          <w:szCs w:val="24"/>
        </w:rPr>
      </w:pPr>
      <w:r>
        <w:rPr>
          <w:rFonts w:ascii="Times New Roman" w:hAnsi="Times New Roman" w:cs="Times New Roman"/>
          <w:b/>
          <w:bCs/>
          <w:sz w:val="19"/>
          <w:szCs w:val="19"/>
        </w:rPr>
        <w:t>A breach of information security, including a cybersecurity breach or failure of one or more key information technology systems, networks, processes, associated si</w:t>
      </w:r>
      <w:r>
        <w:rPr>
          <w:rFonts w:ascii="Times New Roman" w:hAnsi="Times New Roman" w:cs="Times New Roman"/>
          <w:b/>
          <w:bCs/>
          <w:sz w:val="19"/>
          <w:szCs w:val="19"/>
        </w:rPr>
        <w:t>tes or service providers could have a material adverse impact on our business or reputation.</w:t>
      </w:r>
    </w:p>
    <w:p w:rsidR="00000000" w:rsidRDefault="0057438D">
      <w:pPr>
        <w:pStyle w:val="DefaultParagraphFont"/>
        <w:widowControl w:val="0"/>
        <w:autoSpaceDE w:val="0"/>
        <w:autoSpaceDN w:val="0"/>
        <w:adjustRightInd w:val="0"/>
        <w:spacing w:after="0" w:line="7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0"/>
        <w:rPr>
          <w:rFonts w:ascii="Times New Roman" w:hAnsi="Times New Roman" w:cs="Times New Roman"/>
          <w:sz w:val="24"/>
          <w:szCs w:val="24"/>
        </w:rPr>
      </w:pPr>
      <w:r>
        <w:rPr>
          <w:rFonts w:ascii="Times New Roman" w:hAnsi="Times New Roman" w:cs="Times New Roman"/>
          <w:sz w:val="19"/>
          <w:szCs w:val="19"/>
        </w:rPr>
        <w:t xml:space="preserve">We rely extensively on information technology (IT) systems, networks and services, including internet sites, data hosting and processing facilities and tools and </w:t>
      </w:r>
      <w:r>
        <w:rPr>
          <w:rFonts w:ascii="Times New Roman" w:hAnsi="Times New Roman" w:cs="Times New Roman"/>
          <w:sz w:val="19"/>
          <w:szCs w:val="19"/>
        </w:rPr>
        <w:t xml:space="preserve">other hardware, software and technical applications and platforms, some of which are managed, hosted, provided and/or used by third-parties or their vendors, to assist in conducting our business. The various uses of these IT systems, networks and services </w:t>
      </w:r>
      <w:r>
        <w:rPr>
          <w:rFonts w:ascii="Times New Roman" w:hAnsi="Times New Roman" w:cs="Times New Roman"/>
          <w:sz w:val="19"/>
          <w:szCs w:val="19"/>
        </w:rPr>
        <w:t>include, but are not limited to:</w:t>
      </w:r>
    </w:p>
    <w:p w:rsidR="00000000" w:rsidRDefault="0057438D">
      <w:pPr>
        <w:pStyle w:val="DefaultParagraphFont"/>
        <w:widowControl w:val="0"/>
        <w:autoSpaceDE w:val="0"/>
        <w:autoSpaceDN w:val="0"/>
        <w:adjustRightInd w:val="0"/>
        <w:spacing w:after="0" w:line="26" w:lineRule="exact"/>
        <w:rPr>
          <w:rFonts w:ascii="Times New Roman" w:hAnsi="Times New Roman" w:cs="Times New Roman"/>
          <w:sz w:val="24"/>
          <w:szCs w:val="24"/>
        </w:rPr>
      </w:pPr>
    </w:p>
    <w:p w:rsidR="00000000" w:rsidRDefault="0057438D">
      <w:pPr>
        <w:pStyle w:val="DefaultParagraphFont"/>
        <w:widowControl w:val="0"/>
        <w:numPr>
          <w:ilvl w:val="0"/>
          <w:numId w:val="4"/>
        </w:numPr>
        <w:tabs>
          <w:tab w:val="clear" w:pos="720"/>
          <w:tab w:val="num" w:pos="340"/>
        </w:tabs>
        <w:overflowPunct w:val="0"/>
        <w:autoSpaceDE w:val="0"/>
        <w:autoSpaceDN w:val="0"/>
        <w:adjustRightInd w:val="0"/>
        <w:spacing w:after="0" w:line="240" w:lineRule="auto"/>
        <w:ind w:left="340" w:hanging="335"/>
        <w:jc w:val="both"/>
        <w:rPr>
          <w:rFonts w:ascii="Times New Roman" w:hAnsi="Times New Roman" w:cs="Times New Roman"/>
          <w:sz w:val="19"/>
          <w:szCs w:val="19"/>
        </w:rPr>
      </w:pPr>
      <w:r>
        <w:rPr>
          <w:rFonts w:ascii="Times New Roman" w:hAnsi="Times New Roman" w:cs="Times New Roman"/>
          <w:sz w:val="19"/>
          <w:szCs w:val="19"/>
        </w:rPr>
        <w:t>ordering and managing materials from suppliers;</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numPr>
          <w:ilvl w:val="0"/>
          <w:numId w:val="4"/>
        </w:numPr>
        <w:tabs>
          <w:tab w:val="clear" w:pos="720"/>
          <w:tab w:val="num" w:pos="340"/>
        </w:tabs>
        <w:overflowPunct w:val="0"/>
        <w:autoSpaceDE w:val="0"/>
        <w:autoSpaceDN w:val="0"/>
        <w:adjustRightInd w:val="0"/>
        <w:spacing w:after="0" w:line="240" w:lineRule="auto"/>
        <w:ind w:left="340" w:hanging="335"/>
        <w:jc w:val="both"/>
        <w:rPr>
          <w:rFonts w:ascii="Times New Roman" w:hAnsi="Times New Roman" w:cs="Times New Roman"/>
          <w:sz w:val="19"/>
          <w:szCs w:val="19"/>
        </w:rPr>
      </w:pPr>
      <w:r>
        <w:rPr>
          <w:rFonts w:ascii="Times New Roman" w:hAnsi="Times New Roman" w:cs="Times New Roman"/>
          <w:sz w:val="19"/>
          <w:szCs w:val="19"/>
        </w:rPr>
        <w:t>converting materials to finished products;</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numPr>
          <w:ilvl w:val="0"/>
          <w:numId w:val="4"/>
        </w:numPr>
        <w:tabs>
          <w:tab w:val="clear" w:pos="720"/>
          <w:tab w:val="num" w:pos="340"/>
        </w:tabs>
        <w:overflowPunct w:val="0"/>
        <w:autoSpaceDE w:val="0"/>
        <w:autoSpaceDN w:val="0"/>
        <w:adjustRightInd w:val="0"/>
        <w:spacing w:after="0" w:line="240" w:lineRule="auto"/>
        <w:ind w:left="340" w:hanging="335"/>
        <w:jc w:val="both"/>
        <w:rPr>
          <w:rFonts w:ascii="Times New Roman" w:hAnsi="Times New Roman" w:cs="Times New Roman"/>
          <w:sz w:val="19"/>
          <w:szCs w:val="19"/>
        </w:rPr>
      </w:pPr>
      <w:r>
        <w:rPr>
          <w:rFonts w:ascii="Times New Roman" w:hAnsi="Times New Roman" w:cs="Times New Roman"/>
          <w:sz w:val="19"/>
          <w:szCs w:val="19"/>
        </w:rPr>
        <w:t>shipping products to customers;</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numPr>
          <w:ilvl w:val="0"/>
          <w:numId w:val="4"/>
        </w:numPr>
        <w:tabs>
          <w:tab w:val="clear" w:pos="720"/>
          <w:tab w:val="num" w:pos="340"/>
        </w:tabs>
        <w:overflowPunct w:val="0"/>
        <w:autoSpaceDE w:val="0"/>
        <w:autoSpaceDN w:val="0"/>
        <w:adjustRightInd w:val="0"/>
        <w:spacing w:after="0" w:line="240" w:lineRule="auto"/>
        <w:ind w:left="340" w:hanging="335"/>
        <w:jc w:val="both"/>
        <w:rPr>
          <w:rFonts w:ascii="Times New Roman" w:hAnsi="Times New Roman" w:cs="Times New Roman"/>
          <w:sz w:val="19"/>
          <w:szCs w:val="19"/>
        </w:rPr>
      </w:pPr>
      <w:r>
        <w:rPr>
          <w:rFonts w:ascii="Times New Roman" w:hAnsi="Times New Roman" w:cs="Times New Roman"/>
          <w:sz w:val="19"/>
          <w:szCs w:val="19"/>
        </w:rPr>
        <w:t>marketing and selling products to consumers;</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numPr>
          <w:ilvl w:val="0"/>
          <w:numId w:val="4"/>
        </w:numPr>
        <w:tabs>
          <w:tab w:val="clear" w:pos="720"/>
          <w:tab w:val="num" w:pos="340"/>
        </w:tabs>
        <w:overflowPunct w:val="0"/>
        <w:autoSpaceDE w:val="0"/>
        <w:autoSpaceDN w:val="0"/>
        <w:adjustRightInd w:val="0"/>
        <w:spacing w:after="0" w:line="251" w:lineRule="auto"/>
        <w:ind w:left="340" w:right="60" w:hanging="335"/>
        <w:rPr>
          <w:rFonts w:ascii="Times New Roman" w:hAnsi="Times New Roman" w:cs="Times New Roman"/>
          <w:sz w:val="19"/>
          <w:szCs w:val="19"/>
        </w:rPr>
      </w:pPr>
      <w:r>
        <w:rPr>
          <w:rFonts w:ascii="Times New Roman" w:hAnsi="Times New Roman" w:cs="Times New Roman"/>
          <w:sz w:val="19"/>
          <w:szCs w:val="19"/>
        </w:rPr>
        <w:t>collecting and storing customer, consumer, employee, investor and other stakeholder information and personal data;</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19"/>
          <w:szCs w:val="19"/>
        </w:rPr>
      </w:pPr>
    </w:p>
    <w:p w:rsidR="00000000" w:rsidRDefault="0057438D">
      <w:pPr>
        <w:pStyle w:val="DefaultParagraphFont"/>
        <w:widowControl w:val="0"/>
        <w:numPr>
          <w:ilvl w:val="0"/>
          <w:numId w:val="4"/>
        </w:numPr>
        <w:tabs>
          <w:tab w:val="clear" w:pos="720"/>
          <w:tab w:val="num" w:pos="340"/>
        </w:tabs>
        <w:overflowPunct w:val="0"/>
        <w:autoSpaceDE w:val="0"/>
        <w:autoSpaceDN w:val="0"/>
        <w:adjustRightInd w:val="0"/>
        <w:spacing w:after="0" w:line="240" w:lineRule="auto"/>
        <w:ind w:left="340" w:hanging="335"/>
        <w:jc w:val="both"/>
        <w:rPr>
          <w:rFonts w:ascii="Times New Roman" w:hAnsi="Times New Roman" w:cs="Times New Roman"/>
          <w:sz w:val="19"/>
          <w:szCs w:val="19"/>
        </w:rPr>
      </w:pPr>
      <w:r>
        <w:rPr>
          <w:rFonts w:ascii="Times New Roman" w:hAnsi="Times New Roman" w:cs="Times New Roman"/>
          <w:sz w:val="19"/>
          <w:szCs w:val="19"/>
        </w:rPr>
        <w:t>processing transactions;</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numPr>
          <w:ilvl w:val="0"/>
          <w:numId w:val="4"/>
        </w:numPr>
        <w:tabs>
          <w:tab w:val="clear" w:pos="720"/>
          <w:tab w:val="num" w:pos="340"/>
        </w:tabs>
        <w:overflowPunct w:val="0"/>
        <w:autoSpaceDE w:val="0"/>
        <w:autoSpaceDN w:val="0"/>
        <w:adjustRightInd w:val="0"/>
        <w:spacing w:after="0" w:line="240" w:lineRule="auto"/>
        <w:ind w:left="340" w:hanging="335"/>
        <w:jc w:val="both"/>
        <w:rPr>
          <w:rFonts w:ascii="Times New Roman" w:hAnsi="Times New Roman" w:cs="Times New Roman"/>
          <w:sz w:val="19"/>
          <w:szCs w:val="19"/>
        </w:rPr>
      </w:pPr>
      <w:r>
        <w:rPr>
          <w:rFonts w:ascii="Times New Roman" w:hAnsi="Times New Roman" w:cs="Times New Roman"/>
          <w:sz w:val="19"/>
          <w:szCs w:val="19"/>
        </w:rPr>
        <w:t>summarizing and reporting results of operations;</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numPr>
          <w:ilvl w:val="0"/>
          <w:numId w:val="4"/>
        </w:numPr>
        <w:tabs>
          <w:tab w:val="clear" w:pos="720"/>
          <w:tab w:val="num" w:pos="340"/>
        </w:tabs>
        <w:overflowPunct w:val="0"/>
        <w:autoSpaceDE w:val="0"/>
        <w:autoSpaceDN w:val="0"/>
        <w:adjustRightInd w:val="0"/>
        <w:spacing w:after="0" w:line="251" w:lineRule="auto"/>
        <w:ind w:left="340" w:right="560" w:hanging="335"/>
        <w:jc w:val="both"/>
        <w:rPr>
          <w:rFonts w:ascii="Times New Roman" w:hAnsi="Times New Roman" w:cs="Times New Roman"/>
          <w:sz w:val="19"/>
          <w:szCs w:val="19"/>
        </w:rPr>
      </w:pPr>
      <w:r>
        <w:rPr>
          <w:rFonts w:ascii="Times New Roman" w:hAnsi="Times New Roman" w:cs="Times New Roman"/>
          <w:sz w:val="19"/>
          <w:szCs w:val="19"/>
        </w:rPr>
        <w:t>hosting, processing and sharing confidential and proprieta</w:t>
      </w:r>
      <w:r>
        <w:rPr>
          <w:rFonts w:ascii="Times New Roman" w:hAnsi="Times New Roman" w:cs="Times New Roman"/>
          <w:sz w:val="19"/>
          <w:szCs w:val="19"/>
        </w:rPr>
        <w:t>ry research, business plans and financial information;</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19"/>
          <w:szCs w:val="19"/>
        </w:rPr>
      </w:pPr>
    </w:p>
    <w:p w:rsidR="00000000" w:rsidRDefault="0057438D">
      <w:pPr>
        <w:pStyle w:val="DefaultParagraphFont"/>
        <w:widowControl w:val="0"/>
        <w:numPr>
          <w:ilvl w:val="0"/>
          <w:numId w:val="4"/>
        </w:numPr>
        <w:tabs>
          <w:tab w:val="clear" w:pos="720"/>
          <w:tab w:val="num" w:pos="340"/>
        </w:tabs>
        <w:overflowPunct w:val="0"/>
        <w:autoSpaceDE w:val="0"/>
        <w:autoSpaceDN w:val="0"/>
        <w:adjustRightInd w:val="0"/>
        <w:spacing w:after="0" w:line="240" w:lineRule="auto"/>
        <w:ind w:left="340" w:hanging="335"/>
        <w:jc w:val="both"/>
        <w:rPr>
          <w:rFonts w:ascii="Times New Roman" w:hAnsi="Times New Roman" w:cs="Times New Roman"/>
          <w:sz w:val="19"/>
          <w:szCs w:val="19"/>
        </w:rPr>
      </w:pPr>
      <w:r>
        <w:rPr>
          <w:rFonts w:ascii="Times New Roman" w:hAnsi="Times New Roman" w:cs="Times New Roman"/>
          <w:sz w:val="19"/>
          <w:szCs w:val="19"/>
        </w:rPr>
        <w:t>complying with regulatory, legal or tax requirements;</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numPr>
          <w:ilvl w:val="0"/>
          <w:numId w:val="4"/>
        </w:numPr>
        <w:tabs>
          <w:tab w:val="clear" w:pos="720"/>
          <w:tab w:val="num" w:pos="340"/>
        </w:tabs>
        <w:overflowPunct w:val="0"/>
        <w:autoSpaceDE w:val="0"/>
        <w:autoSpaceDN w:val="0"/>
        <w:adjustRightInd w:val="0"/>
        <w:spacing w:after="0" w:line="240" w:lineRule="auto"/>
        <w:ind w:left="340" w:hanging="335"/>
        <w:jc w:val="both"/>
        <w:rPr>
          <w:rFonts w:ascii="Times New Roman" w:hAnsi="Times New Roman" w:cs="Times New Roman"/>
          <w:sz w:val="19"/>
          <w:szCs w:val="19"/>
        </w:rPr>
      </w:pPr>
      <w:r>
        <w:rPr>
          <w:rFonts w:ascii="Times New Roman" w:hAnsi="Times New Roman" w:cs="Times New Roman"/>
          <w:sz w:val="19"/>
          <w:szCs w:val="19"/>
        </w:rPr>
        <w:t>providing data security; and</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numPr>
          <w:ilvl w:val="0"/>
          <w:numId w:val="4"/>
        </w:numPr>
        <w:tabs>
          <w:tab w:val="clear" w:pos="720"/>
          <w:tab w:val="num" w:pos="340"/>
        </w:tabs>
        <w:overflowPunct w:val="0"/>
        <w:autoSpaceDE w:val="0"/>
        <w:autoSpaceDN w:val="0"/>
        <w:adjustRightInd w:val="0"/>
        <w:spacing w:after="0" w:line="286" w:lineRule="auto"/>
        <w:ind w:left="340" w:right="520" w:hanging="335"/>
        <w:jc w:val="both"/>
        <w:rPr>
          <w:rFonts w:ascii="Times New Roman" w:hAnsi="Times New Roman" w:cs="Times New Roman"/>
          <w:sz w:val="19"/>
          <w:szCs w:val="19"/>
        </w:rPr>
      </w:pPr>
      <w:r>
        <w:rPr>
          <w:rFonts w:ascii="Times New Roman" w:hAnsi="Times New Roman" w:cs="Times New Roman"/>
          <w:sz w:val="19"/>
          <w:szCs w:val="19"/>
        </w:rPr>
        <w:t>handling other processes necessary to manage our business.</w:t>
      </w:r>
    </w:p>
    <w:p w:rsidR="00000000" w:rsidRDefault="0057438D">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rPr>
          <w:rFonts w:ascii="Times New Roman" w:hAnsi="Times New Roman" w:cs="Times New Roman"/>
          <w:sz w:val="24"/>
          <w:szCs w:val="24"/>
        </w:rPr>
      </w:pPr>
      <w:r>
        <w:rPr>
          <w:rFonts w:ascii="Times New Roman" w:hAnsi="Times New Roman" w:cs="Times New Roman"/>
          <w:sz w:val="19"/>
          <w:szCs w:val="19"/>
        </w:rPr>
        <w:t>Numerous and evolving cybersecurity threats, including advanced persistent threats, pose a potential risk to the security of our IT systems, networks and services, as well as the confidentiality, availability and integrity of our data. The Company has made</w:t>
      </w:r>
      <w:r>
        <w:rPr>
          <w:rFonts w:ascii="Times New Roman" w:hAnsi="Times New Roman" w:cs="Times New Roman"/>
          <w:sz w:val="19"/>
          <w:szCs w:val="19"/>
        </w:rPr>
        <w:t xml:space="preserve"> investments seeking to address these threats, including monitoring of networks and systems,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 xml:space="preserve">employee training and security policies for the Company and its third-party providers. However, because the techniques used in these attacks change </w:t>
      </w:r>
      <w:r>
        <w:rPr>
          <w:rFonts w:ascii="Times New Roman" w:hAnsi="Times New Roman" w:cs="Times New Roman"/>
          <w:sz w:val="19"/>
          <w:szCs w:val="19"/>
        </w:rPr>
        <w:t>frequently and may be difficult to detect for periods of time, we may face difficulties in anticipating and implementing adequate preventative measures. If the IT systems, networks or service providers we rely upon fail to function properly, or if we or on</w:t>
      </w:r>
      <w:r>
        <w:rPr>
          <w:rFonts w:ascii="Times New Roman" w:hAnsi="Times New Roman" w:cs="Times New Roman"/>
          <w:sz w:val="19"/>
          <w:szCs w:val="19"/>
        </w:rPr>
        <w:t>e of our third-party providers suffer a loss or disclosure of our business or stakeholder information, due to any number of causes, ranging from catastrophic events or power outages to improper data handling or security breaches, and our business continuit</w:t>
      </w:r>
      <w:r>
        <w:rPr>
          <w:rFonts w:ascii="Times New Roman" w:hAnsi="Times New Roman" w:cs="Times New Roman"/>
          <w:sz w:val="19"/>
          <w:szCs w:val="19"/>
        </w:rPr>
        <w:t>y plans do not effectively address these failures on a timely basis, we may be exposed to reputational, competitive and business harm as well as litigation and regulatory action. The costs and operational consequences of responding to breaches and implemen</w:t>
      </w:r>
      <w:r>
        <w:rPr>
          <w:rFonts w:ascii="Times New Roman" w:hAnsi="Times New Roman" w:cs="Times New Roman"/>
          <w:sz w:val="19"/>
          <w:szCs w:val="19"/>
        </w:rPr>
        <w:t>ting remediation measures could be significant.</w:t>
      </w:r>
    </w:p>
    <w:p w:rsidR="00000000" w:rsidRDefault="0057438D">
      <w:pPr>
        <w:pStyle w:val="DefaultParagraphFont"/>
        <w:widowControl w:val="0"/>
        <w:autoSpaceDE w:val="0"/>
        <w:autoSpaceDN w:val="0"/>
        <w:adjustRightInd w:val="0"/>
        <w:spacing w:after="0" w:line="1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1B. </w:t>
      </w:r>
      <w:r>
        <w:rPr>
          <w:rFonts w:ascii="Times New Roman" w:hAnsi="Times New Roman" w:cs="Times New Roman"/>
          <w:sz w:val="19"/>
          <w:szCs w:val="19"/>
          <w:u w:val="single"/>
        </w:rPr>
        <w:t>Unresolved Staff Comments.</w:t>
      </w:r>
    </w:p>
    <w:p w:rsidR="00000000" w:rsidRDefault="0057438D">
      <w:pPr>
        <w:pStyle w:val="DefaultParagraphFont"/>
        <w:widowControl w:val="0"/>
        <w:autoSpaceDE w:val="0"/>
        <w:autoSpaceDN w:val="0"/>
        <w:adjustRightInd w:val="0"/>
        <w:spacing w:after="0" w:line="12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None.</w:t>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2. </w:t>
      </w:r>
      <w:r>
        <w:rPr>
          <w:rFonts w:ascii="Times New Roman" w:hAnsi="Times New Roman" w:cs="Times New Roman"/>
          <w:sz w:val="19"/>
          <w:szCs w:val="19"/>
          <w:u w:val="single"/>
        </w:rPr>
        <w:t>Properties.</w:t>
      </w:r>
    </w:p>
    <w:p w:rsidR="00000000" w:rsidRDefault="0057438D">
      <w:pPr>
        <w:pStyle w:val="DefaultParagraphFont"/>
        <w:widowControl w:val="0"/>
        <w:autoSpaceDE w:val="0"/>
        <w:autoSpaceDN w:val="0"/>
        <w:adjustRightInd w:val="0"/>
        <w:spacing w:after="0" w:line="12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80"/>
        <w:rPr>
          <w:rFonts w:ascii="Times New Roman" w:hAnsi="Times New Roman" w:cs="Times New Roman"/>
          <w:sz w:val="24"/>
          <w:szCs w:val="24"/>
        </w:rPr>
      </w:pPr>
      <w:r>
        <w:rPr>
          <w:rFonts w:ascii="Times New Roman" w:hAnsi="Times New Roman" w:cs="Times New Roman"/>
          <w:sz w:val="19"/>
          <w:szCs w:val="19"/>
        </w:rPr>
        <w:t>In the U.S., we own and operate 32 manufacturing sites located in 22 different states or territories. In addition, we own and operate 105 manufacturing sites in 40 other countries. Many of the domestic and international sites manufacture products for multi</w:t>
      </w:r>
      <w:r>
        <w:rPr>
          <w:rFonts w:ascii="Times New Roman" w:hAnsi="Times New Roman" w:cs="Times New Roman"/>
          <w:sz w:val="19"/>
          <w:szCs w:val="19"/>
        </w:rPr>
        <w:t>ple businesses. Beauty products are manufactured at 42 of these locations; Grooming products at 16; Fabric Care and Home Care products at 53; Baby, Feminine and Family Care products at 48; and Health Care products at 21. Management believes that the Compan</w:t>
      </w:r>
      <w:r>
        <w:rPr>
          <w:rFonts w:ascii="Times New Roman" w:hAnsi="Times New Roman" w:cs="Times New Roman"/>
          <w:sz w:val="19"/>
          <w:szCs w:val="19"/>
        </w:rPr>
        <w:t>y's production facilities are adequate to support the business and that the properties and equipment have been well maintained.</w:t>
      </w:r>
    </w:p>
    <w:p w:rsidR="00000000" w:rsidRDefault="0057438D">
      <w:pPr>
        <w:pStyle w:val="DefaultParagraphFont"/>
        <w:widowControl w:val="0"/>
        <w:autoSpaceDE w:val="0"/>
        <w:autoSpaceDN w:val="0"/>
        <w:adjustRightInd w:val="0"/>
        <w:spacing w:after="0" w:line="14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3. </w:t>
      </w:r>
      <w:r>
        <w:rPr>
          <w:rFonts w:ascii="Times New Roman" w:hAnsi="Times New Roman" w:cs="Times New Roman"/>
          <w:sz w:val="19"/>
          <w:szCs w:val="19"/>
          <w:u w:val="single"/>
        </w:rPr>
        <w:t>Legal Proceedings.</w:t>
      </w:r>
    </w:p>
    <w:p w:rsidR="00000000" w:rsidRDefault="0057438D">
      <w:pPr>
        <w:pStyle w:val="DefaultParagraphFont"/>
        <w:widowControl w:val="0"/>
        <w:autoSpaceDE w:val="0"/>
        <w:autoSpaceDN w:val="0"/>
        <w:adjustRightInd w:val="0"/>
        <w:spacing w:after="0" w:line="12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The Company is subject, from time to time, to certain legal proceedings and claims arising out of o</w:t>
      </w:r>
      <w:r>
        <w:rPr>
          <w:rFonts w:ascii="Times New Roman" w:hAnsi="Times New Roman" w:cs="Times New Roman"/>
          <w:sz w:val="19"/>
          <w:szCs w:val="19"/>
        </w:rPr>
        <w:t>ur business, which cover a wide range of matters, including antitrust and trade regulation, product liability, advertising, contracts, environmental issues, patent and trademark matters, labor and employment matters and tax. See Note 11 to our Consolidated</w:t>
      </w:r>
      <w:r>
        <w:rPr>
          <w:rFonts w:ascii="Times New Roman" w:hAnsi="Times New Roman" w:cs="Times New Roman"/>
          <w:sz w:val="19"/>
          <w:szCs w:val="19"/>
        </w:rPr>
        <w:t xml:space="preserve"> Financial Statements for information on certain legal proceedings for which there are contingencies.</w:t>
      </w:r>
    </w:p>
    <w:p w:rsidR="00000000" w:rsidRDefault="0057438D">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80"/>
        <w:rPr>
          <w:rFonts w:ascii="Times New Roman" w:hAnsi="Times New Roman" w:cs="Times New Roman"/>
          <w:sz w:val="24"/>
          <w:szCs w:val="24"/>
        </w:rPr>
      </w:pPr>
      <w:r>
        <w:rPr>
          <w:rFonts w:ascii="Times New Roman" w:hAnsi="Times New Roman" w:cs="Times New Roman"/>
          <w:sz w:val="19"/>
          <w:szCs w:val="19"/>
        </w:rPr>
        <w:t>This item should be read in conjunction with the Company's Risk Factors in Part I, Item 1A for additional information.</w:t>
      </w:r>
    </w:p>
    <w:p w:rsidR="00000000" w:rsidRDefault="0057438D">
      <w:pPr>
        <w:pStyle w:val="DefaultParagraphFont"/>
        <w:widowControl w:val="0"/>
        <w:autoSpaceDE w:val="0"/>
        <w:autoSpaceDN w:val="0"/>
        <w:adjustRightInd w:val="0"/>
        <w:spacing w:after="0" w:line="10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4. </w:t>
      </w:r>
      <w:r>
        <w:rPr>
          <w:rFonts w:ascii="Times New Roman" w:hAnsi="Times New Roman" w:cs="Times New Roman"/>
          <w:sz w:val="19"/>
          <w:szCs w:val="19"/>
          <w:u w:val="single"/>
        </w:rPr>
        <w:t>Mine Safety Disclosure.</w:t>
      </w:r>
    </w:p>
    <w:p w:rsidR="00000000" w:rsidRDefault="0057438D">
      <w:pPr>
        <w:pStyle w:val="DefaultParagraphFont"/>
        <w:widowControl w:val="0"/>
        <w:autoSpaceDE w:val="0"/>
        <w:autoSpaceDN w:val="0"/>
        <w:adjustRightInd w:val="0"/>
        <w:spacing w:after="0" w:line="12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Not Applicable.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80" w:bottom="1440" w:left="840" w:header="720" w:footer="720" w:gutter="0"/>
          <w:cols w:num="2" w:space="440" w:equalWidth="0">
            <w:col w:w="4680" w:space="440"/>
            <w:col w:w="4680"/>
          </w:cols>
          <w:noEndnote/>
        </w:sectPr>
      </w:pPr>
    </w:p>
    <w:p w:rsidR="00000000" w:rsidRDefault="0057438D">
      <w:pPr>
        <w:pStyle w:val="DefaultParagraphFont"/>
        <w:widowControl w:val="0"/>
        <w:autoSpaceDE w:val="0"/>
        <w:autoSpaceDN w:val="0"/>
        <w:adjustRightInd w:val="0"/>
        <w:spacing w:after="0" w:line="240" w:lineRule="auto"/>
        <w:ind w:left="7380"/>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17</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9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3500"/>
        <w:rPr>
          <w:rFonts w:ascii="Times New Roman" w:hAnsi="Times New Roman" w:cs="Times New Roman"/>
          <w:sz w:val="24"/>
          <w:szCs w:val="24"/>
        </w:rPr>
      </w:pPr>
      <w:r>
        <w:rPr>
          <w:rFonts w:ascii="Times New Roman" w:hAnsi="Times New Roman" w:cs="Times New Roman"/>
          <w:sz w:val="19"/>
          <w:szCs w:val="19"/>
          <w:u w:val="single"/>
        </w:rPr>
        <w:t>Executive Officers of the Registrant</w:t>
      </w:r>
    </w:p>
    <w:p w:rsidR="00000000" w:rsidRDefault="0057438D">
      <w:pPr>
        <w:pStyle w:val="DefaultParagraphFont"/>
        <w:widowControl w:val="0"/>
        <w:autoSpaceDE w:val="0"/>
        <w:autoSpaceDN w:val="0"/>
        <w:adjustRightInd w:val="0"/>
        <w:spacing w:after="0" w:line="12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The names, ages and positions held by the Executive Officers of the Company on August 8, 2014, are:</w:t>
      </w:r>
    </w:p>
    <w:p w:rsidR="00000000" w:rsidRDefault="0057438D">
      <w:pPr>
        <w:pStyle w:val="DefaultParagraphFont"/>
        <w:widowControl w:val="0"/>
        <w:autoSpaceDE w:val="0"/>
        <w:autoSpaceDN w:val="0"/>
        <w:adjustRightInd w:val="0"/>
        <w:spacing w:after="0" w:line="33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520"/>
        <w:gridCol w:w="4740"/>
        <w:gridCol w:w="780"/>
        <w:gridCol w:w="1740"/>
        <w:gridCol w:w="20"/>
      </w:tblGrid>
      <w:tr w:rsidR="00000000">
        <w:tblPrEx>
          <w:tblCellMar>
            <w:top w:w="0" w:type="dxa"/>
            <w:left w:w="0" w:type="dxa"/>
            <w:bottom w:w="0" w:type="dxa"/>
            <w:right w:w="0" w:type="dxa"/>
          </w:tblCellMar>
        </w:tblPrEx>
        <w:trPr>
          <w:trHeight w:val="218"/>
        </w:trPr>
        <w:tc>
          <w:tcPr>
            <w:tcW w:w="25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0"/>
              <w:rPr>
                <w:rFonts w:ascii="Times New Roman" w:hAnsi="Times New Roman" w:cs="Times New Roman"/>
                <w:sz w:val="24"/>
                <w:szCs w:val="24"/>
              </w:rPr>
            </w:pPr>
            <w:r>
              <w:rPr>
                <w:rFonts w:ascii="Times New Roman" w:hAnsi="Times New Roman" w:cs="Times New Roman"/>
                <w:b/>
                <w:bCs/>
                <w:sz w:val="19"/>
                <w:szCs w:val="19"/>
              </w:rPr>
              <w:t>Name</w:t>
            </w:r>
          </w:p>
        </w:tc>
        <w:tc>
          <w:tcPr>
            <w:tcW w:w="47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60"/>
              <w:rPr>
                <w:rFonts w:ascii="Times New Roman" w:hAnsi="Times New Roman" w:cs="Times New Roman"/>
                <w:sz w:val="24"/>
                <w:szCs w:val="24"/>
              </w:rPr>
            </w:pPr>
            <w:r>
              <w:rPr>
                <w:rFonts w:ascii="Times New Roman" w:hAnsi="Times New Roman" w:cs="Times New Roman"/>
                <w:b/>
                <w:bCs/>
                <w:sz w:val="19"/>
                <w:szCs w:val="19"/>
              </w:rPr>
              <w:t>Position</w:t>
            </w:r>
          </w:p>
        </w:tc>
        <w:tc>
          <w:tcPr>
            <w:tcW w:w="7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Times New Roman" w:hAnsi="Times New Roman" w:cs="Times New Roman"/>
                <w:b/>
                <w:bCs/>
                <w:sz w:val="19"/>
                <w:szCs w:val="19"/>
              </w:rPr>
              <w:t>Age</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18" w:lineRule="exact"/>
              <w:ind w:right="85"/>
              <w:jc w:val="right"/>
              <w:rPr>
                <w:rFonts w:ascii="Times New Roman" w:hAnsi="Times New Roman" w:cs="Times New Roman"/>
                <w:sz w:val="24"/>
                <w:szCs w:val="24"/>
              </w:rPr>
            </w:pPr>
            <w:r>
              <w:rPr>
                <w:rFonts w:ascii="Times New Roman" w:hAnsi="Times New Roman" w:cs="Times New Roman"/>
                <w:b/>
                <w:bCs/>
                <w:sz w:val="19"/>
                <w:szCs w:val="19"/>
              </w:rPr>
              <w:t>First Elected to</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252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7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8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14" w:lineRule="exact"/>
              <w:ind w:right="65"/>
              <w:jc w:val="right"/>
              <w:rPr>
                <w:rFonts w:ascii="Times New Roman" w:hAnsi="Times New Roman" w:cs="Times New Roman"/>
                <w:sz w:val="24"/>
                <w:szCs w:val="24"/>
              </w:rPr>
            </w:pPr>
            <w:r>
              <w:rPr>
                <w:rFonts w:ascii="Times New Roman" w:hAnsi="Times New Roman" w:cs="Times New Roman"/>
                <w:b/>
                <w:bCs/>
                <w:sz w:val="19"/>
                <w:szCs w:val="19"/>
              </w:rPr>
              <w:t>Officer Position</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7"/>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7" w:lineRule="exact"/>
              <w:ind w:left="60"/>
              <w:rPr>
                <w:rFonts w:ascii="Times New Roman" w:hAnsi="Times New Roman" w:cs="Times New Roman"/>
                <w:sz w:val="24"/>
                <w:szCs w:val="24"/>
              </w:rPr>
            </w:pPr>
            <w:r>
              <w:rPr>
                <w:rFonts w:ascii="Times New Roman" w:hAnsi="Times New Roman" w:cs="Times New Roman"/>
                <w:sz w:val="19"/>
                <w:szCs w:val="19"/>
              </w:rPr>
              <w:t>A. G. Lafley</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7" w:lineRule="exact"/>
              <w:ind w:left="100"/>
              <w:rPr>
                <w:rFonts w:ascii="Times New Roman" w:hAnsi="Times New Roman" w:cs="Times New Roman"/>
                <w:sz w:val="24"/>
                <w:szCs w:val="24"/>
              </w:rPr>
            </w:pPr>
            <w:r>
              <w:rPr>
                <w:rFonts w:ascii="Times New Roman" w:hAnsi="Times New Roman" w:cs="Times New Roman"/>
                <w:sz w:val="19"/>
                <w:szCs w:val="19"/>
              </w:rPr>
              <w:t>Chairman of the Board, President and</w:t>
            </w:r>
          </w:p>
        </w:tc>
        <w:tc>
          <w:tcPr>
            <w:tcW w:w="7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67</w:t>
            </w:r>
          </w:p>
        </w:tc>
        <w:tc>
          <w:tcPr>
            <w:tcW w:w="17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Chief Executive Officer</w:t>
            </w:r>
          </w:p>
        </w:tc>
        <w:tc>
          <w:tcPr>
            <w:tcW w:w="7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7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Director since May 23, 2013</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Jon Moeller</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Chief Financial Officer</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50</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2009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Giovanni Ciserani</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Group President - Global Fabric and Home Care</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52</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Mary Lynn Ferguson-McHugh</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Group President - Europe</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54</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Melanie Healey</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Group President - North America</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53</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Deborah A. Henretta</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Group President - Global Beauty</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53</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Martin Riant</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Group President - Global Baby, Feminine and Family Care</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55</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David Taylor</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Group President - Global Health and Grooming</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56</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81"/>
        </w:trPr>
        <w:tc>
          <w:tcPr>
            <w:tcW w:w="25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Filippo Passerini</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Group President - Global Business Services and</w:t>
            </w:r>
          </w:p>
        </w:tc>
        <w:tc>
          <w:tcPr>
            <w:tcW w:w="7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57</w:t>
            </w:r>
          </w:p>
        </w:tc>
        <w:tc>
          <w:tcPr>
            <w:tcW w:w="17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2003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5"/>
        </w:trPr>
        <w:tc>
          <w:tcPr>
            <w:tcW w:w="25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47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Chief Information Officer</w:t>
            </w:r>
          </w:p>
        </w:tc>
        <w:tc>
          <w:tcPr>
            <w:tcW w:w="7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17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47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00"/>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Mark Biegger</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Chief Human Resources Officer</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52</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Linda Clement-Holmes</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Global Information &amp; Decision Solutions Officer</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52</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Tarek Farahat</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President - Latin America</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50</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Kathleen B. Fish</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Chief Technology Officer</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57</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Hatsunori Kiriyama</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President - Asia</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51</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Deborah P. Majoras</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Chief Legal Officer and Secretary</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50</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Marc S. Pritchard</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Global Brand Building Officer</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54</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2008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Mohamed Samir</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President - India, Middle East and Africa</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47</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Valarie Sheppard</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Senior Vice President, Comptroller &amp; Treasurer</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50</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2005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Yannis Skoufalos</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Global Product Supply Officer</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57</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Shannan Stevenson</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President - Greater China</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49</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5"/>
        </w:trPr>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Carolyn M. Tastad</w:t>
            </w:r>
          </w:p>
        </w:tc>
        <w:tc>
          <w:tcPr>
            <w:tcW w:w="4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Global Customer Business Development Officer</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53</w:t>
            </w:r>
          </w:p>
        </w:tc>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880" w:bottom="1440" w:left="860" w:header="720" w:footer="720" w:gutter="0"/>
          <w:cols w:space="720" w:equalWidth="0">
            <w:col w:w="978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18</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70" w:lineRule="auto"/>
        <w:jc w:val="both"/>
        <w:rPr>
          <w:rFonts w:ascii="Times New Roman" w:hAnsi="Times New Roman" w:cs="Times New Roman"/>
          <w:sz w:val="24"/>
          <w:szCs w:val="24"/>
        </w:rPr>
      </w:pPr>
      <w:r>
        <w:rPr>
          <w:rFonts w:ascii="Times New Roman" w:hAnsi="Times New Roman" w:cs="Times New Roman"/>
          <w:sz w:val="18"/>
          <w:szCs w:val="18"/>
        </w:rPr>
        <w:t>All the Executive Officers named above, excluding Mr. Lafley, have been employed by the Company for more than the past five years. Mr. Lafley is Chairman of the Board, President and Chief Executive Officer of the Company and was reappointed to this positio</w:t>
      </w:r>
      <w:r>
        <w:rPr>
          <w:rFonts w:ascii="Times New Roman" w:hAnsi="Times New Roman" w:cs="Times New Roman"/>
          <w:sz w:val="18"/>
          <w:szCs w:val="18"/>
        </w:rPr>
        <w:t>n on May 23, 2013. Mr. Lafley originally joined the Company in 1977 and held positions of increasing responsibility, in the U.S. and internationally, until he was elected President and Chief Executive Officer in 2000, a position he held until June 30, 2009</w:t>
      </w:r>
      <w:r>
        <w:rPr>
          <w:rFonts w:ascii="Times New Roman" w:hAnsi="Times New Roman" w:cs="Times New Roman"/>
          <w:sz w:val="18"/>
          <w:szCs w:val="18"/>
        </w:rPr>
        <w:t>. On July 1, 2002, Mr. Lafley was elected Chairman of the Board, a position he held until January 2010, at which time he retired from the Company. During the past five years, in addition to his roles as a Company employee, Mr. Lafley served as a consultant</w:t>
      </w:r>
      <w:r>
        <w:rPr>
          <w:rFonts w:ascii="Times New Roman" w:hAnsi="Times New Roman" w:cs="Times New Roman"/>
          <w:sz w:val="18"/>
          <w:szCs w:val="18"/>
        </w:rPr>
        <w:t xml:space="preserve"> to the Company and as a member of the boards of directors of public companies Dell, Inc. and General Electric Company. He no longer serves on these boards. After his initial retirement from the Company in 2010, he served as a Senior Advisor at Clayton, Du</w:t>
      </w:r>
      <w:r>
        <w:rPr>
          <w:rFonts w:ascii="Times New Roman" w:hAnsi="Times New Roman" w:cs="Times New Roman"/>
          <w:sz w:val="18"/>
          <w:szCs w:val="18"/>
        </w:rPr>
        <w:t xml:space="preserve">bilier &amp; Rice, LLC, a private equity partnership, and was appointed by President Obama to serve on The President's Council on Jobs and Competitiveness. Mr. Lafley consulted with a number of Fortune 50 companies on business and innovation strategy. He also </w:t>
      </w:r>
      <w:r>
        <w:rPr>
          <w:rFonts w:ascii="Times New Roman" w:hAnsi="Times New Roman" w:cs="Times New Roman"/>
          <w:sz w:val="18"/>
          <w:szCs w:val="18"/>
        </w:rPr>
        <w:t>advised on CEO succession and executive leadership development, and coached experienced, new and potential CEOs. He currently serves on the board of directors of Legendary Pictures, LLC (a film production company).</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80" w:bottom="1440" w:left="860" w:header="720" w:footer="720" w:gutter="0"/>
          <w:cols w:space="720" w:equalWidth="0">
            <w:col w:w="978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The Procter &amp; Gamb</w:t>
      </w:r>
      <w:r>
        <w:rPr>
          <w:rFonts w:ascii="Times New Roman" w:hAnsi="Times New Roman" w:cs="Times New Roman"/>
          <w:sz w:val="15"/>
          <w:szCs w:val="15"/>
        </w:rPr>
        <w:t xml:space="preserve">le Company  </w:t>
      </w:r>
      <w:r>
        <w:rPr>
          <w:rFonts w:ascii="Times New Roman" w:hAnsi="Times New Roman" w:cs="Times New Roman"/>
          <w:sz w:val="19"/>
          <w:szCs w:val="19"/>
        </w:rPr>
        <w:t>19</w:t>
      </w: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560"/>
        <w:rPr>
          <w:rFonts w:ascii="Times New Roman" w:hAnsi="Times New Roman" w:cs="Times New Roman"/>
          <w:sz w:val="24"/>
          <w:szCs w:val="24"/>
        </w:rPr>
      </w:pPr>
      <w:r>
        <w:rPr>
          <w:rFonts w:ascii="Times New Roman" w:hAnsi="Times New Roman" w:cs="Times New Roman"/>
          <w:sz w:val="19"/>
          <w:szCs w:val="19"/>
          <w:u w:val="single"/>
        </w:rPr>
        <w:t>PART II</w:t>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5. </w:t>
      </w:r>
      <w:r>
        <w:rPr>
          <w:rFonts w:ascii="Times New Roman" w:hAnsi="Times New Roman" w:cs="Times New Roman"/>
          <w:sz w:val="19"/>
          <w:szCs w:val="19"/>
          <w:u w:val="single"/>
        </w:rPr>
        <w:t>Market for Registrant's Common Equity, Related Stockholder Matters and Issuer Purchases of Equity Securities.</w:t>
      </w:r>
    </w:p>
    <w:p w:rsidR="00000000" w:rsidRDefault="0057438D">
      <w:pPr>
        <w:pStyle w:val="DefaultParagraphFont"/>
        <w:widowControl w:val="0"/>
        <w:autoSpaceDE w:val="0"/>
        <w:autoSpaceDN w:val="0"/>
        <w:adjustRightInd w:val="0"/>
        <w:spacing w:after="0" w:line="26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780"/>
        <w:rPr>
          <w:rFonts w:ascii="Times New Roman" w:hAnsi="Times New Roman" w:cs="Times New Roman"/>
          <w:sz w:val="24"/>
          <w:szCs w:val="24"/>
        </w:rPr>
      </w:pPr>
      <w:r>
        <w:rPr>
          <w:rFonts w:ascii="Times New Roman" w:hAnsi="Times New Roman" w:cs="Times New Roman"/>
          <w:b/>
          <w:bCs/>
          <w:sz w:val="19"/>
          <w:szCs w:val="19"/>
        </w:rPr>
        <w:t>ISSUER PURCHASES OF EQUITY SECURITIES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17" w:lineRule="exact"/>
        <w:rPr>
          <w:rFonts w:ascii="Times New Roman" w:hAnsi="Times New Roman" w:cs="Times New Roman"/>
          <w:sz w:val="24"/>
          <w:szCs w:val="24"/>
        </w:rPr>
      </w:pPr>
    </w:p>
    <w:tbl>
      <w:tblPr>
        <w:tblW w:w="0" w:type="auto"/>
        <w:tblInd w:w="220" w:type="dxa"/>
        <w:tblLayout w:type="fixed"/>
        <w:tblCellMar>
          <w:left w:w="0" w:type="dxa"/>
          <w:right w:w="0" w:type="dxa"/>
        </w:tblCellMar>
        <w:tblLook w:val="0000" w:firstRow="0" w:lastRow="0" w:firstColumn="0" w:lastColumn="0" w:noHBand="0" w:noVBand="0"/>
      </w:tblPr>
      <w:tblGrid>
        <w:gridCol w:w="1160"/>
        <w:gridCol w:w="1920"/>
        <w:gridCol w:w="340"/>
        <w:gridCol w:w="1600"/>
        <w:gridCol w:w="1940"/>
        <w:gridCol w:w="2200"/>
        <w:gridCol w:w="20"/>
      </w:tblGrid>
      <w:tr w:rsidR="00000000">
        <w:tblPrEx>
          <w:tblCellMar>
            <w:top w:w="0" w:type="dxa"/>
            <w:left w:w="0" w:type="dxa"/>
            <w:bottom w:w="0" w:type="dxa"/>
            <w:right w:w="0" w:type="dxa"/>
          </w:tblCellMar>
        </w:tblPrEx>
        <w:trPr>
          <w:trHeight w:val="172"/>
        </w:trPr>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Total Number of</w:t>
            </w:r>
          </w:p>
        </w:tc>
        <w:tc>
          <w:tcPr>
            <w:tcW w:w="22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44"/>
              <w:jc w:val="center"/>
              <w:rPr>
                <w:rFonts w:ascii="Times New Roman" w:hAnsi="Times New Roman" w:cs="Times New Roman"/>
                <w:sz w:val="24"/>
                <w:szCs w:val="24"/>
              </w:rPr>
            </w:pPr>
            <w:r>
              <w:rPr>
                <w:rFonts w:ascii="Times New Roman" w:hAnsi="Times New Roman" w:cs="Times New Roman"/>
                <w:b/>
                <w:bCs/>
                <w:sz w:val="15"/>
                <w:szCs w:val="15"/>
              </w:rPr>
              <w:t>Approximate Dollar Value of</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Shares Purchased as</w:t>
            </w:r>
          </w:p>
        </w:tc>
        <w:tc>
          <w:tcPr>
            <w:tcW w:w="22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9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840"/>
              <w:rPr>
                <w:rFonts w:ascii="Times New Roman" w:hAnsi="Times New Roman" w:cs="Times New Roman"/>
                <w:sz w:val="24"/>
                <w:szCs w:val="24"/>
              </w:rPr>
            </w:pPr>
            <w:r>
              <w:rPr>
                <w:rFonts w:ascii="Times New Roman" w:hAnsi="Times New Roman" w:cs="Times New Roman"/>
                <w:b/>
                <w:bCs/>
                <w:w w:val="98"/>
                <w:sz w:val="15"/>
                <w:szCs w:val="15"/>
              </w:rPr>
              <w:t>Total Number of</w:t>
            </w: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6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
              <w:jc w:val="center"/>
              <w:rPr>
                <w:rFonts w:ascii="Times New Roman" w:hAnsi="Times New Roman" w:cs="Times New Roman"/>
                <w:sz w:val="24"/>
                <w:szCs w:val="24"/>
              </w:rPr>
            </w:pPr>
            <w:r>
              <w:rPr>
                <w:rFonts w:ascii="Times New Roman" w:hAnsi="Times New Roman" w:cs="Times New Roman"/>
                <w:b/>
                <w:bCs/>
                <w:sz w:val="15"/>
                <w:szCs w:val="15"/>
              </w:rPr>
              <w:t>Average Price</w:t>
            </w:r>
          </w:p>
        </w:tc>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Part of Publicly</w:t>
            </w:r>
          </w:p>
        </w:tc>
        <w:tc>
          <w:tcPr>
            <w:tcW w:w="2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left="244"/>
              <w:jc w:val="center"/>
              <w:rPr>
                <w:rFonts w:ascii="Times New Roman" w:hAnsi="Times New Roman" w:cs="Times New Roman"/>
                <w:sz w:val="24"/>
                <w:szCs w:val="24"/>
              </w:rPr>
            </w:pPr>
            <w:r>
              <w:rPr>
                <w:rFonts w:ascii="Times New Roman" w:hAnsi="Times New Roman" w:cs="Times New Roman"/>
                <w:b/>
                <w:bCs/>
                <w:sz w:val="15"/>
                <w:szCs w:val="15"/>
              </w:rPr>
              <w:t>Shares That May Yet be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1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5"/>
                <w:szCs w:val="15"/>
              </w:rPr>
              <w:t>Period</w:t>
            </w:r>
          </w:p>
        </w:tc>
        <w:tc>
          <w:tcPr>
            <w:tcW w:w="19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6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Announced Plans or</w:t>
            </w:r>
          </w:p>
        </w:tc>
        <w:tc>
          <w:tcPr>
            <w:tcW w:w="2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left="224"/>
              <w:jc w:val="center"/>
              <w:rPr>
                <w:rFonts w:ascii="Times New Roman" w:hAnsi="Times New Roman" w:cs="Times New Roman"/>
                <w:sz w:val="24"/>
                <w:szCs w:val="24"/>
              </w:rPr>
            </w:pPr>
            <w:r>
              <w:rPr>
                <w:rFonts w:ascii="Times New Roman" w:hAnsi="Times New Roman" w:cs="Times New Roman"/>
                <w:b/>
                <w:bCs/>
                <w:sz w:val="15"/>
                <w:szCs w:val="15"/>
              </w:rPr>
              <w:t>Purchased Under our Share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7"/>
        </w:trPr>
        <w:tc>
          <w:tcPr>
            <w:tcW w:w="11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b/>
                <w:bCs/>
                <w:sz w:val="15"/>
                <w:szCs w:val="15"/>
              </w:rPr>
              <w:t>Shares Purchased</w:t>
            </w: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70"/>
              <w:jc w:val="right"/>
              <w:rPr>
                <w:rFonts w:ascii="Times New Roman" w:hAnsi="Times New Roman" w:cs="Times New Roman"/>
                <w:sz w:val="24"/>
                <w:szCs w:val="24"/>
              </w:rPr>
            </w:pPr>
            <w:r>
              <w:rPr>
                <w:rFonts w:ascii="Times New Roman" w:hAnsi="Times New Roman" w:cs="Times New Roman"/>
                <w:b/>
                <w:bCs/>
                <w:w w:val="85"/>
                <w:sz w:val="10"/>
                <w:szCs w:val="10"/>
              </w:rPr>
              <w:t>(1)</w:t>
            </w:r>
          </w:p>
        </w:tc>
        <w:tc>
          <w:tcPr>
            <w:tcW w:w="1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7" w:lineRule="exact"/>
              <w:ind w:right="24"/>
              <w:jc w:val="center"/>
              <w:rPr>
                <w:rFonts w:ascii="Times New Roman" w:hAnsi="Times New Roman" w:cs="Times New Roman"/>
                <w:sz w:val="24"/>
                <w:szCs w:val="24"/>
              </w:rPr>
            </w:pPr>
            <w:r>
              <w:rPr>
                <w:rFonts w:ascii="Times New Roman" w:hAnsi="Times New Roman" w:cs="Times New Roman"/>
                <w:b/>
                <w:bCs/>
                <w:w w:val="96"/>
                <w:sz w:val="15"/>
                <w:szCs w:val="15"/>
              </w:rPr>
              <w:t xml:space="preserve">Paid per Share </w:t>
            </w:r>
            <w:r>
              <w:rPr>
                <w:rFonts w:ascii="Times New Roman" w:hAnsi="Times New Roman" w:cs="Times New Roman"/>
                <w:b/>
                <w:bCs/>
                <w:w w:val="96"/>
                <w:sz w:val="19"/>
                <w:szCs w:val="19"/>
                <w:vertAlign w:val="superscript"/>
              </w:rPr>
              <w:t>(2)</w:t>
            </w:r>
          </w:p>
        </w:tc>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7" w:lineRule="exact"/>
              <w:jc w:val="center"/>
              <w:rPr>
                <w:rFonts w:ascii="Times New Roman" w:hAnsi="Times New Roman" w:cs="Times New Roman"/>
                <w:sz w:val="24"/>
                <w:szCs w:val="24"/>
              </w:rPr>
            </w:pPr>
            <w:r>
              <w:rPr>
                <w:rFonts w:ascii="Times New Roman" w:hAnsi="Times New Roman" w:cs="Times New Roman"/>
                <w:b/>
                <w:bCs/>
                <w:w w:val="95"/>
                <w:sz w:val="15"/>
                <w:szCs w:val="15"/>
              </w:rPr>
              <w:t xml:space="preserve">Programs </w:t>
            </w:r>
            <w:r>
              <w:rPr>
                <w:rFonts w:ascii="Times New Roman" w:hAnsi="Times New Roman" w:cs="Times New Roman"/>
                <w:b/>
                <w:bCs/>
                <w:w w:val="95"/>
                <w:sz w:val="19"/>
                <w:szCs w:val="19"/>
                <w:vertAlign w:val="superscript"/>
              </w:rPr>
              <w:t>(3)</w:t>
            </w:r>
          </w:p>
        </w:tc>
        <w:tc>
          <w:tcPr>
            <w:tcW w:w="2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7" w:lineRule="exact"/>
              <w:ind w:left="224"/>
              <w:jc w:val="center"/>
              <w:rPr>
                <w:rFonts w:ascii="Times New Roman" w:hAnsi="Times New Roman" w:cs="Times New Roman"/>
                <w:sz w:val="24"/>
                <w:szCs w:val="24"/>
              </w:rPr>
            </w:pPr>
            <w:r>
              <w:rPr>
                <w:rFonts w:ascii="Times New Roman" w:hAnsi="Times New Roman" w:cs="Times New Roman"/>
                <w:b/>
                <w:bCs/>
                <w:w w:val="98"/>
                <w:sz w:val="15"/>
                <w:szCs w:val="15"/>
              </w:rPr>
              <w:t xml:space="preserve">Repurchase Program </w:t>
            </w:r>
            <w:r>
              <w:rPr>
                <w:rFonts w:ascii="Times New Roman" w:hAnsi="Times New Roman" w:cs="Times New Roman"/>
                <w:b/>
                <w:bCs/>
                <w:w w:val="98"/>
                <w:sz w:val="19"/>
                <w:szCs w:val="19"/>
                <w:vertAlign w:val="superscript"/>
              </w:rPr>
              <w:t>(3)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1028" w:left="860" w:header="720" w:footer="720" w:gutter="0"/>
          <w:cols w:space="720" w:equalWidth="0">
            <w:col w:w="9760"/>
          </w:cols>
          <w:noEndnote/>
        </w:sectPr>
      </w:pPr>
    </w:p>
    <w:tbl>
      <w:tblPr>
        <w:tblW w:w="0" w:type="auto"/>
        <w:tblLayout w:type="fixed"/>
        <w:tblCellMar>
          <w:left w:w="0" w:type="dxa"/>
          <w:right w:w="0" w:type="dxa"/>
        </w:tblCellMar>
        <w:tblLook w:val="0000" w:firstRow="0" w:lastRow="0" w:firstColumn="0" w:lastColumn="0" w:noHBand="0" w:noVBand="0"/>
      </w:tblPr>
      <w:tblGrid>
        <w:gridCol w:w="1820"/>
        <w:gridCol w:w="80"/>
        <w:gridCol w:w="1420"/>
        <w:gridCol w:w="200"/>
        <w:gridCol w:w="1460"/>
        <w:gridCol w:w="180"/>
        <w:gridCol w:w="1800"/>
      </w:tblGrid>
      <w:tr w:rsidR="00000000">
        <w:tblPrEx>
          <w:tblCellMar>
            <w:top w:w="0" w:type="dxa"/>
            <w:left w:w="0" w:type="dxa"/>
            <w:bottom w:w="0" w:type="dxa"/>
            <w:right w:w="0" w:type="dxa"/>
          </w:tblCellMar>
        </w:tblPrEx>
        <w:trPr>
          <w:trHeight w:val="266"/>
        </w:trPr>
        <w:tc>
          <w:tcPr>
            <w:tcW w:w="18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4/1/2014 - 4/30/2014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6,180,000</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$80.90</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6,180,000</w:t>
            </w:r>
          </w:p>
        </w:tc>
      </w:tr>
      <w:tr w:rsidR="00000000">
        <w:tblPrEx>
          <w:tblCellMar>
            <w:top w:w="0" w:type="dxa"/>
            <w:left w:w="0" w:type="dxa"/>
            <w:bottom w:w="0" w:type="dxa"/>
            <w:right w:w="0" w:type="dxa"/>
          </w:tblCellMar>
        </w:tblPrEx>
        <w:trPr>
          <w:trHeight w:val="282"/>
        </w:trPr>
        <w:tc>
          <w:tcPr>
            <w:tcW w:w="1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5/1/2014 - 5/31/2014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w:t>
            </w:r>
          </w:p>
        </w:tc>
      </w:tr>
      <w:tr w:rsidR="00000000">
        <w:tblPrEx>
          <w:tblCellMar>
            <w:top w:w="0" w:type="dxa"/>
            <w:left w:w="0" w:type="dxa"/>
            <w:bottom w:w="0" w:type="dxa"/>
            <w:right w:w="0" w:type="dxa"/>
          </w:tblCellMar>
        </w:tblPrEx>
        <w:trPr>
          <w:trHeight w:val="286"/>
        </w:trPr>
        <w:tc>
          <w:tcPr>
            <w:tcW w:w="1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6/1/2014 - 6/30/2014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w:t>
            </w: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2"/>
          <w:szCs w:val="12"/>
        </w:rPr>
        <w:t>(3)</w:t>
      </w:r>
    </w:p>
    <w:p w:rsidR="00000000" w:rsidRDefault="0057438D">
      <w:pPr>
        <w:pStyle w:val="DefaultParagraphFont"/>
        <w:widowControl w:val="0"/>
        <w:autoSpaceDE w:val="0"/>
        <w:autoSpaceDN w:val="0"/>
        <w:adjustRightInd w:val="0"/>
        <w:spacing w:after="0" w:line="148" w:lineRule="exact"/>
        <w:rPr>
          <w:rFonts w:ascii="Times New Roman" w:hAnsi="Times New Roman" w:cs="Times New Roman"/>
          <w:sz w:val="24"/>
          <w:szCs w:val="24"/>
        </w:rPr>
      </w:pPr>
      <w:r>
        <w:rPr>
          <w:noProof/>
        </w:rPr>
        <mc:AlternateContent>
          <mc:Choice Requires="wps">
            <w:drawing>
              <wp:anchor distT="0" distB="0" distL="114300" distR="114300" simplePos="0" relativeHeight="251677696" behindDoc="1" locked="0" layoutInCell="0" allowOverlap="1">
                <wp:simplePos x="0" y="0"/>
                <wp:positionH relativeFrom="column">
                  <wp:posOffset>-668655</wp:posOffset>
                </wp:positionH>
                <wp:positionV relativeFrom="paragraph">
                  <wp:posOffset>-70485</wp:posOffset>
                </wp:positionV>
                <wp:extent cx="1441450" cy="0"/>
                <wp:effectExtent l="0" t="0" r="0" b="0"/>
                <wp:wrapNone/>
                <wp:docPr id="10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5pt,-5.55pt" to="60.8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qqGHwIAAEUEAAAOAAAAZHJzL2Uyb0RvYy54bWysU8GO2jAQvVfqP1i5Q2IaKBsRVlUCvdAu&#10;0u5+gLEdYtWxLdsQUNV/79gBWrqXqmoOju2ZefNm3njxeOokOnLrhFZlgsdZgriimgm1L5PXl/Vo&#10;niDniWJEasXL5Mxd8rh8/27Rm4JPdKsl4xYBiHJFb8qk9d4UaepoyzvixtpwBcZG2454ONp9yizp&#10;Ab2T6STLZmmvLTNWU+4c3NaDMVlG/Kbh1D81jeMeyTIBbj6uNq67sKbLBSn2lphW0AsN8g8sOiIU&#10;JL1B1cQTdLDiDVQnqNVON35MdZfqphGUxxqgGpz9Uc1zSwyPtUBznLm1yf0/WPr1uLVIMNAuA6kU&#10;6UCkjVAcTXBoTm9cAT6V2tpQHj2pZ7PR9JtDSlctUXseSb6cDcTFiPQuJBycgRS7/otm4EMOXsdO&#10;nRrbBUjoATpFQc43QfjJIwqXOM9xPgXd6NWWkuIaaKzzn7nuUNiUiQTSEZgcN84DdXC9uoQ8Sq+F&#10;lFFvqVAP4BOMpzHCaSlYsAY/Z/e7Slp0JGFk4hcaAWh3bgG6Jq4d/KJpGCarD4rFNC0nbHXZeyLk&#10;sAcgqUIiKBKIXnbDsHx/yB5W89U8H+WT2WqUZ3U9+rSu8tFsjT9O6w91VdX4R+CM86IVjHEVaF8H&#10;F+d/NxiXJzSM3G10bw1K79Fj7UD2+o+ko8pB2GFEdpqdtza0KQgOsxqdL+8qPIbfz9Hr1+tf/gQA&#10;AP//AwBQSwMEFAAGAAgAAAAhAOSh5bbdAAAADAEAAA8AAABkcnMvZG93bnJldi54bWxMj8tqwzAQ&#10;RfeF/oOYQneJrIQ+4loOpWDotkkodCdZE9tUGrmW7Lh/XxkK7W4ed+49U+xnZ9mEQ+g8SRDrDBhS&#10;7U1HjYTTsVo9AgtRkVHWE0r4xgD78vqqULnxF3rD6RAblkwo5EpCG2Ofcx7qFp0Ka98jpd3ZD07F&#10;1A4NN4O6JHNn+SbL7rlTHaWEVvX40mL9eRhdwtjaaaenUVcfX5zr+tUezXsl5e3N/PwELOIc/8Sw&#10;4KcbKBOT9iOZwKyElcjutkm7VEIAWyQb8QBM/054WfD/T5Q/AAAA//8DAFBLAQItABQABgAIAAAA&#10;IQC2gziS/gAAAOEBAAATAAAAAAAAAAAAAAAAAAAAAABbQ29udGVudF9UeXBlc10ueG1sUEsBAi0A&#10;FAAGAAgAAAAhADj9If/WAAAAlAEAAAsAAAAAAAAAAAAAAAAALwEAAF9yZWxzLy5yZWxzUEsBAi0A&#10;FAAGAAgAAAAhAJyyqoYfAgAARQQAAA4AAAAAAAAAAAAAAAAALgIAAGRycy9lMm9Eb2MueG1sUEsB&#10;Ai0AFAAGAAgAAAAhAOSh5bbdAAAADAEAAA8AAAAAAAAAAAAAAAAAeQQAAGRycy9kb3ducmV2Lnht&#10;bFBLBQYAAAAABAAEAPMAAACDBQAAAAA=&#10;" o:allowincell="f" strokeweight=".33653mm"/>
            </w:pict>
          </mc:Fallback>
        </mc:AlternateConten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2"/>
          <w:szCs w:val="12"/>
        </w:rPr>
        <w:t>(3)</w:t>
      </w:r>
    </w:p>
    <w:p w:rsidR="00000000" w:rsidRDefault="0057438D">
      <w:pPr>
        <w:pStyle w:val="DefaultParagraphFont"/>
        <w:widowControl w:val="0"/>
        <w:autoSpaceDE w:val="0"/>
        <w:autoSpaceDN w:val="0"/>
        <w:adjustRightInd w:val="0"/>
        <w:spacing w:after="0" w:line="1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2"/>
          <w:szCs w:val="12"/>
        </w:rPr>
        <w:t>(3)</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2160" w:bottom="1028" w:left="1020" w:header="720" w:footer="720" w:gutter="0"/>
          <w:cols w:num="2" w:space="1240" w:equalWidth="0">
            <w:col w:w="6960" w:space="1240"/>
            <w:col w:w="140"/>
          </w:cols>
          <w:noEndnote/>
        </w:sectPr>
      </w:pPr>
    </w:p>
    <w:p w:rsidR="00000000" w:rsidRDefault="0057438D">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57438D">
      <w:pPr>
        <w:pStyle w:val="DefaultParagraphFont"/>
        <w:widowControl w:val="0"/>
        <w:numPr>
          <w:ilvl w:val="0"/>
          <w:numId w:val="5"/>
        </w:numPr>
        <w:tabs>
          <w:tab w:val="clear" w:pos="720"/>
          <w:tab w:val="num" w:pos="400"/>
        </w:tabs>
        <w:overflowPunct w:val="0"/>
        <w:autoSpaceDE w:val="0"/>
        <w:autoSpaceDN w:val="0"/>
        <w:adjustRightInd w:val="0"/>
        <w:spacing w:after="0" w:line="227" w:lineRule="auto"/>
        <w:ind w:left="400" w:right="40" w:hanging="231"/>
        <w:rPr>
          <w:rFonts w:ascii="Times New Roman" w:hAnsi="Times New Roman" w:cs="Times New Roman"/>
          <w:sz w:val="15"/>
          <w:szCs w:val="15"/>
        </w:rPr>
      </w:pPr>
      <w:r>
        <w:rPr>
          <w:rFonts w:ascii="Times New Roman" w:hAnsi="Times New Roman" w:cs="Times New Roman"/>
          <w:sz w:val="17"/>
          <w:szCs w:val="17"/>
        </w:rPr>
        <w:t>The total number of shares purchased was 6,180,000 for the quarter. All transactions were made in the open market with large financial institutions. This table excludes shares withheld from employees to satisfy minimum tax withholding requirements on optio</w:t>
      </w:r>
      <w:r>
        <w:rPr>
          <w:rFonts w:ascii="Times New Roman" w:hAnsi="Times New Roman" w:cs="Times New Roman"/>
          <w:sz w:val="17"/>
          <w:szCs w:val="17"/>
        </w:rPr>
        <w:t>n exercises and other equity-based transactions. The Company administers cashless exercises through an independent third party and does not repurchase stock in connection with cashless exercises.</w:t>
      </w:r>
    </w:p>
    <w:p w:rsidR="00000000" w:rsidRDefault="0057438D">
      <w:pPr>
        <w:pStyle w:val="DefaultParagraphFont"/>
        <w:widowControl w:val="0"/>
        <w:autoSpaceDE w:val="0"/>
        <w:autoSpaceDN w:val="0"/>
        <w:adjustRightInd w:val="0"/>
        <w:spacing w:after="0" w:line="43" w:lineRule="exact"/>
        <w:rPr>
          <w:rFonts w:ascii="Times New Roman" w:hAnsi="Times New Roman" w:cs="Times New Roman"/>
          <w:sz w:val="15"/>
          <w:szCs w:val="15"/>
        </w:rPr>
      </w:pPr>
    </w:p>
    <w:p w:rsidR="00000000" w:rsidRDefault="0057438D">
      <w:pPr>
        <w:pStyle w:val="DefaultParagraphFont"/>
        <w:widowControl w:val="0"/>
        <w:numPr>
          <w:ilvl w:val="0"/>
          <w:numId w:val="5"/>
        </w:numPr>
        <w:tabs>
          <w:tab w:val="clear" w:pos="720"/>
          <w:tab w:val="num" w:pos="400"/>
        </w:tabs>
        <w:overflowPunct w:val="0"/>
        <w:autoSpaceDE w:val="0"/>
        <w:autoSpaceDN w:val="0"/>
        <w:adjustRightInd w:val="0"/>
        <w:spacing w:after="0" w:line="240" w:lineRule="auto"/>
        <w:ind w:left="400" w:hanging="231"/>
        <w:jc w:val="both"/>
        <w:rPr>
          <w:rFonts w:ascii="Times New Roman" w:hAnsi="Times New Roman" w:cs="Times New Roman"/>
          <w:sz w:val="15"/>
          <w:szCs w:val="15"/>
        </w:rPr>
      </w:pPr>
      <w:r>
        <w:rPr>
          <w:rFonts w:ascii="Times New Roman" w:hAnsi="Times New Roman" w:cs="Times New Roman"/>
          <w:sz w:val="17"/>
          <w:szCs w:val="17"/>
        </w:rPr>
        <w:t>Average price paid per share is calculated on a settlement basis and excludes commission.</w:t>
      </w:r>
    </w:p>
    <w:p w:rsidR="00000000" w:rsidRDefault="0057438D">
      <w:pPr>
        <w:pStyle w:val="DefaultParagraphFont"/>
        <w:widowControl w:val="0"/>
        <w:autoSpaceDE w:val="0"/>
        <w:autoSpaceDN w:val="0"/>
        <w:adjustRightInd w:val="0"/>
        <w:spacing w:after="0" w:line="56" w:lineRule="exact"/>
        <w:rPr>
          <w:rFonts w:ascii="Times New Roman" w:hAnsi="Times New Roman" w:cs="Times New Roman"/>
          <w:sz w:val="15"/>
          <w:szCs w:val="15"/>
        </w:rPr>
      </w:pPr>
    </w:p>
    <w:p w:rsidR="00000000" w:rsidRDefault="0057438D">
      <w:pPr>
        <w:pStyle w:val="DefaultParagraphFont"/>
        <w:widowControl w:val="0"/>
        <w:numPr>
          <w:ilvl w:val="0"/>
          <w:numId w:val="5"/>
        </w:numPr>
        <w:tabs>
          <w:tab w:val="clear" w:pos="720"/>
          <w:tab w:val="num" w:pos="400"/>
        </w:tabs>
        <w:overflowPunct w:val="0"/>
        <w:autoSpaceDE w:val="0"/>
        <w:autoSpaceDN w:val="0"/>
        <w:adjustRightInd w:val="0"/>
        <w:spacing w:after="0" w:line="223" w:lineRule="auto"/>
        <w:ind w:left="400" w:right="120" w:hanging="231"/>
        <w:rPr>
          <w:rFonts w:ascii="Times New Roman" w:hAnsi="Times New Roman" w:cs="Times New Roman"/>
          <w:sz w:val="15"/>
          <w:szCs w:val="15"/>
        </w:rPr>
      </w:pPr>
      <w:r>
        <w:rPr>
          <w:rFonts w:ascii="Times New Roman" w:hAnsi="Times New Roman" w:cs="Times New Roman"/>
          <w:sz w:val="17"/>
          <w:szCs w:val="17"/>
        </w:rPr>
        <w:t>On April 23, 2014, the Company stated that fiscal year 2014 share repurchases to reduce Company shares outstanding were estimated to be approximately $6 billion.</w:t>
      </w:r>
      <w:r>
        <w:rPr>
          <w:rFonts w:ascii="Times New Roman" w:hAnsi="Times New Roman" w:cs="Times New Roman"/>
          <w:sz w:val="17"/>
          <w:szCs w:val="17"/>
        </w:rPr>
        <w:t xml:space="preserve"> This does not include any purchases under the Company's compensation and benefit plans. The share repurchases were authorized pursuant to a resolution issued by the Company's Board of Directors and were financed through a combination of operating cash flo</w:t>
      </w:r>
      <w:r>
        <w:rPr>
          <w:rFonts w:ascii="Times New Roman" w:hAnsi="Times New Roman" w:cs="Times New Roman"/>
          <w:sz w:val="17"/>
          <w:szCs w:val="17"/>
        </w:rPr>
        <w:t>ws and issuance of long-term and short-term debt. The total dollar value of shares purchased under the share repurchase plan was $6.0 billion. The share repurchase plan ended on June 30, 2014.</w:t>
      </w:r>
    </w:p>
    <w:p w:rsidR="00000000" w:rsidRDefault="0057438D">
      <w:pPr>
        <w:pStyle w:val="DefaultParagraphFont"/>
        <w:widowControl w:val="0"/>
        <w:autoSpaceDE w:val="0"/>
        <w:autoSpaceDN w:val="0"/>
        <w:adjustRightInd w:val="0"/>
        <w:spacing w:after="0" w:line="23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Additional information required by this item can be found in P</w:t>
      </w:r>
      <w:r>
        <w:rPr>
          <w:rFonts w:ascii="Times New Roman" w:hAnsi="Times New Roman" w:cs="Times New Roman"/>
          <w:sz w:val="19"/>
          <w:szCs w:val="19"/>
        </w:rPr>
        <w:t>art III, Item 12 of this Form 10-K.</w:t>
      </w:r>
    </w:p>
    <w:p w:rsidR="00000000" w:rsidRDefault="0057438D">
      <w:pPr>
        <w:pStyle w:val="DefaultParagraphFont"/>
        <w:widowControl w:val="0"/>
        <w:autoSpaceDE w:val="0"/>
        <w:autoSpaceDN w:val="0"/>
        <w:adjustRightInd w:val="0"/>
        <w:spacing w:after="0" w:line="236" w:lineRule="exact"/>
        <w:rPr>
          <w:rFonts w:ascii="Times New Roman" w:hAnsi="Times New Roman" w:cs="Times New Roman"/>
          <w:sz w:val="24"/>
          <w:szCs w:val="24"/>
        </w:rPr>
      </w:pPr>
      <w:r>
        <w:rPr>
          <w:noProof/>
        </w:rPr>
        <mc:AlternateContent>
          <mc:Choice Requires="wps">
            <w:drawing>
              <wp:anchor distT="0" distB="0" distL="114300" distR="114300" simplePos="0" relativeHeight="251678720" behindDoc="1" locked="0" layoutInCell="0" allowOverlap="1">
                <wp:simplePos x="0" y="0"/>
                <wp:positionH relativeFrom="column">
                  <wp:posOffset>-3175</wp:posOffset>
                </wp:positionH>
                <wp:positionV relativeFrom="paragraph">
                  <wp:posOffset>104140</wp:posOffset>
                </wp:positionV>
                <wp:extent cx="6205855" cy="0"/>
                <wp:effectExtent l="0" t="0" r="0" b="0"/>
                <wp:wrapNone/>
                <wp:docPr id="107"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5855" cy="0"/>
                        </a:xfrm>
                        <a:prstGeom prst="line">
                          <a:avLst/>
                        </a:prstGeom>
                        <a:noFill/>
                        <a:ln w="242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488.4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sqYIAIAAEUEAAAOAAAAZHJzL2Uyb0RvYy54bWysU02P2jAQvVfqf7B8h3w0sGxEWFUEetm2&#10;SLv9AcZ2iFXHtmxDQFX/e8cOQWx7qapyMOPMzJs3M8/Lp3Mn0YlbJ7SqcDZNMeKKaibUocLfXreT&#10;BUbOE8WI1IpX+MIdflq9f7fsTclz3WrJuEUAolzZmwq33psySRxteUfcVBuuwNlo2xEPV3tImCU9&#10;oHcyydN0nvTaMmM15c7B13pw4lXEbxpO/demcdwjWWHg5uNp47kPZ7JakvJgiWkFvdIg/8CiI0JB&#10;0RtUTTxBRyv+gOoEtdrpxk+p7hLdNILy2AN0k6W/dfPSEsNjLzAcZ25jcv8Pln457SwSDHaXPmCk&#10;SAdLehaKozwPw+mNKyFmrXY2tEfP6sU8a/rdIaXXLVEHHkm+XgzkZSEjeZMSLs5AiX3/WTOIIUev&#10;46TOje0CJMwAneNCLreF8LNHFD7O83S2mM0woqMvIeWYaKzzn7juUDAqLIF0BCanZ+cDEVKOIaGO&#10;0lshZdy3VKivcF7kRREznJaCBW+Ic/awX0uLTiRIJv5iW+C5DwvQNXHtEBddg5isPioWy7ScsM3V&#10;9kTIwQZaUoVC0CQQvVqDWH48po+bxWZRTIp8vpkUaV1PPm7XxWS+zR5m9Yd6va6zn4FzVpStYIyr&#10;QHsUblb8nTCuT2iQ3E26twElb9HjJIHs+B9Jxy2HxQ4S2Wt22dlx+6DVGHx9V+Ex3N/Bvn/9q18A&#10;AAD//wMAUEsDBBQABgAIAAAAIQClnRv33AAAAAcBAAAPAAAAZHJzL2Rvd25yZXYueG1sTI/NTsMw&#10;EITvSLyDtUi9tU5/CDTEqRBSpXJMC6JHN94mEfY6it02fXsWcSjHnRnNfpOvBmfFGfvQelIwnSQg&#10;kCpvWqoVfOzW42cQIWoy2npCBVcMsCru73KdGX+hEs/bWAsuoZBpBU2MXSZlqBp0Okx8h8Te0fdO&#10;Rz77WppeX7jcWTlLklQ63RJ/aHSHbw1W39uTU0BTH2b7+f79Ws6XdblJ7O7r+KnU6GF4fQERcYi3&#10;MPziMzoUzHTwJzJBWAXjRw6ynC5AsL18SnnJ4U+QRS7/8xc/AAAA//8DAFBLAQItABQABgAIAAAA&#10;IQC2gziS/gAAAOEBAAATAAAAAAAAAAAAAAAAAAAAAABbQ29udGVudF9UeXBlc10ueG1sUEsBAi0A&#10;FAAGAAgAAAAhADj9If/WAAAAlAEAAAsAAAAAAAAAAAAAAAAALwEAAF9yZWxzLy5yZWxzUEsBAi0A&#10;FAAGAAgAAAAhAFiOypggAgAARQQAAA4AAAAAAAAAAAAAAAAALgIAAGRycy9lMm9Eb2MueG1sUEsB&#10;Ai0AFAAGAAgAAAAhAKWdG/fcAAAABwEAAA8AAAAAAAAAAAAAAAAAegQAAGRycy9kb3ducmV2Lnht&#10;bFBLBQYAAAAABAAEAPMAAACDBQAAAAA=&#10;" o:allowincell="f" strokeweight=".67344mm"/>
            </w:pict>
          </mc:Fallback>
        </mc:AlternateConten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Shareholder Return Performance Graphs</w:t>
      </w:r>
    </w:p>
    <w:p w:rsidR="00000000" w:rsidRDefault="0057438D">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Market and Dividend Information</w:t>
      </w:r>
    </w:p>
    <w:p w:rsidR="00000000" w:rsidRDefault="0057438D">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rPr>
          <w:rFonts w:ascii="Times New Roman" w:hAnsi="Times New Roman" w:cs="Times New Roman"/>
          <w:sz w:val="24"/>
          <w:szCs w:val="24"/>
        </w:rPr>
      </w:pPr>
      <w:r>
        <w:rPr>
          <w:rFonts w:ascii="Times New Roman" w:hAnsi="Times New Roman" w:cs="Times New Roman"/>
          <w:sz w:val="19"/>
          <w:szCs w:val="19"/>
        </w:rPr>
        <w:t xml:space="preserve">P&amp;G has been paying a dividend for 124 consecutive years since its incorporation </w:t>
      </w:r>
      <w:r>
        <w:rPr>
          <w:rFonts w:ascii="Times New Roman" w:hAnsi="Times New Roman" w:cs="Times New Roman"/>
          <w:sz w:val="19"/>
          <w:szCs w:val="19"/>
        </w:rPr>
        <w:t>in 1890 and has increased its dividend for 58 consecutive years at an annual compound average rate of over 9%.</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9744" behindDoc="1" locked="0" layoutInCell="0" allowOverlap="1">
            <wp:simplePos x="0" y="0"/>
            <wp:positionH relativeFrom="column">
              <wp:posOffset>790575</wp:posOffset>
            </wp:positionH>
            <wp:positionV relativeFrom="paragraph">
              <wp:posOffset>142875</wp:posOffset>
            </wp:positionV>
            <wp:extent cx="4618355" cy="2824480"/>
            <wp:effectExtent l="0" t="0" r="0" b="0"/>
            <wp:wrapNone/>
            <wp:docPr id="1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8355" cy="28244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13" w:lineRule="exact"/>
        <w:rPr>
          <w:rFonts w:ascii="Times New Roman" w:hAnsi="Times New Roman" w:cs="Times New Roman"/>
          <w:sz w:val="24"/>
          <w:szCs w:val="24"/>
        </w:rPr>
      </w:pPr>
    </w:p>
    <w:tbl>
      <w:tblPr>
        <w:tblW w:w="0" w:type="auto"/>
        <w:tblInd w:w="900" w:type="dxa"/>
        <w:tblLayout w:type="fixed"/>
        <w:tblCellMar>
          <w:left w:w="0" w:type="dxa"/>
          <w:right w:w="0" w:type="dxa"/>
        </w:tblCellMar>
        <w:tblLook w:val="0000" w:firstRow="0" w:lastRow="0" w:firstColumn="0" w:lastColumn="0" w:noHBand="0" w:noVBand="0"/>
      </w:tblPr>
      <w:tblGrid>
        <w:gridCol w:w="1980"/>
        <w:gridCol w:w="860"/>
        <w:gridCol w:w="820"/>
        <w:gridCol w:w="820"/>
        <w:gridCol w:w="860"/>
        <w:gridCol w:w="880"/>
        <w:gridCol w:w="880"/>
        <w:gridCol w:w="600"/>
      </w:tblGrid>
      <w:tr w:rsidR="00000000">
        <w:tblPrEx>
          <w:tblCellMar>
            <w:top w:w="0" w:type="dxa"/>
            <w:left w:w="0" w:type="dxa"/>
            <w:bottom w:w="0" w:type="dxa"/>
            <w:right w:w="0" w:type="dxa"/>
          </w:tblCellMar>
        </w:tblPrEx>
        <w:trPr>
          <w:trHeight w:val="203"/>
        </w:trPr>
        <w:tc>
          <w:tcPr>
            <w:tcW w:w="1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5"/>
                <w:szCs w:val="15"/>
              </w:rPr>
              <w:t>(in dollars; split-adjusted)</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4"/>
              <w:jc w:val="right"/>
              <w:rPr>
                <w:rFonts w:ascii="Times New Roman" w:hAnsi="Times New Roman" w:cs="Times New Roman"/>
                <w:sz w:val="24"/>
                <w:szCs w:val="24"/>
              </w:rPr>
            </w:pPr>
            <w:r>
              <w:rPr>
                <w:rFonts w:ascii="Times New Roman" w:hAnsi="Times New Roman" w:cs="Times New Roman"/>
                <w:b/>
                <w:bCs/>
                <w:sz w:val="15"/>
                <w:szCs w:val="15"/>
              </w:rPr>
              <w:t>1956</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4"/>
              <w:jc w:val="right"/>
              <w:rPr>
                <w:rFonts w:ascii="Times New Roman" w:hAnsi="Times New Roman" w:cs="Times New Roman"/>
                <w:sz w:val="24"/>
                <w:szCs w:val="24"/>
              </w:rPr>
            </w:pPr>
            <w:r>
              <w:rPr>
                <w:rFonts w:ascii="Times New Roman" w:hAnsi="Times New Roman" w:cs="Times New Roman"/>
                <w:b/>
                <w:bCs/>
                <w:sz w:val="15"/>
                <w:szCs w:val="15"/>
              </w:rPr>
              <w:t>1966</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4"/>
              <w:jc w:val="right"/>
              <w:rPr>
                <w:rFonts w:ascii="Times New Roman" w:hAnsi="Times New Roman" w:cs="Times New Roman"/>
                <w:sz w:val="24"/>
                <w:szCs w:val="24"/>
              </w:rPr>
            </w:pPr>
            <w:r>
              <w:rPr>
                <w:rFonts w:ascii="Times New Roman" w:hAnsi="Times New Roman" w:cs="Times New Roman"/>
                <w:b/>
                <w:bCs/>
                <w:sz w:val="15"/>
                <w:szCs w:val="15"/>
              </w:rPr>
              <w:t>1976</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4"/>
              <w:jc w:val="right"/>
              <w:rPr>
                <w:rFonts w:ascii="Times New Roman" w:hAnsi="Times New Roman" w:cs="Times New Roman"/>
                <w:sz w:val="24"/>
                <w:szCs w:val="24"/>
              </w:rPr>
            </w:pPr>
            <w:r>
              <w:rPr>
                <w:rFonts w:ascii="Times New Roman" w:hAnsi="Times New Roman" w:cs="Times New Roman"/>
                <w:b/>
                <w:bCs/>
                <w:sz w:val="15"/>
                <w:szCs w:val="15"/>
              </w:rPr>
              <w:t>1986</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4"/>
              <w:jc w:val="right"/>
              <w:rPr>
                <w:rFonts w:ascii="Times New Roman" w:hAnsi="Times New Roman" w:cs="Times New Roman"/>
                <w:sz w:val="24"/>
                <w:szCs w:val="24"/>
              </w:rPr>
            </w:pPr>
            <w:r>
              <w:rPr>
                <w:rFonts w:ascii="Times New Roman" w:hAnsi="Times New Roman" w:cs="Times New Roman"/>
                <w:b/>
                <w:bCs/>
                <w:sz w:val="15"/>
                <w:szCs w:val="15"/>
              </w:rPr>
              <w:t>1996</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4"/>
              <w:jc w:val="right"/>
              <w:rPr>
                <w:rFonts w:ascii="Times New Roman" w:hAnsi="Times New Roman" w:cs="Times New Roman"/>
                <w:sz w:val="24"/>
                <w:szCs w:val="24"/>
              </w:rPr>
            </w:pPr>
            <w:r>
              <w:rPr>
                <w:rFonts w:ascii="Times New Roman" w:hAnsi="Times New Roman" w:cs="Times New Roman"/>
                <w:b/>
                <w:bCs/>
                <w:sz w:val="15"/>
                <w:szCs w:val="15"/>
              </w:rPr>
              <w:t>2006</w:t>
            </w: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2014</w:t>
            </w: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920" w:bottom="1028" w:left="860" w:header="720" w:footer="720" w:gutter="0"/>
          <w:cols w:space="1240" w:equalWidth="0">
            <w:col w:w="9740" w:space="1240"/>
          </w:cols>
          <w:noEndnote/>
        </w:sectPr>
      </w:pPr>
      <w:r>
        <w:rPr>
          <w:noProof/>
        </w:rPr>
        <mc:AlternateContent>
          <mc:Choice Requires="wps">
            <w:drawing>
              <wp:anchor distT="0" distB="0" distL="114300" distR="114300" simplePos="0" relativeHeight="251680768" behindDoc="1" locked="0" layoutInCell="0" allowOverlap="1">
                <wp:simplePos x="0" y="0"/>
                <wp:positionH relativeFrom="column">
                  <wp:posOffset>542290</wp:posOffset>
                </wp:positionH>
                <wp:positionV relativeFrom="paragraph">
                  <wp:posOffset>22225</wp:posOffset>
                </wp:positionV>
                <wp:extent cx="1296670" cy="169545"/>
                <wp:effectExtent l="0" t="0" r="0" b="0"/>
                <wp:wrapNone/>
                <wp:docPr id="10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670" cy="16954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42.7pt;margin-top:1.75pt;width:102.1pt;height:13.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AgefgIAAP4EAAAOAAAAZHJzL2Uyb0RvYy54bWysVNuO0zAQfUfiHyy/d3NRkjbRpqu9UIS0&#10;wIqFD3Btp7FwbGO7TRfEvzN22tIFHhCilRzbMz4+M3PGl1f7QaIdt05o1eLsIsWIK6qZUJsWf/q4&#10;mi0wcp4oRqRWvMVP3OGr5csXl6NpeK57LRm3CECUa0bT4t570ySJoz0fiLvQhiswdtoOxMPSbhJm&#10;yQjog0zyNK2SUVtmrKbcOdi9m4x4GfG7jlP/vusc90i2GLj5ONo4rsOYLC9Js7HE9IIeaJB/YDEQ&#10;oeDSE9Qd8QRtrfgNahDUaqc7f0H1kOiuE5THGCCaLP0lmseeGB5jgeQ4c0qT+3+w9N3uwSLBoHZp&#10;iZEiAxTpA6SNqI3kKC9ChkbjGnB8NA82xOjMvaafHVL6tgc3fm2tHntOGPDKgn/y7EBYODiK1uNb&#10;zQCebL2Oydp3dgiAkAa0jzV5OtWE7z2isJnldVXNoXQUbFlVl0UZryDN8bSxzr/mekBh0mIL5CM6&#10;2d07H9iQ5ugS2Wsp2EpIGRd2s76VFu0I6ONVFf4HdHfuJlVwVjocmxCnHSAJdwRboBvr/a3O8iK9&#10;yevZqlrMZ8WqKGf1PF3M0qy+qau0qIu71fdAMCuaXjDG1b1Q/Ki9rPi72h66YFJNVB8aW1yXeRlj&#10;f8benQeZxt+fghyEh1aUYmjx4uREmlDYV4pB2KTxRMhpnjynH7MMOTh+Y1aiDELlJwWtNXsCFVgN&#10;RYJ6wqMBk17brxiN0IAtdl+2xHKM5BsFSqqzoggdGxdFOc9hYc8t63MLURSgWuwxmqa3furyrbFi&#10;08NNWUyM0tegvk5EYQRlTqwOmoUmixEcHoTQxefr6PXz2Vr+AAAA//8DAFBLAwQUAAYACAAAACEA&#10;KTqMr9wAAAAHAQAADwAAAGRycy9kb3ducmV2LnhtbEyOwU7DMBBE70j8g7VI3KhDaKM0xKkQKhIH&#10;oGrhA7bJ4gTidYjdNvw9ywmOoxm9eeVqcr060hg6zwauZwko4to3HVsDb68PVzmoEJEb7D2TgW8K&#10;sKrOz0osGn/iLR130SqBcCjQQBvjUGgd6pYchpkfiKV796PDKHG0uhnxJHDX6zRJMu2wY3locaD7&#10;lurP3cEZmOxmu/7Knp4366Gz+PLh50v/aMzlxXR3CyrSFP/G8Ksv6lCJ094fuAmqN5Av5rI0cLMA&#10;JXWaLzNQe8lJCroq9X//6gcAAP//AwBQSwECLQAUAAYACAAAACEAtoM4kv4AAADhAQAAEwAAAAAA&#10;AAAAAAAAAAAAAAAAW0NvbnRlbnRfVHlwZXNdLnhtbFBLAQItABQABgAIAAAAIQA4/SH/1gAAAJQB&#10;AAALAAAAAAAAAAAAAAAAAC8BAABfcmVscy8ucmVsc1BLAQItABQABgAIAAAAIQB4XAgefgIAAP4E&#10;AAAOAAAAAAAAAAAAAAAAAC4CAABkcnMvZTJvRG9jLnhtbFBLAQItABQABgAIAAAAIQApOoyv3AAA&#10;AAcBAAAPAAAAAAAAAAAAAAAAANgEAABkcnMvZG93bnJldi54bWxQSwUGAAAAAAQABADzAAAA4QUA&#10;AAAA&#10;" o:allowincell="f" fillcolor="#e6e6e6" stroked="f"/>
            </w:pict>
          </mc:Fallback>
        </mc:AlternateContent>
      </w:r>
      <w:r>
        <w:rPr>
          <w:noProof/>
        </w:rPr>
        <mc:AlternateContent>
          <mc:Choice Requires="wps">
            <w:drawing>
              <wp:anchor distT="0" distB="0" distL="114300" distR="114300" simplePos="0" relativeHeight="251681792" behindDoc="1" locked="0" layoutInCell="0" allowOverlap="1">
                <wp:simplePos x="0" y="0"/>
                <wp:positionH relativeFrom="column">
                  <wp:posOffset>1839595</wp:posOffset>
                </wp:positionH>
                <wp:positionV relativeFrom="paragraph">
                  <wp:posOffset>22225</wp:posOffset>
                </wp:positionV>
                <wp:extent cx="3806190" cy="169545"/>
                <wp:effectExtent l="0" t="0" r="0" b="0"/>
                <wp:wrapNone/>
                <wp:docPr id="10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6190" cy="16954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144.85pt;margin-top:1.75pt;width:299.7pt;height:13.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mVgAIAAP4EAAAOAAAAZHJzL2Uyb0RvYy54bWysVG1v0zAQ/o7Ef7D8vc0LaddES6dtXRHS&#10;gInBD3Btp7FwbGO7TQfiv3N22pIBHxCilRzbdz4/d89zvrw6dBLtuXVCqxpn0xQjrqhmQm1r/Onj&#10;erLAyHmiGJFa8Ro/cYevli9fXPam4rlutWTcIgiiXNWbGrfemypJHG15R9xUG67A2GjbEQ9Lu02Y&#10;JT1E72SSp+k86bVlxmrKnYPd1WDEyxi/aTj175vGcY9kjQGbj6ON4yaMyfKSVFtLTCvoEQb5BxQd&#10;EQouPYdaEU/QzorfQnWCWu1046dUd4luGkF5zAGyydJfsnlsieExFyiOM+cyuf8Xlr7bP1gkGHCX&#10;5hgp0gFJH6BsRG0lR/ksVKg3rgLHR/NgQ47O3Gv62SGlb1tw49fW6r7lhAGuLPgnzw6EhYOjaNO/&#10;1QzCk53XsViHxnYhIJQBHSInT2dO+MEjCpuvFuk8K4E6CrZsXs6KCCkh1em0sc6/5rpDYVJjC+Bj&#10;dLK/dz6gIdXJJaLXUrC1kDIu7HZzKy3aE9DH3Tz8YwKQ5NhNquCsdDg2RBx2ACTcEWwBbuT7W5nl&#10;RXqTl5P1fHExKdbFbFJepItJmpU35TwtymK1/h4AZkXVCsa4uheKn7SXFX/H7bELBtVE9aG+xuUM&#10;CIt5jdG7cZJp/P0pyU54aEUpuhovzk6kCsTeKQZpk8oTIYd58hx+rDLU4PSNVYkyCMwPCtpo9gQq&#10;sBpIAj7h0YBJq+1XjHpowBq7LztiOUbyjQIllVlRhI6Ni2J2kcPCji2bsYUoCqFq7DEaprd+6PKd&#10;sWLbwk1ZLIzS16C+RkRhBGUOqI6ahSaLGRwfhNDF43X0+vlsLX8AAAD//wMAUEsDBBQABgAIAAAA&#10;IQAKEQ1L3gAAAAgBAAAPAAAAZHJzL2Rvd25yZXYueG1sTI/BTsMwEETvSPyDtUjcqNMAJQlxKoSK&#10;xAGoWviAbbwkgXgdYrcNf89yguNoRjNvyuXkenWgMXSeDcxnCSji2tuOGwNvrw8XGagQkS32nsnA&#10;NwVYVqcnJRbWH3lDh21slJRwKNBAG+NQaB3qlhyGmR+IxXv3o8Mocmy0HfEo5a7XaZIstMOOZaHF&#10;ge5bqj+3e2dgatab1dfi6Xm9GroGXz78Ve4fjTk/m+5uQUWa4l8YfvEFHSph2vk926B6A2mW30jU&#10;wOU1KPGzLJ+D2olOUtBVqf8fqH4AAAD//wMAUEsBAi0AFAAGAAgAAAAhALaDOJL+AAAA4QEAABMA&#10;AAAAAAAAAAAAAAAAAAAAAFtDb250ZW50X1R5cGVzXS54bWxQSwECLQAUAAYACAAAACEAOP0h/9YA&#10;AACUAQAACwAAAAAAAAAAAAAAAAAvAQAAX3JlbHMvLnJlbHNQSwECLQAUAAYACAAAACEAzKFplYAC&#10;AAD+BAAADgAAAAAAAAAAAAAAAAAuAgAAZHJzL2Uyb0RvYy54bWxQSwECLQAUAAYACAAAACEAChEN&#10;S94AAAAIAQAADwAAAAAAAAAAAAAAAADaBAAAZHJzL2Rvd25yZXYueG1sUEsFBgAAAAAEAAQA8wAA&#10;AOUFAAAAAA==&#10;" o:allowincell="f" fillcolor="#e6e6e6" stroked="f"/>
            </w:pict>
          </mc:Fallback>
        </mc:AlternateContent>
      </w:r>
      <w:r>
        <w:rPr>
          <w:noProof/>
        </w:rPr>
        <mc:AlternateContent>
          <mc:Choice Requires="wps">
            <w:drawing>
              <wp:anchor distT="0" distB="0" distL="114300" distR="114300" simplePos="0" relativeHeight="251682816" behindDoc="1" locked="0" layoutInCell="0" allowOverlap="1">
                <wp:simplePos x="0" y="0"/>
                <wp:positionH relativeFrom="column">
                  <wp:posOffset>1838960</wp:posOffset>
                </wp:positionH>
                <wp:positionV relativeFrom="paragraph">
                  <wp:posOffset>21590</wp:posOffset>
                </wp:positionV>
                <wp:extent cx="3806190" cy="0"/>
                <wp:effectExtent l="0" t="0" r="0" b="0"/>
                <wp:wrapNone/>
                <wp:docPr id="10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0619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8pt,1.7pt" to="444.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XtHwIAAEUEAAAOAAAAZHJzL2Uyb0RvYy54bWysU8GO2jAQvVfqP1i+QxI2SyEirKoEetm2&#10;SLv9AGM7xKpjW7YhoKr/3rFDENteqqoczDgz8+bNvPHq6dxJdOLWCa1KnE1TjLiimgl1KPG31+1k&#10;gZHzRDEiteIlvnCHn9bv3616U/CZbrVk3CIAUa7oTYlb702RJI62vCNuqg1X4Gy07YiHqz0kzJIe&#10;0DuZzNJ0nvTaMmM15c7B13pw4nXEbxpO/demcdwjWWLg5uNp47kPZ7JekeJgiWkFvdIg/8CiI0JB&#10;0RtUTTxBRyv+gOoEtdrpxk+p7hLdNILy2AN0k6W/dfPSEsNjLzAcZ25jcv8Pln457SwSDLRLM4wU&#10;6UCkZ6E4ms3DcHrjCoip1M6G9uhZvZhnTb87pHTVEnXgkeTrxUBeFjKSNynh4gyU2PefNYMYcvQ6&#10;Turc2C5AwgzQOQpyuQnCzx5R+PiwSOfZEnSjoy8hxZhorPOfuO5QMEosgXQEJqdn5wMRUowhoY7S&#10;WyFl1Fsq1APbWZY9xgynpWDBG+KcPewradGJhJWJv9gWeO7DAnRNXDvERdewTFYfFYtlWk7Y5mp7&#10;IuRgAy2pQiFoEoherWFZfizT5WaxWeSTfDbfTPK0ricft1U+mW+zD4/1Q11VdfYzcM7yohWMcRVo&#10;j4ub5X+3GNcnNKzcbXVvA0reosdJAtnxP5KOKgdhhxXZa3bZ2VF92NUYfH1X4THc38G+f/3rXwAA&#10;AP//AwBQSwMEFAAGAAgAAAAhAMmqUL3ZAAAABwEAAA8AAABkcnMvZG93bnJldi54bWxMj0FLxDAQ&#10;he+C/yGM4M1N3ZWlrU0XEQpe3RXBW9KMbTGZ1Cbt1n/v6EWPj/fmzfeqw+qdWHCKQyAFt5sMBFIb&#10;7ECdgpdTc5ODiEmT1S4QKvjCCIf68qLSpQ1nesblmDrBJRRLraBPaSyljG2PXsdNGJHYew+T14nl&#10;1Ek76TOXeye3WbaXXg/EH3o94mOP7cdx9oyxc0thltk0b59SmvbJnexro9T11fpwDyLhmv7C8IPP&#10;N1Azkwkz2Sicgm1e7DmqYHcHgv08L3ib+dWyruR//vobAAD//wMAUEsBAi0AFAAGAAgAAAAhALaD&#10;OJL+AAAA4QEAABMAAAAAAAAAAAAAAAAAAAAAAFtDb250ZW50X1R5cGVzXS54bWxQSwECLQAUAAYA&#10;CAAAACEAOP0h/9YAAACUAQAACwAAAAAAAAAAAAAAAAAvAQAAX3JlbHMvLnJlbHNQSwECLQAUAAYA&#10;CAAAACEAh4aF7R8CAABFBAAADgAAAAAAAAAAAAAAAAAuAgAAZHJzL2Uyb0RvYy54bWxQSwECLQAU&#10;AAYACAAAACEAyapQvdkAAAAHAQAADwAAAAAAAAAAAAAAAAB5BAAAZHJzL2Rvd25yZXYueG1sUEsF&#10;BgAAAAAEAAQA8wAAAH8FAAAAAA==&#10;" o:allowincell="f" strokeweight=".33653mm"/>
            </w:pict>
          </mc:Fallback>
        </mc:AlternateContent>
      </w:r>
    </w:p>
    <w:p w:rsidR="00000000" w:rsidRDefault="0057438D">
      <w:pPr>
        <w:pStyle w:val="DefaultParagraphFont"/>
        <w:widowControl w:val="0"/>
        <w:autoSpaceDE w:val="0"/>
        <w:autoSpaceDN w:val="0"/>
        <w:adjustRightInd w:val="0"/>
        <w:spacing w:after="0" w:line="41" w:lineRule="exact"/>
        <w:rPr>
          <w:rFonts w:ascii="Times New Roman" w:hAnsi="Times New Roman" w:cs="Times New Roman"/>
          <w:sz w:val="24"/>
          <w:szCs w:val="24"/>
        </w:rPr>
      </w:pPr>
    </w:p>
    <w:p w:rsidR="00000000" w:rsidRDefault="0057438D">
      <w:pPr>
        <w:pStyle w:val="DefaultParagraphFont"/>
        <w:widowControl w:val="0"/>
        <w:tabs>
          <w:tab w:val="left" w:pos="20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Dividends per Share</w:t>
      </w:r>
      <w:r>
        <w:rPr>
          <w:rFonts w:ascii="Times New Roman" w:hAnsi="Times New Roman" w:cs="Times New Roman"/>
          <w:sz w:val="24"/>
          <w:szCs w:val="24"/>
        </w:rPr>
        <w:tab/>
      </w:r>
      <w:r>
        <w:rPr>
          <w:rFonts w:ascii="Times New Roman" w:hAnsi="Times New Roman" w:cs="Times New Roman"/>
          <w:sz w:val="17"/>
          <w:szCs w:val="17"/>
        </w:rPr>
        <w:t xml:space="preserve">$   0.01   $   0.03   $   0.06   $   0.16   $   0.40   $   1.15   $   </w:t>
      </w:r>
      <w:r>
        <w:rPr>
          <w:rFonts w:ascii="Times New Roman" w:hAnsi="Times New Roman" w:cs="Times New Roman"/>
          <w:b/>
          <w:bCs/>
          <w:sz w:val="17"/>
          <w:szCs w:val="17"/>
        </w:rPr>
        <w:t>2.45</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1960" w:bottom="1028" w:left="1760" w:header="720" w:footer="720" w:gutter="0"/>
          <w:cols w:space="1240" w:equalWidth="0">
            <w:col w:w="7800" w:space="124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20</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9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QUARTERLY DIVIDENDS</w:t>
      </w:r>
    </w:p>
    <w:p w:rsidR="00000000" w:rsidRDefault="0057438D">
      <w:pPr>
        <w:pStyle w:val="DefaultParagraphFont"/>
        <w:widowControl w:val="0"/>
        <w:autoSpaceDE w:val="0"/>
        <w:autoSpaceDN w:val="0"/>
        <w:adjustRightInd w:val="0"/>
        <w:spacing w:after="0" w:line="360" w:lineRule="exact"/>
        <w:rPr>
          <w:rFonts w:ascii="Times New Roman" w:hAnsi="Times New Roman" w:cs="Times New Roman"/>
          <w:sz w:val="24"/>
          <w:szCs w:val="24"/>
        </w:rPr>
      </w:pPr>
    </w:p>
    <w:tbl>
      <w:tblPr>
        <w:tblW w:w="0" w:type="auto"/>
        <w:tblInd w:w="1780" w:type="dxa"/>
        <w:tblLayout w:type="fixed"/>
        <w:tblCellMar>
          <w:left w:w="0" w:type="dxa"/>
          <w:right w:w="0" w:type="dxa"/>
        </w:tblCellMar>
        <w:tblLook w:val="0000" w:firstRow="0" w:lastRow="0" w:firstColumn="0" w:lastColumn="0" w:noHBand="0" w:noVBand="0"/>
      </w:tblPr>
      <w:tblGrid>
        <w:gridCol w:w="3440"/>
        <w:gridCol w:w="360"/>
        <w:gridCol w:w="960"/>
        <w:gridCol w:w="120"/>
        <w:gridCol w:w="360"/>
        <w:gridCol w:w="960"/>
      </w:tblGrid>
      <w:tr w:rsidR="00000000">
        <w:tblPrEx>
          <w:tblCellMar>
            <w:top w:w="0" w:type="dxa"/>
            <w:left w:w="0" w:type="dxa"/>
            <w:bottom w:w="0" w:type="dxa"/>
            <w:right w:w="0" w:type="dxa"/>
          </w:tblCellMar>
        </w:tblPrEx>
        <w:trPr>
          <w:trHeight w:val="203"/>
        </w:trPr>
        <w:tc>
          <w:tcPr>
            <w:tcW w:w="3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rPr>
              <w:t>Quarter Ended</w:t>
            </w: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2013-2014</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2012-2013</w:t>
            </w:r>
          </w:p>
        </w:tc>
      </w:tr>
      <w:tr w:rsidR="00000000">
        <w:tblPrEx>
          <w:tblCellMar>
            <w:top w:w="0" w:type="dxa"/>
            <w:left w:w="0" w:type="dxa"/>
            <w:bottom w:w="0" w:type="dxa"/>
            <w:right w:w="0" w:type="dxa"/>
          </w:tblCellMar>
        </w:tblPrEx>
        <w:trPr>
          <w:trHeight w:val="25"/>
        </w:trPr>
        <w:tc>
          <w:tcPr>
            <w:tcW w:w="34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7"/>
        </w:trPr>
        <w:tc>
          <w:tcPr>
            <w:tcW w:w="34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7"/>
                <w:szCs w:val="17"/>
              </w:rPr>
              <w:t>September 30</w:t>
            </w:r>
          </w:p>
        </w:tc>
        <w:tc>
          <w:tcPr>
            <w:tcW w:w="3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34"/>
              <w:jc w:val="right"/>
              <w:rPr>
                <w:rFonts w:ascii="Times New Roman" w:hAnsi="Times New Roman" w:cs="Times New Roman"/>
                <w:sz w:val="24"/>
                <w:szCs w:val="24"/>
              </w:rPr>
            </w:pPr>
            <w:r>
              <w:rPr>
                <w:rFonts w:ascii="Times New Roman" w:hAnsi="Times New Roman" w:cs="Times New Roman"/>
                <w:b/>
                <w:bCs/>
                <w:sz w:val="17"/>
                <w:szCs w:val="17"/>
              </w:rPr>
              <w:t>$</w:t>
            </w:r>
          </w:p>
        </w:tc>
        <w:tc>
          <w:tcPr>
            <w:tcW w:w="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0.6015</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34"/>
              <w:jc w:val="right"/>
              <w:rPr>
                <w:rFonts w:ascii="Times New Roman" w:hAnsi="Times New Roman" w:cs="Times New Roman"/>
                <w:sz w:val="24"/>
                <w:szCs w:val="24"/>
              </w:rPr>
            </w:pPr>
            <w:r>
              <w:rPr>
                <w:rFonts w:ascii="Times New Roman" w:hAnsi="Times New Roman" w:cs="Times New Roman"/>
                <w:sz w:val="17"/>
                <w:szCs w:val="17"/>
              </w:rPr>
              <w:t>$</w:t>
            </w:r>
          </w:p>
        </w:tc>
        <w:tc>
          <w:tcPr>
            <w:tcW w:w="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0.5620</w:t>
            </w:r>
          </w:p>
        </w:tc>
      </w:tr>
      <w:tr w:rsidR="00000000">
        <w:tblPrEx>
          <w:tblCellMar>
            <w:top w:w="0" w:type="dxa"/>
            <w:left w:w="0" w:type="dxa"/>
            <w:bottom w:w="0" w:type="dxa"/>
            <w:right w:w="0" w:type="dxa"/>
          </w:tblCellMar>
        </w:tblPrEx>
        <w:trPr>
          <w:trHeight w:val="234"/>
        </w:trPr>
        <w:tc>
          <w:tcPr>
            <w:tcW w:w="3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7"/>
                <w:szCs w:val="17"/>
              </w:rPr>
              <w:t>December 31</w:t>
            </w: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0.6015</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0.5620</w:t>
            </w:r>
          </w:p>
        </w:tc>
      </w:tr>
      <w:tr w:rsidR="00000000">
        <w:tblPrEx>
          <w:tblCellMar>
            <w:top w:w="0" w:type="dxa"/>
            <w:left w:w="0" w:type="dxa"/>
            <w:bottom w:w="0" w:type="dxa"/>
            <w:right w:w="0" w:type="dxa"/>
          </w:tblCellMar>
        </w:tblPrEx>
        <w:trPr>
          <w:trHeight w:val="33"/>
        </w:trPr>
        <w:tc>
          <w:tcPr>
            <w:tcW w:w="3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34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7"/>
                <w:szCs w:val="17"/>
              </w:rPr>
              <w:t>March 31</w:t>
            </w:r>
          </w:p>
        </w:tc>
        <w:tc>
          <w:tcPr>
            <w:tcW w:w="3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0.6015</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0.5620</w:t>
            </w:r>
          </w:p>
        </w:tc>
      </w:tr>
      <w:tr w:rsidR="00000000">
        <w:tblPrEx>
          <w:tblCellMar>
            <w:top w:w="0" w:type="dxa"/>
            <w:left w:w="0" w:type="dxa"/>
            <w:bottom w:w="0" w:type="dxa"/>
            <w:right w:w="0" w:type="dxa"/>
          </w:tblCellMar>
        </w:tblPrEx>
        <w:trPr>
          <w:trHeight w:val="234"/>
        </w:trPr>
        <w:tc>
          <w:tcPr>
            <w:tcW w:w="3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7"/>
                <w:szCs w:val="17"/>
              </w:rPr>
              <w:t>June 30</w:t>
            </w: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0.6436</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0.6015</w:t>
            </w:r>
          </w:p>
        </w:tc>
      </w:tr>
    </w:tbl>
    <w:p w:rsidR="00000000" w:rsidRDefault="0057438D">
      <w:pPr>
        <w:pStyle w:val="DefaultParagraphFont"/>
        <w:widowControl w:val="0"/>
        <w:autoSpaceDE w:val="0"/>
        <w:autoSpaceDN w:val="0"/>
        <w:adjustRightInd w:val="0"/>
        <w:spacing w:after="0" w:line="28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COMMON STOCK PRICE RANGE</w:t>
      </w:r>
    </w:p>
    <w:p w:rsidR="00000000" w:rsidRDefault="0057438D">
      <w:pPr>
        <w:pStyle w:val="DefaultParagraphFont"/>
        <w:widowControl w:val="0"/>
        <w:autoSpaceDE w:val="0"/>
        <w:autoSpaceDN w:val="0"/>
        <w:adjustRightInd w:val="0"/>
        <w:spacing w:after="0" w:line="287" w:lineRule="exact"/>
        <w:rPr>
          <w:rFonts w:ascii="Times New Roman" w:hAnsi="Times New Roman" w:cs="Times New Roman"/>
          <w:sz w:val="24"/>
          <w:szCs w:val="24"/>
        </w:rPr>
      </w:pPr>
    </w:p>
    <w:tbl>
      <w:tblPr>
        <w:tblW w:w="0" w:type="auto"/>
        <w:tblInd w:w="1700" w:type="dxa"/>
        <w:tblLayout w:type="fixed"/>
        <w:tblCellMar>
          <w:left w:w="0" w:type="dxa"/>
          <w:right w:w="0" w:type="dxa"/>
        </w:tblCellMar>
        <w:tblLook w:val="0000" w:firstRow="0" w:lastRow="0" w:firstColumn="0" w:lastColumn="0" w:noHBand="0" w:noVBand="0"/>
      </w:tblPr>
      <w:tblGrid>
        <w:gridCol w:w="3060"/>
        <w:gridCol w:w="760"/>
        <w:gridCol w:w="80"/>
        <w:gridCol w:w="760"/>
        <w:gridCol w:w="80"/>
        <w:gridCol w:w="760"/>
        <w:gridCol w:w="80"/>
        <w:gridCol w:w="760"/>
        <w:gridCol w:w="20"/>
      </w:tblGrid>
      <w:tr w:rsidR="00000000">
        <w:tblPrEx>
          <w:tblCellMar>
            <w:top w:w="0" w:type="dxa"/>
            <w:left w:w="0" w:type="dxa"/>
            <w:bottom w:w="0" w:type="dxa"/>
            <w:right w:w="0" w:type="dxa"/>
          </w:tblCellMar>
        </w:tblPrEx>
        <w:trPr>
          <w:trHeight w:val="203"/>
        </w:trPr>
        <w:tc>
          <w:tcPr>
            <w:tcW w:w="3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99"/>
              <w:jc w:val="right"/>
              <w:rPr>
                <w:rFonts w:ascii="Times New Roman" w:hAnsi="Times New Roman" w:cs="Times New Roman"/>
                <w:sz w:val="24"/>
                <w:szCs w:val="24"/>
              </w:rPr>
            </w:pPr>
            <w:r>
              <w:rPr>
                <w:rFonts w:ascii="Times New Roman" w:hAnsi="Times New Roman" w:cs="Times New Roman"/>
                <w:b/>
                <w:bCs/>
                <w:sz w:val="15"/>
                <w:szCs w:val="15"/>
              </w:rPr>
              <w:t>2013-2014</w:t>
            </w:r>
          </w:p>
        </w:tc>
        <w:tc>
          <w:tcPr>
            <w:tcW w:w="168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59"/>
              <w:jc w:val="right"/>
              <w:rPr>
                <w:rFonts w:ascii="Times New Roman" w:hAnsi="Times New Roman" w:cs="Times New Roman"/>
                <w:sz w:val="24"/>
                <w:szCs w:val="24"/>
              </w:rPr>
            </w:pPr>
            <w:r>
              <w:rPr>
                <w:rFonts w:ascii="Times New Roman" w:hAnsi="Times New Roman" w:cs="Times New Roman"/>
                <w:b/>
                <w:bCs/>
                <w:sz w:val="15"/>
                <w:szCs w:val="15"/>
              </w:rPr>
              <w:t>2012 - 2013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30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rPr>
              <w:t>Quarter Ended</w:t>
            </w: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30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7"/>
              <w:jc w:val="right"/>
              <w:rPr>
                <w:rFonts w:ascii="Times New Roman" w:hAnsi="Times New Roman" w:cs="Times New Roman"/>
                <w:sz w:val="24"/>
                <w:szCs w:val="24"/>
              </w:rPr>
            </w:pPr>
            <w:r>
              <w:rPr>
                <w:rFonts w:ascii="Times New Roman" w:hAnsi="Times New Roman" w:cs="Times New Roman"/>
                <w:b/>
                <w:bCs/>
                <w:sz w:val="15"/>
                <w:szCs w:val="15"/>
              </w:rPr>
              <w:t>High</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59"/>
              <w:jc w:val="right"/>
              <w:rPr>
                <w:rFonts w:ascii="Times New Roman" w:hAnsi="Times New Roman" w:cs="Times New Roman"/>
                <w:sz w:val="24"/>
                <w:szCs w:val="24"/>
              </w:rPr>
            </w:pPr>
            <w:r>
              <w:rPr>
                <w:rFonts w:ascii="Times New Roman" w:hAnsi="Times New Roman" w:cs="Times New Roman"/>
                <w:b/>
                <w:bCs/>
                <w:sz w:val="15"/>
                <w:szCs w:val="15"/>
              </w:rPr>
              <w:t>Low</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9"/>
              <w:jc w:val="right"/>
              <w:rPr>
                <w:rFonts w:ascii="Times New Roman" w:hAnsi="Times New Roman" w:cs="Times New Roman"/>
                <w:sz w:val="24"/>
                <w:szCs w:val="24"/>
              </w:rPr>
            </w:pPr>
            <w:r>
              <w:rPr>
                <w:rFonts w:ascii="Times New Roman" w:hAnsi="Times New Roman" w:cs="Times New Roman"/>
                <w:b/>
                <w:bCs/>
                <w:sz w:val="15"/>
                <w:szCs w:val="15"/>
              </w:rPr>
              <w:t>High</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59"/>
              <w:jc w:val="right"/>
              <w:rPr>
                <w:rFonts w:ascii="Times New Roman" w:hAnsi="Times New Roman" w:cs="Times New Roman"/>
                <w:sz w:val="24"/>
                <w:szCs w:val="24"/>
              </w:rPr>
            </w:pPr>
            <w:r>
              <w:rPr>
                <w:rFonts w:ascii="Times New Roman" w:hAnsi="Times New Roman" w:cs="Times New Roman"/>
                <w:b/>
                <w:bCs/>
                <w:sz w:val="15"/>
                <w:szCs w:val="15"/>
              </w:rPr>
              <w:t>Low</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30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7"/>
        </w:trPr>
        <w:tc>
          <w:tcPr>
            <w:tcW w:w="3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September 30</w:t>
            </w: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  82.40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  73.61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  69.97</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  60.78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4"/>
        </w:trPr>
        <w:tc>
          <w:tcPr>
            <w:tcW w:w="3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December 31</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85.82</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75.20</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70.99</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65.84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3"/>
        </w:trPr>
        <w:tc>
          <w:tcPr>
            <w:tcW w:w="3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3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March 31</w:t>
            </w: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81.70</w:t>
            </w:r>
          </w:p>
        </w:tc>
        <w:tc>
          <w:tcPr>
            <w:tcW w:w="8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75.26</w:t>
            </w:r>
          </w:p>
        </w:tc>
        <w:tc>
          <w:tcPr>
            <w:tcW w:w="8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77.82</w:t>
            </w:r>
          </w:p>
        </w:tc>
        <w:tc>
          <w:tcPr>
            <w:tcW w:w="8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68.35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4"/>
        </w:trPr>
        <w:tc>
          <w:tcPr>
            <w:tcW w:w="3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June 30</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82.98</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78.43</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82.54</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75.10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683840" behindDoc="1" locked="0" layoutInCell="0" allowOverlap="1">
                <wp:simplePos x="0" y="0"/>
                <wp:positionH relativeFrom="column">
                  <wp:posOffset>-3175</wp:posOffset>
                </wp:positionH>
                <wp:positionV relativeFrom="paragraph">
                  <wp:posOffset>353695</wp:posOffset>
                </wp:positionV>
                <wp:extent cx="6205855" cy="0"/>
                <wp:effectExtent l="0" t="0" r="0" b="0"/>
                <wp:wrapNone/>
                <wp:docPr id="100"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5855" cy="0"/>
                        </a:xfrm>
                        <a:prstGeom prst="line">
                          <a:avLst/>
                        </a:prstGeom>
                        <a:noFill/>
                        <a:ln w="242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85pt" to="488.4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7ZSIAIAAEUEAAAOAAAAZHJzL2Uyb0RvYy54bWysU02P2jAQvVfqf7B8h3w0sGxEWFUEetm2&#10;SLv9AcZ2iFXHtmxDQFX/e8cOQWx7qapyMOPMzJs3M8/Lp3Mn0YlbJ7SqcDZNMeKKaibUocLfXreT&#10;BUbOE8WI1IpX+MIdflq9f7fsTclz3WrJuEUAolzZmwq33psySRxteUfcVBuuwNlo2xEPV3tImCU9&#10;oHcyydN0nvTaMmM15c7B13pw4lXEbxpO/demcdwjWWHg5uNp47kPZ7JakvJgiWkFvdIg/8CiI0JB&#10;0RtUTTxBRyv+gOoEtdrpxk+p7hLdNILy2AN0k6W/dfPSEsNjLzAcZ25jcv8Pln457SwSDHaXwnwU&#10;6WBJz0JxlD+E4fTGlRCzVjsb2qNn9WKeNf3ukNLrlqgDjyRfLwbyspCRvEkJF2egxL7/rBnEkKPX&#10;cVLnxnYBEmaAznEhl9tC+NkjCh/neTpbzGYY0dGXkHJMNNb5T1x3KBgVlkA6ApPTs/OBCCnHkFBH&#10;6a2QMu5bKtRXOC/yoogZTkvBgjfEOXvYr6VFJxIkE3+xLfDchwXomrh2iIuuQUxWHxWLZVpO2OZq&#10;eyLkYAMtqUIhaBKIXq1BLD8e08fNYrMoJkU+30yKtK4nH7frYjLfZg+z+kO9XtfZz8A5K8pWMMZV&#10;oD0KNyv+ThjXJzRI7ibd24CSt+hxkkB2/I+k45bDYgeJ7DW77Oy4fdBqDL6+q/AY7u9g37/+1S8A&#10;AAD//wMAUEsDBBQABgAIAAAAIQCo6yyM3AAAAAcBAAAPAAAAZHJzL2Rvd25yZXYueG1sTI/BbsIw&#10;EETvlfgHaytxAwdQoKRxEKpUiR4DrcrRxEsS1V5HsYHw992qh/Y4O6OZt/lmcFZcsQ+tJwWzaQIC&#10;qfKmpVrB++F18gQiRE1GW0+o4I4BNsXoIdeZ8Tcq8bqPteASCplW0MTYZVKGqkGnw9R3SOydfe90&#10;ZNnX0vT6xuXOynmSLKXTLfFCozt8abD62l+cApr5MD8ujm/3crGuy11iD5/nD6XGj8P2GUTEIf6F&#10;4Qef0aFgppO/kAnCKpikHFSQpisQbK9XS/7k9HuQRS7/8xffAAAA//8DAFBLAQItABQABgAIAAAA&#10;IQC2gziS/gAAAOEBAAATAAAAAAAAAAAAAAAAAAAAAABbQ29udGVudF9UeXBlc10ueG1sUEsBAi0A&#10;FAAGAAgAAAAhADj9If/WAAAAlAEAAAsAAAAAAAAAAAAAAAAALwEAAF9yZWxzLy5yZWxzUEsBAi0A&#10;FAAGAAgAAAAhACRTtlIgAgAARQQAAA4AAAAAAAAAAAAAAAAALgIAAGRycy9lMm9Eb2MueG1sUEsB&#10;Ai0AFAAGAAgAAAAhAKjrLIzcAAAABwEAAA8AAAAAAAAAAAAAAAAAegQAAGRycy9kb3ducmV2Lnht&#10;bFBLBQYAAAAABAAEAPMAAACDBQAAAAA=&#10;" o:allowincell="f" strokeweight=".67344mm"/>
            </w:pict>
          </mc:Fallback>
        </mc:AlternateConten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7"/>
          <w:szCs w:val="17"/>
        </w:rPr>
        <w:t>SHAREHOLDER RETURN</w:t>
      </w:r>
    </w:p>
    <w:p w:rsidR="00000000" w:rsidRDefault="0057438D">
      <w:pPr>
        <w:pStyle w:val="DefaultParagraphFont"/>
        <w:widowControl w:val="0"/>
        <w:autoSpaceDE w:val="0"/>
        <w:autoSpaceDN w:val="0"/>
        <w:adjustRightInd w:val="0"/>
        <w:spacing w:after="0" w:line="24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rPr>
          <w:rFonts w:ascii="Times New Roman" w:hAnsi="Times New Roman" w:cs="Times New Roman"/>
          <w:sz w:val="24"/>
          <w:szCs w:val="24"/>
        </w:rPr>
      </w:pPr>
      <w:r>
        <w:rPr>
          <w:rFonts w:ascii="Times New Roman" w:hAnsi="Times New Roman" w:cs="Times New Roman"/>
          <w:sz w:val="19"/>
          <w:szCs w:val="19"/>
        </w:rPr>
        <w:t>The following graph compares the cumulative total return of P&amp;G’</w:t>
      </w:r>
      <w:r>
        <w:rPr>
          <w:rFonts w:ascii="Times New Roman" w:hAnsi="Times New Roman" w:cs="Times New Roman"/>
          <w:sz w:val="19"/>
          <w:szCs w:val="19"/>
        </w:rPr>
        <w:t>s common stock for the 5-year period ending June 30, 2014, against the cumulative total return of the S&amp;P 500 Stock Index (broad market comparison) and the S&amp;P 500 Consumer Staples Index (line of business comparison). The graph and table assume $100 was in</w:t>
      </w:r>
      <w:r>
        <w:rPr>
          <w:rFonts w:ascii="Times New Roman" w:hAnsi="Times New Roman" w:cs="Times New Roman"/>
          <w:sz w:val="19"/>
          <w:szCs w:val="19"/>
        </w:rPr>
        <w:t>vested on June 30, 2009, and that all dividends were reinvested.</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4864" behindDoc="1" locked="0" layoutInCell="0" allowOverlap="1">
            <wp:simplePos x="0" y="0"/>
            <wp:positionH relativeFrom="column">
              <wp:posOffset>808990</wp:posOffset>
            </wp:positionH>
            <wp:positionV relativeFrom="paragraph">
              <wp:posOffset>10795</wp:posOffset>
            </wp:positionV>
            <wp:extent cx="4582160" cy="2751455"/>
            <wp:effectExtent l="0" t="0" r="8890" b="0"/>
            <wp:wrapNone/>
            <wp:docPr id="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2160" cy="275145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44" w:lineRule="exact"/>
        <w:rPr>
          <w:rFonts w:ascii="Times New Roman" w:hAnsi="Times New Roman" w:cs="Times New Roman"/>
          <w:sz w:val="24"/>
          <w:szCs w:val="24"/>
        </w:rPr>
      </w:pPr>
    </w:p>
    <w:tbl>
      <w:tblPr>
        <w:tblW w:w="0" w:type="auto"/>
        <w:tblInd w:w="1220" w:type="dxa"/>
        <w:tblLayout w:type="fixed"/>
        <w:tblCellMar>
          <w:left w:w="0" w:type="dxa"/>
          <w:right w:w="0" w:type="dxa"/>
        </w:tblCellMar>
        <w:tblLook w:val="0000" w:firstRow="0" w:lastRow="0" w:firstColumn="0" w:lastColumn="0" w:noHBand="0" w:noVBand="0"/>
      </w:tblPr>
      <w:tblGrid>
        <w:gridCol w:w="2840"/>
        <w:gridCol w:w="180"/>
        <w:gridCol w:w="560"/>
        <w:gridCol w:w="180"/>
        <w:gridCol w:w="560"/>
        <w:gridCol w:w="180"/>
        <w:gridCol w:w="560"/>
        <w:gridCol w:w="180"/>
        <w:gridCol w:w="560"/>
        <w:gridCol w:w="200"/>
        <w:gridCol w:w="560"/>
        <w:gridCol w:w="180"/>
        <w:gridCol w:w="560"/>
        <w:gridCol w:w="20"/>
      </w:tblGrid>
      <w:tr w:rsidR="00000000">
        <w:tblPrEx>
          <w:tblCellMar>
            <w:top w:w="0" w:type="dxa"/>
            <w:left w:w="0" w:type="dxa"/>
            <w:bottom w:w="0" w:type="dxa"/>
            <w:right w:w="0" w:type="dxa"/>
          </w:tblCellMar>
        </w:tblPrEx>
        <w:trPr>
          <w:trHeight w:val="203"/>
        </w:trPr>
        <w:tc>
          <w:tcPr>
            <w:tcW w:w="2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4280" w:type="dxa"/>
            <w:gridSpan w:val="11"/>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b/>
                <w:bCs/>
                <w:sz w:val="15"/>
                <w:szCs w:val="15"/>
              </w:rPr>
              <w:t>Cumulative Value of $100 Investment, through June 30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2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rPr>
              <w:t>Company Name/Index</w:t>
            </w: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2840" w:type="dxa"/>
            <w:vMerge/>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rPr>
              <w:t>2009</w:t>
            </w: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136"/>
              <w:jc w:val="right"/>
              <w:rPr>
                <w:rFonts w:ascii="Times New Roman" w:hAnsi="Times New Roman" w:cs="Times New Roman"/>
                <w:sz w:val="24"/>
                <w:szCs w:val="24"/>
              </w:rPr>
            </w:pPr>
            <w:r>
              <w:rPr>
                <w:rFonts w:ascii="Times New Roman" w:hAnsi="Times New Roman" w:cs="Times New Roman"/>
                <w:b/>
                <w:bCs/>
                <w:sz w:val="15"/>
                <w:szCs w:val="15"/>
              </w:rPr>
              <w:t>2010</w:t>
            </w: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136"/>
              <w:jc w:val="right"/>
              <w:rPr>
                <w:rFonts w:ascii="Times New Roman" w:hAnsi="Times New Roman" w:cs="Times New Roman"/>
                <w:sz w:val="24"/>
                <w:szCs w:val="24"/>
              </w:rPr>
            </w:pPr>
            <w:r>
              <w:rPr>
                <w:rFonts w:ascii="Times New Roman" w:hAnsi="Times New Roman" w:cs="Times New Roman"/>
                <w:b/>
                <w:bCs/>
                <w:sz w:val="15"/>
                <w:szCs w:val="15"/>
              </w:rPr>
              <w:t>2011</w:t>
            </w: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136"/>
              <w:jc w:val="right"/>
              <w:rPr>
                <w:rFonts w:ascii="Times New Roman" w:hAnsi="Times New Roman" w:cs="Times New Roman"/>
                <w:sz w:val="24"/>
                <w:szCs w:val="24"/>
              </w:rPr>
            </w:pPr>
            <w:r>
              <w:rPr>
                <w:rFonts w:ascii="Times New Roman" w:hAnsi="Times New Roman" w:cs="Times New Roman"/>
                <w:b/>
                <w:bCs/>
                <w:sz w:val="15"/>
                <w:szCs w:val="15"/>
              </w:rPr>
              <w:t>2012</w:t>
            </w: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136"/>
              <w:jc w:val="right"/>
              <w:rPr>
                <w:rFonts w:ascii="Times New Roman" w:hAnsi="Times New Roman" w:cs="Times New Roman"/>
                <w:sz w:val="24"/>
                <w:szCs w:val="24"/>
              </w:rPr>
            </w:pPr>
            <w:r>
              <w:rPr>
                <w:rFonts w:ascii="Times New Roman" w:hAnsi="Times New Roman" w:cs="Times New Roman"/>
                <w:b/>
                <w:bCs/>
                <w:sz w:val="15"/>
                <w:szCs w:val="15"/>
              </w:rPr>
              <w:t>2013</w:t>
            </w: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136"/>
              <w:jc w:val="right"/>
              <w:rPr>
                <w:rFonts w:ascii="Times New Roman" w:hAnsi="Times New Roman" w:cs="Times New Roman"/>
                <w:sz w:val="24"/>
                <w:szCs w:val="24"/>
              </w:rPr>
            </w:pPr>
            <w:r>
              <w:rPr>
                <w:rFonts w:ascii="Times New Roman" w:hAnsi="Times New Roman" w:cs="Times New Roman"/>
                <w:b/>
                <w:bCs/>
                <w:sz w:val="15"/>
                <w:szCs w:val="15"/>
              </w:rPr>
              <w:t>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8"/>
        </w:trPr>
        <w:tc>
          <w:tcPr>
            <w:tcW w:w="2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7"/>
                <w:szCs w:val="17"/>
              </w:rPr>
              <w:t>P&amp;G</w:t>
            </w: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17"/>
                <w:szCs w:val="17"/>
              </w:rPr>
              <w:t>100</w:t>
            </w: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121</w:t>
            </w: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132</w:t>
            </w: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132</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171</w:t>
            </w: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180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4"/>
        </w:trPr>
        <w:tc>
          <w:tcPr>
            <w:tcW w:w="2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7"/>
                <w:szCs w:val="17"/>
              </w:rPr>
              <w:t>S&amp;P 500 Index</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17"/>
                <w:szCs w:val="17"/>
              </w:rPr>
              <w:t>100</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114</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150</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158</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190</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237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3"/>
        </w:trPr>
        <w:tc>
          <w:tcPr>
            <w:tcW w:w="2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4"/>
        </w:trPr>
        <w:tc>
          <w:tcPr>
            <w:tcW w:w="28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7"/>
                <w:szCs w:val="17"/>
              </w:rPr>
              <w:t>S&amp;P 500 Consumer Staples Index</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17"/>
                <w:szCs w:val="17"/>
              </w:rPr>
              <w:t>100</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114</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144</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165</w:t>
            </w: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194</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7"/>
                <w:szCs w:val="17"/>
              </w:rPr>
              <w:t>224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3"/>
        </w:trPr>
        <w:tc>
          <w:tcPr>
            <w:tcW w:w="28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40" w:bottom="666" w:left="860" w:header="720" w:footer="720" w:gutter="0"/>
          <w:cols w:space="720" w:equalWidth="0">
            <w:col w:w="972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21</w:t>
      </w: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 xml:space="preserve">Item 6. </w:t>
      </w:r>
      <w:r>
        <w:rPr>
          <w:rFonts w:ascii="Times New Roman" w:hAnsi="Times New Roman" w:cs="Times New Roman"/>
          <w:sz w:val="19"/>
          <w:szCs w:val="19"/>
          <w:u w:val="single"/>
        </w:rPr>
        <w:t>Selected Financial Data.</w:t>
      </w:r>
    </w:p>
    <w:p w:rsidR="00000000" w:rsidRDefault="0057438D">
      <w:pPr>
        <w:pStyle w:val="DefaultParagraphFont"/>
        <w:widowControl w:val="0"/>
        <w:autoSpaceDE w:val="0"/>
        <w:autoSpaceDN w:val="0"/>
        <w:adjustRightInd w:val="0"/>
        <w:spacing w:after="0" w:line="9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640"/>
        <w:rPr>
          <w:rFonts w:ascii="Times New Roman" w:hAnsi="Times New Roman" w:cs="Times New Roman"/>
          <w:sz w:val="24"/>
          <w:szCs w:val="24"/>
        </w:rPr>
      </w:pPr>
      <w:r>
        <w:rPr>
          <w:rFonts w:ascii="Times New Roman" w:hAnsi="Times New Roman" w:cs="Times New Roman"/>
          <w:sz w:val="19"/>
          <w:szCs w:val="19"/>
        </w:rPr>
        <w:t>The information required by this item is incorporated by reference to Note 1 and Note 12 to our Consolidated Financial Statements.</w:t>
      </w:r>
    </w:p>
    <w:p w:rsidR="00000000" w:rsidRDefault="0057438D">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Financ</w:t>
      </w:r>
      <w:r>
        <w:rPr>
          <w:rFonts w:ascii="Times New Roman" w:hAnsi="Times New Roman" w:cs="Times New Roman"/>
          <w:b/>
          <w:bCs/>
          <w:sz w:val="19"/>
          <w:szCs w:val="19"/>
        </w:rPr>
        <w:t>ial Summary (Unaudited)</w:t>
      </w:r>
    </w:p>
    <w:p w:rsidR="00000000" w:rsidRDefault="0057438D">
      <w:pPr>
        <w:pStyle w:val="DefaultParagraphFont"/>
        <w:widowControl w:val="0"/>
        <w:autoSpaceDE w:val="0"/>
        <w:autoSpaceDN w:val="0"/>
        <w:adjustRightInd w:val="0"/>
        <w:spacing w:after="0" w:line="31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900"/>
        <w:gridCol w:w="160"/>
        <w:gridCol w:w="760"/>
        <w:gridCol w:w="80"/>
        <w:gridCol w:w="180"/>
        <w:gridCol w:w="720"/>
        <w:gridCol w:w="80"/>
        <w:gridCol w:w="180"/>
        <w:gridCol w:w="740"/>
        <w:gridCol w:w="80"/>
        <w:gridCol w:w="180"/>
        <w:gridCol w:w="740"/>
        <w:gridCol w:w="80"/>
        <w:gridCol w:w="180"/>
        <w:gridCol w:w="720"/>
        <w:gridCol w:w="80"/>
        <w:gridCol w:w="180"/>
        <w:gridCol w:w="740"/>
        <w:gridCol w:w="20"/>
      </w:tblGrid>
      <w:tr w:rsidR="00000000">
        <w:tblPrEx>
          <w:tblCellMar>
            <w:top w:w="0" w:type="dxa"/>
            <w:left w:w="0" w:type="dxa"/>
            <w:bottom w:w="0" w:type="dxa"/>
            <w:right w:w="0" w:type="dxa"/>
          </w:tblCellMar>
        </w:tblPrEx>
        <w:trPr>
          <w:trHeight w:val="203"/>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Amounts in millions, except per share amounts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6"/>
              <w:jc w:val="right"/>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Times New Roman" w:hAnsi="Times New Roman" w:cs="Times New Roman"/>
                <w:b/>
                <w:bCs/>
                <w:sz w:val="15"/>
                <w:szCs w:val="15"/>
              </w:rPr>
              <w:t>2012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Times New Roman" w:hAnsi="Times New Roman" w:cs="Times New Roman"/>
                <w:b/>
                <w:bCs/>
                <w:sz w:val="15"/>
                <w:szCs w:val="15"/>
              </w:rPr>
              <w:t>2011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6"/>
              <w:jc w:val="right"/>
              <w:rPr>
                <w:rFonts w:ascii="Times New Roman" w:hAnsi="Times New Roman" w:cs="Times New Roman"/>
                <w:sz w:val="24"/>
                <w:szCs w:val="24"/>
              </w:rPr>
            </w:pPr>
            <w:r>
              <w:rPr>
                <w:rFonts w:ascii="Times New Roman" w:hAnsi="Times New Roman" w:cs="Times New Roman"/>
                <w:b/>
                <w:bCs/>
                <w:sz w:val="15"/>
                <w:szCs w:val="15"/>
              </w:rPr>
              <w:t>2010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Times New Roman" w:hAnsi="Times New Roman" w:cs="Times New Roman"/>
                <w:b/>
                <w:bCs/>
                <w:sz w:val="15"/>
                <w:szCs w:val="15"/>
              </w:rPr>
              <w:t>2009</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r>
      <w:tr w:rsidR="00000000">
        <w:tblPrEx>
          <w:tblCellMar>
            <w:top w:w="0" w:type="dxa"/>
            <w:left w:w="0" w:type="dxa"/>
            <w:bottom w:w="0" w:type="dxa"/>
            <w:right w:w="0" w:type="dxa"/>
          </w:tblCellMar>
        </w:tblPrEx>
        <w:trPr>
          <w:trHeight w:val="25"/>
        </w:trPr>
        <w:tc>
          <w:tcPr>
            <w:tcW w:w="39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3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sales</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83,062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82,581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82,006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79,385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75,785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73,565</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55"/>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Gross profit</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40,602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41,190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40,595</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40,551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39,663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36,882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31"/>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Operating income</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15,288</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14,330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13,035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15,233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15,306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14,819</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55"/>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earnings from continuing operations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11,707</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11,301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9,150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11,523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10,573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10,414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31"/>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earnings from discontinued operations</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78</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101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1,754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404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2,273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3,108</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55"/>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earnings attributable to Procter &amp; Gamble</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11,643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11,312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10,756</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11,797</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12,736</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13,436</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31"/>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5"/>
        </w:trPr>
        <w:tc>
          <w:tcPr>
            <w:tcW w:w="3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Earnings margin from continuing operations</w:t>
            </w: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13.7%</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14.2%</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58"/>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58" w:lineRule="exact"/>
              <w:ind w:left="60"/>
              <w:rPr>
                <w:rFonts w:ascii="Times New Roman" w:hAnsi="Times New Roman" w:cs="Times New Roman"/>
                <w:sz w:val="24"/>
                <w:szCs w:val="24"/>
              </w:rPr>
            </w:pPr>
            <w:r>
              <w:rPr>
                <w:rFonts w:ascii="Times New Roman" w:hAnsi="Times New Roman" w:cs="Times New Roman"/>
                <w:sz w:val="19"/>
                <w:szCs w:val="19"/>
              </w:rPr>
              <w:t xml:space="preserve">Basic net earnings per common share </w:t>
            </w:r>
            <w:r>
              <w:rPr>
                <w:rFonts w:ascii="Times New Roman" w:hAnsi="Times New Roman" w:cs="Times New Roman"/>
                <w:sz w:val="24"/>
                <w:szCs w:val="24"/>
                <w:vertAlign w:val="superscript"/>
              </w:rPr>
              <w:t>(1)</w:t>
            </w:r>
            <w:r>
              <w:rPr>
                <w:rFonts w:ascii="Times New Roman" w:hAnsi="Times New Roman" w:cs="Times New Roman"/>
                <w:sz w:val="19"/>
                <w:szCs w:val="19"/>
              </w:rPr>
              <w:t>:</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66"/>
        </w:trPr>
        <w:tc>
          <w:tcPr>
            <w:tcW w:w="3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9"/>
                <w:szCs w:val="19"/>
              </w:rPr>
              <w:t>Earnings from continuing operations</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4.16</w:t>
            </w:r>
          </w:p>
        </w:tc>
        <w:tc>
          <w:tcPr>
            <w:tcW w:w="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4.00</w:t>
            </w:r>
          </w:p>
        </w:tc>
        <w:tc>
          <w:tcPr>
            <w:tcW w:w="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3.18</w:t>
            </w:r>
          </w:p>
        </w:tc>
        <w:tc>
          <w:tcPr>
            <w:tcW w:w="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3.98</w:t>
            </w:r>
          </w:p>
        </w:tc>
        <w:tc>
          <w:tcPr>
            <w:tcW w:w="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3.53</w:t>
            </w:r>
          </w:p>
        </w:tc>
        <w:tc>
          <w:tcPr>
            <w:tcW w:w="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3.44</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55"/>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9"/>
                <w:szCs w:val="19"/>
              </w:rPr>
              <w:t>Earnings from discontinued operations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0.03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0.04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0.64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0.79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1.05</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2"/>
        </w:trPr>
        <w:tc>
          <w:tcPr>
            <w:tcW w:w="39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3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Basic net earnings per common share</w:t>
            </w: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4.19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4.04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3.82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4.12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4.32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4.49</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58"/>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58" w:lineRule="exact"/>
              <w:ind w:left="60"/>
              <w:rPr>
                <w:rFonts w:ascii="Times New Roman" w:hAnsi="Times New Roman" w:cs="Times New Roman"/>
                <w:sz w:val="24"/>
                <w:szCs w:val="24"/>
              </w:rPr>
            </w:pPr>
            <w:r>
              <w:rPr>
                <w:rFonts w:ascii="Times New Roman" w:hAnsi="Times New Roman" w:cs="Times New Roman"/>
                <w:sz w:val="19"/>
                <w:szCs w:val="19"/>
              </w:rPr>
              <w:t xml:space="preserve">Diluted net earnings per common share </w:t>
            </w:r>
            <w:r>
              <w:rPr>
                <w:rFonts w:ascii="Times New Roman" w:hAnsi="Times New Roman" w:cs="Times New Roman"/>
                <w:sz w:val="24"/>
                <w:szCs w:val="24"/>
                <w:vertAlign w:val="superscript"/>
              </w:rPr>
              <w:t>(1)</w:t>
            </w:r>
            <w:r>
              <w:rPr>
                <w:rFonts w:ascii="Times New Roman" w:hAnsi="Times New Roman" w:cs="Times New Roman"/>
                <w:sz w:val="19"/>
                <w:szCs w:val="19"/>
              </w:rPr>
              <w:t>:</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66"/>
        </w:trPr>
        <w:tc>
          <w:tcPr>
            <w:tcW w:w="3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9"/>
                <w:szCs w:val="19"/>
              </w:rPr>
              <w:t>Earnings from continuing operations</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3.98</w:t>
            </w:r>
          </w:p>
        </w:tc>
        <w:tc>
          <w:tcPr>
            <w:tcW w:w="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3.83</w:t>
            </w:r>
          </w:p>
        </w:tc>
        <w:tc>
          <w:tcPr>
            <w:tcW w:w="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3.06</w:t>
            </w:r>
          </w:p>
        </w:tc>
        <w:tc>
          <w:tcPr>
            <w:tcW w:w="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3.80</w:t>
            </w:r>
          </w:p>
        </w:tc>
        <w:tc>
          <w:tcPr>
            <w:tcW w:w="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3.38</w:t>
            </w:r>
          </w:p>
        </w:tc>
        <w:tc>
          <w:tcPr>
            <w:tcW w:w="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3.27</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55"/>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9"/>
                <w:szCs w:val="19"/>
              </w:rPr>
              <w:t>Earnings from discontinued operations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0.03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0.03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0.60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0.73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0.99</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2"/>
        </w:trPr>
        <w:tc>
          <w:tcPr>
            <w:tcW w:w="39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3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Diluted net earnings per common share</w:t>
            </w: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4.01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3.86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3.66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3.93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4.11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4.26</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66"/>
        </w:trPr>
        <w:tc>
          <w:tcPr>
            <w:tcW w:w="39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Dividends per common share</w:t>
            </w: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2.45</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2.29</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2.14</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1.97</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1.80</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1.64</w:t>
            </w: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58"/>
        </w:trPr>
        <w:tc>
          <w:tcPr>
            <w:tcW w:w="3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Research and development expense</w:t>
            </w: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2,023</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1,980</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1,987</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1,940</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1,888</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1,802</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55"/>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Advertising expense</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9,236</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9,612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9,222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9,086</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8,338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7,338</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31"/>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Total assets</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144,266</w:t>
            </w:r>
          </w:p>
        </w:tc>
        <w:tc>
          <w:tcPr>
            <w:tcW w:w="98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139,263</w:t>
            </w:r>
          </w:p>
        </w:tc>
        <w:tc>
          <w:tcPr>
            <w:tcW w:w="100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132,244</w:t>
            </w:r>
          </w:p>
        </w:tc>
        <w:tc>
          <w:tcPr>
            <w:tcW w:w="100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138,354</w:t>
            </w:r>
          </w:p>
        </w:tc>
        <w:tc>
          <w:tcPr>
            <w:tcW w:w="98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128,172</w:t>
            </w:r>
          </w:p>
        </w:tc>
        <w:tc>
          <w:tcPr>
            <w:tcW w:w="100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134,833</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56"/>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Capital expenditures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3,848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4,008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3,964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3,306</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3,067</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3,238</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31"/>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Long-term debt</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19,811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19,111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21,080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22,033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21,360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20,652</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56"/>
        </w:trPr>
        <w:tc>
          <w:tcPr>
            <w:tcW w:w="3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Shareholders' equity</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9"/>
                <w:szCs w:val="19"/>
              </w:rPr>
              <w:t>69,976</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68,709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64,035</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68,001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9"/>
                <w:szCs w:val="19"/>
              </w:rPr>
              <w:t>61,439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sz w:val="19"/>
                <w:szCs w:val="19"/>
              </w:rPr>
              <w:t>63,382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bl>
    <w:p w:rsidR="00000000" w:rsidRDefault="0057438D">
      <w:pPr>
        <w:pStyle w:val="DefaultParagraphFont"/>
        <w:widowControl w:val="0"/>
        <w:autoSpaceDE w:val="0"/>
        <w:autoSpaceDN w:val="0"/>
        <w:adjustRightInd w:val="0"/>
        <w:spacing w:after="0" w:line="35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9" w:lineRule="auto"/>
        <w:ind w:left="20" w:right="480"/>
        <w:rPr>
          <w:rFonts w:ascii="Times New Roman" w:hAnsi="Times New Roman" w:cs="Times New Roman"/>
          <w:sz w:val="24"/>
          <w:szCs w:val="24"/>
        </w:rPr>
      </w:pPr>
      <w:r>
        <w:rPr>
          <w:rFonts w:ascii="Times New Roman" w:hAnsi="Times New Roman" w:cs="Times New Roman"/>
          <w:vertAlign w:val="superscript"/>
        </w:rPr>
        <w:t>(1)</w:t>
      </w:r>
      <w:r>
        <w:rPr>
          <w:rFonts w:ascii="Times New Roman" w:hAnsi="Times New Roman" w:cs="Times New Roman"/>
          <w:sz w:val="17"/>
          <w:szCs w:val="17"/>
        </w:rPr>
        <w:t xml:space="preserve"> Basic net earnings per common share and diluted net earnings per common share are calculated based on net earnings attributable to Procter &amp; Gamble.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1440" w:left="840" w:header="720" w:footer="720" w:gutter="0"/>
          <w:cols w:space="720" w:equalWidth="0">
            <w:col w:w="978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22</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7. </w:t>
      </w:r>
      <w:r>
        <w:rPr>
          <w:rFonts w:ascii="Times New Roman" w:hAnsi="Times New Roman" w:cs="Times New Roman"/>
          <w:sz w:val="19"/>
          <w:szCs w:val="19"/>
          <w:u w:val="single"/>
        </w:rPr>
        <w:t>Management's Discussion and Analysis of Fi</w:t>
      </w:r>
      <w:r>
        <w:rPr>
          <w:rFonts w:ascii="Times New Roman" w:hAnsi="Times New Roman" w:cs="Times New Roman"/>
          <w:sz w:val="19"/>
          <w:szCs w:val="19"/>
          <w:u w:val="single"/>
        </w:rPr>
        <w:t>nancial Condition and Results of Operations.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3160" w:bottom="900" w:left="860" w:header="720" w:footer="720" w:gutter="0"/>
          <w:cols w:space="720" w:equalWidth="0">
            <w:col w:w="7500"/>
          </w:cols>
          <w:noEndnote/>
        </w:sectPr>
      </w:pPr>
    </w:p>
    <w:p w:rsidR="00000000" w:rsidRDefault="0057438D">
      <w:pPr>
        <w:pStyle w:val="DefaultParagraphFont"/>
        <w:widowControl w:val="0"/>
        <w:autoSpaceDE w:val="0"/>
        <w:autoSpaceDN w:val="0"/>
        <w:adjustRightInd w:val="0"/>
        <w:spacing w:after="0" w:line="23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Management's Discussion and Analysis</w:t>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Forward-Looking Statements</w:t>
      </w:r>
    </w:p>
    <w:p w:rsidR="00000000" w:rsidRDefault="0057438D">
      <w:pPr>
        <w:pStyle w:val="DefaultParagraphFont"/>
        <w:widowControl w:val="0"/>
        <w:autoSpaceDE w:val="0"/>
        <w:autoSpaceDN w:val="0"/>
        <w:adjustRightInd w:val="0"/>
        <w:spacing w:after="0" w:line="10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2" w:lineRule="auto"/>
        <w:rPr>
          <w:rFonts w:ascii="Times New Roman" w:hAnsi="Times New Roman" w:cs="Times New Roman"/>
          <w:sz w:val="24"/>
          <w:szCs w:val="24"/>
        </w:rPr>
      </w:pPr>
      <w:r>
        <w:rPr>
          <w:rFonts w:ascii="Times New Roman" w:hAnsi="Times New Roman" w:cs="Times New Roman"/>
          <w:sz w:val="19"/>
          <w:szCs w:val="19"/>
        </w:rPr>
        <w:t>Certain statements in this report, other than historical and present factual information, including estimates, projecti</w:t>
      </w:r>
      <w:r>
        <w:rPr>
          <w:rFonts w:ascii="Times New Roman" w:hAnsi="Times New Roman" w:cs="Times New Roman"/>
          <w:sz w:val="19"/>
          <w:szCs w:val="19"/>
        </w:rPr>
        <w:t>ons, statements relating to our business plans, objectives and expected operating results and the assumptions upon which those statements are based, are “forward-looking statements” within the meaning of the Private Securities Litigation Reform Act of 1995</w:t>
      </w:r>
      <w:r>
        <w:rPr>
          <w:rFonts w:ascii="Times New Roman" w:hAnsi="Times New Roman" w:cs="Times New Roman"/>
          <w:sz w:val="19"/>
          <w:szCs w:val="19"/>
        </w:rPr>
        <w:t>, Section 27A of the Securities Act of 1933 and Section 21E of the Securities Exchange Act of 1934. Forward-looking statements may appear throughout this report, including, without limitation, in the following sections: “Management's Discussion and Analysi</w:t>
      </w:r>
      <w:r>
        <w:rPr>
          <w:rFonts w:ascii="Times New Roman" w:hAnsi="Times New Roman" w:cs="Times New Roman"/>
          <w:sz w:val="19"/>
          <w:szCs w:val="19"/>
        </w:rPr>
        <w:t>s” and “Risk Factors.” These forward-looking statements generally are identified by the words “believe,” “project,” “expect,” “anticipate,” “estimate,” “intend,” “strategy,” “future,” “opportunity,” “plan,” “may,” “should,” “will,” “would,” “will be,” “wil</w:t>
      </w:r>
      <w:r>
        <w:rPr>
          <w:rFonts w:ascii="Times New Roman" w:hAnsi="Times New Roman" w:cs="Times New Roman"/>
          <w:sz w:val="19"/>
          <w:szCs w:val="19"/>
        </w:rPr>
        <w:t>l continue,” “will likely result” and similar expressions. Forward-looking statements are based on current expectations and assumptions that are subject to risks and uncertainties which may cause actual results to differ materially from the forward-looking</w:t>
      </w:r>
      <w:r>
        <w:rPr>
          <w:rFonts w:ascii="Times New Roman" w:hAnsi="Times New Roman" w:cs="Times New Roman"/>
          <w:sz w:val="19"/>
          <w:szCs w:val="19"/>
        </w:rPr>
        <w:t xml:space="preserve"> statements. A detailed discussion of risks and uncertainties that could cause actual results and events to differ materially from such forward-looking statements is included in the section titled "Economic Conditions, Challenges and Risks" and the section</w:t>
      </w:r>
      <w:r>
        <w:rPr>
          <w:rFonts w:ascii="Times New Roman" w:hAnsi="Times New Roman" w:cs="Times New Roman"/>
          <w:sz w:val="19"/>
          <w:szCs w:val="19"/>
        </w:rPr>
        <w:t xml:space="preserve"> titled “Risk Factors” (Item 1A of this Form 10-K). Forward-looking statements are made as of the date of this report and we undertake no obligation to update or revise publicly any forward-looking statements, whether because of new information, future eve</w:t>
      </w:r>
      <w:r>
        <w:rPr>
          <w:rFonts w:ascii="Times New Roman" w:hAnsi="Times New Roman" w:cs="Times New Roman"/>
          <w:sz w:val="19"/>
          <w:szCs w:val="19"/>
        </w:rPr>
        <w:t>nts or otherwise.</w:t>
      </w:r>
    </w:p>
    <w:p w:rsidR="00000000" w:rsidRDefault="0057438D">
      <w:pPr>
        <w:pStyle w:val="DefaultParagraphFont"/>
        <w:widowControl w:val="0"/>
        <w:autoSpaceDE w:val="0"/>
        <w:autoSpaceDN w:val="0"/>
        <w:adjustRightInd w:val="0"/>
        <w:spacing w:after="0" w:line="10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100"/>
        <w:rPr>
          <w:rFonts w:ascii="Times New Roman" w:hAnsi="Times New Roman" w:cs="Times New Roman"/>
          <w:sz w:val="24"/>
          <w:szCs w:val="24"/>
        </w:rPr>
      </w:pPr>
      <w:r>
        <w:rPr>
          <w:rFonts w:ascii="Times New Roman" w:hAnsi="Times New Roman" w:cs="Times New Roman"/>
          <w:sz w:val="19"/>
          <w:szCs w:val="19"/>
        </w:rPr>
        <w:t>The following Management's Discussion and Analysis (MD&amp;A) is intended to provide the reader with an understanding of P&amp;G's financial condition, results of operations and cash flows by focusing on changes in certain key measures from year to year. MD&amp;A is p</w:t>
      </w:r>
      <w:r>
        <w:rPr>
          <w:rFonts w:ascii="Times New Roman" w:hAnsi="Times New Roman" w:cs="Times New Roman"/>
          <w:sz w:val="19"/>
          <w:szCs w:val="19"/>
        </w:rPr>
        <w:t>rovided as a supplement to, and should be read in conjunction with, our Consolidated Financial Statements and accompanying Notes. MD&amp;A is organized in the following sections:</w:t>
      </w:r>
    </w:p>
    <w:p w:rsidR="00000000" w:rsidRDefault="0057438D">
      <w:pPr>
        <w:pStyle w:val="DefaultParagraphFont"/>
        <w:widowControl w:val="0"/>
        <w:autoSpaceDE w:val="0"/>
        <w:autoSpaceDN w:val="0"/>
        <w:adjustRightInd w:val="0"/>
        <w:spacing w:after="0" w:line="55" w:lineRule="exact"/>
        <w:rPr>
          <w:rFonts w:ascii="Times New Roman" w:hAnsi="Times New Roman" w:cs="Times New Roman"/>
          <w:sz w:val="24"/>
          <w:szCs w:val="24"/>
        </w:rPr>
      </w:pPr>
    </w:p>
    <w:p w:rsidR="00000000" w:rsidRDefault="0057438D">
      <w:pPr>
        <w:pStyle w:val="DefaultParagraphFont"/>
        <w:widowControl w:val="0"/>
        <w:numPr>
          <w:ilvl w:val="0"/>
          <w:numId w:val="6"/>
        </w:numPr>
        <w:tabs>
          <w:tab w:val="clear" w:pos="720"/>
          <w:tab w:val="num" w:pos="680"/>
        </w:tabs>
        <w:overflowPunct w:val="0"/>
        <w:autoSpaceDE w:val="0"/>
        <w:autoSpaceDN w:val="0"/>
        <w:adjustRightInd w:val="0"/>
        <w:spacing w:after="0" w:line="240" w:lineRule="auto"/>
        <w:ind w:left="680" w:hanging="342"/>
        <w:jc w:val="both"/>
        <w:rPr>
          <w:rFonts w:ascii="Times New Roman" w:hAnsi="Times New Roman" w:cs="Times New Roman"/>
          <w:sz w:val="19"/>
          <w:szCs w:val="19"/>
        </w:rPr>
      </w:pPr>
      <w:r>
        <w:rPr>
          <w:rFonts w:ascii="Times New Roman" w:hAnsi="Times New Roman" w:cs="Times New Roman"/>
          <w:sz w:val="19"/>
          <w:szCs w:val="19"/>
        </w:rPr>
        <w:t>Overview</w:t>
      </w:r>
    </w:p>
    <w:p w:rsidR="00000000" w:rsidRDefault="0057438D">
      <w:pPr>
        <w:pStyle w:val="DefaultParagraphFont"/>
        <w:widowControl w:val="0"/>
        <w:autoSpaceDE w:val="0"/>
        <w:autoSpaceDN w:val="0"/>
        <w:adjustRightInd w:val="0"/>
        <w:spacing w:after="0" w:line="96" w:lineRule="exact"/>
        <w:rPr>
          <w:rFonts w:ascii="Times New Roman" w:hAnsi="Times New Roman" w:cs="Times New Roman"/>
          <w:sz w:val="19"/>
          <w:szCs w:val="19"/>
        </w:rPr>
      </w:pPr>
    </w:p>
    <w:p w:rsidR="00000000" w:rsidRDefault="0057438D">
      <w:pPr>
        <w:pStyle w:val="DefaultParagraphFont"/>
        <w:widowControl w:val="0"/>
        <w:numPr>
          <w:ilvl w:val="0"/>
          <w:numId w:val="6"/>
        </w:numPr>
        <w:tabs>
          <w:tab w:val="clear" w:pos="720"/>
          <w:tab w:val="num" w:pos="680"/>
        </w:tabs>
        <w:overflowPunct w:val="0"/>
        <w:autoSpaceDE w:val="0"/>
        <w:autoSpaceDN w:val="0"/>
        <w:adjustRightInd w:val="0"/>
        <w:spacing w:after="0" w:line="240" w:lineRule="auto"/>
        <w:ind w:left="680" w:hanging="342"/>
        <w:jc w:val="both"/>
        <w:rPr>
          <w:rFonts w:ascii="Times New Roman" w:hAnsi="Times New Roman" w:cs="Times New Roman"/>
          <w:sz w:val="19"/>
          <w:szCs w:val="19"/>
        </w:rPr>
      </w:pPr>
      <w:r>
        <w:rPr>
          <w:rFonts w:ascii="Times New Roman" w:hAnsi="Times New Roman" w:cs="Times New Roman"/>
          <w:sz w:val="19"/>
          <w:szCs w:val="19"/>
        </w:rPr>
        <w:t>Summary of 2014 Results</w:t>
      </w:r>
    </w:p>
    <w:p w:rsidR="00000000" w:rsidRDefault="0057438D">
      <w:pPr>
        <w:pStyle w:val="DefaultParagraphFont"/>
        <w:widowControl w:val="0"/>
        <w:autoSpaceDE w:val="0"/>
        <w:autoSpaceDN w:val="0"/>
        <w:adjustRightInd w:val="0"/>
        <w:spacing w:after="0" w:line="96" w:lineRule="exact"/>
        <w:rPr>
          <w:rFonts w:ascii="Times New Roman" w:hAnsi="Times New Roman" w:cs="Times New Roman"/>
          <w:sz w:val="19"/>
          <w:szCs w:val="19"/>
        </w:rPr>
      </w:pPr>
    </w:p>
    <w:p w:rsidR="00000000" w:rsidRDefault="0057438D">
      <w:pPr>
        <w:pStyle w:val="DefaultParagraphFont"/>
        <w:widowControl w:val="0"/>
        <w:numPr>
          <w:ilvl w:val="0"/>
          <w:numId w:val="6"/>
        </w:numPr>
        <w:tabs>
          <w:tab w:val="clear" w:pos="720"/>
          <w:tab w:val="num" w:pos="680"/>
        </w:tabs>
        <w:overflowPunct w:val="0"/>
        <w:autoSpaceDE w:val="0"/>
        <w:autoSpaceDN w:val="0"/>
        <w:adjustRightInd w:val="0"/>
        <w:spacing w:after="0" w:line="240" w:lineRule="auto"/>
        <w:ind w:left="680" w:hanging="342"/>
        <w:jc w:val="both"/>
        <w:rPr>
          <w:rFonts w:ascii="Times New Roman" w:hAnsi="Times New Roman" w:cs="Times New Roman"/>
          <w:sz w:val="19"/>
          <w:szCs w:val="19"/>
        </w:rPr>
      </w:pPr>
      <w:r>
        <w:rPr>
          <w:rFonts w:ascii="Times New Roman" w:hAnsi="Times New Roman" w:cs="Times New Roman"/>
          <w:sz w:val="19"/>
          <w:szCs w:val="19"/>
        </w:rPr>
        <w:t>Economic Conditions, Challenges and Ris</w:t>
      </w:r>
      <w:r>
        <w:rPr>
          <w:rFonts w:ascii="Times New Roman" w:hAnsi="Times New Roman" w:cs="Times New Roman"/>
          <w:sz w:val="19"/>
          <w:szCs w:val="19"/>
        </w:rPr>
        <w:t>ks</w:t>
      </w:r>
    </w:p>
    <w:p w:rsidR="00000000" w:rsidRDefault="0057438D">
      <w:pPr>
        <w:pStyle w:val="DefaultParagraphFont"/>
        <w:widowControl w:val="0"/>
        <w:autoSpaceDE w:val="0"/>
        <w:autoSpaceDN w:val="0"/>
        <w:adjustRightInd w:val="0"/>
        <w:spacing w:after="0" w:line="96" w:lineRule="exact"/>
        <w:rPr>
          <w:rFonts w:ascii="Times New Roman" w:hAnsi="Times New Roman" w:cs="Times New Roman"/>
          <w:sz w:val="19"/>
          <w:szCs w:val="19"/>
        </w:rPr>
      </w:pPr>
    </w:p>
    <w:p w:rsidR="00000000" w:rsidRDefault="0057438D">
      <w:pPr>
        <w:pStyle w:val="DefaultParagraphFont"/>
        <w:widowControl w:val="0"/>
        <w:numPr>
          <w:ilvl w:val="0"/>
          <w:numId w:val="6"/>
        </w:numPr>
        <w:tabs>
          <w:tab w:val="clear" w:pos="720"/>
          <w:tab w:val="num" w:pos="680"/>
        </w:tabs>
        <w:overflowPunct w:val="0"/>
        <w:autoSpaceDE w:val="0"/>
        <w:autoSpaceDN w:val="0"/>
        <w:adjustRightInd w:val="0"/>
        <w:spacing w:after="0" w:line="240" w:lineRule="auto"/>
        <w:ind w:left="680" w:hanging="342"/>
        <w:jc w:val="both"/>
        <w:rPr>
          <w:rFonts w:ascii="Times New Roman" w:hAnsi="Times New Roman" w:cs="Times New Roman"/>
          <w:sz w:val="19"/>
          <w:szCs w:val="19"/>
        </w:rPr>
      </w:pPr>
      <w:r>
        <w:rPr>
          <w:rFonts w:ascii="Times New Roman" w:hAnsi="Times New Roman" w:cs="Times New Roman"/>
          <w:sz w:val="19"/>
          <w:szCs w:val="19"/>
        </w:rPr>
        <w:t>Results of Operations</w:t>
      </w:r>
    </w:p>
    <w:p w:rsidR="00000000" w:rsidRDefault="0057438D">
      <w:pPr>
        <w:pStyle w:val="DefaultParagraphFont"/>
        <w:widowControl w:val="0"/>
        <w:autoSpaceDE w:val="0"/>
        <w:autoSpaceDN w:val="0"/>
        <w:adjustRightInd w:val="0"/>
        <w:spacing w:after="0" w:line="96" w:lineRule="exact"/>
        <w:rPr>
          <w:rFonts w:ascii="Times New Roman" w:hAnsi="Times New Roman" w:cs="Times New Roman"/>
          <w:sz w:val="19"/>
          <w:szCs w:val="19"/>
        </w:rPr>
      </w:pPr>
    </w:p>
    <w:p w:rsidR="00000000" w:rsidRDefault="0057438D">
      <w:pPr>
        <w:pStyle w:val="DefaultParagraphFont"/>
        <w:widowControl w:val="0"/>
        <w:numPr>
          <w:ilvl w:val="0"/>
          <w:numId w:val="6"/>
        </w:numPr>
        <w:tabs>
          <w:tab w:val="clear" w:pos="720"/>
          <w:tab w:val="num" w:pos="680"/>
        </w:tabs>
        <w:overflowPunct w:val="0"/>
        <w:autoSpaceDE w:val="0"/>
        <w:autoSpaceDN w:val="0"/>
        <w:adjustRightInd w:val="0"/>
        <w:spacing w:after="0" w:line="240" w:lineRule="auto"/>
        <w:ind w:left="680" w:hanging="342"/>
        <w:jc w:val="both"/>
        <w:rPr>
          <w:rFonts w:ascii="Times New Roman" w:hAnsi="Times New Roman" w:cs="Times New Roman"/>
          <w:sz w:val="19"/>
          <w:szCs w:val="19"/>
        </w:rPr>
      </w:pPr>
      <w:r>
        <w:rPr>
          <w:rFonts w:ascii="Times New Roman" w:hAnsi="Times New Roman" w:cs="Times New Roman"/>
          <w:sz w:val="19"/>
          <w:szCs w:val="19"/>
        </w:rPr>
        <w:t>Segment Results</w:t>
      </w:r>
    </w:p>
    <w:p w:rsidR="00000000" w:rsidRDefault="0057438D">
      <w:pPr>
        <w:pStyle w:val="DefaultParagraphFont"/>
        <w:widowControl w:val="0"/>
        <w:autoSpaceDE w:val="0"/>
        <w:autoSpaceDN w:val="0"/>
        <w:adjustRightInd w:val="0"/>
        <w:spacing w:after="0" w:line="96" w:lineRule="exact"/>
        <w:rPr>
          <w:rFonts w:ascii="Times New Roman" w:hAnsi="Times New Roman" w:cs="Times New Roman"/>
          <w:sz w:val="19"/>
          <w:szCs w:val="19"/>
        </w:rPr>
      </w:pPr>
    </w:p>
    <w:p w:rsidR="00000000" w:rsidRDefault="0057438D">
      <w:pPr>
        <w:pStyle w:val="DefaultParagraphFont"/>
        <w:widowControl w:val="0"/>
        <w:numPr>
          <w:ilvl w:val="0"/>
          <w:numId w:val="6"/>
        </w:numPr>
        <w:tabs>
          <w:tab w:val="clear" w:pos="720"/>
          <w:tab w:val="num" w:pos="680"/>
        </w:tabs>
        <w:overflowPunct w:val="0"/>
        <w:autoSpaceDE w:val="0"/>
        <w:autoSpaceDN w:val="0"/>
        <w:adjustRightInd w:val="0"/>
        <w:spacing w:after="0" w:line="240" w:lineRule="auto"/>
        <w:ind w:left="680" w:hanging="342"/>
        <w:jc w:val="both"/>
        <w:rPr>
          <w:rFonts w:ascii="Times New Roman" w:hAnsi="Times New Roman" w:cs="Times New Roman"/>
          <w:sz w:val="19"/>
          <w:szCs w:val="19"/>
        </w:rPr>
      </w:pPr>
      <w:r>
        <w:rPr>
          <w:rFonts w:ascii="Times New Roman" w:hAnsi="Times New Roman" w:cs="Times New Roman"/>
          <w:sz w:val="19"/>
          <w:szCs w:val="19"/>
        </w:rPr>
        <w:t>Cash Flow, Financial Condition and Liquidity</w:t>
      </w:r>
    </w:p>
    <w:p w:rsidR="00000000" w:rsidRDefault="0057438D">
      <w:pPr>
        <w:pStyle w:val="DefaultParagraphFont"/>
        <w:widowControl w:val="0"/>
        <w:autoSpaceDE w:val="0"/>
        <w:autoSpaceDN w:val="0"/>
        <w:adjustRightInd w:val="0"/>
        <w:spacing w:after="0" w:line="96" w:lineRule="exact"/>
        <w:rPr>
          <w:rFonts w:ascii="Times New Roman" w:hAnsi="Times New Roman" w:cs="Times New Roman"/>
          <w:sz w:val="19"/>
          <w:szCs w:val="19"/>
        </w:rPr>
      </w:pPr>
    </w:p>
    <w:p w:rsidR="00000000" w:rsidRDefault="0057438D">
      <w:pPr>
        <w:pStyle w:val="DefaultParagraphFont"/>
        <w:widowControl w:val="0"/>
        <w:numPr>
          <w:ilvl w:val="0"/>
          <w:numId w:val="6"/>
        </w:numPr>
        <w:tabs>
          <w:tab w:val="clear" w:pos="720"/>
          <w:tab w:val="num" w:pos="680"/>
        </w:tabs>
        <w:overflowPunct w:val="0"/>
        <w:autoSpaceDE w:val="0"/>
        <w:autoSpaceDN w:val="0"/>
        <w:adjustRightInd w:val="0"/>
        <w:spacing w:after="0" w:line="240" w:lineRule="auto"/>
        <w:ind w:left="680" w:hanging="342"/>
        <w:jc w:val="both"/>
        <w:rPr>
          <w:rFonts w:ascii="Times New Roman" w:hAnsi="Times New Roman" w:cs="Times New Roman"/>
          <w:sz w:val="19"/>
          <w:szCs w:val="19"/>
        </w:rPr>
      </w:pPr>
      <w:r>
        <w:rPr>
          <w:rFonts w:ascii="Times New Roman" w:hAnsi="Times New Roman" w:cs="Times New Roman"/>
          <w:sz w:val="19"/>
          <w:szCs w:val="19"/>
        </w:rPr>
        <w:t>Significant Accounting Policies and Estimates</w:t>
      </w:r>
    </w:p>
    <w:p w:rsidR="00000000" w:rsidRDefault="0057438D">
      <w:pPr>
        <w:pStyle w:val="DefaultParagraphFont"/>
        <w:widowControl w:val="0"/>
        <w:autoSpaceDE w:val="0"/>
        <w:autoSpaceDN w:val="0"/>
        <w:adjustRightInd w:val="0"/>
        <w:spacing w:after="0" w:line="96" w:lineRule="exact"/>
        <w:rPr>
          <w:rFonts w:ascii="Times New Roman" w:hAnsi="Times New Roman" w:cs="Times New Roman"/>
          <w:sz w:val="19"/>
          <w:szCs w:val="19"/>
        </w:rPr>
      </w:pPr>
    </w:p>
    <w:p w:rsidR="00000000" w:rsidRDefault="0057438D">
      <w:pPr>
        <w:pStyle w:val="DefaultParagraphFont"/>
        <w:widowControl w:val="0"/>
        <w:numPr>
          <w:ilvl w:val="0"/>
          <w:numId w:val="6"/>
        </w:numPr>
        <w:tabs>
          <w:tab w:val="clear" w:pos="720"/>
          <w:tab w:val="num" w:pos="680"/>
        </w:tabs>
        <w:overflowPunct w:val="0"/>
        <w:autoSpaceDE w:val="0"/>
        <w:autoSpaceDN w:val="0"/>
        <w:adjustRightInd w:val="0"/>
        <w:spacing w:after="0" w:line="240" w:lineRule="auto"/>
        <w:ind w:left="680" w:hanging="342"/>
        <w:jc w:val="both"/>
        <w:rPr>
          <w:rFonts w:ascii="Times New Roman" w:hAnsi="Times New Roman" w:cs="Times New Roman"/>
          <w:sz w:val="19"/>
          <w:szCs w:val="19"/>
        </w:rPr>
      </w:pPr>
      <w:r>
        <w:rPr>
          <w:rFonts w:ascii="Times New Roman" w:hAnsi="Times New Roman" w:cs="Times New Roman"/>
          <w:sz w:val="19"/>
          <w:szCs w:val="19"/>
        </w:rPr>
        <w:t>Other Information</w:t>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20"/>
        <w:rPr>
          <w:rFonts w:ascii="Times New Roman" w:hAnsi="Times New Roman" w:cs="Times New Roman"/>
          <w:sz w:val="24"/>
          <w:szCs w:val="24"/>
        </w:rPr>
      </w:pPr>
      <w:r>
        <w:rPr>
          <w:rFonts w:ascii="Times New Roman" w:hAnsi="Times New Roman" w:cs="Times New Roman"/>
          <w:sz w:val="19"/>
          <w:szCs w:val="19"/>
        </w:rPr>
        <w:t>Throughout MD&amp;A, we refer to measures used by management to evaluate performance, including unit volume growth, net sales and net earnings. We also refer to a</w:t>
      </w:r>
    </w:p>
    <w:p w:rsidR="00000000" w:rsidRDefault="0057438D">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number of financial measures that are not defined under accounting principles generally accepte</w:t>
      </w:r>
      <w:r>
        <w:rPr>
          <w:rFonts w:ascii="Times New Roman" w:hAnsi="Times New Roman" w:cs="Times New Roman"/>
          <w:sz w:val="19"/>
          <w:szCs w:val="19"/>
        </w:rPr>
        <w:t>d in the United States of America (U.S. GAAP), including organic sales growth, core earnings per share (Core EPS), free cash flow and free cash flow productivity. Organic sales growth is net sales growth excluding the impacts of foreign exchange, acquisiti</w:t>
      </w:r>
      <w:r>
        <w:rPr>
          <w:rFonts w:ascii="Times New Roman" w:hAnsi="Times New Roman" w:cs="Times New Roman"/>
          <w:sz w:val="19"/>
          <w:szCs w:val="19"/>
        </w:rPr>
        <w:t>ons and divestitures. Core EPS is diluted net earnings per share from continuing operations excluding certain specified charges and gains. Free cash flow is operating cash flow less capital spending. Free cash flow productivity is the ratio of free cash fl</w:t>
      </w:r>
      <w:r>
        <w:rPr>
          <w:rFonts w:ascii="Times New Roman" w:hAnsi="Times New Roman" w:cs="Times New Roman"/>
          <w:sz w:val="19"/>
          <w:szCs w:val="19"/>
        </w:rPr>
        <w:t>ow to net earnings. We believe these measures provide our investors with additional information about our underlying results and trends, as well as insight to some of the metrics used to evaluate management. The explanation at the end of MD&amp;A provides more</w:t>
      </w:r>
      <w:r>
        <w:rPr>
          <w:rFonts w:ascii="Times New Roman" w:hAnsi="Times New Roman" w:cs="Times New Roman"/>
          <w:sz w:val="19"/>
          <w:szCs w:val="19"/>
        </w:rPr>
        <w:t xml:space="preserve"> details on the use and derivation of these measures.</w:t>
      </w:r>
    </w:p>
    <w:p w:rsidR="00000000" w:rsidRDefault="0057438D">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100"/>
        <w:rPr>
          <w:rFonts w:ascii="Times New Roman" w:hAnsi="Times New Roman" w:cs="Times New Roman"/>
          <w:sz w:val="24"/>
          <w:szCs w:val="24"/>
        </w:rPr>
      </w:pPr>
      <w:r>
        <w:rPr>
          <w:rFonts w:ascii="Times New Roman" w:hAnsi="Times New Roman" w:cs="Times New Roman"/>
          <w:sz w:val="19"/>
          <w:szCs w:val="19"/>
        </w:rPr>
        <w:t>Management also uses certain market share and market consumption estimates to evaluate performance relative to competition despite some limitations on the availability and comparability of share and co</w:t>
      </w:r>
      <w:r>
        <w:rPr>
          <w:rFonts w:ascii="Times New Roman" w:hAnsi="Times New Roman" w:cs="Times New Roman"/>
          <w:sz w:val="19"/>
          <w:szCs w:val="19"/>
        </w:rPr>
        <w:t>nsumption information. References to market share and market consumption in MD&amp;A are based on a combination of vendor-reported consumption and market size data, as well as internal estimates. All market share references represent the percentage of sales in</w:t>
      </w:r>
      <w:r>
        <w:rPr>
          <w:rFonts w:ascii="Times New Roman" w:hAnsi="Times New Roman" w:cs="Times New Roman"/>
          <w:sz w:val="19"/>
          <w:szCs w:val="19"/>
        </w:rPr>
        <w:t xml:space="preserve"> dollar terms on a constant currency basis of our products, relative to all product sales in the category and are measured on an annual basis versus the prior 12 month period. References to competitive activity include promotional and product initiatives f</w:t>
      </w:r>
      <w:r>
        <w:rPr>
          <w:rFonts w:ascii="Times New Roman" w:hAnsi="Times New Roman" w:cs="Times New Roman"/>
          <w:sz w:val="19"/>
          <w:szCs w:val="19"/>
        </w:rPr>
        <w:t>rom our competitors.</w:t>
      </w:r>
    </w:p>
    <w:p w:rsidR="00000000" w:rsidRDefault="0057438D">
      <w:pPr>
        <w:pStyle w:val="DefaultParagraphFont"/>
        <w:widowControl w:val="0"/>
        <w:autoSpaceDE w:val="0"/>
        <w:autoSpaceDN w:val="0"/>
        <w:adjustRightInd w:val="0"/>
        <w:spacing w:after="0" w:line="13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OVERVIEW</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20"/>
        <w:rPr>
          <w:rFonts w:ascii="Times New Roman" w:hAnsi="Times New Roman" w:cs="Times New Roman"/>
          <w:sz w:val="24"/>
          <w:szCs w:val="24"/>
        </w:rPr>
      </w:pPr>
      <w:r>
        <w:rPr>
          <w:rFonts w:ascii="Times New Roman" w:hAnsi="Times New Roman" w:cs="Times New Roman"/>
          <w:sz w:val="19"/>
          <w:szCs w:val="19"/>
        </w:rPr>
        <w:t xml:space="preserve">P&amp;G is a global leader in fast moving consumer goods focused on providing branded consumer packaged goods of superior quality and value to our consumers around the world. Our products are sold in more than 180 countries and </w:t>
      </w:r>
      <w:r>
        <w:rPr>
          <w:rFonts w:ascii="Times New Roman" w:hAnsi="Times New Roman" w:cs="Times New Roman"/>
          <w:sz w:val="19"/>
          <w:szCs w:val="19"/>
        </w:rPr>
        <w:t>territories primarily through mass merchandisers, grocery stores, membership club stores, drug stores, department stores, salons, distributors, e-commerce and high-frequency stores. We continue to expand our presence in other channels, including perfumerie</w:t>
      </w:r>
      <w:r>
        <w:rPr>
          <w:rFonts w:ascii="Times New Roman" w:hAnsi="Times New Roman" w:cs="Times New Roman"/>
          <w:sz w:val="19"/>
          <w:szCs w:val="19"/>
        </w:rPr>
        <w:t>s and pharmacies. We have on-the-ground operations in approximately 70 countries.</w:t>
      </w:r>
    </w:p>
    <w:p w:rsidR="00000000" w:rsidRDefault="0057438D">
      <w:pPr>
        <w:pStyle w:val="DefaultParagraphFont"/>
        <w:widowControl w:val="0"/>
        <w:autoSpaceDE w:val="0"/>
        <w:autoSpaceDN w:val="0"/>
        <w:adjustRightInd w:val="0"/>
        <w:spacing w:after="0" w:line="8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120"/>
        <w:rPr>
          <w:rFonts w:ascii="Times New Roman" w:hAnsi="Times New Roman" w:cs="Times New Roman"/>
          <w:sz w:val="24"/>
          <w:szCs w:val="24"/>
        </w:rPr>
      </w:pPr>
      <w:r>
        <w:rPr>
          <w:rFonts w:ascii="Times New Roman" w:hAnsi="Times New Roman" w:cs="Times New Roman"/>
          <w:sz w:val="19"/>
          <w:szCs w:val="19"/>
        </w:rPr>
        <w:t>Our market environment is highly competitive with global, regional and local competitors. In many of the markets and industry segments in which we sell our products, we comp</w:t>
      </w:r>
      <w:r>
        <w:rPr>
          <w:rFonts w:ascii="Times New Roman" w:hAnsi="Times New Roman" w:cs="Times New Roman"/>
          <w:sz w:val="19"/>
          <w:szCs w:val="19"/>
        </w:rPr>
        <w:t>ete against other branded products as well as retailers' private-label brands. Additionally, many of the product segments in which we compete are differentiated by price tiers (referred to as super-premium, premium, mid-tier and value-tier products). We ar</w:t>
      </w:r>
      <w:r>
        <w:rPr>
          <w:rFonts w:ascii="Times New Roman" w:hAnsi="Times New Roman" w:cs="Times New Roman"/>
          <w:sz w:val="19"/>
          <w:szCs w:val="19"/>
        </w:rPr>
        <w:t>e well positioned in the industry segments and markets in which we operate, often holding a leadership or significant market share position.</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880" w:bottom="900" w:left="860" w:header="720" w:footer="720" w:gutter="0"/>
          <w:cols w:num="2" w:space="420" w:equalWidth="0">
            <w:col w:w="4680" w:space="420"/>
            <w:col w:w="468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23</w:t>
      </w:r>
    </w:p>
    <w:p w:rsidR="00000000" w:rsidRDefault="0057438D">
      <w:pPr>
        <w:pStyle w:val="DefaultParagraphFont"/>
        <w:widowControl w:val="0"/>
        <w:autoSpaceDE w:val="0"/>
        <w:autoSpaceDN w:val="0"/>
        <w:adjustRightInd w:val="0"/>
        <w:spacing w:after="0" w:line="35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i/>
          <w:iCs/>
          <w:sz w:val="19"/>
          <w:szCs w:val="19"/>
        </w:rPr>
        <w:t>ORGANIZATIONAL STRUCTURE</w:t>
      </w:r>
    </w:p>
    <w:p w:rsidR="00000000" w:rsidRDefault="0057438D">
      <w:pPr>
        <w:pStyle w:val="DefaultParagraphFont"/>
        <w:widowControl w:val="0"/>
        <w:autoSpaceDE w:val="0"/>
        <w:autoSpaceDN w:val="0"/>
        <w:adjustRightInd w:val="0"/>
        <w:spacing w:after="0" w:line="13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440"/>
        <w:rPr>
          <w:rFonts w:ascii="Times New Roman" w:hAnsi="Times New Roman" w:cs="Times New Roman"/>
          <w:sz w:val="24"/>
          <w:szCs w:val="24"/>
        </w:rPr>
      </w:pPr>
      <w:r>
        <w:rPr>
          <w:rFonts w:ascii="Times New Roman" w:hAnsi="Times New Roman" w:cs="Times New Roman"/>
          <w:sz w:val="19"/>
          <w:szCs w:val="19"/>
        </w:rPr>
        <w:t>Our organizational structure is comprised of Global Business Units (GBUs), Global Operations, Global Business Services (GBS) and Corporate Functions (CF).</w:t>
      </w:r>
    </w:p>
    <w:p w:rsidR="00000000" w:rsidRDefault="0057438D">
      <w:pPr>
        <w:pStyle w:val="DefaultParagraphFont"/>
        <w:widowControl w:val="0"/>
        <w:autoSpaceDE w:val="0"/>
        <w:autoSpaceDN w:val="0"/>
        <w:adjustRightInd w:val="0"/>
        <w:spacing w:after="0" w:line="10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Global Business Units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left="20" w:right="200"/>
        <w:rPr>
          <w:rFonts w:ascii="Times New Roman" w:hAnsi="Times New Roman" w:cs="Times New Roman"/>
          <w:sz w:val="24"/>
          <w:szCs w:val="24"/>
        </w:rPr>
      </w:pPr>
      <w:r>
        <w:rPr>
          <w:rFonts w:ascii="Times New Roman" w:hAnsi="Times New Roman" w:cs="Times New Roman"/>
          <w:sz w:val="19"/>
          <w:szCs w:val="19"/>
        </w:rPr>
        <w:t>Under U.S. GAAP, the GBUs are aggregated into five reportable segments: Beaut</w:t>
      </w:r>
      <w:r>
        <w:rPr>
          <w:rFonts w:ascii="Times New Roman" w:hAnsi="Times New Roman" w:cs="Times New Roman"/>
          <w:sz w:val="19"/>
          <w:szCs w:val="19"/>
        </w:rPr>
        <w:t>y; Grooming; Health Care; Fabric Care and Home Care; and Baby, Feminine and Family Care. The GBUs are responsible for developing overall brand strategy, new product upgrades and innovations and marketing plans. The following provides additional detail on o</w:t>
      </w:r>
      <w:r>
        <w:rPr>
          <w:rFonts w:ascii="Times New Roman" w:hAnsi="Times New Roman" w:cs="Times New Roman"/>
          <w:sz w:val="19"/>
          <w:szCs w:val="19"/>
        </w:rPr>
        <w:t>ur reportable segments and the key product categories and brand composition within each segment.</w:t>
      </w:r>
    </w:p>
    <w:p w:rsidR="00000000" w:rsidRDefault="0057438D">
      <w:pPr>
        <w:pStyle w:val="DefaultParagraphFont"/>
        <w:widowControl w:val="0"/>
        <w:autoSpaceDE w:val="0"/>
        <w:autoSpaceDN w:val="0"/>
        <w:adjustRightInd w:val="0"/>
        <w:spacing w:after="0" w:line="11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340"/>
        <w:gridCol w:w="860"/>
        <w:gridCol w:w="800"/>
        <w:gridCol w:w="4000"/>
        <w:gridCol w:w="1780"/>
        <w:gridCol w:w="20"/>
        <w:gridCol w:w="20"/>
      </w:tblGrid>
      <w:tr w:rsidR="00000000">
        <w:tblPrEx>
          <w:tblCellMar>
            <w:top w:w="0" w:type="dxa"/>
            <w:left w:w="0" w:type="dxa"/>
            <w:bottom w:w="0" w:type="dxa"/>
            <w:right w:w="0" w:type="dxa"/>
          </w:tblCellMar>
        </w:tblPrEx>
        <w:trPr>
          <w:trHeight w:val="172"/>
        </w:trPr>
        <w:tc>
          <w:tcPr>
            <w:tcW w:w="23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40"/>
              <w:rPr>
                <w:rFonts w:ascii="Times New Roman" w:hAnsi="Times New Roman" w:cs="Times New Roman"/>
                <w:sz w:val="24"/>
                <w:szCs w:val="24"/>
              </w:rPr>
            </w:pPr>
            <w:r>
              <w:rPr>
                <w:rFonts w:ascii="Times New Roman" w:hAnsi="Times New Roman" w:cs="Times New Roman"/>
                <w:b/>
                <w:bCs/>
                <w:sz w:val="15"/>
                <w:szCs w:val="15"/>
              </w:rPr>
              <w:t>Reportable Segment</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 of</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 of Net</w:t>
            </w:r>
          </w:p>
        </w:tc>
        <w:tc>
          <w:tcPr>
            <w:tcW w:w="40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00"/>
              <w:rPr>
                <w:rFonts w:ascii="Times New Roman" w:hAnsi="Times New Roman" w:cs="Times New Roman"/>
                <w:sz w:val="24"/>
                <w:szCs w:val="24"/>
              </w:rPr>
            </w:pPr>
            <w:r>
              <w:rPr>
                <w:rFonts w:ascii="Times New Roman" w:hAnsi="Times New Roman" w:cs="Times New Roman"/>
                <w:b/>
                <w:bCs/>
                <w:sz w:val="15"/>
                <w:szCs w:val="15"/>
              </w:rPr>
              <w:t>GBUs (Categories)</w:t>
            </w:r>
          </w:p>
        </w:tc>
        <w:tc>
          <w:tcPr>
            <w:tcW w:w="18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b/>
                <w:bCs/>
                <w:sz w:val="15"/>
                <w:szCs w:val="15"/>
              </w:rPr>
              <w:t>Billion Dollar Brands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23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Net Sales*</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Earnings*</w:t>
            </w:r>
          </w:p>
        </w:tc>
        <w:tc>
          <w:tcPr>
            <w:tcW w:w="40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23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7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2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9" w:lineRule="exact"/>
              <w:ind w:left="60"/>
              <w:rPr>
                <w:rFonts w:ascii="Times New Roman" w:hAnsi="Times New Roman" w:cs="Times New Roman"/>
                <w:sz w:val="24"/>
                <w:szCs w:val="24"/>
              </w:rPr>
            </w:pPr>
            <w:r>
              <w:rPr>
                <w:rFonts w:ascii="Times New Roman" w:hAnsi="Times New Roman" w:cs="Times New Roman"/>
                <w:sz w:val="19"/>
                <w:szCs w:val="19"/>
              </w:rPr>
              <w:t>Beauty</w:t>
            </w: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9" w:lineRule="exact"/>
              <w:jc w:val="center"/>
              <w:rPr>
                <w:rFonts w:ascii="Times New Roman" w:hAnsi="Times New Roman" w:cs="Times New Roman"/>
                <w:sz w:val="24"/>
                <w:szCs w:val="24"/>
              </w:rPr>
            </w:pPr>
            <w:r>
              <w:rPr>
                <w:rFonts w:ascii="Times New Roman" w:hAnsi="Times New Roman" w:cs="Times New Roman"/>
                <w:sz w:val="19"/>
                <w:szCs w:val="19"/>
              </w:rPr>
              <w:t>24%</w:t>
            </w: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9" w:lineRule="exact"/>
              <w:jc w:val="center"/>
              <w:rPr>
                <w:rFonts w:ascii="Times New Roman" w:hAnsi="Times New Roman" w:cs="Times New Roman"/>
                <w:sz w:val="24"/>
                <w:szCs w:val="24"/>
              </w:rPr>
            </w:pPr>
            <w:r>
              <w:rPr>
                <w:rFonts w:ascii="Times New Roman" w:hAnsi="Times New Roman" w:cs="Times New Roman"/>
                <w:sz w:val="19"/>
                <w:szCs w:val="19"/>
              </w:rPr>
              <w:t>23%</w:t>
            </w:r>
          </w:p>
        </w:tc>
        <w:tc>
          <w:tcPr>
            <w:tcW w:w="4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9" w:lineRule="exact"/>
              <w:ind w:left="60"/>
              <w:rPr>
                <w:rFonts w:ascii="Times New Roman" w:hAnsi="Times New Roman" w:cs="Times New Roman"/>
                <w:sz w:val="24"/>
                <w:szCs w:val="24"/>
              </w:rPr>
            </w:pPr>
            <w:r>
              <w:rPr>
                <w:rFonts w:ascii="Times New Roman" w:hAnsi="Times New Roman" w:cs="Times New Roman"/>
                <w:sz w:val="19"/>
                <w:szCs w:val="19"/>
              </w:rPr>
              <w:t>Beauty Care (Antiperspirant and Deodorant,</w:t>
            </w:r>
          </w:p>
        </w:tc>
        <w:tc>
          <w:tcPr>
            <w:tcW w:w="1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9" w:lineRule="exact"/>
              <w:ind w:left="80"/>
              <w:rPr>
                <w:rFonts w:ascii="Times New Roman" w:hAnsi="Times New Roman" w:cs="Times New Roman"/>
                <w:sz w:val="24"/>
                <w:szCs w:val="24"/>
              </w:rPr>
            </w:pPr>
            <w:r>
              <w:rPr>
                <w:rFonts w:ascii="Times New Roman" w:hAnsi="Times New Roman" w:cs="Times New Roman"/>
                <w:sz w:val="19"/>
                <w:szCs w:val="19"/>
              </w:rPr>
              <w:t>Head &amp; Shoulders,</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2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Cosmetics, Personal Cleansing, Skin Care); Hair</w:t>
            </w:r>
          </w:p>
        </w:tc>
        <w:tc>
          <w:tcPr>
            <w:tcW w:w="180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80"/>
              <w:rPr>
                <w:rFonts w:ascii="Times New Roman" w:hAnsi="Times New Roman" w:cs="Times New Roman"/>
                <w:sz w:val="24"/>
                <w:szCs w:val="24"/>
              </w:rPr>
            </w:pPr>
            <w:r>
              <w:rPr>
                <w:rFonts w:ascii="Times New Roman" w:hAnsi="Times New Roman" w:cs="Times New Roman"/>
                <w:sz w:val="19"/>
                <w:szCs w:val="19"/>
              </w:rPr>
              <w:t>Olay, Pantene, SK-II,</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2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Care and Color; Prestige; Salon Professional</w:t>
            </w:r>
          </w:p>
        </w:tc>
        <w:tc>
          <w:tcPr>
            <w:tcW w:w="180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Wella</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6"/>
        </w:trPr>
        <w:tc>
          <w:tcPr>
            <w:tcW w:w="2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4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1"/>
        </w:trPr>
        <w:tc>
          <w:tcPr>
            <w:tcW w:w="2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0" w:lineRule="exact"/>
              <w:ind w:left="60"/>
              <w:rPr>
                <w:rFonts w:ascii="Times New Roman" w:hAnsi="Times New Roman" w:cs="Times New Roman"/>
                <w:sz w:val="24"/>
                <w:szCs w:val="24"/>
              </w:rPr>
            </w:pPr>
            <w:r>
              <w:rPr>
                <w:rFonts w:ascii="Times New Roman" w:hAnsi="Times New Roman" w:cs="Times New Roman"/>
                <w:sz w:val="19"/>
                <w:szCs w:val="19"/>
              </w:rPr>
              <w:t>Grooming</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0" w:lineRule="exact"/>
              <w:jc w:val="center"/>
              <w:rPr>
                <w:rFonts w:ascii="Times New Roman" w:hAnsi="Times New Roman" w:cs="Times New Roman"/>
                <w:sz w:val="24"/>
                <w:szCs w:val="24"/>
              </w:rPr>
            </w:pPr>
            <w:r>
              <w:rPr>
                <w:rFonts w:ascii="Times New Roman" w:hAnsi="Times New Roman" w:cs="Times New Roman"/>
                <w:sz w:val="19"/>
                <w:szCs w:val="19"/>
              </w:rPr>
              <w:t>10%</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0" w:lineRule="exact"/>
              <w:jc w:val="center"/>
              <w:rPr>
                <w:rFonts w:ascii="Times New Roman" w:hAnsi="Times New Roman" w:cs="Times New Roman"/>
                <w:sz w:val="24"/>
                <w:szCs w:val="24"/>
              </w:rPr>
            </w:pPr>
            <w:r>
              <w:rPr>
                <w:rFonts w:ascii="Times New Roman" w:hAnsi="Times New Roman" w:cs="Times New Roman"/>
                <w:sz w:val="19"/>
                <w:szCs w:val="19"/>
              </w:rPr>
              <w:t>17%</w:t>
            </w:r>
          </w:p>
        </w:tc>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0" w:lineRule="exact"/>
              <w:ind w:left="60"/>
              <w:rPr>
                <w:rFonts w:ascii="Times New Roman" w:hAnsi="Times New Roman" w:cs="Times New Roman"/>
                <w:sz w:val="24"/>
                <w:szCs w:val="24"/>
              </w:rPr>
            </w:pPr>
            <w:r>
              <w:rPr>
                <w:rFonts w:ascii="Times New Roman" w:hAnsi="Times New Roman" w:cs="Times New Roman"/>
                <w:sz w:val="19"/>
                <w:szCs w:val="19"/>
              </w:rPr>
              <w:t>Shave Care (Electronic Hair Removal, Female</w:t>
            </w:r>
          </w:p>
        </w:tc>
        <w:tc>
          <w:tcPr>
            <w:tcW w:w="1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0" w:lineRule="exact"/>
              <w:ind w:left="80"/>
              <w:rPr>
                <w:rFonts w:ascii="Times New Roman" w:hAnsi="Times New Roman" w:cs="Times New Roman"/>
                <w:sz w:val="24"/>
                <w:szCs w:val="24"/>
              </w:rPr>
            </w:pPr>
            <w:r>
              <w:rPr>
                <w:rFonts w:ascii="Times New Roman" w:hAnsi="Times New Roman" w:cs="Times New Roman"/>
                <w:sz w:val="19"/>
                <w:szCs w:val="19"/>
              </w:rPr>
              <w:t>Fusion, Gillette,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2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Blades &amp; Razors, Male Blades &amp; Razors, Pre- and</w:t>
            </w:r>
          </w:p>
        </w:tc>
        <w:tc>
          <w:tcPr>
            <w:tcW w:w="1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80"/>
              <w:rPr>
                <w:rFonts w:ascii="Times New Roman" w:hAnsi="Times New Roman" w:cs="Times New Roman"/>
                <w:sz w:val="24"/>
                <w:szCs w:val="24"/>
              </w:rPr>
            </w:pPr>
            <w:r>
              <w:rPr>
                <w:rFonts w:ascii="Times New Roman" w:hAnsi="Times New Roman" w:cs="Times New Roman"/>
                <w:sz w:val="19"/>
                <w:szCs w:val="19"/>
              </w:rPr>
              <w:t>Mach3, Prestobarba</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2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Post-Shave Products, Other Shave Care)</w:t>
            </w:r>
          </w:p>
        </w:tc>
        <w:tc>
          <w:tcPr>
            <w:tcW w:w="1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5"/>
        </w:trPr>
        <w:tc>
          <w:tcPr>
            <w:tcW w:w="2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1"/>
        </w:trPr>
        <w:tc>
          <w:tcPr>
            <w:tcW w:w="2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0" w:lineRule="exact"/>
              <w:ind w:left="60"/>
              <w:rPr>
                <w:rFonts w:ascii="Times New Roman" w:hAnsi="Times New Roman" w:cs="Times New Roman"/>
                <w:sz w:val="24"/>
                <w:szCs w:val="24"/>
              </w:rPr>
            </w:pPr>
            <w:r>
              <w:rPr>
                <w:rFonts w:ascii="Times New Roman" w:hAnsi="Times New Roman" w:cs="Times New Roman"/>
                <w:sz w:val="19"/>
                <w:szCs w:val="19"/>
              </w:rPr>
              <w:t>Health Care</w:t>
            </w: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0" w:lineRule="exact"/>
              <w:jc w:val="center"/>
              <w:rPr>
                <w:rFonts w:ascii="Times New Roman" w:hAnsi="Times New Roman" w:cs="Times New Roman"/>
                <w:sz w:val="24"/>
                <w:szCs w:val="24"/>
              </w:rPr>
            </w:pPr>
            <w:r>
              <w:rPr>
                <w:rFonts w:ascii="Times New Roman" w:hAnsi="Times New Roman" w:cs="Times New Roman"/>
                <w:sz w:val="19"/>
                <w:szCs w:val="19"/>
              </w:rPr>
              <w:t>9%</w:t>
            </w: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0" w:lineRule="exact"/>
              <w:jc w:val="center"/>
              <w:rPr>
                <w:rFonts w:ascii="Times New Roman" w:hAnsi="Times New Roman" w:cs="Times New Roman"/>
                <w:sz w:val="24"/>
                <w:szCs w:val="24"/>
              </w:rPr>
            </w:pPr>
            <w:r>
              <w:rPr>
                <w:rFonts w:ascii="Times New Roman" w:hAnsi="Times New Roman" w:cs="Times New Roman"/>
                <w:sz w:val="19"/>
                <w:szCs w:val="19"/>
              </w:rPr>
              <w:t>9%</w:t>
            </w:r>
          </w:p>
        </w:tc>
        <w:tc>
          <w:tcPr>
            <w:tcW w:w="4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0" w:lineRule="exact"/>
              <w:ind w:left="60"/>
              <w:rPr>
                <w:rFonts w:ascii="Times New Roman" w:hAnsi="Times New Roman" w:cs="Times New Roman"/>
                <w:sz w:val="24"/>
                <w:szCs w:val="24"/>
              </w:rPr>
            </w:pPr>
            <w:r>
              <w:rPr>
                <w:rFonts w:ascii="Times New Roman" w:hAnsi="Times New Roman" w:cs="Times New Roman"/>
                <w:sz w:val="19"/>
                <w:szCs w:val="19"/>
              </w:rPr>
              <w:t>Personal Health Care (Gastrointestinal, Rapid</w:t>
            </w:r>
          </w:p>
        </w:tc>
        <w:tc>
          <w:tcPr>
            <w:tcW w:w="180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0" w:lineRule="exact"/>
              <w:ind w:left="80"/>
              <w:rPr>
                <w:rFonts w:ascii="Times New Roman" w:hAnsi="Times New Roman" w:cs="Times New Roman"/>
                <w:sz w:val="24"/>
                <w:szCs w:val="24"/>
              </w:rPr>
            </w:pPr>
            <w:r>
              <w:rPr>
                <w:rFonts w:ascii="Times New Roman" w:hAnsi="Times New Roman" w:cs="Times New Roman"/>
                <w:sz w:val="19"/>
                <w:szCs w:val="19"/>
              </w:rPr>
              <w:t>Crest, Oral-B, Vicks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2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Diagnostics, Respiratory, Vitamins/Minerals/</w:t>
            </w:r>
          </w:p>
        </w:tc>
        <w:tc>
          <w:tcPr>
            <w:tcW w:w="1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2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Supplements, Other Personal Health Care); Oral</w:t>
            </w:r>
          </w:p>
        </w:tc>
        <w:tc>
          <w:tcPr>
            <w:tcW w:w="1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2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Care (Toothbrush, Toothpaste, Other Oral Care)</w:t>
            </w:r>
          </w:p>
        </w:tc>
        <w:tc>
          <w:tcPr>
            <w:tcW w:w="1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4"/>
        </w:trPr>
        <w:tc>
          <w:tcPr>
            <w:tcW w:w="2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4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1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1"/>
        </w:trPr>
        <w:tc>
          <w:tcPr>
            <w:tcW w:w="2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0" w:lineRule="exact"/>
              <w:ind w:left="60"/>
              <w:rPr>
                <w:rFonts w:ascii="Times New Roman" w:hAnsi="Times New Roman" w:cs="Times New Roman"/>
                <w:sz w:val="24"/>
                <w:szCs w:val="24"/>
              </w:rPr>
            </w:pPr>
            <w:r>
              <w:rPr>
                <w:rFonts w:ascii="Times New Roman" w:hAnsi="Times New Roman" w:cs="Times New Roman"/>
                <w:sz w:val="19"/>
                <w:szCs w:val="19"/>
              </w:rPr>
              <w:t>Fabric Care and Home Care</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0" w:lineRule="exact"/>
              <w:jc w:val="center"/>
              <w:rPr>
                <w:rFonts w:ascii="Times New Roman" w:hAnsi="Times New Roman" w:cs="Times New Roman"/>
                <w:sz w:val="24"/>
                <w:szCs w:val="24"/>
              </w:rPr>
            </w:pPr>
            <w:r>
              <w:rPr>
                <w:rFonts w:ascii="Times New Roman" w:hAnsi="Times New Roman" w:cs="Times New Roman"/>
                <w:sz w:val="19"/>
                <w:szCs w:val="19"/>
              </w:rPr>
              <w:t>32%</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0" w:lineRule="exact"/>
              <w:jc w:val="center"/>
              <w:rPr>
                <w:rFonts w:ascii="Times New Roman" w:hAnsi="Times New Roman" w:cs="Times New Roman"/>
                <w:sz w:val="24"/>
                <w:szCs w:val="24"/>
              </w:rPr>
            </w:pPr>
            <w:r>
              <w:rPr>
                <w:rFonts w:ascii="Times New Roman" w:hAnsi="Times New Roman" w:cs="Times New Roman"/>
                <w:w w:val="97"/>
                <w:sz w:val="19"/>
                <w:szCs w:val="19"/>
              </w:rPr>
              <w:t>26%</w:t>
            </w:r>
          </w:p>
        </w:tc>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0" w:lineRule="exact"/>
              <w:ind w:left="60"/>
              <w:rPr>
                <w:rFonts w:ascii="Times New Roman" w:hAnsi="Times New Roman" w:cs="Times New Roman"/>
                <w:sz w:val="24"/>
                <w:szCs w:val="24"/>
              </w:rPr>
            </w:pPr>
            <w:r>
              <w:rPr>
                <w:rFonts w:ascii="Times New Roman" w:hAnsi="Times New Roman" w:cs="Times New Roman"/>
                <w:sz w:val="19"/>
                <w:szCs w:val="19"/>
              </w:rPr>
              <w:t>Fabric Care (Laundry Additives, Fabric</w:t>
            </w:r>
          </w:p>
        </w:tc>
        <w:tc>
          <w:tcPr>
            <w:tcW w:w="1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80" w:lineRule="exact"/>
              <w:ind w:left="80"/>
              <w:rPr>
                <w:rFonts w:ascii="Times New Roman" w:hAnsi="Times New Roman" w:cs="Times New Roman"/>
                <w:sz w:val="24"/>
                <w:szCs w:val="24"/>
              </w:rPr>
            </w:pPr>
            <w:r>
              <w:rPr>
                <w:rFonts w:ascii="Times New Roman" w:hAnsi="Times New Roman" w:cs="Times New Roman"/>
                <w:sz w:val="19"/>
                <w:szCs w:val="19"/>
              </w:rPr>
              <w:t>Ariel, Dawn, Downy,</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2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Enhancers, Laundry Detergents); Home Care (Air</w:t>
            </w:r>
          </w:p>
        </w:tc>
        <w:tc>
          <w:tcPr>
            <w:tcW w:w="1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80"/>
              <w:rPr>
                <w:rFonts w:ascii="Times New Roman" w:hAnsi="Times New Roman" w:cs="Times New Roman"/>
                <w:sz w:val="24"/>
                <w:szCs w:val="24"/>
              </w:rPr>
            </w:pPr>
            <w:r>
              <w:rPr>
                <w:rFonts w:ascii="Times New Roman" w:hAnsi="Times New Roman" w:cs="Times New Roman"/>
                <w:sz w:val="19"/>
                <w:szCs w:val="19"/>
              </w:rPr>
              <w:t>Duracell, Febreze,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2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Care, Dish Care, P&amp;G Professional, Surface</w:t>
            </w:r>
          </w:p>
        </w:tc>
        <w:tc>
          <w:tcPr>
            <w:tcW w:w="1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80"/>
              <w:rPr>
                <w:rFonts w:ascii="Times New Roman" w:hAnsi="Times New Roman" w:cs="Times New Roman"/>
                <w:sz w:val="24"/>
                <w:szCs w:val="24"/>
              </w:rPr>
            </w:pPr>
            <w:r>
              <w:rPr>
                <w:rFonts w:ascii="Times New Roman" w:hAnsi="Times New Roman" w:cs="Times New Roman"/>
                <w:sz w:val="19"/>
                <w:szCs w:val="19"/>
              </w:rPr>
              <w:t>Gain, Tide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2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Care); Personal Power (Batteries)</w:t>
            </w:r>
          </w:p>
        </w:tc>
        <w:tc>
          <w:tcPr>
            <w:tcW w:w="1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5"/>
        </w:trPr>
        <w:tc>
          <w:tcPr>
            <w:tcW w:w="2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1"/>
        </w:trPr>
        <w:tc>
          <w:tcPr>
            <w:tcW w:w="2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1" w:lineRule="exact"/>
              <w:ind w:left="60"/>
              <w:rPr>
                <w:rFonts w:ascii="Times New Roman" w:hAnsi="Times New Roman" w:cs="Times New Roman"/>
                <w:sz w:val="24"/>
                <w:szCs w:val="24"/>
              </w:rPr>
            </w:pPr>
            <w:r>
              <w:rPr>
                <w:rFonts w:ascii="Times New Roman" w:hAnsi="Times New Roman" w:cs="Times New Roman"/>
                <w:sz w:val="19"/>
                <w:szCs w:val="19"/>
              </w:rPr>
              <w:t>Baby, Feminine and Family</w:t>
            </w: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1" w:lineRule="exact"/>
              <w:jc w:val="center"/>
              <w:rPr>
                <w:rFonts w:ascii="Times New Roman" w:hAnsi="Times New Roman" w:cs="Times New Roman"/>
                <w:sz w:val="24"/>
                <w:szCs w:val="24"/>
              </w:rPr>
            </w:pPr>
            <w:r>
              <w:rPr>
                <w:rFonts w:ascii="Times New Roman" w:hAnsi="Times New Roman" w:cs="Times New Roman"/>
                <w:sz w:val="19"/>
                <w:szCs w:val="19"/>
              </w:rPr>
              <w:t>25%</w:t>
            </w: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1" w:lineRule="exact"/>
              <w:jc w:val="center"/>
              <w:rPr>
                <w:rFonts w:ascii="Times New Roman" w:hAnsi="Times New Roman" w:cs="Times New Roman"/>
                <w:sz w:val="24"/>
                <w:szCs w:val="24"/>
              </w:rPr>
            </w:pPr>
            <w:r>
              <w:rPr>
                <w:rFonts w:ascii="Times New Roman" w:hAnsi="Times New Roman" w:cs="Times New Roman"/>
                <w:sz w:val="19"/>
                <w:szCs w:val="19"/>
              </w:rPr>
              <w:t>25%</w:t>
            </w:r>
          </w:p>
        </w:tc>
        <w:tc>
          <w:tcPr>
            <w:tcW w:w="4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1" w:lineRule="exact"/>
              <w:ind w:left="60"/>
              <w:rPr>
                <w:rFonts w:ascii="Times New Roman" w:hAnsi="Times New Roman" w:cs="Times New Roman"/>
                <w:sz w:val="24"/>
                <w:szCs w:val="24"/>
              </w:rPr>
            </w:pPr>
            <w:r>
              <w:rPr>
                <w:rFonts w:ascii="Times New Roman" w:hAnsi="Times New Roman" w:cs="Times New Roman"/>
                <w:sz w:val="19"/>
                <w:szCs w:val="19"/>
              </w:rPr>
              <w:t>Baby Care (Baby Wipes, Diapers and Pants);</w:t>
            </w:r>
          </w:p>
        </w:tc>
        <w:tc>
          <w:tcPr>
            <w:tcW w:w="180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1" w:lineRule="exact"/>
              <w:ind w:left="80"/>
              <w:rPr>
                <w:rFonts w:ascii="Times New Roman" w:hAnsi="Times New Roman" w:cs="Times New Roman"/>
                <w:sz w:val="24"/>
                <w:szCs w:val="24"/>
              </w:rPr>
            </w:pPr>
            <w:r>
              <w:rPr>
                <w:rFonts w:ascii="Times New Roman" w:hAnsi="Times New Roman" w:cs="Times New Roman"/>
                <w:sz w:val="19"/>
                <w:szCs w:val="19"/>
              </w:rPr>
              <w:t>Always, Bounty,</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2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Care</w:t>
            </w: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Feminine Care (Adult Incontinence, Feminine</w:t>
            </w:r>
          </w:p>
        </w:tc>
        <w:tc>
          <w:tcPr>
            <w:tcW w:w="180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80"/>
              <w:rPr>
                <w:rFonts w:ascii="Times New Roman" w:hAnsi="Times New Roman" w:cs="Times New Roman"/>
                <w:sz w:val="24"/>
                <w:szCs w:val="24"/>
              </w:rPr>
            </w:pPr>
            <w:r>
              <w:rPr>
                <w:rFonts w:ascii="Times New Roman" w:hAnsi="Times New Roman" w:cs="Times New Roman"/>
                <w:sz w:val="19"/>
                <w:szCs w:val="19"/>
              </w:rPr>
              <w:t>Charmin, Pampers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2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Care); Family Care (Paper Towels, Tissues, Toilet</w:t>
            </w:r>
          </w:p>
        </w:tc>
        <w:tc>
          <w:tcPr>
            <w:tcW w:w="1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2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Paper)</w:t>
            </w:r>
          </w:p>
        </w:tc>
        <w:tc>
          <w:tcPr>
            <w:tcW w:w="1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7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 xml:space="preserve">* </w:t>
      </w:r>
      <w:r>
        <w:rPr>
          <w:rFonts w:ascii="Times New Roman" w:hAnsi="Times New Roman" w:cs="Times New Roman"/>
          <w:sz w:val="17"/>
          <w:szCs w:val="17"/>
        </w:rPr>
        <w:t>Percent of net sales and net earnings from continuing operations for the year ended June 30, 2014 (excluding results held in Corporate).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678" w:left="840" w:header="720" w:footer="720" w:gutter="0"/>
          <w:cols w:space="720" w:equalWidth="0">
            <w:col w:w="9780"/>
          </w:cols>
          <w:noEndnote/>
        </w:sectPr>
      </w:pPr>
    </w:p>
    <w:p w:rsidR="00000000" w:rsidRDefault="0057438D">
      <w:pPr>
        <w:pStyle w:val="DefaultParagraphFont"/>
        <w:widowControl w:val="0"/>
        <w:autoSpaceDE w:val="0"/>
        <w:autoSpaceDN w:val="0"/>
        <w:adjustRightInd w:val="0"/>
        <w:spacing w:after="0" w:line="21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b/>
          <w:bCs/>
          <w:i/>
          <w:iCs/>
          <w:sz w:val="19"/>
          <w:szCs w:val="19"/>
        </w:rPr>
        <w:t xml:space="preserve">Recent Developments: </w:t>
      </w:r>
      <w:r>
        <w:rPr>
          <w:rFonts w:ascii="Times New Roman" w:hAnsi="Times New Roman" w:cs="Times New Roman"/>
          <w:sz w:val="19"/>
          <w:szCs w:val="19"/>
        </w:rPr>
        <w:t>On July 31, 2014 the Company</w:t>
      </w:r>
      <w:r>
        <w:rPr>
          <w:rFonts w:ascii="Times New Roman" w:hAnsi="Times New Roman" w:cs="Times New Roman"/>
          <w:b/>
          <w:bCs/>
          <w:i/>
          <w:iCs/>
          <w:sz w:val="19"/>
          <w:szCs w:val="19"/>
        </w:rPr>
        <w:t xml:space="preserve"> </w:t>
      </w:r>
      <w:r>
        <w:rPr>
          <w:rFonts w:ascii="Times New Roman" w:hAnsi="Times New Roman" w:cs="Times New Roman"/>
          <w:sz w:val="19"/>
          <w:szCs w:val="19"/>
        </w:rPr>
        <w:t xml:space="preserve">completed the divestiture of its pet care operations in North America, Latin America, and other selected countries to Mars, Incorporated (Mars) for $2.9 billion in an all-cash transaction. The gain or loss related to this transaction is not expected to be </w:t>
      </w:r>
      <w:r>
        <w:rPr>
          <w:rFonts w:ascii="Times New Roman" w:hAnsi="Times New Roman" w:cs="Times New Roman"/>
          <w:sz w:val="19"/>
          <w:szCs w:val="19"/>
        </w:rPr>
        <w:t>material and will be included in fiscal 2015 results. The European Union countries are not included in the agreement with Mars. The Company is pursuing alternate plans to sell its Pet Care business in these markets. In accordance with the applicable accoun</w:t>
      </w:r>
      <w:r>
        <w:rPr>
          <w:rFonts w:ascii="Times New Roman" w:hAnsi="Times New Roman" w:cs="Times New Roman"/>
          <w:sz w:val="19"/>
          <w:szCs w:val="19"/>
        </w:rPr>
        <w:t>ting guidance for the disposal of long-lived assets, the results of our Pet Care business are presented as discontinued operations and, as such, have been excluded from continuing operations and from segment results for all periods presented.</w:t>
      </w:r>
    </w:p>
    <w:p w:rsidR="00000000" w:rsidRDefault="0057438D">
      <w:pPr>
        <w:pStyle w:val="DefaultParagraphFont"/>
        <w:widowControl w:val="0"/>
        <w:autoSpaceDE w:val="0"/>
        <w:autoSpaceDN w:val="0"/>
        <w:adjustRightInd w:val="0"/>
        <w:spacing w:after="0" w:line="14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rPr>
          <w:rFonts w:ascii="Times New Roman" w:hAnsi="Times New Roman" w:cs="Times New Roman"/>
          <w:sz w:val="24"/>
          <w:szCs w:val="24"/>
        </w:rPr>
      </w:pPr>
      <w:r>
        <w:rPr>
          <w:rFonts w:ascii="Times New Roman" w:hAnsi="Times New Roman" w:cs="Times New Roman"/>
          <w:b/>
          <w:bCs/>
          <w:i/>
          <w:iCs/>
          <w:sz w:val="19"/>
          <w:szCs w:val="19"/>
        </w:rPr>
        <w:t xml:space="preserve">Beauty: </w:t>
      </w:r>
      <w:r>
        <w:rPr>
          <w:rFonts w:ascii="Times New Roman" w:hAnsi="Times New Roman" w:cs="Times New Roman"/>
          <w:sz w:val="19"/>
          <w:szCs w:val="19"/>
        </w:rPr>
        <w:t>We a</w:t>
      </w:r>
      <w:r>
        <w:rPr>
          <w:rFonts w:ascii="Times New Roman" w:hAnsi="Times New Roman" w:cs="Times New Roman"/>
          <w:sz w:val="19"/>
          <w:szCs w:val="19"/>
        </w:rPr>
        <w:t>re a global market leader in the beauty</w:t>
      </w:r>
      <w:r>
        <w:rPr>
          <w:rFonts w:ascii="Times New Roman" w:hAnsi="Times New Roman" w:cs="Times New Roman"/>
          <w:b/>
          <w:bCs/>
          <w:i/>
          <w:iCs/>
          <w:sz w:val="19"/>
          <w:szCs w:val="19"/>
        </w:rPr>
        <w:t xml:space="preserve"> </w:t>
      </w:r>
      <w:r>
        <w:rPr>
          <w:rFonts w:ascii="Times New Roman" w:hAnsi="Times New Roman" w:cs="Times New Roman"/>
          <w:sz w:val="19"/>
          <w:szCs w:val="19"/>
        </w:rPr>
        <w:t>category. Most of the beauty markets in which we compete are highly fragmented with a large number of global and local competitors. We compete in beauty care, hair care and color and prestige. In beauty care, we offe</w:t>
      </w:r>
      <w:r>
        <w:rPr>
          <w:rFonts w:ascii="Times New Roman" w:hAnsi="Times New Roman" w:cs="Times New Roman"/>
          <w:sz w:val="19"/>
          <w:szCs w:val="19"/>
        </w:rPr>
        <w:t xml:space="preserve">r a wide variety of products, ranging from deodorants to cosmetics to skin care, such as our Olay brand, which is the top facial skin care brand in the world with over 8% global market share. In hair care and color, we compete in both the retail and salon </w:t>
      </w:r>
      <w:r>
        <w:rPr>
          <w:rFonts w:ascii="Times New Roman" w:hAnsi="Times New Roman" w:cs="Times New Roman"/>
          <w:sz w:val="19"/>
          <w:szCs w:val="19"/>
        </w:rPr>
        <w:t>professional channels. We are the global market leader in the retail hair care and color market with over 20% global market share primarily behind our Pantene and Head &amp;</w:t>
      </w:r>
    </w:p>
    <w:p w:rsidR="00000000" w:rsidRDefault="0057438D">
      <w:pPr>
        <w:pStyle w:val="DefaultParagraphFont"/>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overflowPunct w:val="0"/>
        <w:autoSpaceDE w:val="0"/>
        <w:autoSpaceDN w:val="0"/>
        <w:adjustRightInd w:val="0"/>
        <w:spacing w:after="0" w:line="263" w:lineRule="auto"/>
        <w:ind w:right="260"/>
        <w:rPr>
          <w:rFonts w:ascii="Times New Roman" w:hAnsi="Times New Roman" w:cs="Times New Roman"/>
          <w:sz w:val="24"/>
          <w:szCs w:val="24"/>
        </w:rPr>
      </w:pPr>
      <w:r>
        <w:rPr>
          <w:rFonts w:ascii="Times New Roman" w:hAnsi="Times New Roman" w:cs="Times New Roman"/>
          <w:sz w:val="19"/>
          <w:szCs w:val="19"/>
        </w:rPr>
        <w:t>Shoulders brands. In the prestige channel, we compete primarily with our prestige fr</w:t>
      </w:r>
      <w:r>
        <w:rPr>
          <w:rFonts w:ascii="Times New Roman" w:hAnsi="Times New Roman" w:cs="Times New Roman"/>
          <w:sz w:val="19"/>
          <w:szCs w:val="19"/>
        </w:rPr>
        <w:t>agrances behind Dolce &amp; Gabbana, Gucci and Hugo Boss fragrance brands and the SK-II brand.</w:t>
      </w:r>
    </w:p>
    <w:p w:rsidR="00000000" w:rsidRDefault="0057438D">
      <w:pPr>
        <w:pStyle w:val="DefaultParagraphFont"/>
        <w:widowControl w:val="0"/>
        <w:autoSpaceDE w:val="0"/>
        <w:autoSpaceDN w:val="0"/>
        <w:adjustRightInd w:val="0"/>
        <w:spacing w:after="0" w:line="12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0"/>
        <w:rPr>
          <w:rFonts w:ascii="Times New Roman" w:hAnsi="Times New Roman" w:cs="Times New Roman"/>
          <w:sz w:val="24"/>
          <w:szCs w:val="24"/>
        </w:rPr>
      </w:pPr>
      <w:r>
        <w:rPr>
          <w:rFonts w:ascii="Times New Roman" w:hAnsi="Times New Roman" w:cs="Times New Roman"/>
          <w:b/>
          <w:bCs/>
          <w:i/>
          <w:iCs/>
          <w:sz w:val="19"/>
          <w:szCs w:val="19"/>
        </w:rPr>
        <w:t xml:space="preserve">Grooming: </w:t>
      </w:r>
      <w:r>
        <w:rPr>
          <w:rFonts w:ascii="Times New Roman" w:hAnsi="Times New Roman" w:cs="Times New Roman"/>
          <w:sz w:val="19"/>
          <w:szCs w:val="19"/>
        </w:rPr>
        <w:t>We are the global market leader in the blades</w:t>
      </w:r>
      <w:r>
        <w:rPr>
          <w:rFonts w:ascii="Times New Roman" w:hAnsi="Times New Roman" w:cs="Times New Roman"/>
          <w:b/>
          <w:bCs/>
          <w:i/>
          <w:iCs/>
          <w:sz w:val="19"/>
          <w:szCs w:val="19"/>
        </w:rPr>
        <w:t xml:space="preserve"> </w:t>
      </w:r>
      <w:r>
        <w:rPr>
          <w:rFonts w:ascii="Times New Roman" w:hAnsi="Times New Roman" w:cs="Times New Roman"/>
          <w:sz w:val="19"/>
          <w:szCs w:val="19"/>
        </w:rPr>
        <w:t>and razors market globally. Our global blades and razors market share is approximately 70%, primarily behind</w:t>
      </w:r>
      <w:r>
        <w:rPr>
          <w:rFonts w:ascii="Times New Roman" w:hAnsi="Times New Roman" w:cs="Times New Roman"/>
          <w:sz w:val="19"/>
          <w:szCs w:val="19"/>
        </w:rPr>
        <w:t xml:space="preserve"> the Gillette franchise including Fusion, Mach3, Prestobarba and Venus. Our electronic hair removal devices, such as electric razors and epilators, are sold under the Braun brand in a number of markets around the world where we compete against both global </w:t>
      </w:r>
      <w:r>
        <w:rPr>
          <w:rFonts w:ascii="Times New Roman" w:hAnsi="Times New Roman" w:cs="Times New Roman"/>
          <w:sz w:val="19"/>
          <w:szCs w:val="19"/>
        </w:rPr>
        <w:t>and regional competitors. We hold over 20% of the male shavers market and over 40% of the female epilators market.</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b/>
          <w:bCs/>
          <w:i/>
          <w:iCs/>
          <w:sz w:val="19"/>
          <w:szCs w:val="19"/>
        </w:rPr>
        <w:t xml:space="preserve">Health Care: </w:t>
      </w:r>
      <w:r>
        <w:rPr>
          <w:rFonts w:ascii="Times New Roman" w:hAnsi="Times New Roman" w:cs="Times New Roman"/>
          <w:sz w:val="19"/>
          <w:szCs w:val="19"/>
        </w:rPr>
        <w:t>We compete in oral care and personal health</w:t>
      </w:r>
      <w:r>
        <w:rPr>
          <w:rFonts w:ascii="Times New Roman" w:hAnsi="Times New Roman" w:cs="Times New Roman"/>
          <w:b/>
          <w:bCs/>
          <w:i/>
          <w:iCs/>
          <w:sz w:val="19"/>
          <w:szCs w:val="19"/>
        </w:rPr>
        <w:t xml:space="preserve"> </w:t>
      </w:r>
      <w:r>
        <w:rPr>
          <w:rFonts w:ascii="Times New Roman" w:hAnsi="Times New Roman" w:cs="Times New Roman"/>
          <w:sz w:val="19"/>
          <w:szCs w:val="19"/>
        </w:rPr>
        <w:t xml:space="preserve">care. In oral care, there are several global competitors in the market and we have </w:t>
      </w:r>
      <w:r>
        <w:rPr>
          <w:rFonts w:ascii="Times New Roman" w:hAnsi="Times New Roman" w:cs="Times New Roman"/>
          <w:sz w:val="19"/>
          <w:szCs w:val="19"/>
        </w:rPr>
        <w:t>the number two market share position with approximately 20% global market share. In personal health care, we are a top ten competitor in a large, highly fragmented industry behind respiratory treatments (Vicks brand) and nonprescription heartburn medicatio</w:t>
      </w:r>
      <w:r>
        <w:rPr>
          <w:rFonts w:ascii="Times New Roman" w:hAnsi="Times New Roman" w:cs="Times New Roman"/>
          <w:sz w:val="19"/>
          <w:szCs w:val="19"/>
        </w:rPr>
        <w:t>ns (Prilosec OTC brand). Nearly all of our sales outside the U.S in personal health are generated through the PGT Healthcare partnership with Teva Pharmaceuticals Ltd.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920" w:bottom="678" w:left="860" w:header="720" w:footer="720" w:gutter="0"/>
          <w:cols w:num="2" w:space="440" w:equalWidth="0">
            <w:col w:w="4660" w:space="440"/>
            <w:col w:w="464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24</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rPr>
          <w:rFonts w:ascii="Times New Roman" w:hAnsi="Times New Roman" w:cs="Times New Roman"/>
          <w:sz w:val="24"/>
          <w:szCs w:val="24"/>
        </w:rPr>
      </w:pPr>
      <w:r>
        <w:rPr>
          <w:rFonts w:ascii="Times New Roman" w:hAnsi="Times New Roman" w:cs="Times New Roman"/>
          <w:b/>
          <w:bCs/>
          <w:i/>
          <w:iCs/>
          <w:sz w:val="19"/>
          <w:szCs w:val="19"/>
        </w:rPr>
        <w:t xml:space="preserve">Fabric Care and Home Care: </w:t>
      </w:r>
      <w:r>
        <w:rPr>
          <w:rFonts w:ascii="Times New Roman" w:hAnsi="Times New Roman" w:cs="Times New Roman"/>
          <w:sz w:val="19"/>
          <w:szCs w:val="19"/>
        </w:rPr>
        <w:t>This segment is comprised of</w:t>
      </w:r>
      <w:r>
        <w:rPr>
          <w:rFonts w:ascii="Times New Roman" w:hAnsi="Times New Roman" w:cs="Times New Roman"/>
          <w:b/>
          <w:bCs/>
          <w:i/>
          <w:iCs/>
          <w:sz w:val="19"/>
          <w:szCs w:val="19"/>
        </w:rPr>
        <w:t xml:space="preserve"> </w:t>
      </w:r>
      <w:r>
        <w:rPr>
          <w:rFonts w:ascii="Times New Roman" w:hAnsi="Times New Roman" w:cs="Times New Roman"/>
          <w:sz w:val="19"/>
          <w:szCs w:val="19"/>
        </w:rPr>
        <w:t>a variety of fabric care products, including: laundry detergents, additives and fabric enhancers; home care products, including dishwashing liquids and detergents, surface cleaners and air fresheners;</w:t>
      </w:r>
      <w:r>
        <w:rPr>
          <w:rFonts w:ascii="Times New Roman" w:hAnsi="Times New Roman" w:cs="Times New Roman"/>
          <w:sz w:val="19"/>
          <w:szCs w:val="19"/>
        </w:rPr>
        <w:t xml:space="preserve"> and batteries. In fabric care, we generally have the number one or number two share position in the markets in which we compete and are the global market leader, with over 25% global market share, primarily behind our Tide, Ariel and Downy brands. Our glo</w:t>
      </w:r>
      <w:r>
        <w:rPr>
          <w:rFonts w:ascii="Times New Roman" w:hAnsi="Times New Roman" w:cs="Times New Roman"/>
          <w:sz w:val="19"/>
          <w:szCs w:val="19"/>
        </w:rPr>
        <w:t>bal home care market share is approximately 20% across the categories in which we compete. In batteries, we have over 25% global battery market share, behind our Duracell brand.</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rPr>
          <w:rFonts w:ascii="Times New Roman" w:hAnsi="Times New Roman" w:cs="Times New Roman"/>
          <w:sz w:val="24"/>
          <w:szCs w:val="24"/>
        </w:rPr>
      </w:pPr>
      <w:r>
        <w:rPr>
          <w:rFonts w:ascii="Times New Roman" w:hAnsi="Times New Roman" w:cs="Times New Roman"/>
          <w:b/>
          <w:bCs/>
          <w:i/>
          <w:iCs/>
          <w:sz w:val="19"/>
          <w:szCs w:val="19"/>
        </w:rPr>
        <w:t xml:space="preserve">Baby, Feminine and Family Care: </w:t>
      </w:r>
      <w:r>
        <w:rPr>
          <w:rFonts w:ascii="Times New Roman" w:hAnsi="Times New Roman" w:cs="Times New Roman"/>
          <w:sz w:val="19"/>
          <w:szCs w:val="19"/>
        </w:rPr>
        <w:t>In baby care, we</w:t>
      </w:r>
      <w:r>
        <w:rPr>
          <w:rFonts w:ascii="Times New Roman" w:hAnsi="Times New Roman" w:cs="Times New Roman"/>
          <w:b/>
          <w:bCs/>
          <w:i/>
          <w:iCs/>
          <w:sz w:val="19"/>
          <w:szCs w:val="19"/>
        </w:rPr>
        <w:t xml:space="preserve"> </w:t>
      </w:r>
      <w:r>
        <w:rPr>
          <w:rFonts w:ascii="Times New Roman" w:hAnsi="Times New Roman" w:cs="Times New Roman"/>
          <w:sz w:val="19"/>
          <w:szCs w:val="19"/>
        </w:rPr>
        <w:t>compete mainly in diapers, p</w:t>
      </w:r>
      <w:r>
        <w:rPr>
          <w:rFonts w:ascii="Times New Roman" w:hAnsi="Times New Roman" w:cs="Times New Roman"/>
          <w:sz w:val="19"/>
          <w:szCs w:val="19"/>
        </w:rPr>
        <w:t>ants and baby wipes, with over 30% global market share. We are the number one or number two baby care competitor in most of the key markets in which we compete, primarily behind Pampers, the Company's largest brand, with annual net sales of more than $10 b</w:t>
      </w:r>
      <w:r>
        <w:rPr>
          <w:rFonts w:ascii="Times New Roman" w:hAnsi="Times New Roman" w:cs="Times New Roman"/>
          <w:sz w:val="19"/>
          <w:szCs w:val="19"/>
        </w:rPr>
        <w:t>illion. We are the global market leader in the feminine care category with over 30% global market share, primarily behind Always. Our family care business is predominantly a North American business comprised largely of the Bounty paper towel and Charmin to</w:t>
      </w:r>
      <w:r>
        <w:rPr>
          <w:rFonts w:ascii="Times New Roman" w:hAnsi="Times New Roman" w:cs="Times New Roman"/>
          <w:sz w:val="19"/>
          <w:szCs w:val="19"/>
        </w:rPr>
        <w:t>ilet paper brands. U.S. market shares are approximately 45% for Bounty and over 25% for Charmin.</w:t>
      </w:r>
    </w:p>
    <w:p w:rsidR="00000000" w:rsidRDefault="0057438D">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Global Operations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Global Operations is comprised of our Sales and Market Operations (SMO), which is responsible for developing and executing go-to-market pla</w:t>
      </w:r>
      <w:r>
        <w:rPr>
          <w:rFonts w:ascii="Times New Roman" w:hAnsi="Times New Roman" w:cs="Times New Roman"/>
          <w:sz w:val="19"/>
          <w:szCs w:val="19"/>
        </w:rPr>
        <w:t xml:space="preserve">ns at the local level. The SMO includes dedicated retail customer, trade channel and country-specific teams. Through June 30, 2014, it was organized along five geographic regions: North America, Western Europe, Central &amp; Eastern Europe/Middle East/ Africa </w:t>
      </w:r>
      <w:r>
        <w:rPr>
          <w:rFonts w:ascii="Times New Roman" w:hAnsi="Times New Roman" w:cs="Times New Roman"/>
          <w:sz w:val="19"/>
          <w:szCs w:val="19"/>
        </w:rPr>
        <w:t xml:space="preserve">(CEEMEA), Latin America and Asia, which is comprised of Japan, Greater China and ASEAN/Australia/ India/Korea (AAIK). Throughout MD&amp;A, we reference business results in developing markets, which we define as the aggregate of CEEMEA, Latin America, AAIK and </w:t>
      </w:r>
      <w:r>
        <w:rPr>
          <w:rFonts w:ascii="Times New Roman" w:hAnsi="Times New Roman" w:cs="Times New Roman"/>
          <w:sz w:val="19"/>
          <w:szCs w:val="19"/>
        </w:rPr>
        <w:t>Greater China, and developed markets, which are comprised of North America, Western Europe and Japan. Effective July 1, 2014, our SMO reorganized under five revised regions, comprised of North America, Europe, Latin America, Asia, and India/Middle East/Afr</w:t>
      </w:r>
      <w:r>
        <w:rPr>
          <w:rFonts w:ascii="Times New Roman" w:hAnsi="Times New Roman" w:cs="Times New Roman"/>
          <w:sz w:val="19"/>
          <w:szCs w:val="19"/>
        </w:rPr>
        <w:t>ica (IMEA).</w:t>
      </w:r>
    </w:p>
    <w:p w:rsidR="00000000" w:rsidRDefault="0057438D">
      <w:pPr>
        <w:pStyle w:val="DefaultParagraphFont"/>
        <w:widowControl w:val="0"/>
        <w:autoSpaceDE w:val="0"/>
        <w:autoSpaceDN w:val="0"/>
        <w:adjustRightInd w:val="0"/>
        <w:spacing w:after="0" w:line="1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Global Business Services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right="80"/>
        <w:rPr>
          <w:rFonts w:ascii="Times New Roman" w:hAnsi="Times New Roman" w:cs="Times New Roman"/>
          <w:sz w:val="24"/>
          <w:szCs w:val="24"/>
        </w:rPr>
      </w:pPr>
      <w:r>
        <w:rPr>
          <w:rFonts w:ascii="Times New Roman" w:hAnsi="Times New Roman" w:cs="Times New Roman"/>
          <w:sz w:val="19"/>
          <w:szCs w:val="19"/>
        </w:rPr>
        <w:t>GBS provides technology, processes and standard data tools to enable the GBUs and the SMO to better under</w:t>
      </w:r>
      <w:r>
        <w:rPr>
          <w:rFonts w:ascii="Times New Roman" w:hAnsi="Times New Roman" w:cs="Times New Roman"/>
          <w:sz w:val="19"/>
          <w:szCs w:val="19"/>
        </w:rPr>
        <w:t>stand the business and better serve consumers and customers. The GBS organization is responsible for providing world-class solutions at a low cost and with minimal capital investment.</w:t>
      </w:r>
    </w:p>
    <w:p w:rsidR="00000000" w:rsidRDefault="0057438D">
      <w:pPr>
        <w:pStyle w:val="DefaultParagraphFont"/>
        <w:widowControl w:val="0"/>
        <w:autoSpaceDE w:val="0"/>
        <w:autoSpaceDN w:val="0"/>
        <w:adjustRightInd w:val="0"/>
        <w:spacing w:after="0" w:line="13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Corporate Functions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100"/>
        <w:rPr>
          <w:rFonts w:ascii="Times New Roman" w:hAnsi="Times New Roman" w:cs="Times New Roman"/>
          <w:sz w:val="24"/>
          <w:szCs w:val="24"/>
        </w:rPr>
      </w:pPr>
      <w:r>
        <w:rPr>
          <w:rFonts w:ascii="Times New Roman" w:hAnsi="Times New Roman" w:cs="Times New Roman"/>
          <w:sz w:val="19"/>
          <w:szCs w:val="19"/>
        </w:rPr>
        <w:t>CF provides Company-level strategy and portfolio a</w:t>
      </w:r>
      <w:r>
        <w:rPr>
          <w:rFonts w:ascii="Times New Roman" w:hAnsi="Times New Roman" w:cs="Times New Roman"/>
          <w:sz w:val="19"/>
          <w:szCs w:val="19"/>
        </w:rPr>
        <w:t>nalysis, corporate accounting, treasury, tax, external relations,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3" w:right="380"/>
        <w:rPr>
          <w:rFonts w:ascii="Times New Roman" w:hAnsi="Times New Roman" w:cs="Times New Roman"/>
          <w:sz w:val="24"/>
          <w:szCs w:val="24"/>
        </w:rPr>
      </w:pPr>
      <w:r>
        <w:rPr>
          <w:rFonts w:ascii="Times New Roman" w:hAnsi="Times New Roman" w:cs="Times New Roman"/>
          <w:sz w:val="19"/>
          <w:szCs w:val="19"/>
        </w:rPr>
        <w:t>governance, human resources and legal, as well as other centralized functional support.</w:t>
      </w:r>
    </w:p>
    <w:p w:rsidR="00000000" w:rsidRDefault="0057438D">
      <w:pPr>
        <w:pStyle w:val="DefaultParagraphFont"/>
        <w:widowControl w:val="0"/>
        <w:autoSpaceDE w:val="0"/>
        <w:autoSpaceDN w:val="0"/>
        <w:adjustRightInd w:val="0"/>
        <w:spacing w:after="0" w:line="16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3"/>
        <w:rPr>
          <w:rFonts w:ascii="Times New Roman" w:hAnsi="Times New Roman" w:cs="Times New Roman"/>
          <w:sz w:val="24"/>
          <w:szCs w:val="24"/>
        </w:rPr>
      </w:pPr>
      <w:r>
        <w:rPr>
          <w:rFonts w:ascii="Times New Roman" w:hAnsi="Times New Roman" w:cs="Times New Roman"/>
          <w:b/>
          <w:bCs/>
          <w:i/>
          <w:iCs/>
          <w:sz w:val="19"/>
          <w:szCs w:val="19"/>
        </w:rPr>
        <w:t>STRATEGIC FOCUS</w:t>
      </w:r>
    </w:p>
    <w:p w:rsidR="00000000" w:rsidRDefault="0057438D">
      <w:pPr>
        <w:pStyle w:val="DefaultParagraphFont"/>
        <w:widowControl w:val="0"/>
        <w:autoSpaceDE w:val="0"/>
        <w:autoSpaceDN w:val="0"/>
        <w:adjustRightInd w:val="0"/>
        <w:spacing w:after="0" w:line="13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left="3" w:right="20"/>
        <w:rPr>
          <w:rFonts w:ascii="Times New Roman" w:hAnsi="Times New Roman" w:cs="Times New Roman"/>
          <w:sz w:val="24"/>
          <w:szCs w:val="24"/>
        </w:rPr>
      </w:pPr>
      <w:r>
        <w:rPr>
          <w:rFonts w:ascii="Times New Roman" w:hAnsi="Times New Roman" w:cs="Times New Roman"/>
          <w:sz w:val="19"/>
          <w:szCs w:val="19"/>
        </w:rPr>
        <w:t>We are focused on strategies that we believe are right for the long-term health of the Company with the objective of delivering total shareholder return in the top one-third of our peer group.</w:t>
      </w:r>
    </w:p>
    <w:p w:rsidR="00000000" w:rsidRDefault="0057438D">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3" w:lineRule="auto"/>
        <w:ind w:left="3" w:right="740"/>
        <w:rPr>
          <w:rFonts w:ascii="Times New Roman" w:hAnsi="Times New Roman" w:cs="Times New Roman"/>
          <w:sz w:val="24"/>
          <w:szCs w:val="24"/>
        </w:rPr>
      </w:pPr>
      <w:r>
        <w:rPr>
          <w:rFonts w:ascii="Times New Roman" w:hAnsi="Times New Roman" w:cs="Times New Roman"/>
          <w:sz w:val="19"/>
          <w:szCs w:val="19"/>
        </w:rPr>
        <w:t xml:space="preserve">We are focusing our resources on our leading, most profitable </w:t>
      </w:r>
      <w:r>
        <w:rPr>
          <w:rFonts w:ascii="Times New Roman" w:hAnsi="Times New Roman" w:cs="Times New Roman"/>
          <w:sz w:val="19"/>
          <w:szCs w:val="19"/>
        </w:rPr>
        <w:t>categories and markets:</w:t>
      </w:r>
    </w:p>
    <w:p w:rsidR="00000000" w:rsidRDefault="0057438D">
      <w:pPr>
        <w:pStyle w:val="DefaultParagraphFont"/>
        <w:widowControl w:val="0"/>
        <w:numPr>
          <w:ilvl w:val="0"/>
          <w:numId w:val="7"/>
        </w:numPr>
        <w:tabs>
          <w:tab w:val="clear" w:pos="720"/>
          <w:tab w:val="num" w:pos="343"/>
        </w:tabs>
        <w:overflowPunct w:val="0"/>
        <w:autoSpaceDE w:val="0"/>
        <w:autoSpaceDN w:val="0"/>
        <w:adjustRightInd w:val="0"/>
        <w:spacing w:after="0" w:line="251" w:lineRule="auto"/>
        <w:ind w:left="343" w:right="100" w:hanging="343"/>
        <w:rPr>
          <w:rFonts w:ascii="Times New Roman" w:hAnsi="Times New Roman" w:cs="Times New Roman"/>
          <w:sz w:val="19"/>
          <w:szCs w:val="19"/>
        </w:rPr>
      </w:pPr>
      <w:r>
        <w:rPr>
          <w:rFonts w:ascii="Times New Roman" w:hAnsi="Times New Roman" w:cs="Times New Roman"/>
          <w:sz w:val="19"/>
          <w:szCs w:val="19"/>
        </w:rPr>
        <w:t>Strengthening core categories, such as baby care and fabric care, and core markets, such as the U.S., to grow these businesses.</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19"/>
          <w:szCs w:val="19"/>
        </w:rPr>
      </w:pPr>
    </w:p>
    <w:p w:rsidR="00000000" w:rsidRDefault="0057438D">
      <w:pPr>
        <w:pStyle w:val="DefaultParagraphFont"/>
        <w:widowControl w:val="0"/>
        <w:numPr>
          <w:ilvl w:val="0"/>
          <w:numId w:val="7"/>
        </w:numPr>
        <w:tabs>
          <w:tab w:val="clear" w:pos="720"/>
          <w:tab w:val="num" w:pos="343"/>
        </w:tabs>
        <w:overflowPunct w:val="0"/>
        <w:autoSpaceDE w:val="0"/>
        <w:autoSpaceDN w:val="0"/>
        <w:adjustRightInd w:val="0"/>
        <w:spacing w:after="0" w:line="251" w:lineRule="auto"/>
        <w:ind w:left="343" w:right="200" w:hanging="343"/>
        <w:rPr>
          <w:rFonts w:ascii="Times New Roman" w:hAnsi="Times New Roman" w:cs="Times New Roman"/>
          <w:sz w:val="19"/>
          <w:szCs w:val="19"/>
        </w:rPr>
      </w:pPr>
      <w:r>
        <w:rPr>
          <w:rFonts w:ascii="Times New Roman" w:hAnsi="Times New Roman" w:cs="Times New Roman"/>
          <w:sz w:val="19"/>
          <w:szCs w:val="19"/>
        </w:rPr>
        <w:t xml:space="preserve">Investing in developing markets on the categories and countries with the largest size of prize and </w:t>
      </w:r>
      <w:r>
        <w:rPr>
          <w:rFonts w:ascii="Times New Roman" w:hAnsi="Times New Roman" w:cs="Times New Roman"/>
          <w:sz w:val="19"/>
          <w:szCs w:val="19"/>
        </w:rPr>
        <w:t>highest likelihood of winning.</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19"/>
          <w:szCs w:val="19"/>
        </w:rPr>
      </w:pPr>
    </w:p>
    <w:p w:rsidR="00000000" w:rsidRDefault="0057438D">
      <w:pPr>
        <w:pStyle w:val="DefaultParagraphFont"/>
        <w:widowControl w:val="0"/>
        <w:numPr>
          <w:ilvl w:val="0"/>
          <w:numId w:val="7"/>
        </w:numPr>
        <w:tabs>
          <w:tab w:val="clear" w:pos="720"/>
          <w:tab w:val="num" w:pos="343"/>
        </w:tabs>
        <w:overflowPunct w:val="0"/>
        <w:autoSpaceDE w:val="0"/>
        <w:autoSpaceDN w:val="0"/>
        <w:adjustRightInd w:val="0"/>
        <w:spacing w:after="0" w:line="256" w:lineRule="auto"/>
        <w:ind w:left="343" w:hanging="343"/>
        <w:rPr>
          <w:rFonts w:ascii="Times New Roman" w:hAnsi="Times New Roman" w:cs="Times New Roman"/>
          <w:sz w:val="19"/>
          <w:szCs w:val="19"/>
        </w:rPr>
      </w:pPr>
      <w:r>
        <w:rPr>
          <w:rFonts w:ascii="Times New Roman" w:hAnsi="Times New Roman" w:cs="Times New Roman"/>
          <w:sz w:val="19"/>
          <w:szCs w:val="19"/>
        </w:rPr>
        <w:t>Narrowing and refocusing the Company's portfolio to compete in categories and brands that are structurally attractive and that play to P&amp;G strengths and looking at alternatives to partner, divest or discontinue the balance</w:t>
      </w:r>
      <w:r>
        <w:rPr>
          <w:rFonts w:ascii="Times New Roman" w:hAnsi="Times New Roman" w:cs="Times New Roman"/>
          <w:sz w:val="19"/>
          <w:szCs w:val="19"/>
        </w:rPr>
        <w:t>. This will enable us to allocate resources to leading brands - marketed in the right set of countries, channels, and customers - where the size of the prize and probability of winning is highest.</w:t>
      </w:r>
    </w:p>
    <w:p w:rsidR="00000000" w:rsidRDefault="0057438D">
      <w:pPr>
        <w:pStyle w:val="DefaultParagraphFont"/>
        <w:widowControl w:val="0"/>
        <w:autoSpaceDE w:val="0"/>
        <w:autoSpaceDN w:val="0"/>
        <w:adjustRightInd w:val="0"/>
        <w:spacing w:after="0" w:line="19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left="3" w:right="20"/>
        <w:rPr>
          <w:rFonts w:ascii="Times New Roman" w:hAnsi="Times New Roman" w:cs="Times New Roman"/>
          <w:sz w:val="24"/>
          <w:szCs w:val="24"/>
        </w:rPr>
      </w:pPr>
      <w:r>
        <w:rPr>
          <w:rFonts w:ascii="Times New Roman" w:hAnsi="Times New Roman" w:cs="Times New Roman"/>
          <w:sz w:val="19"/>
          <w:szCs w:val="19"/>
        </w:rPr>
        <w:t>Innovation has always been - and continues to be - P&amp;G's lifeblood. To consistently win with consumers around the world across price tiers and preferences and to consistently win versus our best competitors, each P&amp;G product category needs a full portfolio</w:t>
      </w:r>
      <w:r>
        <w:rPr>
          <w:rFonts w:ascii="Times New Roman" w:hAnsi="Times New Roman" w:cs="Times New Roman"/>
          <w:sz w:val="19"/>
          <w:szCs w:val="19"/>
        </w:rPr>
        <w:t xml:space="preserve"> of innovation, including a mix of commercial programs, product improvements and game-changing innovations.</w:t>
      </w:r>
    </w:p>
    <w:p w:rsidR="00000000" w:rsidRDefault="0057438D">
      <w:pPr>
        <w:pStyle w:val="DefaultParagraphFont"/>
        <w:widowControl w:val="0"/>
        <w:autoSpaceDE w:val="0"/>
        <w:autoSpaceDN w:val="0"/>
        <w:adjustRightInd w:val="0"/>
        <w:spacing w:after="0" w:line="19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left="3" w:right="160"/>
        <w:rPr>
          <w:rFonts w:ascii="Times New Roman" w:hAnsi="Times New Roman" w:cs="Times New Roman"/>
          <w:sz w:val="24"/>
          <w:szCs w:val="24"/>
        </w:rPr>
      </w:pPr>
      <w:r>
        <w:rPr>
          <w:rFonts w:ascii="Times New Roman" w:hAnsi="Times New Roman" w:cs="Times New Roman"/>
          <w:sz w:val="19"/>
          <w:szCs w:val="19"/>
        </w:rPr>
        <w:t xml:space="preserve">Productivity is a core strength for P&amp;G, which creates flexibility to fund our growth efforts and deliver our financial commitments. We have taken </w:t>
      </w:r>
      <w:r>
        <w:rPr>
          <w:rFonts w:ascii="Times New Roman" w:hAnsi="Times New Roman" w:cs="Times New Roman"/>
          <w:sz w:val="19"/>
          <w:szCs w:val="19"/>
        </w:rPr>
        <w:t>significant steps to accelerate productivity and savings across all elements of costs, including cost of goods sold, marketing expense and non-manufacturing overhead.</w:t>
      </w:r>
    </w:p>
    <w:p w:rsidR="00000000" w:rsidRDefault="0057438D">
      <w:pPr>
        <w:pStyle w:val="DefaultParagraphFont"/>
        <w:widowControl w:val="0"/>
        <w:autoSpaceDE w:val="0"/>
        <w:autoSpaceDN w:val="0"/>
        <w:adjustRightInd w:val="0"/>
        <w:spacing w:after="0" w:line="19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left="3"/>
        <w:rPr>
          <w:rFonts w:ascii="Times New Roman" w:hAnsi="Times New Roman" w:cs="Times New Roman"/>
          <w:sz w:val="24"/>
          <w:szCs w:val="24"/>
        </w:rPr>
      </w:pPr>
      <w:r>
        <w:rPr>
          <w:rFonts w:ascii="Times New Roman" w:hAnsi="Times New Roman" w:cs="Times New Roman"/>
          <w:sz w:val="19"/>
          <w:szCs w:val="19"/>
        </w:rPr>
        <w:t>Finally, we are focused on improving execution and operating discipline in everything we</w:t>
      </w:r>
      <w:r>
        <w:rPr>
          <w:rFonts w:ascii="Times New Roman" w:hAnsi="Times New Roman" w:cs="Times New Roman"/>
          <w:sz w:val="19"/>
          <w:szCs w:val="19"/>
        </w:rPr>
        <w:t xml:space="preserve"> do. Operating discipline and execution have always been - and must continue to be - core capabilities and competitive advantages for P&amp;G.</w:t>
      </w:r>
    </w:p>
    <w:p w:rsidR="00000000" w:rsidRDefault="0057438D">
      <w:pPr>
        <w:pStyle w:val="DefaultParagraphFont"/>
        <w:widowControl w:val="0"/>
        <w:autoSpaceDE w:val="0"/>
        <w:autoSpaceDN w:val="0"/>
        <w:adjustRightInd w:val="0"/>
        <w:spacing w:after="0" w:line="7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left="3" w:right="120"/>
        <w:rPr>
          <w:rFonts w:ascii="Times New Roman" w:hAnsi="Times New Roman" w:cs="Times New Roman"/>
          <w:sz w:val="24"/>
          <w:szCs w:val="24"/>
        </w:rPr>
      </w:pPr>
      <w:r>
        <w:rPr>
          <w:rFonts w:ascii="Times New Roman" w:hAnsi="Times New Roman" w:cs="Times New Roman"/>
          <w:sz w:val="19"/>
          <w:szCs w:val="19"/>
        </w:rPr>
        <w:t>At current market growth rates, the Company expects the consistent delivery of the following annual financial target</w:t>
      </w:r>
      <w:r>
        <w:rPr>
          <w:rFonts w:ascii="Times New Roman" w:hAnsi="Times New Roman" w:cs="Times New Roman"/>
          <w:sz w:val="19"/>
          <w:szCs w:val="19"/>
        </w:rPr>
        <w:t>s will result in total shareholder returns in the top third of the competitive peer group:</w:t>
      </w:r>
    </w:p>
    <w:p w:rsidR="00000000" w:rsidRDefault="0057438D">
      <w:pPr>
        <w:pStyle w:val="DefaultParagraphFont"/>
        <w:widowControl w:val="0"/>
        <w:autoSpaceDE w:val="0"/>
        <w:autoSpaceDN w:val="0"/>
        <w:adjustRightInd w:val="0"/>
        <w:spacing w:after="0" w:line="16" w:lineRule="exact"/>
        <w:rPr>
          <w:rFonts w:ascii="Times New Roman" w:hAnsi="Times New Roman" w:cs="Times New Roman"/>
          <w:sz w:val="24"/>
          <w:szCs w:val="24"/>
        </w:rPr>
      </w:pPr>
    </w:p>
    <w:p w:rsidR="00000000" w:rsidRDefault="0057438D">
      <w:pPr>
        <w:pStyle w:val="DefaultParagraphFont"/>
        <w:widowControl w:val="0"/>
        <w:numPr>
          <w:ilvl w:val="0"/>
          <w:numId w:val="8"/>
        </w:numPr>
        <w:tabs>
          <w:tab w:val="clear" w:pos="720"/>
          <w:tab w:val="num" w:pos="683"/>
        </w:tabs>
        <w:overflowPunct w:val="0"/>
        <w:autoSpaceDE w:val="0"/>
        <w:autoSpaceDN w:val="0"/>
        <w:adjustRightInd w:val="0"/>
        <w:spacing w:after="0" w:line="251" w:lineRule="auto"/>
        <w:ind w:left="683" w:right="240" w:hanging="340"/>
        <w:rPr>
          <w:rFonts w:ascii="Times New Roman" w:hAnsi="Times New Roman" w:cs="Times New Roman"/>
          <w:sz w:val="19"/>
          <w:szCs w:val="19"/>
        </w:rPr>
      </w:pPr>
      <w:r>
        <w:rPr>
          <w:rFonts w:ascii="Times New Roman" w:hAnsi="Times New Roman" w:cs="Times New Roman"/>
          <w:sz w:val="19"/>
          <w:szCs w:val="19"/>
        </w:rPr>
        <w:t>Organic sales growth modestly above market growth rates in the categories and geographies in which we compete;</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19"/>
          <w:szCs w:val="19"/>
        </w:rPr>
      </w:pPr>
    </w:p>
    <w:p w:rsidR="00000000" w:rsidRDefault="0057438D">
      <w:pPr>
        <w:pStyle w:val="DefaultParagraphFont"/>
        <w:widowControl w:val="0"/>
        <w:numPr>
          <w:ilvl w:val="0"/>
          <w:numId w:val="8"/>
        </w:numPr>
        <w:tabs>
          <w:tab w:val="clear" w:pos="720"/>
          <w:tab w:val="num" w:pos="683"/>
        </w:tabs>
        <w:overflowPunct w:val="0"/>
        <w:autoSpaceDE w:val="0"/>
        <w:autoSpaceDN w:val="0"/>
        <w:adjustRightInd w:val="0"/>
        <w:spacing w:after="0" w:line="240" w:lineRule="auto"/>
        <w:ind w:left="683" w:hanging="340"/>
        <w:jc w:val="both"/>
        <w:rPr>
          <w:rFonts w:ascii="Times New Roman" w:hAnsi="Times New Roman" w:cs="Times New Roman"/>
          <w:sz w:val="19"/>
          <w:szCs w:val="19"/>
        </w:rPr>
      </w:pPr>
      <w:r>
        <w:rPr>
          <w:rFonts w:ascii="Times New Roman" w:hAnsi="Times New Roman" w:cs="Times New Roman"/>
          <w:sz w:val="19"/>
          <w:szCs w:val="19"/>
        </w:rPr>
        <w:t>Core EPS growth of high single digits; and</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numPr>
          <w:ilvl w:val="0"/>
          <w:numId w:val="8"/>
        </w:numPr>
        <w:tabs>
          <w:tab w:val="clear" w:pos="720"/>
          <w:tab w:val="num" w:pos="683"/>
        </w:tabs>
        <w:overflowPunct w:val="0"/>
        <w:autoSpaceDE w:val="0"/>
        <w:autoSpaceDN w:val="0"/>
        <w:adjustRightInd w:val="0"/>
        <w:spacing w:after="0" w:line="240" w:lineRule="auto"/>
        <w:ind w:left="683" w:hanging="340"/>
        <w:jc w:val="both"/>
        <w:rPr>
          <w:rFonts w:ascii="Times New Roman" w:hAnsi="Times New Roman" w:cs="Times New Roman"/>
          <w:sz w:val="19"/>
          <w:szCs w:val="19"/>
        </w:rPr>
      </w:pPr>
      <w:r>
        <w:rPr>
          <w:rFonts w:ascii="Times New Roman" w:hAnsi="Times New Roman" w:cs="Times New Roman"/>
          <w:sz w:val="19"/>
          <w:szCs w:val="19"/>
        </w:rPr>
        <w:t>Free cash flow productivity of 90% or greater.</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00" w:bottom="859" w:left="860" w:header="720" w:footer="720" w:gutter="0"/>
          <w:cols w:num="2" w:space="437" w:equalWidth="0">
            <w:col w:w="4660" w:space="437"/>
            <w:col w:w="4663"/>
          </w:cols>
          <w:noEndnote/>
        </w:sect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25</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523" w:left="8240" w:header="720" w:footer="720" w:gutter="0"/>
          <w:cols w:space="720" w:equalWidth="0">
            <w:col w:w="2380"/>
          </w:cols>
          <w:noEndnote/>
        </w:sectPr>
      </w:pPr>
      <w:r>
        <w:rPr>
          <w:noProof/>
        </w:rPr>
        <mc:AlternateContent>
          <mc:Choice Requires="wps">
            <w:drawing>
              <wp:anchor distT="0" distB="0" distL="114300" distR="114300" simplePos="0" relativeHeight="251685888" behindDoc="1" locked="0" layoutInCell="0" allowOverlap="1">
                <wp:simplePos x="0" y="0"/>
                <wp:positionH relativeFrom="column">
                  <wp:posOffset>-4689475</wp:posOffset>
                </wp:positionH>
                <wp:positionV relativeFrom="paragraph">
                  <wp:posOffset>328295</wp:posOffset>
                </wp:positionV>
                <wp:extent cx="6205855" cy="0"/>
                <wp:effectExtent l="0" t="0" r="0" b="0"/>
                <wp:wrapNone/>
                <wp:docPr id="9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5855" cy="0"/>
                        </a:xfrm>
                        <a:prstGeom prst="line">
                          <a:avLst/>
                        </a:prstGeom>
                        <a:noFill/>
                        <a:ln w="242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25pt,25.85pt" to="119.4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YDHwIAAEQEAAAOAAAAZHJzL2Uyb0RvYy54bWysU02P2jAQvVfqf7B8h3w0UIgIq4pAL7SL&#10;tNsfYGyHWHVsyzYEVPW/d+wAYttLVZWDGWdm3ryZeV48nTuJTtw6oVWFs3GKEVdUM6EOFf72uhnN&#10;MHKeKEakVrzCF+7w0/L9u0VvSp7rVkvGLQIQ5creVLj13pRJ4mjLO+LG2nAFzkbbjni42kPCLOkB&#10;vZNJnqbTpNeWGaspdw6+1oMTLyN+03Dqn5vGcY9khYGbj6eN5z6cyXJByoMlphX0SoP8A4uOCAVF&#10;71A18QQdrfgDqhPUaqcbP6a6S3TTCMpjD9BNlv7WzUtLDI+9wHCcuY/J/T9Y+vW0s0iwCs+nGCnS&#10;wY62QnGUz8NseuNKCFmpnQ3d0bN6MVtNvzuk9Kol6sAjx9eLgbwsZCRvUsLFGaiw779oBjHk6HUc&#10;1LmxXYCEEaBz3Mflvg9+9ojCx2meTmaTCUb05ktIeUs01vnPXHcoGBWWQDoCk9PW+UCElLeQUEfp&#10;jZAyrlsq1Fc4L/JiEjOcloIFb4hz9rBfSYtOJCgm/mJb4HkMC9A1ce0QF12Dlqw+KhbLtJyw9dX2&#10;RMjBBlpShULQJBC9WoNWfszT+Xq2nhWjIp+uR0Va16NPm1Uxmm6yj5P6Q71a1dnPwDkrylYwxlWg&#10;fdNtVvydLq4vaFDcXbn3ASVv0eMkgeztP5KOWw6LHSSy1+yys7ftg1Rj8PVZhbfweAf78fEvfwEA&#10;AP//AwBQSwMEFAAGAAgAAAAhAFOS/mrgAAAACgEAAA8AAABkcnMvZG93bnJldi54bWxMj8FKw0AQ&#10;hu+C77CM4K3dtKVpiNmUIlpU8GAsnjfJmASzs2F3m6Zv7xQP9TgzH/98f7adTC9GdL6zpGAxj0Ag&#10;VbbuqFFw+HyeJSB80FTr3hIqOKOHbX57k+m0tif6wLEIjeAQ8qlW0IYwpFL6qkWj/dwOSHz7ts7o&#10;wKNrZO30icNNL5dRFEujO+IPrR7wscXqpzgaBS9l9Hp+L57isXPjrtq7r0P8tlfq/m7aPYAIOIUr&#10;DBd9VoecnUp7pNqLXsFss0rWzCpYLzYgmFiuEi5T/i1knsn/FfJfAAAA//8DAFBLAQItABQABgAI&#10;AAAAIQC2gziS/gAAAOEBAAATAAAAAAAAAAAAAAAAAAAAAABbQ29udGVudF9UeXBlc10ueG1sUEsB&#10;Ai0AFAAGAAgAAAAhADj9If/WAAAAlAEAAAsAAAAAAAAAAAAAAAAALwEAAF9yZWxzLy5yZWxzUEsB&#10;Ai0AFAAGAAgAAAAhANxqRgMfAgAARAQAAA4AAAAAAAAAAAAAAAAALgIAAGRycy9lMm9Eb2MueG1s&#10;UEsBAi0AFAAGAAgAAAAhAFOS/mrgAAAACgEAAA8AAAAAAAAAAAAAAAAAeQQAAGRycy9kb3ducmV2&#10;LnhtbFBLBQYAAAAABAAEAPMAAACGBQAAAAA=&#10;" o:allowincell="f" strokeweight=".67347mm"/>
            </w:pict>
          </mc:Fallback>
        </mc:AlternateConten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1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5"/>
        <w:rPr>
          <w:rFonts w:ascii="Times New Roman" w:hAnsi="Times New Roman" w:cs="Times New Roman"/>
          <w:sz w:val="24"/>
          <w:szCs w:val="24"/>
        </w:rPr>
      </w:pPr>
      <w:r>
        <w:rPr>
          <w:rFonts w:ascii="Times New Roman" w:hAnsi="Times New Roman" w:cs="Times New Roman"/>
          <w:b/>
          <w:bCs/>
          <w:sz w:val="19"/>
          <w:szCs w:val="19"/>
        </w:rPr>
        <w:t>SUMMARY OF 2014 RESULTS</w:t>
      </w:r>
    </w:p>
    <w:p w:rsidR="00000000" w:rsidRDefault="0057438D">
      <w:pPr>
        <w:pStyle w:val="DefaultParagraphFont"/>
        <w:widowControl w:val="0"/>
        <w:autoSpaceDE w:val="0"/>
        <w:autoSpaceDN w:val="0"/>
        <w:adjustRightInd w:val="0"/>
        <w:spacing w:after="0" w:line="34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5"/>
        <w:rPr>
          <w:rFonts w:ascii="Times New Roman" w:hAnsi="Times New Roman" w:cs="Times New Roman"/>
          <w:sz w:val="24"/>
          <w:szCs w:val="24"/>
        </w:rPr>
      </w:pPr>
      <w:r>
        <w:rPr>
          <w:rFonts w:ascii="Times New Roman" w:hAnsi="Times New Roman" w:cs="Times New Roman"/>
          <w:b/>
          <w:bCs/>
          <w:sz w:val="15"/>
          <w:szCs w:val="15"/>
          <w:u w:val="single"/>
        </w:rPr>
        <w:t>Amounts in millions, except per share amounts</w:t>
      </w:r>
    </w:p>
    <w:p w:rsidR="00000000" w:rsidRDefault="0057438D">
      <w:pPr>
        <w:pStyle w:val="DefaultParagraphFont"/>
        <w:widowControl w:val="0"/>
        <w:autoSpaceDE w:val="0"/>
        <w:autoSpaceDN w:val="0"/>
        <w:adjustRightInd w:val="0"/>
        <w:spacing w:after="0" w:line="7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5"/>
        <w:rPr>
          <w:rFonts w:ascii="Times New Roman" w:hAnsi="Times New Roman" w:cs="Times New Roman"/>
          <w:sz w:val="24"/>
          <w:szCs w:val="24"/>
        </w:rPr>
      </w:pPr>
      <w:r>
        <w:rPr>
          <w:rFonts w:ascii="Times New Roman" w:hAnsi="Times New Roman" w:cs="Times New Roman"/>
          <w:sz w:val="19"/>
          <w:szCs w:val="19"/>
        </w:rPr>
        <w:t>Net sales</w:t>
      </w:r>
    </w:p>
    <w:p w:rsidR="00000000" w:rsidRDefault="0057438D">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5"/>
        <w:rPr>
          <w:rFonts w:ascii="Times New Roman" w:hAnsi="Times New Roman" w:cs="Times New Roman"/>
          <w:sz w:val="24"/>
          <w:szCs w:val="24"/>
        </w:rPr>
      </w:pPr>
      <w:r>
        <w:rPr>
          <w:rFonts w:ascii="Times New Roman" w:hAnsi="Times New Roman" w:cs="Times New Roman"/>
          <w:sz w:val="19"/>
          <w:szCs w:val="19"/>
        </w:rPr>
        <w:t>Operating income</w:t>
      </w:r>
    </w:p>
    <w:p w:rsidR="00000000" w:rsidRDefault="0057438D">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5"/>
        <w:rPr>
          <w:rFonts w:ascii="Times New Roman" w:hAnsi="Times New Roman" w:cs="Times New Roman"/>
          <w:sz w:val="24"/>
          <w:szCs w:val="24"/>
        </w:rPr>
      </w:pPr>
      <w:r>
        <w:rPr>
          <w:rFonts w:ascii="Times New Roman" w:hAnsi="Times New Roman" w:cs="Times New Roman"/>
          <w:sz w:val="19"/>
          <w:szCs w:val="19"/>
        </w:rPr>
        <w:t>Net earnings from continuing operations</w:t>
      </w:r>
    </w:p>
    <w:p w:rsidR="00000000" w:rsidRDefault="0057438D">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5"/>
        <w:rPr>
          <w:rFonts w:ascii="Times New Roman" w:hAnsi="Times New Roman" w:cs="Times New Roman"/>
          <w:sz w:val="24"/>
          <w:szCs w:val="24"/>
        </w:rPr>
      </w:pPr>
      <w:r>
        <w:rPr>
          <w:rFonts w:ascii="Times New Roman" w:hAnsi="Times New Roman" w:cs="Times New Roman"/>
          <w:sz w:val="19"/>
          <w:szCs w:val="19"/>
        </w:rPr>
        <w:t>Net earnings from discontinued operations</w:t>
      </w:r>
    </w:p>
    <w:p w:rsidR="00000000" w:rsidRDefault="0057438D">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5"/>
        <w:rPr>
          <w:rFonts w:ascii="Times New Roman" w:hAnsi="Times New Roman" w:cs="Times New Roman"/>
          <w:sz w:val="24"/>
          <w:szCs w:val="24"/>
        </w:rPr>
      </w:pPr>
      <w:r>
        <w:rPr>
          <w:rFonts w:ascii="Times New Roman" w:hAnsi="Times New Roman" w:cs="Times New Roman"/>
          <w:sz w:val="19"/>
          <w:szCs w:val="19"/>
        </w:rPr>
        <w:t>Net earnings attributable to Procter &amp; Gamble</w:t>
      </w:r>
    </w:p>
    <w:p w:rsidR="00000000" w:rsidRDefault="0057438D">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5"/>
        <w:rPr>
          <w:rFonts w:ascii="Times New Roman" w:hAnsi="Times New Roman" w:cs="Times New Roman"/>
          <w:sz w:val="24"/>
          <w:szCs w:val="24"/>
        </w:rPr>
      </w:pPr>
      <w:r>
        <w:rPr>
          <w:rFonts w:ascii="Times New Roman" w:hAnsi="Times New Roman" w:cs="Times New Roman"/>
          <w:sz w:val="19"/>
          <w:szCs w:val="19"/>
        </w:rPr>
        <w:t>Diluted net earnings per common share</w:t>
      </w:r>
    </w:p>
    <w:p w:rsidR="00000000" w:rsidRDefault="0057438D">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5"/>
        <w:rPr>
          <w:rFonts w:ascii="Times New Roman" w:hAnsi="Times New Roman" w:cs="Times New Roman"/>
          <w:sz w:val="24"/>
          <w:szCs w:val="24"/>
        </w:rPr>
      </w:pPr>
      <w:r>
        <w:rPr>
          <w:rFonts w:ascii="Times New Roman" w:hAnsi="Times New Roman" w:cs="Times New Roman"/>
          <w:sz w:val="19"/>
          <w:szCs w:val="19"/>
        </w:rPr>
        <w:t>Diluted net earnings per share from continuing operations</w:t>
      </w:r>
    </w:p>
    <w:p w:rsidR="00000000" w:rsidRDefault="0057438D">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5"/>
        <w:rPr>
          <w:rFonts w:ascii="Times New Roman" w:hAnsi="Times New Roman" w:cs="Times New Roman"/>
          <w:sz w:val="24"/>
          <w:szCs w:val="24"/>
        </w:rPr>
      </w:pPr>
      <w:r>
        <w:rPr>
          <w:rFonts w:ascii="Times New Roman" w:hAnsi="Times New Roman" w:cs="Times New Roman"/>
          <w:sz w:val="19"/>
          <w:szCs w:val="19"/>
        </w:rPr>
        <w:t>Core earnings per common sh</w:t>
      </w:r>
      <w:r>
        <w:rPr>
          <w:rFonts w:ascii="Times New Roman" w:hAnsi="Times New Roman" w:cs="Times New Roman"/>
          <w:sz w:val="19"/>
          <w:szCs w:val="19"/>
        </w:rPr>
        <w:t>are</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4" w:lineRule="exact"/>
        <w:rPr>
          <w:rFonts w:ascii="Times New Roman" w:hAnsi="Times New Roman" w:cs="Times New Roman"/>
          <w:sz w:val="24"/>
          <w:szCs w:val="24"/>
        </w:rPr>
      </w:pPr>
    </w:p>
    <w:p w:rsidR="00000000" w:rsidRDefault="0057438D">
      <w:pPr>
        <w:pStyle w:val="DefaultParagraphFont"/>
        <w:widowControl w:val="0"/>
        <w:numPr>
          <w:ilvl w:val="0"/>
          <w:numId w:val="9"/>
        </w:numPr>
        <w:tabs>
          <w:tab w:val="clear" w:pos="720"/>
          <w:tab w:val="num" w:pos="345"/>
        </w:tabs>
        <w:overflowPunct w:val="0"/>
        <w:autoSpaceDE w:val="0"/>
        <w:autoSpaceDN w:val="0"/>
        <w:adjustRightInd w:val="0"/>
        <w:spacing w:after="0" w:line="251" w:lineRule="auto"/>
        <w:ind w:left="345" w:right="440" w:hanging="345"/>
        <w:jc w:val="both"/>
        <w:rPr>
          <w:rFonts w:ascii="Times New Roman" w:hAnsi="Times New Roman" w:cs="Times New Roman"/>
          <w:sz w:val="19"/>
          <w:szCs w:val="19"/>
        </w:rPr>
      </w:pPr>
      <w:r>
        <w:rPr>
          <w:rFonts w:ascii="Times New Roman" w:hAnsi="Times New Roman" w:cs="Times New Roman"/>
          <w:sz w:val="19"/>
          <w:szCs w:val="19"/>
        </w:rPr>
        <w:t>Net sales increased 1% to $83.1 billion including a negative 2% impact from foreign exchange.</w:t>
      </w:r>
    </w:p>
    <w:p w:rsidR="00000000" w:rsidRDefault="0057438D">
      <w:pPr>
        <w:pStyle w:val="DefaultParagraphFont"/>
        <w:widowControl w:val="0"/>
        <w:overflowPunct w:val="0"/>
        <w:autoSpaceDE w:val="0"/>
        <w:autoSpaceDN w:val="0"/>
        <w:adjustRightInd w:val="0"/>
        <w:spacing w:after="0" w:line="240" w:lineRule="auto"/>
        <w:ind w:left="345"/>
        <w:jc w:val="both"/>
        <w:rPr>
          <w:rFonts w:ascii="Times New Roman" w:hAnsi="Times New Roman" w:cs="Times New Roman"/>
          <w:sz w:val="19"/>
          <w:szCs w:val="19"/>
        </w:rPr>
      </w:pPr>
      <w:r>
        <w:rPr>
          <w:rFonts w:ascii="Times New Roman" w:hAnsi="Times New Roman" w:cs="Times New Roman"/>
          <w:noProof/>
          <w:sz w:val="19"/>
          <w:szCs w:val="19"/>
        </w:rPr>
        <w:drawing>
          <wp:inline distT="0" distB="0" distL="0" distR="0">
            <wp:extent cx="219075" cy="104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104775"/>
                    </a:xfrm>
                    <a:prstGeom prst="rect">
                      <a:avLst/>
                    </a:prstGeom>
                    <a:noFill/>
                    <a:ln>
                      <a:noFill/>
                    </a:ln>
                  </pic:spPr>
                </pic:pic>
              </a:graphicData>
            </a:graphic>
          </wp:inline>
        </w:drawing>
      </w:r>
      <w:r>
        <w:rPr>
          <w:rFonts w:ascii="Times New Roman" w:hAnsi="Times New Roman" w:cs="Times New Roman"/>
          <w:sz w:val="19"/>
          <w:szCs w:val="19"/>
        </w:rPr>
        <w:t>Organic sales increased 3%.</w:t>
      </w:r>
    </w:p>
    <w:p w:rsidR="00000000" w:rsidRDefault="0057438D">
      <w:pPr>
        <w:pStyle w:val="DefaultParagraphFont"/>
        <w:widowControl w:val="0"/>
        <w:autoSpaceDE w:val="0"/>
        <w:autoSpaceDN w:val="0"/>
        <w:adjustRightInd w:val="0"/>
        <w:spacing w:after="0" w:line="14" w:lineRule="exact"/>
        <w:rPr>
          <w:rFonts w:ascii="Times New Roman" w:hAnsi="Times New Roman" w:cs="Times New Roman"/>
          <w:sz w:val="19"/>
          <w:szCs w:val="19"/>
        </w:rPr>
      </w:pPr>
    </w:p>
    <w:p w:rsidR="00000000" w:rsidRDefault="0057438D">
      <w:pPr>
        <w:pStyle w:val="DefaultParagraphFont"/>
        <w:widowControl w:val="0"/>
        <w:overflowPunct w:val="0"/>
        <w:autoSpaceDE w:val="0"/>
        <w:autoSpaceDN w:val="0"/>
        <w:adjustRightInd w:val="0"/>
        <w:spacing w:after="0" w:line="255" w:lineRule="auto"/>
        <w:ind w:left="685" w:right="220" w:hanging="344"/>
        <w:rPr>
          <w:rFonts w:ascii="Times New Roman" w:hAnsi="Times New Roman" w:cs="Times New Roman"/>
          <w:sz w:val="19"/>
          <w:szCs w:val="19"/>
        </w:rPr>
      </w:pPr>
      <w:r>
        <w:rPr>
          <w:rFonts w:ascii="Times New Roman" w:hAnsi="Times New Roman" w:cs="Times New Roman"/>
          <w:noProof/>
          <w:sz w:val="19"/>
          <w:szCs w:val="19"/>
        </w:rPr>
        <w:drawing>
          <wp:inline distT="0" distB="0" distL="0" distR="0">
            <wp:extent cx="219075" cy="123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ascii="Times New Roman" w:hAnsi="Times New Roman" w:cs="Times New Roman"/>
          <w:sz w:val="19"/>
          <w:szCs w:val="19"/>
        </w:rPr>
        <w:t>Unit volume increased 3%. Volume grew mid-single digits for Fabric Care and Home Care and Baby, Feminine and Family Care. Volume increased low single digit</w:t>
      </w:r>
      <w:r>
        <w:rPr>
          <w:rFonts w:ascii="Times New Roman" w:hAnsi="Times New Roman" w:cs="Times New Roman"/>
          <w:sz w:val="19"/>
          <w:szCs w:val="19"/>
        </w:rPr>
        <w:t>s for Grooming and Health Care. Volume was unchanged for Beauty.</w:t>
      </w:r>
    </w:p>
    <w:p w:rsidR="00000000" w:rsidRDefault="0057438D">
      <w:pPr>
        <w:pStyle w:val="DefaultParagraphFont"/>
        <w:widowControl w:val="0"/>
        <w:autoSpaceDE w:val="0"/>
        <w:autoSpaceDN w:val="0"/>
        <w:adjustRightInd w:val="0"/>
        <w:spacing w:after="0" w:line="22" w:lineRule="exact"/>
        <w:rPr>
          <w:rFonts w:ascii="Times New Roman" w:hAnsi="Times New Roman" w:cs="Times New Roman"/>
          <w:sz w:val="19"/>
          <w:szCs w:val="19"/>
        </w:rPr>
      </w:pPr>
    </w:p>
    <w:p w:rsidR="00000000" w:rsidRDefault="0057438D">
      <w:pPr>
        <w:pStyle w:val="DefaultParagraphFont"/>
        <w:widowControl w:val="0"/>
        <w:numPr>
          <w:ilvl w:val="0"/>
          <w:numId w:val="9"/>
        </w:numPr>
        <w:tabs>
          <w:tab w:val="clear" w:pos="720"/>
          <w:tab w:val="num" w:pos="345"/>
        </w:tabs>
        <w:overflowPunct w:val="0"/>
        <w:autoSpaceDE w:val="0"/>
        <w:autoSpaceDN w:val="0"/>
        <w:adjustRightInd w:val="0"/>
        <w:spacing w:after="0" w:line="251" w:lineRule="auto"/>
        <w:ind w:left="345" w:right="120" w:hanging="345"/>
        <w:rPr>
          <w:rFonts w:ascii="Times New Roman" w:hAnsi="Times New Roman" w:cs="Times New Roman"/>
          <w:sz w:val="19"/>
          <w:szCs w:val="19"/>
        </w:rPr>
      </w:pPr>
      <w:r>
        <w:rPr>
          <w:rFonts w:ascii="Times New Roman" w:hAnsi="Times New Roman" w:cs="Times New Roman"/>
          <w:sz w:val="19"/>
          <w:szCs w:val="19"/>
        </w:rPr>
        <w:t>Net earnings attributable to Procter &amp; Gamble were $11.6 billion, an increase of $331 million or 3% versus the prior year period.</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19"/>
          <w:szCs w:val="19"/>
        </w:rPr>
      </w:pPr>
    </w:p>
    <w:p w:rsidR="00000000" w:rsidRDefault="0057438D">
      <w:pPr>
        <w:pStyle w:val="DefaultParagraphFont"/>
        <w:widowControl w:val="0"/>
        <w:overflowPunct w:val="0"/>
        <w:autoSpaceDE w:val="0"/>
        <w:autoSpaceDN w:val="0"/>
        <w:adjustRightInd w:val="0"/>
        <w:spacing w:after="0" w:line="260" w:lineRule="auto"/>
        <w:ind w:left="685" w:right="100" w:hanging="344"/>
        <w:jc w:val="both"/>
        <w:rPr>
          <w:rFonts w:ascii="Times New Roman" w:hAnsi="Times New Roman" w:cs="Times New Roman"/>
          <w:sz w:val="19"/>
          <w:szCs w:val="19"/>
        </w:rPr>
      </w:pPr>
      <w:r>
        <w:rPr>
          <w:rFonts w:ascii="Times New Roman" w:hAnsi="Times New Roman" w:cs="Times New Roman"/>
          <w:noProof/>
          <w:sz w:val="19"/>
          <w:szCs w:val="19"/>
        </w:rPr>
        <w:drawing>
          <wp:inline distT="0" distB="0" distL="0" distR="0">
            <wp:extent cx="219075" cy="123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ascii="Times New Roman" w:hAnsi="Times New Roman" w:cs="Times New Roman"/>
          <w:sz w:val="18"/>
          <w:szCs w:val="18"/>
        </w:rPr>
        <w:t>Net earnings from continuing operations increased $406 million or 4% largely due to net sales growth and net earnings margin expansion behind reduced selling, general and administrative costs (SG&amp;A), partially offset by g</w:t>
      </w:r>
      <w:r>
        <w:rPr>
          <w:rFonts w:ascii="Times New Roman" w:hAnsi="Times New Roman" w:cs="Times New Roman"/>
          <w:sz w:val="18"/>
          <w:szCs w:val="18"/>
        </w:rPr>
        <w:t>ross margin contraction.</w:t>
      </w:r>
    </w:p>
    <w:p w:rsidR="00000000" w:rsidRDefault="0057438D">
      <w:pPr>
        <w:pStyle w:val="DefaultParagraphFont"/>
        <w:widowControl w:val="0"/>
        <w:overflowPunct w:val="0"/>
        <w:autoSpaceDE w:val="0"/>
        <w:autoSpaceDN w:val="0"/>
        <w:adjustRightInd w:val="0"/>
        <w:spacing w:after="0" w:line="251" w:lineRule="auto"/>
        <w:ind w:left="685" w:right="100"/>
        <w:jc w:val="both"/>
        <w:rPr>
          <w:rFonts w:ascii="Times New Roman" w:hAnsi="Times New Roman" w:cs="Times New Roman"/>
          <w:sz w:val="19"/>
          <w:szCs w:val="19"/>
        </w:rPr>
      </w:pPr>
      <w:r>
        <w:rPr>
          <w:rFonts w:ascii="Times New Roman" w:hAnsi="Times New Roman" w:cs="Times New Roman"/>
          <w:sz w:val="19"/>
          <w:szCs w:val="19"/>
        </w:rPr>
        <w:t>Foreign exchange impacts negatively impacted net earnings by approximately 9%.</w:t>
      </w:r>
    </w:p>
    <w:p w:rsidR="00000000" w:rsidRDefault="0057438D">
      <w:pPr>
        <w:pStyle w:val="DefaultParagraphFont"/>
        <w:widowControl w:val="0"/>
        <w:overflowPunct w:val="0"/>
        <w:autoSpaceDE w:val="0"/>
        <w:autoSpaceDN w:val="0"/>
        <w:adjustRightInd w:val="0"/>
        <w:spacing w:after="0" w:line="257" w:lineRule="auto"/>
        <w:ind w:left="685" w:right="220" w:hanging="344"/>
        <w:rPr>
          <w:rFonts w:ascii="Times New Roman" w:hAnsi="Times New Roman" w:cs="Times New Roman"/>
          <w:sz w:val="19"/>
          <w:szCs w:val="19"/>
        </w:rPr>
      </w:pPr>
      <w:r>
        <w:rPr>
          <w:rFonts w:ascii="Times New Roman" w:hAnsi="Times New Roman" w:cs="Times New Roman"/>
          <w:noProof/>
          <w:sz w:val="19"/>
          <w:szCs w:val="19"/>
        </w:rPr>
        <w:drawing>
          <wp:inline distT="0" distB="0" distL="0" distR="0">
            <wp:extent cx="219075" cy="123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ascii="Times New Roman" w:hAnsi="Times New Roman" w:cs="Times New Roman"/>
          <w:sz w:val="19"/>
          <w:szCs w:val="19"/>
        </w:rPr>
        <w:t>Net earnings from discontinued operations decreased $23 million due to reduced earnings in Pet Care from ongoing impacts of prior year product recalls.</w:t>
      </w:r>
    </w:p>
    <w:p w:rsidR="00000000" w:rsidRDefault="0057438D">
      <w:pPr>
        <w:pStyle w:val="DefaultParagraphFont"/>
        <w:widowControl w:val="0"/>
        <w:autoSpaceDE w:val="0"/>
        <w:autoSpaceDN w:val="0"/>
        <w:adjustRightInd w:val="0"/>
        <w:spacing w:after="0" w:line="22" w:lineRule="exact"/>
        <w:rPr>
          <w:rFonts w:ascii="Times New Roman" w:hAnsi="Times New Roman" w:cs="Times New Roman"/>
          <w:sz w:val="19"/>
          <w:szCs w:val="19"/>
        </w:rPr>
      </w:pPr>
    </w:p>
    <w:p w:rsidR="00000000" w:rsidRDefault="0057438D">
      <w:pPr>
        <w:pStyle w:val="DefaultParagraphFont"/>
        <w:widowControl w:val="0"/>
        <w:numPr>
          <w:ilvl w:val="0"/>
          <w:numId w:val="9"/>
        </w:numPr>
        <w:tabs>
          <w:tab w:val="clear" w:pos="720"/>
          <w:tab w:val="num" w:pos="345"/>
        </w:tabs>
        <w:overflowPunct w:val="0"/>
        <w:autoSpaceDE w:val="0"/>
        <w:autoSpaceDN w:val="0"/>
        <w:adjustRightInd w:val="0"/>
        <w:spacing w:after="0" w:line="240" w:lineRule="auto"/>
        <w:ind w:left="345" w:hanging="345"/>
        <w:jc w:val="both"/>
        <w:rPr>
          <w:rFonts w:ascii="Times New Roman" w:hAnsi="Times New Roman" w:cs="Times New Roman"/>
          <w:sz w:val="19"/>
          <w:szCs w:val="19"/>
        </w:rPr>
      </w:pPr>
      <w:r>
        <w:rPr>
          <w:rFonts w:ascii="Times New Roman" w:hAnsi="Times New Roman" w:cs="Times New Roman"/>
          <w:sz w:val="19"/>
          <w:szCs w:val="19"/>
        </w:rPr>
        <w:t>Diluted net earnings per share increased 4% to $4.01.</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overflowPunct w:val="0"/>
        <w:autoSpaceDE w:val="0"/>
        <w:autoSpaceDN w:val="0"/>
        <w:adjustRightInd w:val="0"/>
        <w:spacing w:after="0" w:line="243" w:lineRule="auto"/>
        <w:ind w:left="685" w:right="400" w:hanging="344"/>
        <w:jc w:val="both"/>
        <w:rPr>
          <w:rFonts w:ascii="Times New Roman" w:hAnsi="Times New Roman" w:cs="Times New Roman"/>
          <w:sz w:val="19"/>
          <w:szCs w:val="19"/>
        </w:rPr>
      </w:pPr>
      <w:r>
        <w:rPr>
          <w:rFonts w:ascii="Times New Roman" w:hAnsi="Times New Roman" w:cs="Times New Roman"/>
          <w:noProof/>
          <w:sz w:val="19"/>
          <w:szCs w:val="19"/>
        </w:rPr>
        <w:drawing>
          <wp:inline distT="0" distB="0" distL="0" distR="0">
            <wp:extent cx="219075" cy="123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ascii="Times New Roman" w:hAnsi="Times New Roman" w:cs="Times New Roman"/>
          <w:sz w:val="19"/>
          <w:szCs w:val="19"/>
        </w:rPr>
        <w:t>Diluted n</w:t>
      </w:r>
      <w:r>
        <w:rPr>
          <w:rFonts w:ascii="Times New Roman" w:hAnsi="Times New Roman" w:cs="Times New Roman"/>
          <w:sz w:val="19"/>
          <w:szCs w:val="19"/>
        </w:rPr>
        <w:t>et earnings per share from continuing operations increased 4% to $3.98</w:t>
      </w:r>
    </w:p>
    <w:p w:rsidR="00000000" w:rsidRDefault="0057438D">
      <w:pPr>
        <w:pStyle w:val="DefaultParagraphFont"/>
        <w:widowControl w:val="0"/>
        <w:overflowPunct w:val="0"/>
        <w:autoSpaceDE w:val="0"/>
        <w:autoSpaceDN w:val="0"/>
        <w:adjustRightInd w:val="0"/>
        <w:spacing w:after="0" w:line="240" w:lineRule="auto"/>
        <w:ind w:left="345"/>
        <w:jc w:val="both"/>
        <w:rPr>
          <w:rFonts w:ascii="Times New Roman" w:hAnsi="Times New Roman" w:cs="Times New Roman"/>
          <w:sz w:val="19"/>
          <w:szCs w:val="19"/>
        </w:rPr>
      </w:pPr>
      <w:r>
        <w:rPr>
          <w:rFonts w:ascii="Times New Roman" w:hAnsi="Times New Roman" w:cs="Times New Roman"/>
          <w:noProof/>
          <w:sz w:val="19"/>
          <w:szCs w:val="19"/>
        </w:rPr>
        <w:drawing>
          <wp:inline distT="0" distB="0" distL="0" distR="0">
            <wp:extent cx="219075" cy="123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ascii="Times New Roman" w:hAnsi="Times New Roman" w:cs="Times New Roman"/>
          <w:sz w:val="19"/>
          <w:szCs w:val="19"/>
        </w:rPr>
        <w:t>Core EPS increased 5% to $4.22.</w:t>
      </w:r>
    </w:p>
    <w:p w:rsidR="00000000" w:rsidRDefault="0057438D">
      <w:pPr>
        <w:pStyle w:val="DefaultParagraphFont"/>
        <w:widowControl w:val="0"/>
        <w:autoSpaceDE w:val="0"/>
        <w:autoSpaceDN w:val="0"/>
        <w:adjustRightInd w:val="0"/>
        <w:spacing w:after="0" w:line="52" w:lineRule="exact"/>
        <w:rPr>
          <w:rFonts w:ascii="Times New Roman" w:hAnsi="Times New Roman" w:cs="Times New Roman"/>
          <w:sz w:val="19"/>
          <w:szCs w:val="19"/>
        </w:rPr>
      </w:pPr>
    </w:p>
    <w:p w:rsidR="00000000" w:rsidRDefault="0057438D">
      <w:pPr>
        <w:pStyle w:val="DefaultParagraphFont"/>
        <w:widowControl w:val="0"/>
        <w:numPr>
          <w:ilvl w:val="0"/>
          <w:numId w:val="9"/>
        </w:numPr>
        <w:tabs>
          <w:tab w:val="clear" w:pos="720"/>
          <w:tab w:val="num" w:pos="345"/>
        </w:tabs>
        <w:overflowPunct w:val="0"/>
        <w:autoSpaceDE w:val="0"/>
        <w:autoSpaceDN w:val="0"/>
        <w:adjustRightInd w:val="0"/>
        <w:spacing w:after="0" w:line="240" w:lineRule="auto"/>
        <w:ind w:left="345" w:hanging="345"/>
        <w:jc w:val="both"/>
        <w:rPr>
          <w:rFonts w:ascii="Times New Roman" w:hAnsi="Times New Roman" w:cs="Times New Roman"/>
          <w:sz w:val="19"/>
          <w:szCs w:val="19"/>
        </w:rPr>
      </w:pPr>
      <w:r>
        <w:rPr>
          <w:rFonts w:ascii="Times New Roman" w:hAnsi="Times New Roman" w:cs="Times New Roman"/>
          <w:sz w:val="19"/>
          <w:szCs w:val="19"/>
        </w:rPr>
        <w:t>Cash flow from operating activities was $14.0 billion.</w:t>
      </w:r>
    </w:p>
    <w:p w:rsidR="00000000" w:rsidRDefault="0057438D">
      <w:pPr>
        <w:pStyle w:val="DefaultParagraphFont"/>
        <w:widowControl w:val="0"/>
        <w:autoSpaceDE w:val="0"/>
        <w:autoSpaceDN w:val="0"/>
        <w:adjustRightInd w:val="0"/>
        <w:spacing w:after="0" w:line="10" w:lineRule="exact"/>
        <w:rPr>
          <w:rFonts w:ascii="Times New Roman" w:hAnsi="Times New Roman" w:cs="Times New Roman"/>
          <w:sz w:val="19"/>
          <w:szCs w:val="19"/>
        </w:rPr>
      </w:pPr>
    </w:p>
    <w:p w:rsidR="00000000" w:rsidRDefault="0057438D">
      <w:pPr>
        <w:pStyle w:val="DefaultParagraphFont"/>
        <w:widowControl w:val="0"/>
        <w:overflowPunct w:val="0"/>
        <w:autoSpaceDE w:val="0"/>
        <w:autoSpaceDN w:val="0"/>
        <w:adjustRightInd w:val="0"/>
        <w:spacing w:after="0" w:line="240" w:lineRule="auto"/>
        <w:ind w:left="345"/>
        <w:jc w:val="both"/>
        <w:rPr>
          <w:rFonts w:ascii="Times New Roman" w:hAnsi="Times New Roman" w:cs="Times New Roman"/>
          <w:sz w:val="19"/>
          <w:szCs w:val="19"/>
        </w:rPr>
      </w:pPr>
      <w:r>
        <w:rPr>
          <w:rFonts w:ascii="Times New Roman" w:hAnsi="Times New Roman" w:cs="Times New Roman"/>
          <w:noProof/>
          <w:sz w:val="19"/>
          <w:szCs w:val="19"/>
        </w:rPr>
        <w:drawing>
          <wp:inline distT="0" distB="0" distL="0" distR="0">
            <wp:extent cx="219075" cy="104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104775"/>
                    </a:xfrm>
                    <a:prstGeom prst="rect">
                      <a:avLst/>
                    </a:prstGeom>
                    <a:noFill/>
                    <a:ln>
                      <a:noFill/>
                    </a:ln>
                  </pic:spPr>
                </pic:pic>
              </a:graphicData>
            </a:graphic>
          </wp:inline>
        </w:drawing>
      </w:r>
      <w:r>
        <w:rPr>
          <w:rFonts w:ascii="Times New Roman" w:hAnsi="Times New Roman" w:cs="Times New Roman"/>
          <w:sz w:val="19"/>
          <w:szCs w:val="19"/>
        </w:rPr>
        <w:t>Free cash flow was $10.1 billion.</w:t>
      </w:r>
    </w:p>
    <w:p w:rsidR="00000000" w:rsidRDefault="0057438D">
      <w:pPr>
        <w:pStyle w:val="DefaultParagraphFont"/>
        <w:widowControl w:val="0"/>
        <w:autoSpaceDE w:val="0"/>
        <w:autoSpaceDN w:val="0"/>
        <w:adjustRightInd w:val="0"/>
        <w:spacing w:after="0" w:line="14" w:lineRule="exact"/>
        <w:rPr>
          <w:rFonts w:ascii="Times New Roman" w:hAnsi="Times New Roman" w:cs="Times New Roman"/>
          <w:sz w:val="19"/>
          <w:szCs w:val="19"/>
        </w:rPr>
      </w:pPr>
    </w:p>
    <w:p w:rsidR="00000000" w:rsidRDefault="0057438D">
      <w:pPr>
        <w:pStyle w:val="DefaultParagraphFont"/>
        <w:widowControl w:val="0"/>
        <w:overflowPunct w:val="0"/>
        <w:autoSpaceDE w:val="0"/>
        <w:autoSpaceDN w:val="0"/>
        <w:adjustRightInd w:val="0"/>
        <w:spacing w:after="0" w:line="240" w:lineRule="auto"/>
        <w:ind w:left="345"/>
        <w:jc w:val="both"/>
        <w:rPr>
          <w:rFonts w:ascii="Times New Roman" w:hAnsi="Times New Roman" w:cs="Times New Roman"/>
          <w:sz w:val="19"/>
          <w:szCs w:val="19"/>
        </w:rPr>
      </w:pPr>
      <w:r>
        <w:rPr>
          <w:rFonts w:ascii="Times New Roman" w:hAnsi="Times New Roman" w:cs="Times New Roman"/>
          <w:noProof/>
          <w:sz w:val="19"/>
          <w:szCs w:val="19"/>
        </w:rPr>
        <w:drawing>
          <wp:inline distT="0" distB="0" distL="0" distR="0">
            <wp:extent cx="219075" cy="123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ascii="Times New Roman" w:hAnsi="Times New Roman" w:cs="Times New Roman"/>
          <w:sz w:val="19"/>
          <w:szCs w:val="19"/>
        </w:rPr>
        <w:t>Free cash flow productivity was 86%.</w:t>
      </w:r>
    </w:p>
    <w:p w:rsidR="00000000" w:rsidRDefault="0057438D">
      <w:pPr>
        <w:pStyle w:val="DefaultParagraphFont"/>
        <w:widowControl w:val="0"/>
        <w:autoSpaceDE w:val="0"/>
        <w:autoSpaceDN w:val="0"/>
        <w:adjustRightInd w:val="0"/>
        <w:spacing w:after="0" w:line="15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left="5" w:right="420"/>
        <w:rPr>
          <w:rFonts w:ascii="Times New Roman" w:hAnsi="Times New Roman" w:cs="Times New Roman"/>
          <w:sz w:val="24"/>
          <w:szCs w:val="24"/>
        </w:rPr>
      </w:pPr>
      <w:r>
        <w:rPr>
          <w:rFonts w:ascii="Times New Roman" w:hAnsi="Times New Roman" w:cs="Times New Roman"/>
          <w:b/>
          <w:bCs/>
          <w:sz w:val="19"/>
          <w:szCs w:val="19"/>
        </w:rPr>
        <w:t>ECONOMIC CONDITIONS, CHALLENGES AND RISKS</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left="5"/>
        <w:rPr>
          <w:rFonts w:ascii="Times New Roman" w:hAnsi="Times New Roman" w:cs="Times New Roman"/>
          <w:sz w:val="24"/>
          <w:szCs w:val="24"/>
        </w:rPr>
      </w:pPr>
      <w:r>
        <w:rPr>
          <w:rFonts w:ascii="Times New Roman" w:hAnsi="Times New Roman" w:cs="Times New Roman"/>
          <w:sz w:val="19"/>
          <w:szCs w:val="19"/>
        </w:rPr>
        <w:t>We discuss expectations regarding future performance, events and out</w:t>
      </w:r>
      <w:r>
        <w:rPr>
          <w:rFonts w:ascii="Times New Roman" w:hAnsi="Times New Roman" w:cs="Times New Roman"/>
          <w:sz w:val="19"/>
          <w:szCs w:val="19"/>
        </w:rPr>
        <w:t xml:space="preserve">comes, such as our business outlook and objectives, in annual and quarterly reports, press releases and other written and oral communications. All such statements, except for historical and present factual information, are "forward-looking statements" and </w:t>
      </w:r>
      <w:r>
        <w:rPr>
          <w:rFonts w:ascii="Times New Roman" w:hAnsi="Times New Roman" w:cs="Times New Roman"/>
          <w:sz w:val="19"/>
          <w:szCs w:val="19"/>
        </w:rPr>
        <w:t>are based on financial data and our business plans available only as of the time the statements are made, which may become out-of-date or incomplete. We assume no obligation to update any</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1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
          <w:szCs w:val="2"/>
        </w:rPr>
      </w:pPr>
    </w:p>
    <w:tbl>
      <w:tblPr>
        <w:tblW w:w="0" w:type="auto"/>
        <w:tblLayout w:type="fixed"/>
        <w:tblCellMar>
          <w:left w:w="0" w:type="dxa"/>
          <w:right w:w="0" w:type="dxa"/>
        </w:tblCellMar>
        <w:tblLook w:val="0000" w:firstRow="0" w:lastRow="0" w:firstColumn="0" w:lastColumn="0" w:noHBand="0" w:noVBand="0"/>
      </w:tblPr>
      <w:tblGrid>
        <w:gridCol w:w="900"/>
        <w:gridCol w:w="80"/>
        <w:gridCol w:w="920"/>
        <w:gridCol w:w="80"/>
        <w:gridCol w:w="920"/>
        <w:gridCol w:w="80"/>
        <w:gridCol w:w="900"/>
        <w:gridCol w:w="80"/>
        <w:gridCol w:w="920"/>
        <w:gridCol w:w="20"/>
      </w:tblGrid>
      <w:tr w:rsidR="00000000">
        <w:tblPrEx>
          <w:tblCellMar>
            <w:top w:w="0" w:type="dxa"/>
            <w:left w:w="0" w:type="dxa"/>
            <w:bottom w:w="0" w:type="dxa"/>
            <w:right w:w="0" w:type="dxa"/>
          </w:tblCellMar>
        </w:tblPrEx>
        <w:trPr>
          <w:trHeight w:val="172"/>
        </w:trPr>
        <w:tc>
          <w:tcPr>
            <w:tcW w:w="9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7"/>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left="100"/>
              <w:rPr>
                <w:rFonts w:ascii="Times New Roman" w:hAnsi="Times New Roman" w:cs="Times New Roman"/>
                <w:sz w:val="24"/>
                <w:szCs w:val="24"/>
              </w:rPr>
            </w:pPr>
            <w:r>
              <w:rPr>
                <w:rFonts w:ascii="Times New Roman" w:hAnsi="Times New Roman" w:cs="Times New Roman"/>
                <w:b/>
                <w:bCs/>
                <w:sz w:val="15"/>
                <w:szCs w:val="15"/>
              </w:rPr>
              <w:t>Change vs.</w:t>
            </w:r>
          </w:p>
        </w:tc>
        <w:tc>
          <w:tcPr>
            <w:tcW w:w="10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left="80"/>
              <w:rPr>
                <w:rFonts w:ascii="Times New Roman" w:hAnsi="Times New Roman" w:cs="Times New Roman"/>
                <w:sz w:val="24"/>
                <w:szCs w:val="24"/>
              </w:rPr>
            </w:pPr>
            <w:r>
              <w:rPr>
                <w:rFonts w:ascii="Times New Roman" w:hAnsi="Times New Roman" w:cs="Times New Roman"/>
                <w:b/>
                <w:bCs/>
                <w:sz w:val="15"/>
                <w:szCs w:val="15"/>
              </w:rPr>
              <w:t>Change vs.</w:t>
            </w:r>
          </w:p>
        </w:tc>
        <w:tc>
          <w:tcPr>
            <w:tcW w:w="10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Times New Roman" w:hAnsi="Times New Roman" w:cs="Times New Roman"/>
                <w:b/>
                <w:bCs/>
                <w:sz w:val="15"/>
                <w:szCs w:val="15"/>
              </w:rPr>
              <w:t>2012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9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15"/>
                <w:szCs w:val="15"/>
              </w:rPr>
              <w:t>Prior Year</w:t>
            </w:r>
          </w:p>
        </w:tc>
        <w:tc>
          <w:tcPr>
            <w:tcW w:w="100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15"/>
                <w:szCs w:val="15"/>
              </w:rPr>
              <w:t>Prior Year</w:t>
            </w:r>
          </w:p>
        </w:tc>
        <w:tc>
          <w:tcPr>
            <w:tcW w:w="100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3"/>
        </w:trPr>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83,062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82,581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82,006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8"/>
        </w:trPr>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15,288</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7%</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14,330</w:t>
            </w:r>
          </w:p>
        </w:tc>
        <w:tc>
          <w:tcPr>
            <w:tcW w:w="9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10%</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13,035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11,707</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11,301</w:t>
            </w:r>
          </w:p>
        </w:tc>
        <w:tc>
          <w:tcPr>
            <w:tcW w:w="9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24%</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9,150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78</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(23)%</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101</w:t>
            </w:r>
          </w:p>
        </w:tc>
        <w:tc>
          <w:tcPr>
            <w:tcW w:w="9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(94)%</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1,754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11,643</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11,312</w:t>
            </w:r>
          </w:p>
        </w:tc>
        <w:tc>
          <w:tcPr>
            <w:tcW w:w="9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5%</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10,756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4.01</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3.86</w:t>
            </w:r>
          </w:p>
        </w:tc>
        <w:tc>
          <w:tcPr>
            <w:tcW w:w="9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5%</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3.66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3.98</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3.83</w:t>
            </w:r>
          </w:p>
        </w:tc>
        <w:tc>
          <w:tcPr>
            <w:tcW w:w="9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25%</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3.06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4.22</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5%</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4.02</w:t>
            </w:r>
          </w:p>
        </w:tc>
        <w:tc>
          <w:tcPr>
            <w:tcW w:w="9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6%</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3.79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88" w:lineRule="exact"/>
        <w:rPr>
          <w:rFonts w:ascii="Times New Roman" w:hAnsi="Times New Roman" w:cs="Times New Roman"/>
          <w:sz w:val="24"/>
          <w:szCs w:val="24"/>
        </w:rPr>
      </w:pPr>
      <w:r>
        <w:rPr>
          <w:noProof/>
        </w:rPr>
        <mc:AlternateContent>
          <mc:Choice Requires="wps">
            <w:drawing>
              <wp:anchor distT="0" distB="0" distL="114300" distR="114300" simplePos="0" relativeHeight="251686912" behindDoc="1" locked="0" layoutInCell="0" allowOverlap="1">
                <wp:simplePos x="0" y="0"/>
                <wp:positionH relativeFrom="column">
                  <wp:posOffset>-3107690</wp:posOffset>
                </wp:positionH>
                <wp:positionV relativeFrom="paragraph">
                  <wp:posOffset>-1434465</wp:posOffset>
                </wp:positionV>
                <wp:extent cx="6205855" cy="181610"/>
                <wp:effectExtent l="0" t="0" r="0" b="0"/>
                <wp:wrapNone/>
                <wp:docPr id="9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181610"/>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244.7pt;margin-top:-112.95pt;width:488.65pt;height:14.3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KWfQIAAP0EAAAOAAAAZHJzL2Uyb0RvYy54bWysVNuO0zAQfUfiHyy/d3Mh7TbRpqu9UIS0&#10;wIqFD3Adp7FwbGO7TRfEvzOetN0u8IAQreTYnvHxmTMzvrjc9YpshfPS6JpmZyklQnPTSL2u6edP&#10;y8mcEh+YbpgyWtT0UXh6uXj54mKwlchNZ1QjHAEQ7avB1rQLwVZJ4nkneubPjBUajK1xPQuwdOuk&#10;cWwA9F4leZrOksG4xjrDhfewezsa6QLx21bw8KFtvQhE1RS4BRwdjqs4JosLVq0ds53kexrsH1j0&#10;TGq49Ah1ywIjGyd/g+old8abNpxx0yembSUXGANEk6W/RPPQMSswFhDH26NM/v/B8vfbe0dkU9Ny&#10;SolmPeToI6jG9FoJ8goFGqyvwO/B3rsYord3hn/xRJubDtzElXNm6ARrgFYWBU2eHYgLD0fJanhn&#10;GoBnm2BQq13r+ggIKpAdpuTxmBKxC4TD5ixPp/MpUONgy+bZLENKCasOp63z4Y0wPYmTmjogj+hs&#10;e+dDZMOqgwuyN0o2S6kULtx6daMc2TIoj9ez+McAIMhTN6Wjszbx2Ig47gBJuCPaIl1M9/cyy4v0&#10;Oi8ny9n8fFIsi+mkPE/nkzQrr8tZWpTF7fJHJJgVVSebRug7qcWh9LLi71K7b4KxaLD4yBBTmE8x&#10;9mfs/WmQKf7+FGQvA3Sikn1N50cnVsXEvtYN9klgUo3z5Dl9VBk0OHxRFSyDmPnYjL5ameYRqsAZ&#10;SBJ0IrwZMOmM+0bJAP1XU/91w5ygRL3VUEllVhSxYXFRTM9zWLhTy+rUwjQHqJoGSsbpTRibfGOd&#10;XHdwU4bCaHMF1ddKLIwnVvuahR7DCPbvQWzi0zV6Pb1ai58AAAD//wMAUEsDBBQABgAIAAAAIQDz&#10;O4Jg5AAAAA4BAAAPAAAAZHJzL2Rvd25yZXYueG1sTI/BTsMwEETvSPyDtUjcWqchtEkap0KoSBwo&#10;VUs/YJsYJxCvQ+y24e9ZTnCb3RnNvi1Wo+3EWQ++daRgNo1AaKpc3ZJRcHh7mqQgfECqsXOkFXxr&#10;D6vy+qrAvHYX2unzPhjBJeRzVNCE0OdS+qrRFv3U9ZrYe3eDxcDjYGQ94IXLbSfjKJpLiy3xhQZ7&#10;/djo6nN/sgpGs92tv+Yvm+26bw2+frgkc89K3d6MD0sQQY/hLwy/+IwOJTMd3YlqLzoFkyTNEs6y&#10;iuP7DARnknTB4sirWba4A1kW8v8b5Q8AAAD//wMAUEsBAi0AFAAGAAgAAAAhALaDOJL+AAAA4QEA&#10;ABMAAAAAAAAAAAAAAAAAAAAAAFtDb250ZW50X1R5cGVzXS54bWxQSwECLQAUAAYACAAAACEAOP0h&#10;/9YAAACUAQAACwAAAAAAAAAAAAAAAAAvAQAAX3JlbHMvLnJlbHNQSwECLQAUAAYACAAAACEAil2C&#10;ln0CAAD9BAAADgAAAAAAAAAAAAAAAAAuAgAAZHJzL2Uyb0RvYy54bWxQSwECLQAUAAYACAAAACEA&#10;8zuCYOQAAAAOAQAADwAAAAAAAAAAAAAAAADXBAAAZHJzL2Rvd25yZXYueG1sUEsFBgAAAAAEAAQA&#10;8wAAAOgFAAAAAA==&#10;" o:allowincell="f" fillcolor="#e6e6e6" stroked="f"/>
            </w:pict>
          </mc:Fallback>
        </mc:AlternateContent>
      </w:r>
      <w:r>
        <w:rPr>
          <w:noProof/>
        </w:rPr>
        <mc:AlternateContent>
          <mc:Choice Requires="wps">
            <w:drawing>
              <wp:anchor distT="0" distB="0" distL="114300" distR="114300" simplePos="0" relativeHeight="251687936" behindDoc="1" locked="0" layoutInCell="0" allowOverlap="1">
                <wp:simplePos x="0" y="0"/>
                <wp:positionH relativeFrom="column">
                  <wp:posOffset>-3107690</wp:posOffset>
                </wp:positionH>
                <wp:positionV relativeFrom="paragraph">
                  <wp:posOffset>-1070610</wp:posOffset>
                </wp:positionV>
                <wp:extent cx="6205855" cy="181610"/>
                <wp:effectExtent l="0" t="0" r="0" b="0"/>
                <wp:wrapNone/>
                <wp:docPr id="9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181610"/>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244.7pt;margin-top:-84.3pt;width:488.65pt;height:14.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4y1gAIAAP0EAAAOAAAAZHJzL2Uyb0RvYy54bWysVG1v0zAQ/o7Ef7D8vcsLSddES6etXRHS&#10;gInBD3Btp7FwbGO7TQfiv3N21tICHxCilRyf78XP3T3nq+t9L9GOWye0anB2kWLEFdVMqE2DP31c&#10;TWYYOU8UI1Ir3uAn7vD1/OWLq8HUPNedloxbBEGUqwfT4M57UyeJox3vibvQhitQttr2xINoNwmz&#10;ZIDovUzyNJ0mg7bMWE25c3C6HJV4HuO3Laf+fds67pFsMGDzcbVxXYc1mV+RemOJ6QR9hkH+AUVP&#10;hIJLj6GWxBO0teK3UL2gVjvd+guq+0S3raA85gDZZOkv2Tx2xPCYCxTHmWOZ3P8LS9/tHiwSrMFV&#10;gZEiPfToA1SNqI3k6FUWCjQYV4Pdo3mwIUVn7jX97JDSiw7M+I21eug4YQAr2idnDkFw4IrWw1vN&#10;IDzZeh1rtW9tHwJCFdA+tuTp2BK+94jC4TRPy1lZYkRBl82yaRZ7lpD64G2s86+57lHYNNgC+Bid&#10;7O6dB/RgejCJ6LUUbCWkjILdrBfSoh0BetxNwz8kDC7u1EyqYKx0cBvV4wmAhDuCLsCN7f5WZXmR&#10;3ubVZDWdXU6KVVFOqst0Nkmz6raapkVVLFffA8CsqDvBGFf3QvED9bLi71r7PAQjaSL50AAtLPMy&#10;5n6G3p0mmcbfn5LshYdJlKJv8OxoROrQ2DvFIG1SeyLkuE/O4ceSQQ0O31iVSIPQ+ZFBa82egAVW&#10;Q5NgEuHNgE2n7VeMBpi/BrsvW2I5RvKNAiZVWVGEgY1CUV7mINhTzfpUQxSFUA32GI3bhR+HfGus&#10;2HRwUxYLo/QNsK8VkRiBmSMqwB0EmLGYwfN7EIb4VI5WP1+t+Q8AAAD//wMAUEsDBBQABgAIAAAA&#10;IQCaEreu4gAAAA4BAAAPAAAAZHJzL2Rvd25yZXYueG1sTI9NTsMwEEb3SNzBGiR2rV1khSTEqRAq&#10;Egto1cIBprFxArEdYrcNt+90Bbv5efrmTbWcXM+OZoxd8AoWcwHM+CbozlsFH+/PsxxYTOg19sEb&#10;Bb8mwrK+vqqw1OHkt+a4S5ZRiI8lKmhTGkrOY9Mah3EeBuNp9xlGh4na0XI94onCXc/vhMi4w87T&#10;hRYH89Sa5nt3cAomu9mufrLXt81q6Cyuv4IswotStzfT4wOwZKb0B8NFn9ShJqd9OHgdWa9gJvNC&#10;EkvVIsszYMTI/L4Atr+MpBDA64r/f6M+AwAA//8DAFBLAQItABQABgAIAAAAIQC2gziS/gAAAOEB&#10;AAATAAAAAAAAAAAAAAAAAAAAAABbQ29udGVudF9UeXBlc10ueG1sUEsBAi0AFAAGAAgAAAAhADj9&#10;If/WAAAAlAEAAAsAAAAAAAAAAAAAAAAALwEAAF9yZWxzLy5yZWxzUEsBAi0AFAAGAAgAAAAhADxH&#10;jLWAAgAA/QQAAA4AAAAAAAAAAAAAAAAALgIAAGRycy9lMm9Eb2MueG1sUEsBAi0AFAAGAAgAAAAh&#10;AJoSt67iAAAADgEAAA8AAAAAAAAAAAAAAAAA2gQAAGRycy9kb3ducmV2LnhtbFBLBQYAAAAABAAE&#10;APMAAADpBQAAAAA=&#10;" o:allowincell="f" fillcolor="#e6e6e6" stroked="f"/>
            </w:pict>
          </mc:Fallback>
        </mc:AlternateContent>
      </w:r>
      <w:r>
        <w:rPr>
          <w:noProof/>
        </w:rPr>
        <mc:AlternateContent>
          <mc:Choice Requires="wps">
            <w:drawing>
              <wp:anchor distT="0" distB="0" distL="114300" distR="114300" simplePos="0" relativeHeight="251688960" behindDoc="1" locked="0" layoutInCell="0" allowOverlap="1">
                <wp:simplePos x="0" y="0"/>
                <wp:positionH relativeFrom="column">
                  <wp:posOffset>-3107690</wp:posOffset>
                </wp:positionH>
                <wp:positionV relativeFrom="paragraph">
                  <wp:posOffset>-707390</wp:posOffset>
                </wp:positionV>
                <wp:extent cx="6205855" cy="182245"/>
                <wp:effectExtent l="0" t="0" r="0" b="0"/>
                <wp:wrapNone/>
                <wp:docPr id="9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18224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244.7pt;margin-top:-55.7pt;width:488.65pt;height:14.3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lzfwIAAP0EAAAOAAAAZHJzL2Uyb0RvYy54bWysVNuO2yAQfa/Uf0C8Z31ZOxtb66z2lqrS&#10;tl112w8ggGNUDBRInN2q/94BJ2nS9qGqmkgYmOFwZuYMl1fbXqINt05o1eDsLMWIK6qZUKsGf/60&#10;mMwwcp4oRqRWvMHP3OGr+etXl4Opea47LRm3CECUqwfT4M57UyeJox3viTvThiswttr2xMPSrhJm&#10;yQDovUzyNJ0mg7bMWE25c7B7NxrxPOK3Laf+Q9s67pFsMHDzcbRxXIYxmV+SemWJ6QTd0SD/wKIn&#10;QsGlB6g74glaW/EbVC+o1U63/ozqPtFtKyiPMUA0WfpLNE8dMTzGAslx5pAm9/9g6fvNo0WCNbg6&#10;x0iRHmr0EbJG1EpydJ6HBA3G1eD3ZB5tCNGZB02/OKT0bQdu/NpaPXScMKCVBf/k5EBYODiKlsM7&#10;zQCerL2Oudq2tg+AkAW0jSV5PpSEbz2isDnN03JWlhhRsGWzPC/KeAWp96eNdf4N1z0KkwZbIB/R&#10;yebB+cCG1HuXyF5LwRZCyriwq+WttGhDQB730/DfobtjN6mCs9Lh2Ig47gBJuCPYAt1Y7m9Vlhfp&#10;TV5NFtPZxaRYFOWkukhnkzSrbqppWlTF3eJ7IJgVdScY4+pBKL6XXlb8XWl3TTCKJooPDVDCMi9j&#10;7Cfs3XGQafz9KcheeOhEKfoGzw5OpA6FvVcMwia1J0KO8+SUfswy5GD/jVmJMgiVHxW01OwZVGA1&#10;FAk6Ed4MmHTavmA0QP812H1dE8sxkm8VKKnKiiI0bFwU5UUOC3tsWR5biKIA1WCP0Ti99WOTr40V&#10;qw5uymJilL4G9bUiCiMoc2S10yz0WIxg9x6EJj5eR6+fr9b8BwAAAP//AwBQSwMEFAAGAAgAAAAh&#10;AFyiTijiAAAADQEAAA8AAABkcnMvZG93bnJldi54bWxMj8FOwzAQRO9I/IO1SNxaJ1XUJiFOhVCR&#10;OABVCx+wjRcnENshdtvw9yyncpvdGc2+rdaT7cWJxtB5pyCdJyDINV53zih4f3uc5SBCRKex944U&#10;/FCAdX19VWGp/dnt6LSPRnCJCyUqaGMcSilD05LFMPcDOfY+/Ggx8jgaqUc8c7nt5SJJltJi5/hC&#10;iwM9tNR87Y9WwWS2u8338vlluxk6g6+fPiv8k1K3N9P9HYhIU7yE4Q+f0aFmpoM/Oh1Er2CW5UXG&#10;WVZpmrLiTJavChAHXuWLFci6kv+/qH8BAAD//wMAUEsBAi0AFAAGAAgAAAAhALaDOJL+AAAA4QEA&#10;ABMAAAAAAAAAAAAAAAAAAAAAAFtDb250ZW50X1R5cGVzXS54bWxQSwECLQAUAAYACAAAACEAOP0h&#10;/9YAAACUAQAACwAAAAAAAAAAAAAAAAAvAQAAX3JlbHMvLnJlbHNQSwECLQAUAAYACAAAACEA6ICZ&#10;c38CAAD9BAAADgAAAAAAAAAAAAAAAAAuAgAAZHJzL2Uyb0RvYy54bWxQSwECLQAUAAYACAAAACEA&#10;XKJOKOIAAAANAQAADwAAAAAAAAAAAAAAAADZBAAAZHJzL2Rvd25yZXYueG1sUEsFBgAAAAAEAAQA&#10;8wAAAOgFAAAAAA==&#10;" o:allowincell="f" fillcolor="#e6e6e6" stroked="f"/>
            </w:pict>
          </mc:Fallback>
        </mc:AlternateContent>
      </w:r>
      <w:r>
        <w:rPr>
          <w:noProof/>
        </w:rPr>
        <mc:AlternateContent>
          <mc:Choice Requires="wps">
            <w:drawing>
              <wp:anchor distT="0" distB="0" distL="114300" distR="114300" simplePos="0" relativeHeight="251689984" behindDoc="1" locked="0" layoutInCell="0" allowOverlap="1">
                <wp:simplePos x="0" y="0"/>
                <wp:positionH relativeFrom="column">
                  <wp:posOffset>-3107690</wp:posOffset>
                </wp:positionH>
                <wp:positionV relativeFrom="paragraph">
                  <wp:posOffset>-343535</wp:posOffset>
                </wp:positionV>
                <wp:extent cx="6205855" cy="182245"/>
                <wp:effectExtent l="0" t="0" r="0" b="0"/>
                <wp:wrapNone/>
                <wp:docPr id="9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18224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244.7pt;margin-top:-27.05pt;width:488.65pt;height:14.3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dQfwIAAP0EAAAOAAAAZHJzL2Uyb0RvYy54bWysVNuO2yAQfa/Uf0C8Z31ZOxtb66z2lqrS&#10;tl112w8ggGNUDBRInN2q/94BJ2nS9qGqmkgYmOFwZuYMl1fbXqINt05o1eDsLMWIK6qZUKsGf/60&#10;mMwwcp4oRqRWvMHP3OGr+etXl4Opea47LRm3CECUqwfT4M57UyeJox3viTvThiswttr2xMPSrhJm&#10;yQDovUzyNJ0mg7bMWE25c7B7NxrxPOK3Laf+Q9s67pFsMHDzcbRxXIYxmV+SemWJ6QTd0SD/wKIn&#10;QsGlB6g74glaW/EbVC+o1U63/ozqPtFtKyiPMUA0WfpLNE8dMTzGAslx5pAm9/9g6fvNo0WCNbjK&#10;MVKkhxp9hKwRtZIcnZ+HBA3G1eD3ZB5tCNGZB02/OKT0bQdu/NpaPXScMKCVBf/k5EBYODiKlsM7&#10;zQCerL2Oudq2tg+AkAW0jSV5PpSEbz2isDnN03JWlhhRsGWzPC/KeAWp96eNdf4N1z0KkwZbIB/R&#10;yebB+cCG1HuXyF5LwRZCyriwq+WttGhDQB730/DfobtjN6mCs9Lh2Ig47gBJuCPYAt1Y7m9Vlhfp&#10;TV5NFtPZxaRYFOWkukhnkzSrbqppWlTF3eJ7IJgVdScY4+pBKL6XXlb8XWl3TTCKJooPDVDCMi9j&#10;7Cfs3XGQafz9KcheeOhEKfoGzw5OpA6FvVcMwia1J0KO8+SUfswy5GD/jVmJMgiVHxW01OwZVGA1&#10;FAk6Ed4MmHTavmA0QP812H1dE8sxkm8VKKnKiiI0bFwU5UUOC3tsWR5biKIA1WCP0Ti99WOTr40V&#10;qw5uymJilL4G9bUiCiMoc2S10yz0WIxg9x6EJj5eR6+fr9b8BwAAAP//AwBQSwMEFAAGAAgAAAAh&#10;AJf3Q+bhAAAADAEAAA8AAABkcnMvZG93bnJldi54bWxMj8tOwzAQRfdI/IM1SOxap5VbkhCnQqhI&#10;LICqjw9wk8EJxOMQu234e4YV7OZxdOdMsRpdJ844hNaThtk0AYFU+bolq+Gwf5qkIEI0VJvOE2r4&#10;xgCr8vqqMHntL7TF8y5awSEUcqOhibHPpQxVg86Eqe+RePfuB2cit4OV9WAuHO46OU+SpXSmJb7Q&#10;mB4fG6w+dyenYbSb7fpr+fK6WfetNW8fXmX+Wevbm/HhHkTEMf7B8KvP6lCy09GfqA6i0zBRaaaY&#10;5WqhZiAYUeldBuLIk/lCgSwL+f+J8gcAAP//AwBQSwECLQAUAAYACAAAACEAtoM4kv4AAADhAQAA&#10;EwAAAAAAAAAAAAAAAAAAAAAAW0NvbnRlbnRfVHlwZXNdLnhtbFBLAQItABQABgAIAAAAIQA4/SH/&#10;1gAAAJQBAAALAAAAAAAAAAAAAAAAAC8BAABfcmVscy8ucmVsc1BLAQItABQABgAIAAAAIQBempdQ&#10;fwIAAP0EAAAOAAAAAAAAAAAAAAAAAC4CAABkcnMvZTJvRG9jLnhtbFBLAQItABQABgAIAAAAIQCX&#10;90Pm4QAAAAwBAAAPAAAAAAAAAAAAAAAAANkEAABkcnMvZG93bnJldi54bWxQSwUGAAAAAAQABADz&#10;AAAA5wUAAAAA&#10;" o:allowincell="f" fillcolor="#e6e6e6" stroked="f"/>
            </w:pict>
          </mc:Fallback>
        </mc:AlternateContent>
      </w:r>
    </w:p>
    <w:p w:rsidR="00000000" w:rsidRDefault="0057438D">
      <w:pPr>
        <w:pStyle w:val="DefaultParagraphFont"/>
        <w:widowControl w:val="0"/>
        <w:overflowPunct w:val="0"/>
        <w:autoSpaceDE w:val="0"/>
        <w:autoSpaceDN w:val="0"/>
        <w:adjustRightInd w:val="0"/>
        <w:spacing w:after="0" w:line="258" w:lineRule="auto"/>
        <w:ind w:left="220"/>
        <w:rPr>
          <w:rFonts w:ascii="Times New Roman" w:hAnsi="Times New Roman" w:cs="Times New Roman"/>
          <w:sz w:val="24"/>
          <w:szCs w:val="24"/>
        </w:rPr>
      </w:pPr>
      <w:r>
        <w:rPr>
          <w:rFonts w:ascii="Times New Roman" w:hAnsi="Times New Roman" w:cs="Times New Roman"/>
          <w:sz w:val="19"/>
          <w:szCs w:val="19"/>
        </w:rPr>
        <w:t>forward-looking statements as a result of new information, future events or other factors. Forward-looking statements are inherently uncertain and investors must recognize that events could be significantly different from our expectations. For more informa</w:t>
      </w:r>
      <w:r>
        <w:rPr>
          <w:rFonts w:ascii="Times New Roman" w:hAnsi="Times New Roman" w:cs="Times New Roman"/>
          <w:sz w:val="19"/>
          <w:szCs w:val="19"/>
        </w:rPr>
        <w:t>tion on risks that could impact our results, refer to Item 1A Risk Factors in this 10-K.</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left="220"/>
        <w:rPr>
          <w:rFonts w:ascii="Times New Roman" w:hAnsi="Times New Roman" w:cs="Times New Roman"/>
          <w:sz w:val="24"/>
          <w:szCs w:val="24"/>
        </w:rPr>
      </w:pPr>
      <w:r>
        <w:rPr>
          <w:rFonts w:ascii="Times New Roman" w:hAnsi="Times New Roman" w:cs="Times New Roman"/>
          <w:b/>
          <w:bCs/>
          <w:i/>
          <w:iCs/>
          <w:sz w:val="19"/>
          <w:szCs w:val="19"/>
        </w:rPr>
        <w:t>Ability to Achieve Business Plans</w:t>
      </w:r>
      <w:r>
        <w:rPr>
          <w:rFonts w:ascii="Times New Roman" w:hAnsi="Times New Roman" w:cs="Times New Roman"/>
          <w:sz w:val="19"/>
          <w:szCs w:val="19"/>
        </w:rPr>
        <w:t>. We are a consumer</w:t>
      </w:r>
      <w:r>
        <w:rPr>
          <w:rFonts w:ascii="Times New Roman" w:hAnsi="Times New Roman" w:cs="Times New Roman"/>
          <w:b/>
          <w:bCs/>
          <w:i/>
          <w:iCs/>
          <w:sz w:val="19"/>
          <w:szCs w:val="19"/>
        </w:rPr>
        <w:t xml:space="preserve"> </w:t>
      </w:r>
      <w:r>
        <w:rPr>
          <w:rFonts w:ascii="Times New Roman" w:hAnsi="Times New Roman" w:cs="Times New Roman"/>
          <w:sz w:val="19"/>
          <w:szCs w:val="19"/>
        </w:rPr>
        <w:t>products company and rely on continued demand for our brands and products. To achieve business goals, we must develop and sell products that appeal to consumers and retail trade customers. Our continued success is dependent on innovation with respect to bo</w:t>
      </w:r>
      <w:r>
        <w:rPr>
          <w:rFonts w:ascii="Times New Roman" w:hAnsi="Times New Roman" w:cs="Times New Roman"/>
          <w:sz w:val="19"/>
          <w:szCs w:val="19"/>
        </w:rPr>
        <w:t>th products and operations and on the continued positive reputations of our brands. This means we must be able to obtain and maintain patents and trademarks and respond to technological advances and patents granted to competition. Our success is also depen</w:t>
      </w:r>
      <w:r>
        <w:rPr>
          <w:rFonts w:ascii="Times New Roman" w:hAnsi="Times New Roman" w:cs="Times New Roman"/>
          <w:sz w:val="19"/>
          <w:szCs w:val="19"/>
        </w:rPr>
        <w:t>dent on effective sales, advertising and marketing programs in a more fast-paced and rapidly changing environment. Our ability to innovate and execute in these areas will determine the extent to which we are able to grow existing net sales and volume profi</w:t>
      </w:r>
      <w:r>
        <w:rPr>
          <w:rFonts w:ascii="Times New Roman" w:hAnsi="Times New Roman" w:cs="Times New Roman"/>
          <w:sz w:val="19"/>
          <w:szCs w:val="19"/>
        </w:rPr>
        <w:t xml:space="preserve">tably, especially with respect to the product categories and geographic markets (including developing markets) in which we have chosen to focus. There are high levels of competitive activity in the markets in which we operate. To address these challenges, </w:t>
      </w:r>
      <w:r>
        <w:rPr>
          <w:rFonts w:ascii="Times New Roman" w:hAnsi="Times New Roman" w:cs="Times New Roman"/>
          <w:sz w:val="19"/>
          <w:szCs w:val="19"/>
        </w:rPr>
        <w:t>we must respond to competitive factors, including pricing, promotional incentives, trade terms and product initiatives. We must manage each of these factors, as well as maintain mutually beneficial relationships with our key customers, in order to effectiv</w:t>
      </w:r>
      <w:r>
        <w:rPr>
          <w:rFonts w:ascii="Times New Roman" w:hAnsi="Times New Roman" w:cs="Times New Roman"/>
          <w:sz w:val="19"/>
          <w:szCs w:val="19"/>
        </w:rPr>
        <w:t>ely compete and achieve our business plans.</w:t>
      </w:r>
    </w:p>
    <w:p w:rsidR="00000000" w:rsidRDefault="0057438D">
      <w:pPr>
        <w:pStyle w:val="DefaultParagraphFont"/>
        <w:widowControl w:val="0"/>
        <w:autoSpaceDE w:val="0"/>
        <w:autoSpaceDN w:val="0"/>
        <w:adjustRightInd w:val="0"/>
        <w:spacing w:after="0" w:line="9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left="220"/>
        <w:rPr>
          <w:rFonts w:ascii="Times New Roman" w:hAnsi="Times New Roman" w:cs="Times New Roman"/>
          <w:sz w:val="24"/>
          <w:szCs w:val="24"/>
        </w:rPr>
      </w:pPr>
      <w:r>
        <w:rPr>
          <w:rFonts w:ascii="Times New Roman" w:hAnsi="Times New Roman" w:cs="Times New Roman"/>
          <w:sz w:val="19"/>
          <w:szCs w:val="19"/>
        </w:rPr>
        <w:t>As a company that manages a portfolio of consumer brands, our ongoing business model involves a certain level of ongoing acquisition, divestiture and joint venture activities. We must be able to successfully man</w:t>
      </w:r>
      <w:r>
        <w:rPr>
          <w:rFonts w:ascii="Times New Roman" w:hAnsi="Times New Roman" w:cs="Times New Roman"/>
          <w:sz w:val="19"/>
          <w:szCs w:val="19"/>
        </w:rPr>
        <w:t>age the impacts of these activities, while at the same time delivering against base business objectives.</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left="220" w:right="80"/>
        <w:rPr>
          <w:rFonts w:ascii="Times New Roman" w:hAnsi="Times New Roman" w:cs="Times New Roman"/>
          <w:sz w:val="24"/>
          <w:szCs w:val="24"/>
        </w:rPr>
      </w:pPr>
      <w:r>
        <w:rPr>
          <w:rFonts w:ascii="Times New Roman" w:hAnsi="Times New Roman" w:cs="Times New Roman"/>
          <w:sz w:val="19"/>
          <w:szCs w:val="19"/>
        </w:rPr>
        <w:t>Daily conduct of our business also depends on our ability to maintain key information technology systems, including systems operated by third-party su</w:t>
      </w:r>
      <w:r>
        <w:rPr>
          <w:rFonts w:ascii="Times New Roman" w:hAnsi="Times New Roman" w:cs="Times New Roman"/>
          <w:sz w:val="19"/>
          <w:szCs w:val="19"/>
        </w:rPr>
        <w:t>ppliers and to maintain security over our data.</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900" w:bottom="523" w:left="855" w:header="720" w:footer="720" w:gutter="0"/>
          <w:cols w:num="2" w:space="220" w:equalWidth="0">
            <w:col w:w="4665" w:space="220"/>
            <w:col w:w="4880"/>
          </w:cols>
          <w:noEndnote/>
        </w:sectPr>
      </w:pPr>
    </w:p>
    <w:p w:rsidR="00000000" w:rsidRDefault="0057438D">
      <w:pPr>
        <w:pStyle w:val="DefaultParagraphFont"/>
        <w:widowControl w:val="0"/>
        <w:tabs>
          <w:tab w:val="num"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26</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b/>
          <w:bCs/>
          <w:i/>
          <w:iCs/>
          <w:sz w:val="19"/>
          <w:szCs w:val="19"/>
        </w:rPr>
        <w:t>Cost Pressures</w:t>
      </w:r>
      <w:r>
        <w:rPr>
          <w:rFonts w:ascii="Times New Roman" w:hAnsi="Times New Roman" w:cs="Times New Roman"/>
          <w:sz w:val="19"/>
          <w:szCs w:val="19"/>
        </w:rPr>
        <w:t>. Our costs are subject to fluctuations,</w:t>
      </w:r>
      <w:r>
        <w:rPr>
          <w:rFonts w:ascii="Times New Roman" w:hAnsi="Times New Roman" w:cs="Times New Roman"/>
          <w:b/>
          <w:bCs/>
          <w:i/>
          <w:iCs/>
          <w:sz w:val="19"/>
          <w:szCs w:val="19"/>
        </w:rPr>
        <w:t xml:space="preserve"> </w:t>
      </w:r>
      <w:r>
        <w:rPr>
          <w:rFonts w:ascii="Times New Roman" w:hAnsi="Times New Roman" w:cs="Times New Roman"/>
          <w:sz w:val="19"/>
          <w:szCs w:val="19"/>
        </w:rPr>
        <w:t>particularly due to changes in commodity prices, raw materials, labor costs, foreign exchange and interest rates. Therefore, our success is dependent, in part, on our continued ability to manage these fluctuations through pricing actions, cost savings proj</w:t>
      </w:r>
      <w:r>
        <w:rPr>
          <w:rFonts w:ascii="Times New Roman" w:hAnsi="Times New Roman" w:cs="Times New Roman"/>
          <w:sz w:val="19"/>
          <w:szCs w:val="19"/>
        </w:rPr>
        <w:t>ects, sourcing decisions and certain hedging transactions, as well as ongoing productivity improvements. We also must manage our debt and currency exposure, especially in certain countries with currency exchange controls, such as Venezuela, China, India, E</w:t>
      </w:r>
      <w:r>
        <w:rPr>
          <w:rFonts w:ascii="Times New Roman" w:hAnsi="Times New Roman" w:cs="Times New Roman"/>
          <w:sz w:val="19"/>
          <w:szCs w:val="19"/>
        </w:rPr>
        <w:t xml:space="preserve">gypt and Argentina. We need to maintain key manufacturing and supply arrangements, including sole supplier and manufacturing plant arrangements, and successfully manage any disruptions at Company manufacturing sites. We must implement, achieve and sustain </w:t>
      </w:r>
      <w:r>
        <w:rPr>
          <w:rFonts w:ascii="Times New Roman" w:hAnsi="Times New Roman" w:cs="Times New Roman"/>
          <w:sz w:val="19"/>
          <w:szCs w:val="19"/>
        </w:rPr>
        <w:t>cost improvement plans, including our established outsourcing relationships and those related to general overhead and workforce optimization. Successfully managing these changes, including identifying, developing and retaining key employees, is critical to</w:t>
      </w:r>
      <w:r>
        <w:rPr>
          <w:rFonts w:ascii="Times New Roman" w:hAnsi="Times New Roman" w:cs="Times New Roman"/>
          <w:sz w:val="19"/>
          <w:szCs w:val="19"/>
        </w:rPr>
        <w:t xml:space="preserve"> our success.</w:t>
      </w:r>
    </w:p>
    <w:p w:rsidR="00000000" w:rsidRDefault="0057438D">
      <w:pPr>
        <w:pStyle w:val="DefaultParagraphFont"/>
        <w:widowControl w:val="0"/>
        <w:autoSpaceDE w:val="0"/>
        <w:autoSpaceDN w:val="0"/>
        <w:adjustRightInd w:val="0"/>
        <w:spacing w:after="0" w:line="14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20"/>
        <w:rPr>
          <w:rFonts w:ascii="Times New Roman" w:hAnsi="Times New Roman" w:cs="Times New Roman"/>
          <w:sz w:val="24"/>
          <w:szCs w:val="24"/>
        </w:rPr>
      </w:pPr>
      <w:r>
        <w:rPr>
          <w:rFonts w:ascii="Times New Roman" w:hAnsi="Times New Roman" w:cs="Times New Roman"/>
          <w:b/>
          <w:bCs/>
          <w:i/>
          <w:iCs/>
          <w:sz w:val="19"/>
          <w:szCs w:val="19"/>
        </w:rPr>
        <w:t>Global Economic Conditions</w:t>
      </w:r>
      <w:r>
        <w:rPr>
          <w:rFonts w:ascii="Times New Roman" w:hAnsi="Times New Roman" w:cs="Times New Roman"/>
          <w:sz w:val="19"/>
          <w:szCs w:val="19"/>
        </w:rPr>
        <w:t>. Demand for our products has</w:t>
      </w:r>
      <w:r>
        <w:rPr>
          <w:rFonts w:ascii="Times New Roman" w:hAnsi="Times New Roman" w:cs="Times New Roman"/>
          <w:b/>
          <w:bCs/>
          <w:i/>
          <w:iCs/>
          <w:sz w:val="19"/>
          <w:szCs w:val="19"/>
        </w:rPr>
        <w:t xml:space="preserve"> </w:t>
      </w:r>
      <w:r>
        <w:rPr>
          <w:rFonts w:ascii="Times New Roman" w:hAnsi="Times New Roman" w:cs="Times New Roman"/>
          <w:sz w:val="19"/>
          <w:szCs w:val="19"/>
        </w:rPr>
        <w:t>a correlation to global macroeconomic factors. The curren</w:t>
      </w:r>
      <w:r>
        <w:rPr>
          <w:rFonts w:ascii="Times New Roman" w:hAnsi="Times New Roman" w:cs="Times New Roman"/>
          <w:sz w:val="19"/>
          <w:szCs w:val="19"/>
        </w:rPr>
        <w:t>t macroeconomic factors remain dynamic. Economic changes, terrorist activity, political unrest and natural disasters may result in business interruption, inflation, deflation or decreased demand for our products. Our success will depend, in part, on our ab</w:t>
      </w:r>
      <w:r>
        <w:rPr>
          <w:rFonts w:ascii="Times New Roman" w:hAnsi="Times New Roman" w:cs="Times New Roman"/>
          <w:sz w:val="19"/>
          <w:szCs w:val="19"/>
        </w:rPr>
        <w:t>ility to manage continued global political and/or economic uncertainty, especially in our significant geographic markets, due to terrorist and other hostile activities or natural disasters. We could also be negatively impacted by a global, regional or nati</w:t>
      </w:r>
      <w:r>
        <w:rPr>
          <w:rFonts w:ascii="Times New Roman" w:hAnsi="Times New Roman" w:cs="Times New Roman"/>
          <w:sz w:val="19"/>
          <w:szCs w:val="19"/>
        </w:rPr>
        <w:t xml:space="preserve">onal economic crisis, including sovereign risk in the event of a deterioration in the credit worthiness of, or a default by local governments, resulting in a disruption of credit markets. Such events could negatively impact our ability to collect receipts </w:t>
      </w:r>
      <w:r>
        <w:rPr>
          <w:rFonts w:ascii="Times New Roman" w:hAnsi="Times New Roman" w:cs="Times New Roman"/>
          <w:sz w:val="19"/>
          <w:szCs w:val="19"/>
        </w:rPr>
        <w:t>due from governments, including refunds of value added taxes, create significant credit risks relative to our local customers and depository institutions and/or negatively impact our overall liquidity. Additionally, changes in exchange controls and other l</w:t>
      </w:r>
      <w:r>
        <w:rPr>
          <w:rFonts w:ascii="Times New Roman" w:hAnsi="Times New Roman" w:cs="Times New Roman"/>
          <w:sz w:val="19"/>
          <w:szCs w:val="19"/>
        </w:rPr>
        <w:t>imits could impact our ability to repatriate earnings from overseas.</w:t>
      </w:r>
    </w:p>
    <w:p w:rsidR="00000000" w:rsidRDefault="0057438D">
      <w:pPr>
        <w:pStyle w:val="DefaultParagraphFont"/>
        <w:widowControl w:val="0"/>
        <w:autoSpaceDE w:val="0"/>
        <w:autoSpaceDN w:val="0"/>
        <w:adjustRightInd w:val="0"/>
        <w:spacing w:after="0" w:line="14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b/>
          <w:bCs/>
          <w:i/>
          <w:iCs/>
          <w:sz w:val="19"/>
          <w:szCs w:val="19"/>
        </w:rPr>
        <w:t>Regulatory Environment</w:t>
      </w:r>
      <w:r>
        <w:rPr>
          <w:rFonts w:ascii="Times New Roman" w:hAnsi="Times New Roman" w:cs="Times New Roman"/>
          <w:sz w:val="19"/>
          <w:szCs w:val="19"/>
        </w:rPr>
        <w:t>. Changes in laws, regulations and</w:t>
      </w:r>
      <w:r>
        <w:rPr>
          <w:rFonts w:ascii="Times New Roman" w:hAnsi="Times New Roman" w:cs="Times New Roman"/>
          <w:b/>
          <w:bCs/>
          <w:i/>
          <w:iCs/>
          <w:sz w:val="19"/>
          <w:szCs w:val="19"/>
        </w:rPr>
        <w:t xml:space="preserve"> </w:t>
      </w:r>
      <w:r>
        <w:rPr>
          <w:rFonts w:ascii="Times New Roman" w:hAnsi="Times New Roman" w:cs="Times New Roman"/>
          <w:sz w:val="19"/>
          <w:szCs w:val="19"/>
        </w:rPr>
        <w:t>the related interpretations may alter the environment in which we do business. This includes changes in environmental, competitiv</w:t>
      </w:r>
      <w:r>
        <w:rPr>
          <w:rFonts w:ascii="Times New Roman" w:hAnsi="Times New Roman" w:cs="Times New Roman"/>
          <w:sz w:val="19"/>
          <w:szCs w:val="19"/>
        </w:rPr>
        <w:t>e and product-related laws, as well as changes in accounting standards and tax laws or the enforcement thereof. Our ability to manage regulatory, tax and legal matters (including, but not limited to, product liability, patent and other intellectual propert</w:t>
      </w:r>
      <w:r>
        <w:rPr>
          <w:rFonts w:ascii="Times New Roman" w:hAnsi="Times New Roman" w:cs="Times New Roman"/>
          <w:sz w:val="19"/>
          <w:szCs w:val="19"/>
        </w:rPr>
        <w:t>y matters) and to resolve pending legal matters within current estimates may impact our results.</w:t>
      </w:r>
    </w:p>
    <w:p w:rsidR="00000000" w:rsidRDefault="0057438D">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RESULTS OF OPERATIONS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120"/>
        <w:rPr>
          <w:rFonts w:ascii="Times New Roman" w:hAnsi="Times New Roman" w:cs="Times New Roman"/>
          <w:sz w:val="24"/>
          <w:szCs w:val="24"/>
        </w:rPr>
      </w:pPr>
      <w:r>
        <w:rPr>
          <w:rFonts w:ascii="Times New Roman" w:hAnsi="Times New Roman" w:cs="Times New Roman"/>
          <w:sz w:val="19"/>
          <w:szCs w:val="19"/>
        </w:rPr>
        <w:t xml:space="preserve">The key metrics included in our discussion of our consolidated results of operations include net sales, gross margin, selling, general </w:t>
      </w:r>
      <w:r>
        <w:rPr>
          <w:rFonts w:ascii="Times New Roman" w:hAnsi="Times New Roman" w:cs="Times New Roman"/>
          <w:sz w:val="19"/>
          <w:szCs w:val="19"/>
        </w:rPr>
        <w:t>and administrative expenses (SG&amp;A), other non-operating items and income taxes. The</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0"/>
        <w:rPr>
          <w:rFonts w:ascii="Times New Roman" w:hAnsi="Times New Roman" w:cs="Times New Roman"/>
          <w:sz w:val="24"/>
          <w:szCs w:val="24"/>
        </w:rPr>
      </w:pPr>
      <w:r>
        <w:rPr>
          <w:rFonts w:ascii="Times New Roman" w:hAnsi="Times New Roman" w:cs="Times New Roman"/>
          <w:sz w:val="19"/>
          <w:szCs w:val="19"/>
        </w:rPr>
        <w:t>primary factors driving year-over-year changes in net sales include overall market growth in the categories in which we compete, product initiatives, the level of initia</w:t>
      </w:r>
      <w:r>
        <w:rPr>
          <w:rFonts w:ascii="Times New Roman" w:hAnsi="Times New Roman" w:cs="Times New Roman"/>
          <w:sz w:val="19"/>
          <w:szCs w:val="19"/>
        </w:rPr>
        <w:t>tives and other activities by competitors, geographic expansion and acquisition and divestiture activity, all of which drive changes in our underlying unit volume, as well as pricing actions (which can also indirectly impact volume), changes in product and</w:t>
      </w:r>
      <w:r>
        <w:rPr>
          <w:rFonts w:ascii="Times New Roman" w:hAnsi="Times New Roman" w:cs="Times New Roman"/>
          <w:sz w:val="19"/>
          <w:szCs w:val="19"/>
        </w:rPr>
        <w:t xml:space="preserve"> geographic mix and foreign currency impacts on sales outside the U.S.</w:t>
      </w:r>
    </w:p>
    <w:p w:rsidR="00000000" w:rsidRDefault="0057438D">
      <w:pPr>
        <w:pStyle w:val="DefaultParagraphFont"/>
        <w:widowControl w:val="0"/>
        <w:autoSpaceDE w:val="0"/>
        <w:autoSpaceDN w:val="0"/>
        <w:adjustRightInd w:val="0"/>
        <w:spacing w:after="0" w:line="7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Most of our cost of products sold and SG&amp;A are to some extent variable in nature. Accordingly, our discussion of these operating costs focuses primari</w:t>
      </w:r>
      <w:r>
        <w:rPr>
          <w:rFonts w:ascii="Times New Roman" w:hAnsi="Times New Roman" w:cs="Times New Roman"/>
          <w:sz w:val="19"/>
          <w:szCs w:val="19"/>
        </w:rPr>
        <w:t>ly on relative margins rather than the absolute year-over-year changes in total costs. The primary drivers of changes in gross margin are input costs (energy and other commodities), pricing impacts, geographic mix (for example, gross margins in developed m</w:t>
      </w:r>
      <w:r>
        <w:rPr>
          <w:rFonts w:ascii="Times New Roman" w:hAnsi="Times New Roman" w:cs="Times New Roman"/>
          <w:sz w:val="19"/>
          <w:szCs w:val="19"/>
        </w:rPr>
        <w:t>arkets are generally higher than in developing markets for similar products), product mix (for example, the Beauty segment has higher gross margins than the Company average), foreign exchange rate fluctuations (in situations where certain input costs may b</w:t>
      </w:r>
      <w:r>
        <w:rPr>
          <w:rFonts w:ascii="Times New Roman" w:hAnsi="Times New Roman" w:cs="Times New Roman"/>
          <w:sz w:val="19"/>
          <w:szCs w:val="19"/>
        </w:rPr>
        <w:t>e tied to a different functional currency than the underlying sales), the impacts of manufacturing savings projects and to a lesser extent scale impacts (for costs that are fixed or less variable in nature). The primary drivers of SG&amp;A are marketing-relate</w:t>
      </w:r>
      <w:r>
        <w:rPr>
          <w:rFonts w:ascii="Times New Roman" w:hAnsi="Times New Roman" w:cs="Times New Roman"/>
          <w:sz w:val="19"/>
          <w:szCs w:val="19"/>
        </w:rPr>
        <w:t xml:space="preserve">d costs and overhead costs. Marketing-related costs are primarily variable in nature, although we do achieve some level of scale benefit over time due to overall growth and other marketing efficiencies. Overhead costs are also variable in nature, but on a </w:t>
      </w:r>
      <w:r>
        <w:rPr>
          <w:rFonts w:ascii="Times New Roman" w:hAnsi="Times New Roman" w:cs="Times New Roman"/>
          <w:sz w:val="19"/>
          <w:szCs w:val="19"/>
        </w:rPr>
        <w:t>relative basis, less so than marketing costs due to our ability to leverage our organization and systems infrastructures to support business growth. Accordingly, we generally experience more scale-related impacts for these costs.</w:t>
      </w:r>
    </w:p>
    <w:p w:rsidR="00000000" w:rsidRDefault="0057438D">
      <w:pPr>
        <w:pStyle w:val="DefaultParagraphFont"/>
        <w:widowControl w:val="0"/>
        <w:autoSpaceDE w:val="0"/>
        <w:autoSpaceDN w:val="0"/>
        <w:adjustRightInd w:val="0"/>
        <w:spacing w:after="0" w:line="8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40"/>
        <w:rPr>
          <w:rFonts w:ascii="Times New Roman" w:hAnsi="Times New Roman" w:cs="Times New Roman"/>
          <w:sz w:val="24"/>
          <w:szCs w:val="24"/>
        </w:rPr>
      </w:pPr>
      <w:r>
        <w:rPr>
          <w:rFonts w:ascii="Times New Roman" w:hAnsi="Times New Roman" w:cs="Times New Roman"/>
          <w:sz w:val="19"/>
          <w:szCs w:val="19"/>
        </w:rPr>
        <w:t>The Company is in the mid</w:t>
      </w:r>
      <w:r>
        <w:rPr>
          <w:rFonts w:ascii="Times New Roman" w:hAnsi="Times New Roman" w:cs="Times New Roman"/>
          <w:sz w:val="19"/>
          <w:szCs w:val="19"/>
        </w:rPr>
        <w:t>st of a productivity and cost savings plan to reduce costs in the areas of supply chain, research and development, marketing and overhead expenses. The plan is designed to accelerate cost reductions by streamlining management decision making, manufacturing</w:t>
      </w:r>
      <w:r>
        <w:rPr>
          <w:rFonts w:ascii="Times New Roman" w:hAnsi="Times New Roman" w:cs="Times New Roman"/>
          <w:sz w:val="19"/>
          <w:szCs w:val="19"/>
        </w:rPr>
        <w:t xml:space="preserve"> and other work processes to fund the Company's growth strategy. The Company expects to incur in excess of $4.5 billion in before-tax restructuring costs over a five-year period (fiscal 2012 through fiscal 2016) as part of this plan. Overall, the costs and</w:t>
      </w:r>
      <w:r>
        <w:rPr>
          <w:rFonts w:ascii="Times New Roman" w:hAnsi="Times New Roman" w:cs="Times New Roman"/>
          <w:sz w:val="19"/>
          <w:szCs w:val="19"/>
        </w:rPr>
        <w:t xml:space="preserve"> other non-manufacturing enrollment reductions are expected to deliver in excess of $2.8 billion in annual gross before-tax savings (see Note 3 to our Consolidated Financial Statements).</w:t>
      </w: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Net Sales</w:t>
      </w:r>
    </w:p>
    <w:p w:rsidR="00000000" w:rsidRDefault="0057438D">
      <w:pPr>
        <w:pStyle w:val="DefaultParagraphFont"/>
        <w:widowControl w:val="0"/>
        <w:autoSpaceDE w:val="0"/>
        <w:autoSpaceDN w:val="0"/>
        <w:adjustRightInd w:val="0"/>
        <w:spacing w:after="0" w:line="12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2014 compared with fiscal year 2013</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rPr>
          <w:rFonts w:ascii="Times New Roman" w:hAnsi="Times New Roman" w:cs="Times New Roman"/>
          <w:sz w:val="24"/>
          <w:szCs w:val="24"/>
        </w:rPr>
      </w:pPr>
      <w:r>
        <w:rPr>
          <w:rFonts w:ascii="Times New Roman" w:hAnsi="Times New Roman" w:cs="Times New Roman"/>
          <w:sz w:val="19"/>
          <w:szCs w:val="19"/>
        </w:rPr>
        <w:t>Net sale</w:t>
      </w:r>
      <w:r>
        <w:rPr>
          <w:rFonts w:ascii="Times New Roman" w:hAnsi="Times New Roman" w:cs="Times New Roman"/>
          <w:sz w:val="19"/>
          <w:szCs w:val="19"/>
        </w:rPr>
        <w:t>s increased 1% to $83.1 billion in 2014 on a 3% increase in unit volume versus the prior year period. Fabric Care and Home Care along with Baby, Feminine and Family Care volume grew mid-single digits. Grooming and Health Care volume grew low single digits.</w:t>
      </w:r>
      <w:r>
        <w:rPr>
          <w:rFonts w:ascii="Times New Roman" w:hAnsi="Times New Roman" w:cs="Times New Roman"/>
          <w:sz w:val="19"/>
          <w:szCs w:val="19"/>
        </w:rPr>
        <w:t xml:space="preserve"> Beauty volume was unchanged. Volume increased low single digits in developed regions and grew mid-single digits in developing regions.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00" w:bottom="593" w:left="860" w:header="720" w:footer="720" w:gutter="0"/>
          <w:cols w:num="2" w:space="440" w:equalWidth="0">
            <w:col w:w="4660" w:space="440"/>
            <w:col w:w="4660"/>
          </w:cols>
          <w:noEndnote/>
        </w:sect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27</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526" w:left="8240" w:header="720" w:footer="720" w:gutter="0"/>
          <w:cols w:space="720" w:equalWidth="0">
            <w:col w:w="2380"/>
          </w:cols>
          <w:noEndnote/>
        </w:sectPr>
      </w:pP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40"/>
        <w:rPr>
          <w:rFonts w:ascii="Times New Roman" w:hAnsi="Times New Roman" w:cs="Times New Roman"/>
          <w:sz w:val="24"/>
          <w:szCs w:val="24"/>
        </w:rPr>
      </w:pPr>
      <w:r>
        <w:rPr>
          <w:rFonts w:ascii="Times New Roman" w:hAnsi="Times New Roman" w:cs="Times New Roman"/>
          <w:sz w:val="19"/>
          <w:szCs w:val="19"/>
        </w:rPr>
        <w:t>Unfavorable foreign exchange reduced net sales by 2%. Organic sales grew 3% driven by the unit volume increase. A 1% favorable impact from higher pricing was offset by a 1% impact from unfavorable geographic and product mix due to higher relative growth of</w:t>
      </w:r>
      <w:r>
        <w:rPr>
          <w:rFonts w:ascii="Times New Roman" w:hAnsi="Times New Roman" w:cs="Times New Roman"/>
          <w:sz w:val="19"/>
          <w:szCs w:val="19"/>
        </w:rPr>
        <w:t xml:space="preserve"> developing regions, which have lower than average selling prices, and of lower priced product categories such as Fabric Care and Baby Care.</w:t>
      </w:r>
    </w:p>
    <w:p w:rsidR="00000000" w:rsidRDefault="0057438D">
      <w:pPr>
        <w:pStyle w:val="DefaultParagraphFont"/>
        <w:widowControl w:val="0"/>
        <w:autoSpaceDE w:val="0"/>
        <w:autoSpaceDN w:val="0"/>
        <w:adjustRightInd w:val="0"/>
        <w:spacing w:after="0" w:line="7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2013 compared with fiscal year 2012</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rPr>
          <w:rFonts w:ascii="Times New Roman" w:hAnsi="Times New Roman" w:cs="Times New Roman"/>
          <w:sz w:val="24"/>
          <w:szCs w:val="24"/>
        </w:rPr>
      </w:pPr>
      <w:r>
        <w:rPr>
          <w:rFonts w:ascii="Times New Roman" w:hAnsi="Times New Roman" w:cs="Times New Roman"/>
          <w:sz w:val="19"/>
          <w:szCs w:val="19"/>
        </w:rPr>
        <w:t xml:space="preserve">Net sales increased 1% to $82.6 billion in 2013 on a 2% increase </w:t>
      </w:r>
      <w:r>
        <w:rPr>
          <w:rFonts w:ascii="Times New Roman" w:hAnsi="Times New Roman" w:cs="Times New Roman"/>
          <w:sz w:val="19"/>
          <w:szCs w:val="19"/>
        </w:rPr>
        <w:t>in unit volume. Volume in Health Care and Baby, Feminine and Family Care grew mid-single digits. Volume in Fabric Care and Home Care grew low single digits.</w:t>
      </w: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overflowPunct w:val="0"/>
        <w:autoSpaceDE w:val="0"/>
        <w:autoSpaceDN w:val="0"/>
        <w:adjustRightInd w:val="0"/>
        <w:spacing w:after="0" w:line="255" w:lineRule="auto"/>
        <w:rPr>
          <w:rFonts w:ascii="Times New Roman" w:hAnsi="Times New Roman" w:cs="Times New Roman"/>
          <w:sz w:val="24"/>
          <w:szCs w:val="24"/>
        </w:rPr>
      </w:pPr>
      <w:r>
        <w:rPr>
          <w:rFonts w:ascii="Times New Roman" w:hAnsi="Times New Roman" w:cs="Times New Roman"/>
          <w:sz w:val="19"/>
          <w:szCs w:val="19"/>
        </w:rPr>
        <w:t>Beauty volume was in line with the prior year. Grooming volume decreased low single digits. Volum</w:t>
      </w:r>
      <w:r>
        <w:rPr>
          <w:rFonts w:ascii="Times New Roman" w:hAnsi="Times New Roman" w:cs="Times New Roman"/>
          <w:sz w:val="19"/>
          <w:szCs w:val="19"/>
        </w:rPr>
        <w:t>e grew low single digits in both developed and developing regions. The impact of overall global market growth was partially offset by market share declines in certain categories. Price increases added 1% to net sales, driven by price increases across all b</w:t>
      </w:r>
      <w:r>
        <w:rPr>
          <w:rFonts w:ascii="Times New Roman" w:hAnsi="Times New Roman" w:cs="Times New Roman"/>
          <w:sz w:val="19"/>
          <w:szCs w:val="19"/>
        </w:rPr>
        <w:t>usiness segments, primarily executed in prior periods to offset cost increases and devaluing developing market currencies. Foreign exchange reduced net sales by 2%. Organic sales growth was 3% driven by both volume and price increases.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960" w:bottom="526" w:left="860" w:header="720" w:footer="720" w:gutter="0"/>
          <w:cols w:num="2" w:space="560" w:equalWidth="0">
            <w:col w:w="4540" w:space="560"/>
            <w:col w:w="4600"/>
          </w:cols>
          <w:noEndnote/>
        </w:sectPr>
      </w:pPr>
      <w:r>
        <w:rPr>
          <w:noProof/>
        </w:rPr>
        <mc:AlternateContent>
          <mc:Choice Requires="wps">
            <w:drawing>
              <wp:anchor distT="0" distB="0" distL="114300" distR="114300" simplePos="0" relativeHeight="251691008" behindDoc="1" locked="0" layoutInCell="0" allowOverlap="1">
                <wp:simplePos x="0" y="0"/>
                <wp:positionH relativeFrom="column">
                  <wp:posOffset>-3241675</wp:posOffset>
                </wp:positionH>
                <wp:positionV relativeFrom="paragraph">
                  <wp:posOffset>530225</wp:posOffset>
                </wp:positionV>
                <wp:extent cx="6205855" cy="0"/>
                <wp:effectExtent l="0" t="0" r="0" b="0"/>
                <wp:wrapNone/>
                <wp:docPr id="91"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5855" cy="0"/>
                        </a:xfrm>
                        <a:prstGeom prst="line">
                          <a:avLst/>
                        </a:prstGeom>
                        <a:noFill/>
                        <a:ln w="242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25pt,41.75pt" to="233.4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ulaHwIAAEQEAAAOAAAAZHJzL2Uyb0RvYy54bWysU02P2jAQvVfqf7B8h3xsoBARVhWBXmiL&#10;tNsfYGyHWHVsyzYEVPW/d+wAYttLVZWDGWdm3ryZeV48nzuJTtw6oVWFs3GKEVdUM6EOFf72uhnN&#10;MHKeKEakVrzCF+7w8/L9u0VvSp7rVkvGLQIQ5creVLj13pRJ4mjLO+LG2nAFzkbbjni42kPCLOkB&#10;vZNJnqbTpNeWGaspdw6+1oMTLyN+03DqvzaN4x7JCgM3H08bz304k+WClAdLTCvolQb5BxYdEQqK&#10;3qFq4gk6WvEHVCeo1U43fkx1l+imEZTHHqCbLP2tm5eWGB57geE4cx+T+3+w9MtpZ5FgFZ5nGCnS&#10;wY62QnH0VITZ9MaVELJSOxu6o2f1YraafndI6VVL1IFHjq8XA3lZyEjepISLM1Bh33/WDGLI0es4&#10;qHNjuwAJI0DnuI/LfR/87BGFj9M8ncwmE4zozZeQ8pZorPOfuO5QMCosgXQEJqet84EIKW8hoY7S&#10;GyFlXLdUqK9wXuTFJGY4LQUL3hDn7GG/khadSFBM/MW2wPMYFqBr4tohLroGLVl9VCyWaTlh66vt&#10;iZCDDbSkCoWgSSB6tQat/Jin8/VsPStGRT5dj4q0rkcfN6tiNN1kHyb1U71a1dnPwDkrylYwxlWg&#10;fdNtVvydLq4vaFDcXbn3ASVv0eMkgeztP5KOWw6LHSSy1+yys7ftg1Rj8PVZhbfweAf78fEvfwEA&#10;AP//AwBQSwMEFAAGAAgAAAAhAH52srLfAAAACgEAAA8AAABkcnMvZG93bnJldi54bWxMj8FOwzAQ&#10;RO9I/IO1SNxau0CtKo1TVQgqQOqBUHF24m0SEduR7abp37OIA5xWuzOafZNvJtuzEUPsvFOwmAtg&#10;6GpvOtcoOHw8z1bAYtLO6N47VHDBCJvi+irXmfFn945jmRpGIS5mWkGb0pBxHusWrY5zP6Aj7eiD&#10;1YnW0HAT9JnCbc/vhJDc6s7Rh1YP+Nhi/VWerIKXSrxe9uWTHLswbutd+DzIt51StzfTdg0s4ZT+&#10;zPCDT+hQEFPlT85E1iuYLRdiSV4Fq3ua5HiQkspUvwde5Px/heIbAAD//wMAUEsBAi0AFAAGAAgA&#10;AAAhALaDOJL+AAAA4QEAABMAAAAAAAAAAAAAAAAAAAAAAFtDb250ZW50X1R5cGVzXS54bWxQSwEC&#10;LQAUAAYACAAAACEAOP0h/9YAAACUAQAACwAAAAAAAAAAAAAAAAAvAQAAX3JlbHMvLnJlbHNQSwEC&#10;LQAUAAYACAAAACEAc2rpWh8CAABEBAAADgAAAAAAAAAAAAAAAAAuAgAAZHJzL2Uyb0RvYy54bWxQ&#10;SwECLQAUAAYACAAAACEAfnayst8AAAAKAQAADwAAAAAAAAAAAAAAAAB5BAAAZHJzL2Rvd25yZXYu&#10;eG1sUEsFBgAAAAAEAAQA8wAAAIUFAAAAAA==&#10;" o:allowincell="f" strokeweight=".67347mm"/>
            </w:pict>
          </mc:Fallback>
        </mc:AlternateConten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9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Operating Costs</w:t>
      </w:r>
    </w:p>
    <w:p w:rsidR="00000000" w:rsidRDefault="0057438D">
      <w:pPr>
        <w:pStyle w:val="DefaultParagraphFont"/>
        <w:widowControl w:val="0"/>
        <w:autoSpaceDE w:val="0"/>
        <w:autoSpaceDN w:val="0"/>
        <w:adjustRightInd w:val="0"/>
        <w:spacing w:after="0" w:line="17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180"/>
        <w:gridCol w:w="860"/>
        <w:gridCol w:w="80"/>
        <w:gridCol w:w="860"/>
        <w:gridCol w:w="60"/>
        <w:gridCol w:w="860"/>
        <w:gridCol w:w="80"/>
        <w:gridCol w:w="860"/>
        <w:gridCol w:w="80"/>
        <w:gridCol w:w="860"/>
        <w:gridCol w:w="20"/>
        <w:gridCol w:w="20"/>
      </w:tblGrid>
      <w:tr w:rsidR="00000000">
        <w:tblPrEx>
          <w:tblCellMar>
            <w:top w:w="0" w:type="dxa"/>
            <w:left w:w="0" w:type="dxa"/>
            <w:bottom w:w="0" w:type="dxa"/>
            <w:right w:w="0" w:type="dxa"/>
          </w:tblCellMar>
        </w:tblPrEx>
        <w:trPr>
          <w:trHeight w:val="172"/>
        </w:trPr>
        <w:tc>
          <w:tcPr>
            <w:tcW w:w="5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Comparisons as a percentage of net sales; Years ended June 30</w:t>
            </w:r>
          </w:p>
        </w:tc>
        <w:tc>
          <w:tcPr>
            <w:tcW w:w="8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7"/>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right"/>
              <w:rPr>
                <w:rFonts w:ascii="Times New Roman" w:hAnsi="Times New Roman" w:cs="Times New Roman"/>
                <w:sz w:val="24"/>
                <w:szCs w:val="24"/>
              </w:rPr>
            </w:pPr>
            <w:r>
              <w:rPr>
                <w:rFonts w:ascii="Times New Roman" w:hAnsi="Times New Roman" w:cs="Times New Roman"/>
                <w:b/>
                <w:bCs/>
                <w:sz w:val="15"/>
                <w:szCs w:val="15"/>
              </w:rPr>
              <w:t>Basis Point</w:t>
            </w:r>
          </w:p>
        </w:tc>
        <w:tc>
          <w:tcPr>
            <w:tcW w:w="92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5"/>
              <w:jc w:val="right"/>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right"/>
              <w:rPr>
                <w:rFonts w:ascii="Times New Roman" w:hAnsi="Times New Roman" w:cs="Times New Roman"/>
                <w:sz w:val="24"/>
                <w:szCs w:val="24"/>
              </w:rPr>
            </w:pPr>
            <w:r>
              <w:rPr>
                <w:rFonts w:ascii="Times New Roman" w:hAnsi="Times New Roman" w:cs="Times New Roman"/>
                <w:b/>
                <w:bCs/>
                <w:sz w:val="15"/>
                <w:szCs w:val="15"/>
              </w:rPr>
              <w:t>Basis Point</w:t>
            </w:r>
          </w:p>
        </w:tc>
        <w:tc>
          <w:tcPr>
            <w:tcW w:w="94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5"/>
              <w:jc w:val="right"/>
              <w:rPr>
                <w:rFonts w:ascii="Times New Roman" w:hAnsi="Times New Roman" w:cs="Times New Roman"/>
                <w:sz w:val="24"/>
                <w:szCs w:val="24"/>
              </w:rPr>
            </w:pPr>
            <w:r>
              <w:rPr>
                <w:rFonts w:ascii="Times New Roman" w:hAnsi="Times New Roman" w:cs="Times New Roman"/>
                <w:b/>
                <w:bCs/>
                <w:sz w:val="15"/>
                <w:szCs w:val="15"/>
              </w:rPr>
              <w:t>2012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5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7"/>
              <w:jc w:val="right"/>
              <w:rPr>
                <w:rFonts w:ascii="Times New Roman" w:hAnsi="Times New Roman" w:cs="Times New Roman"/>
                <w:sz w:val="24"/>
                <w:szCs w:val="24"/>
              </w:rPr>
            </w:pPr>
            <w:r>
              <w:rPr>
                <w:rFonts w:ascii="Times New Roman" w:hAnsi="Times New Roman" w:cs="Times New Roman"/>
                <w:b/>
                <w:bCs/>
                <w:sz w:val="15"/>
                <w:szCs w:val="15"/>
              </w:rPr>
              <w:t>Change</w:t>
            </w:r>
          </w:p>
        </w:tc>
        <w:tc>
          <w:tcPr>
            <w:tcW w:w="92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7"/>
              <w:jc w:val="right"/>
              <w:rPr>
                <w:rFonts w:ascii="Times New Roman" w:hAnsi="Times New Roman" w:cs="Times New Roman"/>
                <w:sz w:val="24"/>
                <w:szCs w:val="24"/>
              </w:rPr>
            </w:pPr>
            <w:r>
              <w:rPr>
                <w:rFonts w:ascii="Times New Roman" w:hAnsi="Times New Roman" w:cs="Times New Roman"/>
                <w:b/>
                <w:bCs/>
                <w:sz w:val="15"/>
                <w:szCs w:val="15"/>
              </w:rPr>
              <w:t>Change</w:t>
            </w:r>
          </w:p>
        </w:tc>
        <w:tc>
          <w:tcPr>
            <w:tcW w:w="94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51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5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Gross margin</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48.9%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(100)</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49.9%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49.5%</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Selling, general and administrative expense</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30.5%</w:t>
            </w:r>
          </w:p>
        </w:tc>
        <w:tc>
          <w:tcPr>
            <w:tcW w:w="9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(170)</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32.2%</w:t>
            </w:r>
          </w:p>
        </w:tc>
        <w:tc>
          <w:tcPr>
            <w:tcW w:w="9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50</w:t>
            </w:r>
          </w:p>
        </w:tc>
        <w:tc>
          <w:tcPr>
            <w:tcW w:w="9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31.7%</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Goodwill and indefinite-lived intangible asset impairment charges</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9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(40)</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0.4%</w:t>
            </w:r>
          </w:p>
        </w:tc>
        <w:tc>
          <w:tcPr>
            <w:tcW w:w="9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(150)</w:t>
            </w:r>
          </w:p>
        </w:tc>
        <w:tc>
          <w:tcPr>
            <w:tcW w:w="9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Operating margin</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18.4%</w:t>
            </w:r>
          </w:p>
        </w:tc>
        <w:tc>
          <w:tcPr>
            <w:tcW w:w="9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100</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17.4%</w:t>
            </w:r>
          </w:p>
        </w:tc>
        <w:tc>
          <w:tcPr>
            <w:tcW w:w="9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150</w:t>
            </w:r>
          </w:p>
        </w:tc>
        <w:tc>
          <w:tcPr>
            <w:tcW w:w="9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15.9%</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Earnings from continuing operations before income taxes</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17.9%</w:t>
            </w:r>
          </w:p>
        </w:tc>
        <w:tc>
          <w:tcPr>
            <w:tcW w:w="9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17.8%</w:t>
            </w:r>
          </w:p>
        </w:tc>
        <w:tc>
          <w:tcPr>
            <w:tcW w:w="9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250</w:t>
            </w:r>
          </w:p>
        </w:tc>
        <w:tc>
          <w:tcPr>
            <w:tcW w:w="9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15.3%</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earnings from continuing operations</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14.1%</w:t>
            </w:r>
          </w:p>
        </w:tc>
        <w:tc>
          <w:tcPr>
            <w:tcW w:w="9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40</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13.7%</w:t>
            </w:r>
          </w:p>
        </w:tc>
        <w:tc>
          <w:tcPr>
            <w:tcW w:w="9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250</w:t>
            </w:r>
          </w:p>
        </w:tc>
        <w:tc>
          <w:tcPr>
            <w:tcW w:w="9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earnings attributable to Procter &amp; Gamble</w:t>
            </w: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14.0%</w:t>
            </w:r>
          </w:p>
        </w:tc>
        <w:tc>
          <w:tcPr>
            <w:tcW w:w="94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30</w:t>
            </w:r>
          </w:p>
        </w:tc>
        <w:tc>
          <w:tcPr>
            <w:tcW w:w="92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13.7%</w:t>
            </w:r>
          </w:p>
        </w:tc>
        <w:tc>
          <w:tcPr>
            <w:tcW w:w="94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60</w:t>
            </w:r>
          </w:p>
        </w:tc>
        <w:tc>
          <w:tcPr>
            <w:tcW w:w="94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13.1%</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900" w:bottom="526" w:left="840" w:header="720" w:footer="720" w:gutter="0"/>
          <w:cols w:space="560" w:equalWidth="0">
            <w:col w:w="9780" w:space="560"/>
          </w:cols>
          <w:noEndnote/>
        </w:sectPr>
      </w:pPr>
    </w:p>
    <w:p w:rsidR="00000000" w:rsidRDefault="0057438D">
      <w:pPr>
        <w:pStyle w:val="DefaultParagraphFont"/>
        <w:widowControl w:val="0"/>
        <w:autoSpaceDE w:val="0"/>
        <w:autoSpaceDN w:val="0"/>
        <w:adjustRightInd w:val="0"/>
        <w:spacing w:after="0" w:line="25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2014 compared with fiscal year 2013</w:t>
      </w:r>
    </w:p>
    <w:p w:rsidR="00000000" w:rsidRDefault="0057438D">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jc w:val="both"/>
        <w:rPr>
          <w:rFonts w:ascii="Times New Roman" w:hAnsi="Times New Roman" w:cs="Times New Roman"/>
          <w:sz w:val="24"/>
          <w:szCs w:val="24"/>
        </w:rPr>
      </w:pPr>
      <w:r>
        <w:rPr>
          <w:rFonts w:ascii="Times New Roman" w:hAnsi="Times New Roman" w:cs="Times New Roman"/>
          <w:sz w:val="19"/>
          <w:szCs w:val="19"/>
        </w:rPr>
        <w:t>Gross margin contracted 100 basis points to 48.9% of net sales in 2014. The decrease in gross margin was primarily driven by a 150 basis point impact from unfavorable geographic and product mix, a 50 basis point impact from higher commodity costs, and a 90</w:t>
      </w:r>
      <w:r>
        <w:rPr>
          <w:rFonts w:ascii="Times New Roman" w:hAnsi="Times New Roman" w:cs="Times New Roman"/>
          <w:sz w:val="19"/>
          <w:szCs w:val="19"/>
        </w:rPr>
        <w:t xml:space="preserve"> basis point impact from unfavorable foreign exchange, partially offset by manufacturing cost savings of 190 basis points and a 40 basis point benefit from higher pricing. The unfavorable geographic and product mix was caused by disproportionate growth in </w:t>
      </w:r>
      <w:r>
        <w:rPr>
          <w:rFonts w:ascii="Times New Roman" w:hAnsi="Times New Roman" w:cs="Times New Roman"/>
          <w:sz w:val="19"/>
          <w:szCs w:val="19"/>
        </w:rPr>
        <w:t>developing regions, and the Fabric Care and Home Care and Baby, Feminine and Family Care segments, which have lower gross margins than the Company average.</w:t>
      </w:r>
    </w:p>
    <w:p w:rsidR="00000000" w:rsidRDefault="0057438D">
      <w:pPr>
        <w:pStyle w:val="DefaultParagraphFont"/>
        <w:widowControl w:val="0"/>
        <w:autoSpaceDE w:val="0"/>
        <w:autoSpaceDN w:val="0"/>
        <w:adjustRightInd w:val="0"/>
        <w:spacing w:after="0" w:line="9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40"/>
        <w:rPr>
          <w:rFonts w:ascii="Times New Roman" w:hAnsi="Times New Roman" w:cs="Times New Roman"/>
          <w:sz w:val="24"/>
          <w:szCs w:val="24"/>
        </w:rPr>
      </w:pPr>
      <w:r>
        <w:rPr>
          <w:rFonts w:ascii="Times New Roman" w:hAnsi="Times New Roman" w:cs="Times New Roman"/>
          <w:sz w:val="19"/>
          <w:szCs w:val="19"/>
        </w:rPr>
        <w:t>Total selling, general and administrative expenses decreased 5% to $25.3 billion in 2014 due to a r</w:t>
      </w:r>
      <w:r>
        <w:rPr>
          <w:rFonts w:ascii="Times New Roman" w:hAnsi="Times New Roman" w:cs="Times New Roman"/>
          <w:sz w:val="19"/>
          <w:szCs w:val="19"/>
        </w:rPr>
        <w:t>eduction in marketing spending, overhead expense and restructuring costs. SG&amp;A as a percentage of net sales decreased 170 basis points to 30.5%. Lower restructuring spending drove 30 basis points of the decline. Marketing spending as a percentage of net sa</w:t>
      </w:r>
      <w:r>
        <w:rPr>
          <w:rFonts w:ascii="Times New Roman" w:hAnsi="Times New Roman" w:cs="Times New Roman"/>
          <w:sz w:val="19"/>
          <w:szCs w:val="19"/>
        </w:rPr>
        <w:t>les decreased 80 basis points primarily due to lower spending behind a focus on more efficient marketing support and scale benefits from increased net sales. Overhead spending decreased 50 basis points from productivity savings of 40 basis points and scale</w:t>
      </w:r>
      <w:r>
        <w:rPr>
          <w:rFonts w:ascii="Times New Roman" w:hAnsi="Times New Roman" w:cs="Times New Roman"/>
          <w:sz w:val="19"/>
          <w:szCs w:val="19"/>
        </w:rPr>
        <w:t xml:space="preserve"> benefits from increased net sales. The 2014 impact from foreign currency policy changes in Venezuela was comparable to the prior year devaluation impact.</w:t>
      </w:r>
    </w:p>
    <w:p w:rsidR="00000000" w:rsidRDefault="0057438D">
      <w:pPr>
        <w:pStyle w:val="DefaultParagraphFont"/>
        <w:widowControl w:val="0"/>
        <w:autoSpaceDE w:val="0"/>
        <w:autoSpaceDN w:val="0"/>
        <w:adjustRightInd w:val="0"/>
        <w:spacing w:after="0" w:line="37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2013 compared with fiscal year 2012</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sz w:val="19"/>
          <w:szCs w:val="19"/>
        </w:rPr>
        <w:t>Gross margin expanded 40 basis points in 2013 to 4</w:t>
      </w:r>
      <w:r>
        <w:rPr>
          <w:rFonts w:ascii="Times New Roman" w:hAnsi="Times New Roman" w:cs="Times New Roman"/>
          <w:sz w:val="19"/>
          <w:szCs w:val="19"/>
        </w:rPr>
        <w:t>9.9% of net sales, driven by higher pricing and manufacturing cost savings, partially offset by negative mix and higher commodity costs. Gross margin was positively impacted by 70 basis points from higher pricing and approximately 160 basis points from man</w:t>
      </w:r>
      <w:r>
        <w:rPr>
          <w:rFonts w:ascii="Times New Roman" w:hAnsi="Times New Roman" w:cs="Times New Roman"/>
          <w:sz w:val="19"/>
          <w:szCs w:val="19"/>
        </w:rPr>
        <w:t>ufacturing cost savings. Gross margin was negatively impacted by 160 basis points from negative geographic and product mix behind disproportionate growth in developing regions and mid-tier products, both of which have lower gross margins than the Company a</w:t>
      </w:r>
      <w:r>
        <w:rPr>
          <w:rFonts w:ascii="Times New Roman" w:hAnsi="Times New Roman" w:cs="Times New Roman"/>
          <w:sz w:val="19"/>
          <w:szCs w:val="19"/>
        </w:rPr>
        <w:t>verage. Gross margin was also reduced by capacity investments and to a lesser extent by foreign exchange impacts and higher commodity costs.</w:t>
      </w:r>
    </w:p>
    <w:p w:rsidR="00000000" w:rsidRDefault="0057438D">
      <w:pPr>
        <w:pStyle w:val="DefaultParagraphFont"/>
        <w:widowControl w:val="0"/>
        <w:autoSpaceDE w:val="0"/>
        <w:autoSpaceDN w:val="0"/>
        <w:adjustRightInd w:val="0"/>
        <w:spacing w:after="0" w:line="8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Total SG&amp;A increased 2% to $26.6 billion in 2013, driven by a charge for the balance sheet impact from the devalua</w:t>
      </w:r>
      <w:r>
        <w:rPr>
          <w:rFonts w:ascii="Times New Roman" w:hAnsi="Times New Roman" w:cs="Times New Roman"/>
          <w:sz w:val="19"/>
          <w:szCs w:val="19"/>
        </w:rPr>
        <w:t xml:space="preserve">tion of the official foreign exchange rate in Venezuela and an increase in marketing spending, partially offset by reduced overhead costs as a result of the productivity and cost savings plan. SG&amp;A as a percentage of net sales increased 50 basis points to </w:t>
      </w:r>
      <w:r>
        <w:rPr>
          <w:rFonts w:ascii="Times New Roman" w:hAnsi="Times New Roman" w:cs="Times New Roman"/>
          <w:sz w:val="19"/>
          <w:szCs w:val="19"/>
        </w:rPr>
        <w:t>32.2% largely due to a 40 basis point impact from the Venezuela devaluation charge and a 10 basis point increase in marketing spending as a percentage of net sales. Overhead costs as a percentage of net sales declined 20 basis points, as a 70 basis point b</w:t>
      </w:r>
      <w:r>
        <w:rPr>
          <w:rFonts w:ascii="Times New Roman" w:hAnsi="Times New Roman" w:cs="Times New Roman"/>
          <w:sz w:val="19"/>
          <w:szCs w:val="19"/>
        </w:rPr>
        <w:t>enefit from our productivity and cost savings plan and 20 basis points of lower restructuring costs were largely offset by the impact of foreign exchange. This was due to a higher</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920" w:bottom="526" w:left="860" w:header="720" w:footer="720" w:gutter="0"/>
          <w:cols w:num="2" w:space="420" w:equalWidth="0">
            <w:col w:w="4680" w:space="420"/>
            <w:col w:w="464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28</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220"/>
        <w:jc w:val="both"/>
        <w:rPr>
          <w:rFonts w:ascii="Times New Roman" w:hAnsi="Times New Roman" w:cs="Times New Roman"/>
          <w:sz w:val="24"/>
          <w:szCs w:val="24"/>
        </w:rPr>
      </w:pPr>
      <w:r>
        <w:rPr>
          <w:rFonts w:ascii="Times New Roman" w:hAnsi="Times New Roman" w:cs="Times New Roman"/>
          <w:sz w:val="19"/>
          <w:szCs w:val="19"/>
        </w:rPr>
        <w:t>portion of SG&amp;A spending in strengthening currencies as compared to net sales, higher employee wages and benefit costs and increased merchandising investments.</w:t>
      </w:r>
    </w:p>
    <w:p w:rsidR="00000000" w:rsidRDefault="0057438D">
      <w:pPr>
        <w:pStyle w:val="DefaultParagraphFont"/>
        <w:widowControl w:val="0"/>
        <w:autoSpaceDE w:val="0"/>
        <w:autoSpaceDN w:val="0"/>
        <w:adjustRightInd w:val="0"/>
        <w:spacing w:after="0" w:line="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 xml:space="preserve">In fiscal 2013 we incurred impairment charges of $308 million ($290 million after-tax) related </w:t>
      </w:r>
      <w:r>
        <w:rPr>
          <w:rFonts w:ascii="Times New Roman" w:hAnsi="Times New Roman" w:cs="Times New Roman"/>
          <w:sz w:val="19"/>
          <w:szCs w:val="19"/>
        </w:rPr>
        <w:t>to the carrying value of goodwill in our Appliances business and the related Braun trade name intangible asset. In fiscal 2012 we incurred impairment charges of $1.6 billion ($1.5 billion after-tax) related to the carrying values of goodwill in our Applian</w:t>
      </w:r>
      <w:r>
        <w:rPr>
          <w:rFonts w:ascii="Times New Roman" w:hAnsi="Times New Roman" w:cs="Times New Roman"/>
          <w:sz w:val="19"/>
          <w:szCs w:val="19"/>
        </w:rPr>
        <w:t>ces and Salon Professional businesses and our Koleston Perfect and Wella indefinite-lived intangible assets, which are part of our Salon Professional business. See Significant Accounting Policies and Estimates (Goodwill and Intangible Assets) and Note 2 to</w:t>
      </w:r>
      <w:r>
        <w:rPr>
          <w:rFonts w:ascii="Times New Roman" w:hAnsi="Times New Roman" w:cs="Times New Roman"/>
          <w:sz w:val="19"/>
          <w:szCs w:val="19"/>
        </w:rPr>
        <w:t xml:space="preserve"> our Consolidated Financial Statements for more details, including factors leading to the impairment charges. Since goodwill is included in Corporate for internal management and segment reporting, the goodwill impairment charges are included in the Corpora</w:t>
      </w:r>
      <w:r>
        <w:rPr>
          <w:rFonts w:ascii="Times New Roman" w:hAnsi="Times New Roman" w:cs="Times New Roman"/>
          <w:sz w:val="19"/>
          <w:szCs w:val="19"/>
        </w:rPr>
        <w:t>te segment. The indefinite-lived intangible asset impairments are also included in the Corporate segment for management and segment reporting.</w:t>
      </w:r>
    </w:p>
    <w:p w:rsidR="00000000" w:rsidRDefault="0057438D">
      <w:pPr>
        <w:pStyle w:val="DefaultParagraphFont"/>
        <w:widowControl w:val="0"/>
        <w:autoSpaceDE w:val="0"/>
        <w:autoSpaceDN w:val="0"/>
        <w:adjustRightInd w:val="0"/>
        <w:spacing w:after="0" w:line="14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Non-Operating Items</w:t>
      </w:r>
    </w:p>
    <w:p w:rsidR="00000000" w:rsidRDefault="0057438D">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2014 compared with fiscal year 2013</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Interest expense increased 6% in 2014 to $</w:t>
      </w:r>
      <w:r>
        <w:rPr>
          <w:rFonts w:ascii="Times New Roman" w:hAnsi="Times New Roman" w:cs="Times New Roman"/>
          <w:sz w:val="19"/>
          <w:szCs w:val="19"/>
        </w:rPr>
        <w:t>709 million, primarily due to an increase in average debt outstanding. Interest income was $100 million in 2014, an increase of $13 million versus the prior year due to an increase in cash, cash equivalents and investment securities. Other non-operating in</w:t>
      </w:r>
      <w:r>
        <w:rPr>
          <w:rFonts w:ascii="Times New Roman" w:hAnsi="Times New Roman" w:cs="Times New Roman"/>
          <w:sz w:val="19"/>
          <w:szCs w:val="19"/>
        </w:rPr>
        <w:t>come, net, primarily includes divestiture gains and investment income. Other non-operating income decreased $736 million to $206 million, primarily due to acquisition and divestiture impacts. In 2014, we had approximately $150 million in divestiture gains,</w:t>
      </w:r>
      <w:r>
        <w:rPr>
          <w:rFonts w:ascii="Times New Roman" w:hAnsi="Times New Roman" w:cs="Times New Roman"/>
          <w:sz w:val="19"/>
          <w:szCs w:val="19"/>
        </w:rPr>
        <w:t xml:space="preserve"> primarily related to the sale of our bleach businesses in CEEMEA and Latin America, our Pert hair care business in Latin America and MDVIP. The prior year acquisition and divestiture activities included a $631 million holding gain resulting from P&amp;G's pur</w:t>
      </w:r>
      <w:r>
        <w:rPr>
          <w:rFonts w:ascii="Times New Roman" w:hAnsi="Times New Roman" w:cs="Times New Roman"/>
          <w:sz w:val="19"/>
          <w:szCs w:val="19"/>
        </w:rPr>
        <w:t>chase of the balance of its Baby Care and Feminine Care joint venture in Iberia and an approximate $250 million gain from the divestiture of our Italy bleach business.</w:t>
      </w:r>
    </w:p>
    <w:p w:rsidR="00000000" w:rsidRDefault="0057438D">
      <w:pPr>
        <w:pStyle w:val="DefaultParagraphFont"/>
        <w:widowControl w:val="0"/>
        <w:autoSpaceDE w:val="0"/>
        <w:autoSpaceDN w:val="0"/>
        <w:adjustRightInd w:val="0"/>
        <w:spacing w:after="0" w:line="14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2013 compared with fiscal year 2012</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Interest expense decreased 13% in 2013 to $667 million, due to lower interest rates on floating-rate debt. Interest income increased 13% in 2013 to $87 million, due to an increase in cash, cash equivalents and debt securities. Other non-operating income in</w:t>
      </w:r>
      <w:r>
        <w:rPr>
          <w:rFonts w:ascii="Times New Roman" w:hAnsi="Times New Roman" w:cs="Times New Roman"/>
          <w:sz w:val="19"/>
          <w:szCs w:val="19"/>
        </w:rPr>
        <w:t>creased $757 million to $942 million in 2013 mainly due to net acquisition and divestiture activities. The $631 million holding gain resulting from the purchase of the balance of P&amp;G's Baby Care and Feminine Care joint venture in Iberia and the gain of app</w:t>
      </w:r>
      <w:r>
        <w:rPr>
          <w:rFonts w:ascii="Times New Roman" w:hAnsi="Times New Roman" w:cs="Times New Roman"/>
          <w:sz w:val="19"/>
          <w:szCs w:val="19"/>
        </w:rPr>
        <w:t>roximately $250 million from the sale of our Italian bleach business, both in fiscal 2013, were partially offset by a $130 million divestiture gain from the PUR water filtration business in 2012.</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Income Taxes</w:t>
      </w:r>
    </w:p>
    <w:p w:rsidR="00000000" w:rsidRDefault="0057438D">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 xml:space="preserve">Fiscal year 2014 compared with fiscal year </w:t>
      </w:r>
      <w:r>
        <w:rPr>
          <w:rFonts w:ascii="Times New Roman" w:hAnsi="Times New Roman" w:cs="Times New Roman"/>
          <w:b/>
          <w:bCs/>
          <w:i/>
          <w:iCs/>
          <w:sz w:val="19"/>
          <w:szCs w:val="19"/>
        </w:rPr>
        <w:t>2013</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20"/>
        <w:rPr>
          <w:rFonts w:ascii="Times New Roman" w:hAnsi="Times New Roman" w:cs="Times New Roman"/>
          <w:sz w:val="24"/>
          <w:szCs w:val="24"/>
        </w:rPr>
      </w:pPr>
      <w:r>
        <w:rPr>
          <w:rFonts w:ascii="Times New Roman" w:hAnsi="Times New Roman" w:cs="Times New Roman"/>
          <w:sz w:val="19"/>
          <w:szCs w:val="19"/>
        </w:rPr>
        <w:t>The effective tax rate on continuing operations decreased 170 basis points to 21.4% in 2014. The primary driver of this rate decline was approximately 320 basis points from the favorable geographic mix of earnings and approximately 60 basis points du</w:t>
      </w:r>
      <w:r>
        <w:rPr>
          <w:rFonts w:ascii="Times New Roman" w:hAnsi="Times New Roman" w:cs="Times New Roman"/>
          <w:sz w:val="19"/>
          <w:szCs w:val="19"/>
        </w:rPr>
        <w:t>e to the non-deductibility of the prior year impairment charges related to our Appliances business. These impacts were partially offset by a 50 basis point increase due to the Venezuela currency policy changes and devaluation discussed below (which decreas</w:t>
      </w:r>
      <w:r>
        <w:rPr>
          <w:rFonts w:ascii="Times New Roman" w:hAnsi="Times New Roman" w:cs="Times New Roman"/>
          <w:sz w:val="19"/>
          <w:szCs w:val="19"/>
        </w:rPr>
        <w:t>ed the prior year rate 20 basis points and increased the current year rate by 30 basis points), a 110 basis point increase due to the tax impacts of acquisition and divestiture activities (the gains from the purchase of the balance of the Baby Care and Fem</w:t>
      </w:r>
      <w:r>
        <w:rPr>
          <w:rFonts w:ascii="Times New Roman" w:hAnsi="Times New Roman" w:cs="Times New Roman"/>
          <w:sz w:val="19"/>
          <w:szCs w:val="19"/>
        </w:rPr>
        <w:t>inine Care joint venture in Iberia and the sale of our Italy bleach business in the prior year), and a 30 basis point increase is due to the net impact of favorable discrete adjustments related to uncertain income tax positions. The net benefit on the curr</w:t>
      </w:r>
      <w:r>
        <w:rPr>
          <w:rFonts w:ascii="Times New Roman" w:hAnsi="Times New Roman" w:cs="Times New Roman"/>
          <w:sz w:val="19"/>
          <w:szCs w:val="19"/>
        </w:rPr>
        <w:t>ent year was $228 million, or 150 basis points, versus 180 basis points of net benefit in the prior year.</w:t>
      </w:r>
    </w:p>
    <w:p w:rsidR="00000000" w:rsidRDefault="0057438D">
      <w:pPr>
        <w:pStyle w:val="DefaultParagraphFont"/>
        <w:widowControl w:val="0"/>
        <w:autoSpaceDE w:val="0"/>
        <w:autoSpaceDN w:val="0"/>
        <w:adjustRightInd w:val="0"/>
        <w:spacing w:after="0" w:line="14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2013 compared with fiscal year 2012</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The effective tax rate on continuing operations decreased 390 basis points to 23.1% in 2013. The primary drivers of this rate decline were approximately 210 basis points due to the non-deductibility of impairment charges related to our Appliances and Salon</w:t>
      </w:r>
      <w:r>
        <w:rPr>
          <w:rFonts w:ascii="Times New Roman" w:hAnsi="Times New Roman" w:cs="Times New Roman"/>
          <w:sz w:val="19"/>
          <w:szCs w:val="19"/>
        </w:rPr>
        <w:t xml:space="preserve"> Professional businesses, which were higher in the base period versus the current year, approximately 100 basis points due to the tax impacts from acquisition and divestiture activity (primarily the non-taxable gain on the purchase of the balance of the Ba</w:t>
      </w:r>
      <w:r>
        <w:rPr>
          <w:rFonts w:ascii="Times New Roman" w:hAnsi="Times New Roman" w:cs="Times New Roman"/>
          <w:sz w:val="19"/>
          <w:szCs w:val="19"/>
        </w:rPr>
        <w:t>by Care and Feminine Care joint venture in Iberia), approximately 20 basis points from the impact of the Venezuela currency devaluation, and approximately 50 basis points due to the net impact of favorable discrete adjustments related to uncertain income t</w:t>
      </w:r>
      <w:r>
        <w:rPr>
          <w:rFonts w:ascii="Times New Roman" w:hAnsi="Times New Roman" w:cs="Times New Roman"/>
          <w:sz w:val="19"/>
          <w:szCs w:val="19"/>
        </w:rPr>
        <w:t>ax positions. The 2013 net benefit was $275 million, or 180 basis points, versus a net benefit of 130 basis points in 2012.</w:t>
      </w:r>
    </w:p>
    <w:p w:rsidR="00000000" w:rsidRDefault="0057438D">
      <w:pPr>
        <w:pStyle w:val="DefaultParagraphFont"/>
        <w:widowControl w:val="0"/>
        <w:autoSpaceDE w:val="0"/>
        <w:autoSpaceDN w:val="0"/>
        <w:adjustRightInd w:val="0"/>
        <w:spacing w:after="0" w:line="13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Net Earnings</w:t>
      </w:r>
    </w:p>
    <w:p w:rsidR="00000000" w:rsidRDefault="0057438D">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2014 compared with fiscal year 2013</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60"/>
        <w:rPr>
          <w:rFonts w:ascii="Times New Roman" w:hAnsi="Times New Roman" w:cs="Times New Roman"/>
          <w:sz w:val="24"/>
          <w:szCs w:val="24"/>
        </w:rPr>
      </w:pPr>
      <w:r>
        <w:rPr>
          <w:rFonts w:ascii="Times New Roman" w:hAnsi="Times New Roman" w:cs="Times New Roman"/>
          <w:sz w:val="19"/>
          <w:szCs w:val="19"/>
        </w:rPr>
        <w:t>Net earnings from continuing operations increased $406 million or 4%</w:t>
      </w:r>
      <w:r>
        <w:rPr>
          <w:rFonts w:ascii="Times New Roman" w:hAnsi="Times New Roman" w:cs="Times New Roman"/>
          <w:sz w:val="19"/>
          <w:szCs w:val="19"/>
        </w:rPr>
        <w:t xml:space="preserve"> to $11.7 billion in 2014 due to the increase in sales and a 40-basis point expansion in net earnings margin. The increase in net earnings margin was primarily driven by the decrease in SG&amp;A as a percentage of net sales and the lower tax rate, partially of</w:t>
      </w:r>
      <w:r>
        <w:rPr>
          <w:rFonts w:ascii="Times New Roman" w:hAnsi="Times New Roman" w:cs="Times New Roman"/>
          <w:sz w:val="19"/>
          <w:szCs w:val="19"/>
        </w:rPr>
        <w:t>fset by the gross margin contraction and the acquisition and divestiture-driven net reduction in other non-operating income, net.</w:t>
      </w:r>
    </w:p>
    <w:p w:rsidR="00000000" w:rsidRDefault="0057438D">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20"/>
        <w:rPr>
          <w:rFonts w:ascii="Times New Roman" w:hAnsi="Times New Roman" w:cs="Times New Roman"/>
          <w:sz w:val="24"/>
          <w:szCs w:val="24"/>
        </w:rPr>
      </w:pPr>
      <w:r>
        <w:rPr>
          <w:rFonts w:ascii="Times New Roman" w:hAnsi="Times New Roman" w:cs="Times New Roman"/>
          <w:sz w:val="19"/>
          <w:szCs w:val="19"/>
        </w:rPr>
        <w:t xml:space="preserve">Net earnings from discontinued operations decreased $23 million in 2014 due to ongoing impacts of prior year product recalls </w:t>
      </w:r>
      <w:r>
        <w:rPr>
          <w:rFonts w:ascii="Times New Roman" w:hAnsi="Times New Roman" w:cs="Times New Roman"/>
          <w:sz w:val="19"/>
          <w:szCs w:val="19"/>
        </w:rPr>
        <w:t>in Pet Care. Net earnings attributable to Procter &amp; Gamble increased $331 million, or 3% to $11.6 billion.</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00" w:bottom="762" w:left="860" w:header="720" w:footer="720" w:gutter="0"/>
          <w:cols w:num="2" w:space="440" w:equalWidth="0">
            <w:col w:w="4660" w:space="440"/>
            <w:col w:w="466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140"/>
        <w:rPr>
          <w:rFonts w:ascii="Times New Roman" w:hAnsi="Times New Roman" w:cs="Times New Roman"/>
          <w:sz w:val="24"/>
          <w:szCs w:val="24"/>
        </w:rPr>
      </w:pPr>
      <w:r>
        <w:rPr>
          <w:rFonts w:ascii="Times New Roman" w:hAnsi="Times New Roman" w:cs="Times New Roman"/>
          <w:sz w:val="19"/>
          <w:szCs w:val="19"/>
        </w:rPr>
        <w:t>Diluted net earnings per share from continuing operations increased 4% to $3.98 primarily due to the increase in net earnings. Diluted net earnings per share from discontinued operations was $0.03 due to the earnings of the Pet Care business. Diluted net e</w:t>
      </w:r>
      <w:r>
        <w:rPr>
          <w:rFonts w:ascii="Times New Roman" w:hAnsi="Times New Roman" w:cs="Times New Roman"/>
          <w:sz w:val="19"/>
          <w:szCs w:val="19"/>
        </w:rPr>
        <w:t>arnings per share increased 4% to $4.01.</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sz w:val="19"/>
          <w:szCs w:val="19"/>
        </w:rPr>
        <w:t>Core EPS increased 5% to $4.22 primarily due to increased net sales, a 40 basis point net earnings margin expansion and the reduction in shares outstanding. Core EPS represents diluted net earnings per share from c</w:t>
      </w:r>
      <w:r>
        <w:rPr>
          <w:rFonts w:ascii="Times New Roman" w:hAnsi="Times New Roman" w:cs="Times New Roman"/>
          <w:sz w:val="19"/>
          <w:szCs w:val="19"/>
        </w:rPr>
        <w:t>ontinuing operations excluding the current and prior year charge for the balance sheet impacts from foreign exchange policy changes and the devaluation of the foreign exchange rates in Venezuela (see below), the prior year holding gain on the purchase of t</w:t>
      </w:r>
      <w:r>
        <w:rPr>
          <w:rFonts w:ascii="Times New Roman" w:hAnsi="Times New Roman" w:cs="Times New Roman"/>
          <w:sz w:val="19"/>
          <w:szCs w:val="19"/>
        </w:rPr>
        <w:t>he balance of our Iberian joint venture, impairments of goodwill and indefinite-lived intangible assets in the prior year and charges in both years for European legal matters and incremental restructuring related to our productivity and cost savings plan.</w:t>
      </w:r>
    </w:p>
    <w:p w:rsidR="00000000" w:rsidRDefault="0057438D">
      <w:pPr>
        <w:pStyle w:val="DefaultParagraphFont"/>
        <w:widowControl w:val="0"/>
        <w:autoSpaceDE w:val="0"/>
        <w:autoSpaceDN w:val="0"/>
        <w:adjustRightInd w:val="0"/>
        <w:spacing w:after="0" w:line="14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2013 compared with fiscal year 2012</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80"/>
        <w:rPr>
          <w:rFonts w:ascii="Times New Roman" w:hAnsi="Times New Roman" w:cs="Times New Roman"/>
          <w:sz w:val="24"/>
          <w:szCs w:val="24"/>
        </w:rPr>
      </w:pPr>
      <w:r>
        <w:rPr>
          <w:rFonts w:ascii="Times New Roman" w:hAnsi="Times New Roman" w:cs="Times New Roman"/>
          <w:sz w:val="19"/>
          <w:szCs w:val="19"/>
        </w:rPr>
        <w:t>Net earnings from continuing operations increased $2.2 billion or 24% to $11.3 billion in 2013. The combination of the net year-over-year impact of acquisition and divestiture gains and the net year-over-ye</w:t>
      </w:r>
      <w:r>
        <w:rPr>
          <w:rFonts w:ascii="Times New Roman" w:hAnsi="Times New Roman" w:cs="Times New Roman"/>
          <w:sz w:val="19"/>
          <w:szCs w:val="19"/>
        </w:rPr>
        <w:t>ar decline in impairment charges drove $1.9 billion of the increase. Earnings also increased due to the increase in net sales and the 40 basis point gross margin expansion in 2013.</w:t>
      </w:r>
    </w:p>
    <w:p w:rsidR="00000000" w:rsidRDefault="0057438D">
      <w:pPr>
        <w:pStyle w:val="DefaultParagraphFont"/>
        <w:widowControl w:val="0"/>
        <w:autoSpaceDE w:val="0"/>
        <w:autoSpaceDN w:val="0"/>
        <w:adjustRightInd w:val="0"/>
        <w:spacing w:after="0" w:line="8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100"/>
        <w:rPr>
          <w:rFonts w:ascii="Times New Roman" w:hAnsi="Times New Roman" w:cs="Times New Roman"/>
          <w:sz w:val="24"/>
          <w:szCs w:val="24"/>
        </w:rPr>
      </w:pPr>
      <w:r>
        <w:rPr>
          <w:rFonts w:ascii="Times New Roman" w:hAnsi="Times New Roman" w:cs="Times New Roman"/>
          <w:sz w:val="19"/>
          <w:szCs w:val="19"/>
        </w:rPr>
        <w:t>Net earnings from discontinued operations decreased $1.7 billion in 2013 d</w:t>
      </w:r>
      <w:r>
        <w:rPr>
          <w:rFonts w:ascii="Times New Roman" w:hAnsi="Times New Roman" w:cs="Times New Roman"/>
          <w:sz w:val="19"/>
          <w:szCs w:val="19"/>
        </w:rPr>
        <w:t>ue to the gain on the divestiture of the Snacks business and the earnings from the Snacks business prior to the divestiture in the prior year. Net earnings attributable to Procter &amp; Gamble increased $556 million, or 5% to $11.3 billion.</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sz w:val="19"/>
          <w:szCs w:val="19"/>
        </w:rPr>
        <w:t>Diluted net earnin</w:t>
      </w:r>
      <w:r>
        <w:rPr>
          <w:rFonts w:ascii="Times New Roman" w:hAnsi="Times New Roman" w:cs="Times New Roman"/>
          <w:sz w:val="19"/>
          <w:szCs w:val="19"/>
        </w:rPr>
        <w:t>gs per share from continuing operations increased 25% to $3.83 in 2013 due to the increase in net earnings and a reduction in shares outstanding. The number of shares outstanding decreased due to $6.0 billion of treasury share repurchases under our publicl</w:t>
      </w:r>
      <w:r>
        <w:rPr>
          <w:rFonts w:ascii="Times New Roman" w:hAnsi="Times New Roman" w:cs="Times New Roman"/>
          <w:sz w:val="19"/>
          <w:szCs w:val="19"/>
        </w:rPr>
        <w:t>y announced share repurchase program, partially offset by shares issued under share-based compensation plans. Diluted net earnings per share from discontinued operations was $0.03 due to the earnings of the Pet Care business. Diluted net earnings per share</w:t>
      </w:r>
      <w:r>
        <w:rPr>
          <w:rFonts w:ascii="Times New Roman" w:hAnsi="Times New Roman" w:cs="Times New Roman"/>
          <w:sz w:val="19"/>
          <w:szCs w:val="19"/>
        </w:rPr>
        <w:t xml:space="preserve"> from discontinued operations in 2012 was $0.60 primarily due to the gain on the divestiture of the Snacks business and earnings of the Snacks business prior to divestiture. Diluted net earnings per share increased 5% to $3.86.</w:t>
      </w:r>
    </w:p>
    <w:p w:rsidR="00000000" w:rsidRDefault="0057438D">
      <w:pPr>
        <w:pStyle w:val="DefaultParagraphFont"/>
        <w:widowControl w:val="0"/>
        <w:autoSpaceDE w:val="0"/>
        <w:autoSpaceDN w:val="0"/>
        <w:adjustRightInd w:val="0"/>
        <w:spacing w:after="0" w:line="8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Core EPS increased 6% to $4.02 in 2013 primarily due to increased net sales, gross margin expansion and the reduction in shares outstanding. Core EPS represents diluted net earnings per share from continuing operations excluding the 2013 charge for the bal</w:t>
      </w:r>
      <w:r>
        <w:rPr>
          <w:rFonts w:ascii="Times New Roman" w:hAnsi="Times New Roman" w:cs="Times New Roman"/>
          <w:sz w:val="19"/>
          <w:szCs w:val="19"/>
        </w:rPr>
        <w:t>ance sheet impact from the devaluation of the official foreign exchange rate in Venezuela, the 2013 holding gain on the purchase of the balance of our Iberian joint venture and charges in both</w:t>
      </w: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 xml:space="preserve">The Procter &amp; Gamble Company  </w:t>
      </w:r>
      <w:r>
        <w:rPr>
          <w:rFonts w:ascii="Times New Roman" w:hAnsi="Times New Roman" w:cs="Times New Roman"/>
          <w:sz w:val="19"/>
          <w:szCs w:val="19"/>
        </w:rPr>
        <w:t>29</w:t>
      </w:r>
    </w:p>
    <w:p w:rsidR="00000000" w:rsidRDefault="0057438D">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160"/>
        <w:rPr>
          <w:rFonts w:ascii="Times New Roman" w:hAnsi="Times New Roman" w:cs="Times New Roman"/>
          <w:sz w:val="24"/>
          <w:szCs w:val="24"/>
        </w:rPr>
      </w:pPr>
      <w:r>
        <w:rPr>
          <w:rFonts w:ascii="Times New Roman" w:hAnsi="Times New Roman" w:cs="Times New Roman"/>
          <w:sz w:val="19"/>
          <w:szCs w:val="19"/>
        </w:rPr>
        <w:t>years for European legal mat</w:t>
      </w:r>
      <w:r>
        <w:rPr>
          <w:rFonts w:ascii="Times New Roman" w:hAnsi="Times New Roman" w:cs="Times New Roman"/>
          <w:sz w:val="19"/>
          <w:szCs w:val="19"/>
        </w:rPr>
        <w:t>ters, incremental restructuring related to our productivity and cost savings plan and impairments of goodwill and indefinite-lived intangible assets.</w:t>
      </w:r>
    </w:p>
    <w:p w:rsidR="00000000" w:rsidRDefault="0057438D">
      <w:pPr>
        <w:pStyle w:val="DefaultParagraphFont"/>
        <w:widowControl w:val="0"/>
        <w:autoSpaceDE w:val="0"/>
        <w:autoSpaceDN w:val="0"/>
        <w:adjustRightInd w:val="0"/>
        <w:spacing w:after="0" w:line="12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Venezuela Currency Impacts</w:t>
      </w:r>
    </w:p>
    <w:p w:rsidR="00000000" w:rsidRDefault="0057438D">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40"/>
        <w:rPr>
          <w:rFonts w:ascii="Times New Roman" w:hAnsi="Times New Roman" w:cs="Times New Roman"/>
          <w:sz w:val="24"/>
          <w:szCs w:val="24"/>
        </w:rPr>
      </w:pPr>
      <w:r>
        <w:rPr>
          <w:rFonts w:ascii="Times New Roman" w:hAnsi="Times New Roman" w:cs="Times New Roman"/>
          <w:sz w:val="19"/>
          <w:szCs w:val="19"/>
        </w:rPr>
        <w:t xml:space="preserve">Venezuela is a highly inflationary economy under U.S. GAAP. As a result, the </w:t>
      </w:r>
      <w:r>
        <w:rPr>
          <w:rFonts w:ascii="Times New Roman" w:hAnsi="Times New Roman" w:cs="Times New Roman"/>
          <w:sz w:val="19"/>
          <w:szCs w:val="19"/>
        </w:rPr>
        <w:t>U.S. dollar is the functional currency for our subsidiaries in Venezuela. Any currency remeasurement adjustments for non-dollar denominated monetary assets and liabilities held by these subsidiaries and other transactional foreign exchange gains and losses</w:t>
      </w:r>
      <w:r>
        <w:rPr>
          <w:rFonts w:ascii="Times New Roman" w:hAnsi="Times New Roman" w:cs="Times New Roman"/>
          <w:sz w:val="19"/>
          <w:szCs w:val="19"/>
        </w:rPr>
        <w:t xml:space="preserve"> are reflected in earnings. For the current fiscal year, Venezuela represented approximately 1% of the Company’s consolidated net sales and operating profit excluding the impact of the remeasurement charge discussed below.</w:t>
      </w:r>
    </w:p>
    <w:p w:rsidR="00000000" w:rsidRDefault="0057438D">
      <w:pPr>
        <w:pStyle w:val="DefaultParagraphFont"/>
        <w:widowControl w:val="0"/>
        <w:autoSpaceDE w:val="0"/>
        <w:autoSpaceDN w:val="0"/>
        <w:adjustRightInd w:val="0"/>
        <w:spacing w:after="0" w:line="19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40"/>
        <w:rPr>
          <w:rFonts w:ascii="Times New Roman" w:hAnsi="Times New Roman" w:cs="Times New Roman"/>
          <w:sz w:val="24"/>
          <w:szCs w:val="24"/>
        </w:rPr>
      </w:pPr>
      <w:r>
        <w:rPr>
          <w:rFonts w:ascii="Times New Roman" w:hAnsi="Times New Roman" w:cs="Times New Roman"/>
          <w:sz w:val="19"/>
          <w:szCs w:val="19"/>
        </w:rPr>
        <w:t>Through December 31, 2013, the V</w:t>
      </w:r>
      <w:r>
        <w:rPr>
          <w:rFonts w:ascii="Times New Roman" w:hAnsi="Times New Roman" w:cs="Times New Roman"/>
          <w:sz w:val="19"/>
          <w:szCs w:val="19"/>
        </w:rPr>
        <w:t>enezuelan government had established one official exchange rate for qualifying dividends and imported goods and services. Transactions at the official exchange rate are subject to approval by CENCOEX (National Center for External Commerce), previously CADI</w:t>
      </w:r>
      <w:r>
        <w:rPr>
          <w:rFonts w:ascii="Times New Roman" w:hAnsi="Times New Roman" w:cs="Times New Roman"/>
          <w:sz w:val="19"/>
          <w:szCs w:val="19"/>
        </w:rPr>
        <w:t>VI (Foreign Exchange Administrative Commission). Effective February 9, 2013 the Venezuelan government devalued its currency from 4.3 to 6.3 Venezuelan bolivares fuerte (VEF) per dollar. The remeasurement of our local balance sheets to reflect this devaluat</w:t>
      </w:r>
      <w:r>
        <w:rPr>
          <w:rFonts w:ascii="Times New Roman" w:hAnsi="Times New Roman" w:cs="Times New Roman"/>
          <w:sz w:val="19"/>
          <w:szCs w:val="19"/>
        </w:rPr>
        <w:t>ion in the fiscal year ended 2013 resulted in an after tax charge of $236 million ($0.08 per share).</w:t>
      </w:r>
    </w:p>
    <w:p w:rsidR="00000000" w:rsidRDefault="0057438D">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In addition to the preferential CENCOEX exchange rate, there are and have been parallel exchange markets controlled by the Central Bank of Venezuela as the only legal intermediary to execute foreign exchange transactions outside of CENCOEX. Through Decembe</w:t>
      </w:r>
      <w:r>
        <w:rPr>
          <w:rFonts w:ascii="Times New Roman" w:hAnsi="Times New Roman" w:cs="Times New Roman"/>
          <w:sz w:val="19"/>
          <w:szCs w:val="19"/>
        </w:rPr>
        <w:t>r 31, 2013, various regulations and a limited notional amount of transactions that ran through these programs essentially eliminated the Company's ability to access any foreign exchange rate other than the preferential rate to pay for imported goods and/or</w:t>
      </w:r>
      <w:r>
        <w:rPr>
          <w:rFonts w:ascii="Times New Roman" w:hAnsi="Times New Roman" w:cs="Times New Roman"/>
          <w:sz w:val="19"/>
          <w:szCs w:val="19"/>
        </w:rPr>
        <w:t xml:space="preserve"> manage our local monetary asset balances. Accordingly, all of our net monetary assets were measured at the preferential 6.3 VEF per dollar exchange rate through December 31, 2013. In addition, through December 31, 2013, our results in Venezuela were refle</w:t>
      </w:r>
      <w:r>
        <w:rPr>
          <w:rFonts w:ascii="Times New Roman" w:hAnsi="Times New Roman" w:cs="Times New Roman"/>
          <w:sz w:val="19"/>
          <w:szCs w:val="19"/>
        </w:rPr>
        <w:t>cted in our Consolidated Financial Statements at the official CADIVI rate, which was the rate we expected to be applicable to dividend repatriations.</w:t>
      </w:r>
    </w:p>
    <w:p w:rsidR="00000000" w:rsidRDefault="0057438D">
      <w:pPr>
        <w:pStyle w:val="DefaultParagraphFont"/>
        <w:widowControl w:val="0"/>
        <w:autoSpaceDE w:val="0"/>
        <w:autoSpaceDN w:val="0"/>
        <w:adjustRightInd w:val="0"/>
        <w:spacing w:after="0" w:line="19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rPr>
          <w:rFonts w:ascii="Times New Roman" w:hAnsi="Times New Roman" w:cs="Times New Roman"/>
          <w:sz w:val="24"/>
          <w:szCs w:val="24"/>
        </w:rPr>
      </w:pPr>
      <w:r>
        <w:rPr>
          <w:rFonts w:ascii="Times New Roman" w:hAnsi="Times New Roman" w:cs="Times New Roman"/>
          <w:sz w:val="19"/>
          <w:szCs w:val="19"/>
        </w:rPr>
        <w:t>On January 24, 2014, the government made a number of announcements affecting currency exchange rate and o</w:t>
      </w:r>
      <w:r>
        <w:rPr>
          <w:rFonts w:ascii="Times New Roman" w:hAnsi="Times New Roman" w:cs="Times New Roman"/>
          <w:sz w:val="19"/>
          <w:szCs w:val="19"/>
        </w:rPr>
        <w:t>ther controls. The preferential CENCOEX exchange rate remains at 6.3 VEF per dollar. In addition, while there is considerable uncertainty as to the nature of transactions that will flow through CENCOEX and how CENCOEX will operate in the future, the Compan</w:t>
      </w:r>
      <w:r>
        <w:rPr>
          <w:rFonts w:ascii="Times New Roman" w:hAnsi="Times New Roman" w:cs="Times New Roman"/>
          <w:sz w:val="19"/>
          <w:szCs w:val="19"/>
        </w:rPr>
        <w:t>y believes that a significant portion of its imports will continue to qualify for the preferential rate. However, the importation of certain finished goods and raw materials for some product categories, along with the payment of dividends and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596" w:left="860" w:header="720" w:footer="720" w:gutter="0"/>
          <w:cols w:num="2" w:space="440" w:equalWidth="0">
            <w:col w:w="4660" w:space="440"/>
            <w:col w:w="466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30</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80"/>
        <w:rPr>
          <w:rFonts w:ascii="Times New Roman" w:hAnsi="Times New Roman" w:cs="Times New Roman"/>
          <w:sz w:val="24"/>
          <w:szCs w:val="24"/>
        </w:rPr>
      </w:pPr>
      <w:r>
        <w:rPr>
          <w:rFonts w:ascii="Times New Roman" w:hAnsi="Times New Roman" w:cs="Times New Roman"/>
          <w:sz w:val="19"/>
          <w:szCs w:val="19"/>
        </w:rPr>
        <w:t>royalties, will be executed under the SICAD (Complementary System for Foreign Exchange Administration) program. SICAD is an auction-based exchange program. The Company expects to be able to</w:t>
      </w:r>
      <w:r>
        <w:rPr>
          <w:rFonts w:ascii="Times New Roman" w:hAnsi="Times New Roman" w:cs="Times New Roman"/>
          <w:sz w:val="19"/>
          <w:szCs w:val="19"/>
        </w:rPr>
        <w:t xml:space="preserve"> access the SICAD program for dividends and other transactions. The rate available through SICAD was 11.7 VEF per dollar in January 2014, and was 10.6 VEF per dollar at June 30, 2014. The Company incurred an after tax charge of $275 million ($0.09 per shar</w:t>
      </w:r>
      <w:r>
        <w:rPr>
          <w:rFonts w:ascii="Times New Roman" w:hAnsi="Times New Roman" w:cs="Times New Roman"/>
          <w:sz w:val="19"/>
          <w:szCs w:val="19"/>
        </w:rPr>
        <w:t>e) in January 2014 to remeasure certain portions of our local Venezuela balance sheets not qualifying for the preferential CENCOEX rate to the initial SICAD exchange rate. In late March 2014, the government introduced a third exchange mechanism, referred t</w:t>
      </w:r>
      <w:r>
        <w:rPr>
          <w:rFonts w:ascii="Times New Roman" w:hAnsi="Times New Roman" w:cs="Times New Roman"/>
          <w:sz w:val="19"/>
          <w:szCs w:val="19"/>
        </w:rPr>
        <w:t>o as SICAD II, which is also an auction-based program currently trading at approximately 50.0 VEF per dollar. The Company does not expect to access SICAD II. Accordingly, the underlying SICAD II exchange rates have not been utilized for purposes of remeasu</w:t>
      </w:r>
      <w:r>
        <w:rPr>
          <w:rFonts w:ascii="Times New Roman" w:hAnsi="Times New Roman" w:cs="Times New Roman"/>
          <w:sz w:val="19"/>
          <w:szCs w:val="19"/>
        </w:rPr>
        <w:t>ring or translating our Venezuela results.</w:t>
      </w:r>
    </w:p>
    <w:p w:rsidR="00000000" w:rsidRDefault="0057438D">
      <w:pPr>
        <w:pStyle w:val="DefaultParagraphFont"/>
        <w:widowControl w:val="0"/>
        <w:autoSpaceDE w:val="0"/>
        <w:autoSpaceDN w:val="0"/>
        <w:adjustRightInd w:val="0"/>
        <w:spacing w:after="0" w:line="20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As of June 30, 2014, the Company had net monetary assets denominated in local currency of approximately $1.0 billion. Approximately $670 million of that amount is expected to be utilized to satisfy liabilities fo</w:t>
      </w:r>
      <w:r>
        <w:rPr>
          <w:rFonts w:ascii="Times New Roman" w:hAnsi="Times New Roman" w:cs="Times New Roman"/>
          <w:sz w:val="19"/>
          <w:szCs w:val="19"/>
        </w:rPr>
        <w:t>r past imports that were approved under CENCOEX and are measured at the preferential 6.3 VEF per dollar rate. The remaining balance has been measured at the SICAD rate. Local currency net monetary balances increased approximately $110 million versus June 3</w:t>
      </w:r>
      <w:r>
        <w:rPr>
          <w:rFonts w:ascii="Times New Roman" w:hAnsi="Times New Roman" w:cs="Times New Roman"/>
          <w:sz w:val="19"/>
          <w:szCs w:val="19"/>
        </w:rPr>
        <w:t>0, 2013 as increases due to earnings in Venezuela, the timing of CENCOEX payments and an increase in the net amount of indirect value added taxes (VAT) receivable from the government from goods receipts and shipments, was partially offset by the remeasurem</w:t>
      </w:r>
      <w:r>
        <w:rPr>
          <w:rFonts w:ascii="Times New Roman" w:hAnsi="Times New Roman" w:cs="Times New Roman"/>
          <w:sz w:val="19"/>
          <w:szCs w:val="19"/>
        </w:rPr>
        <w:t>ent of balances from the preferential CENCOEX rate to the SICAD rate.</w:t>
      </w:r>
    </w:p>
    <w:p w:rsidR="00000000" w:rsidRDefault="0057438D">
      <w:pPr>
        <w:pStyle w:val="DefaultParagraphFont"/>
        <w:widowControl w:val="0"/>
        <w:autoSpaceDE w:val="0"/>
        <w:autoSpaceDN w:val="0"/>
        <w:adjustRightInd w:val="0"/>
        <w:spacing w:after="0" w:line="19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80"/>
        <w:rPr>
          <w:rFonts w:ascii="Times New Roman" w:hAnsi="Times New Roman" w:cs="Times New Roman"/>
          <w:sz w:val="24"/>
          <w:szCs w:val="24"/>
        </w:rPr>
      </w:pPr>
      <w:r>
        <w:rPr>
          <w:rFonts w:ascii="Times New Roman" w:hAnsi="Times New Roman" w:cs="Times New Roman"/>
          <w:sz w:val="19"/>
          <w:szCs w:val="19"/>
        </w:rPr>
        <w:t>Other controls imposed by the Venezuelan government include import authorization controls, currency exchange and payment controls, price controls and recently enacted profit margin controls. The ongoing impact of the recent announcements and our ability to</w:t>
      </w:r>
      <w:r>
        <w:rPr>
          <w:rFonts w:ascii="Times New Roman" w:hAnsi="Times New Roman" w:cs="Times New Roman"/>
          <w:sz w:val="19"/>
          <w:szCs w:val="19"/>
        </w:rPr>
        <w:t xml:space="preserve"> restore net sales and profit to levels achieved prior to the recent devaluations will be impacted by several factors. These include our ability to mitigate the effect of the price and profit margin controls, any potential future devaluation of the prefere</w:t>
      </w:r>
      <w:r>
        <w:rPr>
          <w:rFonts w:ascii="Times New Roman" w:hAnsi="Times New Roman" w:cs="Times New Roman"/>
          <w:sz w:val="19"/>
          <w:szCs w:val="19"/>
        </w:rPr>
        <w:t>ntial CENCOEX exchange rate, any significant change in the auction exchange rates or liquidity in the SICAD program, any migration of additional product categories from the</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sz w:val="19"/>
          <w:szCs w:val="19"/>
        </w:rPr>
        <w:t>CENCOEX to the SICAD rates, any Company actions to access the SICAD II market, a</w:t>
      </w:r>
      <w:r>
        <w:rPr>
          <w:rFonts w:ascii="Times New Roman" w:hAnsi="Times New Roman" w:cs="Times New Roman"/>
          <w:sz w:val="19"/>
          <w:szCs w:val="19"/>
        </w:rPr>
        <w:t>ny further Venezuelan government price or exchange controls, economic conditions and the availability of raw materials and utilities. In addition, depending on the future availability of U.S. dollars at the preferential rate, our local U.S. dollar needs, o</w:t>
      </w:r>
      <w:r>
        <w:rPr>
          <w:rFonts w:ascii="Times New Roman" w:hAnsi="Times New Roman" w:cs="Times New Roman"/>
          <w:sz w:val="19"/>
          <w:szCs w:val="19"/>
        </w:rPr>
        <w:t>ur overall repatriation plans, including our ability to obtain government approval for the payment of dividends, which has been limited in recent years, the creditworthiness of the local depository institutions and other creditors and our ability to collec</w:t>
      </w:r>
      <w:r>
        <w:rPr>
          <w:rFonts w:ascii="Times New Roman" w:hAnsi="Times New Roman" w:cs="Times New Roman"/>
          <w:sz w:val="19"/>
          <w:szCs w:val="19"/>
        </w:rPr>
        <w:t>t amounts due from customers and the government, including VAT receivables, we may have exposure for our local monetary assets.</w:t>
      </w: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SEGMENT RESULTS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2" w:lineRule="auto"/>
        <w:rPr>
          <w:rFonts w:ascii="Times New Roman" w:hAnsi="Times New Roman" w:cs="Times New Roman"/>
          <w:sz w:val="24"/>
          <w:szCs w:val="24"/>
        </w:rPr>
      </w:pPr>
      <w:r>
        <w:rPr>
          <w:rFonts w:ascii="Times New Roman" w:hAnsi="Times New Roman" w:cs="Times New Roman"/>
          <w:sz w:val="19"/>
          <w:szCs w:val="19"/>
        </w:rPr>
        <w:t>Segment results reflect information on the same basis we use for internal management reporting and performance</w:t>
      </w:r>
      <w:r>
        <w:rPr>
          <w:rFonts w:ascii="Times New Roman" w:hAnsi="Times New Roman" w:cs="Times New Roman"/>
          <w:sz w:val="19"/>
          <w:szCs w:val="19"/>
        </w:rPr>
        <w:t xml:space="preserve"> evaluation. The results of these reportable segments do not include certain non-business unit specific costs such as interest expense, investing activities and certain restructuring and asset impairment costs. These costs are reported in our Corporate seg</w:t>
      </w:r>
      <w:r>
        <w:rPr>
          <w:rFonts w:ascii="Times New Roman" w:hAnsi="Times New Roman" w:cs="Times New Roman"/>
          <w:sz w:val="19"/>
          <w:szCs w:val="19"/>
        </w:rPr>
        <w:t>ment and are included as part of our Corporate segment discussion. Additionally, as described in Note 12 to the Consolidated Financial Statements, we apply blended statutory tax rates in the segments. Eliminations to adjust segment results to arrive at our</w:t>
      </w:r>
      <w:r>
        <w:rPr>
          <w:rFonts w:ascii="Times New Roman" w:hAnsi="Times New Roman" w:cs="Times New Roman"/>
          <w:sz w:val="19"/>
          <w:szCs w:val="19"/>
        </w:rPr>
        <w:t xml:space="preserve"> effective tax rate are included in Corporate. We previously had a difference in the treatment of certain unconsolidated investees. Certain unconsolidated investees that are managed as integral parts of our businesses were reflected as consolidated subsidi</w:t>
      </w:r>
      <w:r>
        <w:rPr>
          <w:rFonts w:ascii="Times New Roman" w:hAnsi="Times New Roman" w:cs="Times New Roman"/>
          <w:sz w:val="19"/>
          <w:szCs w:val="19"/>
        </w:rPr>
        <w:t>aries for management reporting and in segment results, with full recognition of the individual income statement line items through before-tax earnings. Eliminations to adjust these line items to U.S. GAAP were included in Corporate. In determining after-ta</w:t>
      </w:r>
      <w:r>
        <w:rPr>
          <w:rFonts w:ascii="Times New Roman" w:hAnsi="Times New Roman" w:cs="Times New Roman"/>
          <w:sz w:val="19"/>
          <w:szCs w:val="19"/>
        </w:rPr>
        <w:t xml:space="preserve">x earnings for the businesses, we eliminated the share of earnings applicable to other ownership interests, in a manner similar to noncontrolling interest, and applied statutory tax rates. During the final quarter of fiscal 2014, we changed our management </w:t>
      </w:r>
      <w:r>
        <w:rPr>
          <w:rFonts w:ascii="Times New Roman" w:hAnsi="Times New Roman" w:cs="Times New Roman"/>
          <w:sz w:val="19"/>
          <w:szCs w:val="19"/>
        </w:rPr>
        <w:t>accounting for unconsolidated investees. Pursuant to this change, segment results no longer include full recognition of the individual income statement line items of unconsolidated investees and eliminations of such amounts are no longer included in Corpor</w:t>
      </w:r>
      <w:r>
        <w:rPr>
          <w:rFonts w:ascii="Times New Roman" w:hAnsi="Times New Roman" w:cs="Times New Roman"/>
          <w:sz w:val="19"/>
          <w:szCs w:val="19"/>
        </w:rPr>
        <w:t>ate. All periods have been adjusted to reflect this change. All references to net earnings throughout the discussion of segment results refer to net earnings from continuing operations.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80" w:bottom="1440" w:left="860" w:header="720" w:footer="720" w:gutter="0"/>
          <w:cols w:num="2" w:space="420" w:equalWidth="0">
            <w:col w:w="4680" w:space="420"/>
            <w:col w:w="4680"/>
          </w:cols>
          <w:noEndnote/>
        </w:sectPr>
      </w:pPr>
    </w:p>
    <w:tbl>
      <w:tblPr>
        <w:tblW w:w="0" w:type="auto"/>
        <w:tblLayout w:type="fixed"/>
        <w:tblCellMar>
          <w:left w:w="0" w:type="dxa"/>
          <w:right w:w="0" w:type="dxa"/>
        </w:tblCellMar>
        <w:tblLook w:val="0000" w:firstRow="0" w:lastRow="0" w:firstColumn="0" w:lastColumn="0" w:noHBand="0" w:noVBand="0"/>
      </w:tblPr>
      <w:tblGrid>
        <w:gridCol w:w="120"/>
        <w:gridCol w:w="2400"/>
        <w:gridCol w:w="120"/>
        <w:gridCol w:w="1140"/>
        <w:gridCol w:w="1240"/>
        <w:gridCol w:w="940"/>
        <w:gridCol w:w="560"/>
        <w:gridCol w:w="940"/>
        <w:gridCol w:w="840"/>
        <w:gridCol w:w="920"/>
        <w:gridCol w:w="120"/>
        <w:gridCol w:w="220"/>
        <w:gridCol w:w="20"/>
      </w:tblGrid>
      <w:tr w:rsidR="00000000">
        <w:tblPrEx>
          <w:tblCellMar>
            <w:top w:w="0" w:type="dxa"/>
            <w:left w:w="0" w:type="dxa"/>
            <w:bottom w:w="0" w:type="dxa"/>
            <w:right w:w="0" w:type="dxa"/>
          </w:tblCellMar>
        </w:tblPrEx>
        <w:trPr>
          <w:trHeight w:val="250"/>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04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60"/>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31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15"/>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68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860"/>
              <w:rPr>
                <w:rFonts w:ascii="Times New Roman" w:hAnsi="Times New Roman" w:cs="Times New Roman"/>
                <w:sz w:val="24"/>
                <w:szCs w:val="24"/>
              </w:rPr>
            </w:pPr>
            <w:r>
              <w:rPr>
                <w:rFonts w:ascii="Times New Roman" w:hAnsi="Times New Roman" w:cs="Times New Roman"/>
                <w:b/>
                <w:bCs/>
                <w:sz w:val="15"/>
                <w:szCs w:val="15"/>
              </w:rPr>
              <w:t>Net Sales Change Drivers (2014 vs. 2013)</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7"/>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1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Volume with</w:t>
            </w: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7" w:lineRule="exact"/>
              <w:ind w:left="33"/>
              <w:jc w:val="center"/>
              <w:rPr>
                <w:rFonts w:ascii="Times New Roman" w:hAnsi="Times New Roman" w:cs="Times New Roman"/>
                <w:sz w:val="24"/>
                <w:szCs w:val="24"/>
              </w:rPr>
            </w:pPr>
            <w:r>
              <w:rPr>
                <w:rFonts w:ascii="Times New Roman" w:hAnsi="Times New Roman" w:cs="Times New Roman"/>
                <w:b/>
                <w:bCs/>
                <w:w w:val="95"/>
                <w:sz w:val="15"/>
                <w:szCs w:val="15"/>
              </w:rPr>
              <w:t>Volume</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1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left="53"/>
              <w:jc w:val="center"/>
              <w:rPr>
                <w:rFonts w:ascii="Times New Roman" w:hAnsi="Times New Roman" w:cs="Times New Roman"/>
                <w:sz w:val="24"/>
                <w:szCs w:val="24"/>
              </w:rPr>
            </w:pPr>
            <w:r>
              <w:rPr>
                <w:rFonts w:ascii="Times New Roman" w:hAnsi="Times New Roman" w:cs="Times New Roman"/>
                <w:b/>
                <w:bCs/>
                <w:sz w:val="15"/>
                <w:szCs w:val="15"/>
              </w:rPr>
              <w:t>Excluding</w:t>
            </w:r>
          </w:p>
        </w:tc>
        <w:tc>
          <w:tcPr>
            <w:tcW w:w="9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9"/>
              <w:jc w:val="center"/>
              <w:rPr>
                <w:rFonts w:ascii="Times New Roman" w:hAnsi="Times New Roman" w:cs="Times New Roman"/>
                <w:sz w:val="24"/>
                <w:szCs w:val="24"/>
              </w:rPr>
            </w:pPr>
            <w:r>
              <w:rPr>
                <w:rFonts w:ascii="Times New Roman" w:hAnsi="Times New Roman" w:cs="Times New Roman"/>
                <w:b/>
                <w:bCs/>
                <w:w w:val="99"/>
                <w:sz w:val="15"/>
                <w:szCs w:val="15"/>
              </w:rPr>
              <w:t>Foreign</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60" w:type="dxa"/>
            <w:gridSpan w:val="3"/>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0"/>
              <w:jc w:val="center"/>
              <w:rPr>
                <w:rFonts w:ascii="Times New Roman" w:hAnsi="Times New Roman" w:cs="Times New Roman"/>
                <w:sz w:val="24"/>
                <w:szCs w:val="24"/>
              </w:rPr>
            </w:pPr>
            <w:r>
              <w:rPr>
                <w:rFonts w:ascii="Times New Roman" w:hAnsi="Times New Roman" w:cs="Times New Roman"/>
                <w:b/>
                <w:bCs/>
                <w:sz w:val="15"/>
                <w:szCs w:val="15"/>
              </w:rPr>
              <w:t>Net Sales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Acquisitions</w:t>
            </w: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left="33"/>
              <w:jc w:val="center"/>
              <w:rPr>
                <w:rFonts w:ascii="Times New Roman" w:hAnsi="Times New Roman" w:cs="Times New Roman"/>
                <w:sz w:val="24"/>
                <w:szCs w:val="24"/>
              </w:rPr>
            </w:pPr>
            <w:r>
              <w:rPr>
                <w:rFonts w:ascii="Times New Roman" w:hAnsi="Times New Roman" w:cs="Times New Roman"/>
                <w:b/>
                <w:bCs/>
                <w:sz w:val="15"/>
                <w:szCs w:val="15"/>
              </w:rPr>
              <w:t>Acquisitions</w:t>
            </w:r>
          </w:p>
        </w:tc>
        <w:tc>
          <w:tcPr>
            <w:tcW w:w="9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5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87"/>
              <w:jc w:val="center"/>
              <w:rPr>
                <w:rFonts w:ascii="Times New Roman" w:hAnsi="Times New Roman" w:cs="Times New Roman"/>
                <w:sz w:val="24"/>
                <w:szCs w:val="24"/>
              </w:rPr>
            </w:pPr>
            <w:r>
              <w:rPr>
                <w:rFonts w:ascii="Times New Roman" w:hAnsi="Times New Roman" w:cs="Times New Roman"/>
                <w:b/>
                <w:bCs/>
                <w:sz w:val="15"/>
                <w:szCs w:val="15"/>
              </w:rPr>
              <w:t>Price</w:t>
            </w:r>
          </w:p>
        </w:tc>
        <w:tc>
          <w:tcPr>
            <w:tcW w:w="9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b/>
                <w:bCs/>
                <w:sz w:val="15"/>
                <w:szCs w:val="15"/>
              </w:rPr>
              <w:t>Mix</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
              <w:jc w:val="center"/>
              <w:rPr>
                <w:rFonts w:ascii="Times New Roman" w:hAnsi="Times New Roman" w:cs="Times New Roman"/>
                <w:sz w:val="24"/>
                <w:szCs w:val="24"/>
              </w:rPr>
            </w:pPr>
            <w:r>
              <w:rPr>
                <w:rFonts w:ascii="Times New Roman" w:hAnsi="Times New Roman" w:cs="Times New Roman"/>
                <w:b/>
                <w:bCs/>
                <w:w w:val="99"/>
                <w:sz w:val="15"/>
                <w:szCs w:val="15"/>
              </w:rPr>
              <w:t>Other</w:t>
            </w:r>
          </w:p>
        </w:tc>
        <w:tc>
          <w:tcPr>
            <w:tcW w:w="1260" w:type="dxa"/>
            <w:gridSpan w:val="3"/>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&amp; Divestitures</w:t>
            </w: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3"/>
              <w:jc w:val="center"/>
              <w:rPr>
                <w:rFonts w:ascii="Times New Roman" w:hAnsi="Times New Roman" w:cs="Times New Roman"/>
                <w:sz w:val="24"/>
                <w:szCs w:val="24"/>
              </w:rPr>
            </w:pPr>
            <w:r>
              <w:rPr>
                <w:rFonts w:ascii="Times New Roman" w:hAnsi="Times New Roman" w:cs="Times New Roman"/>
                <w:b/>
                <w:bCs/>
                <w:sz w:val="15"/>
                <w:szCs w:val="15"/>
              </w:rPr>
              <w:t>&amp; Divestitures</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9"/>
              <w:jc w:val="center"/>
              <w:rPr>
                <w:rFonts w:ascii="Times New Roman" w:hAnsi="Times New Roman" w:cs="Times New Roman"/>
                <w:sz w:val="24"/>
                <w:szCs w:val="24"/>
              </w:rPr>
            </w:pPr>
            <w:r>
              <w:rPr>
                <w:rFonts w:ascii="Times New Roman" w:hAnsi="Times New Roman" w:cs="Times New Roman"/>
                <w:b/>
                <w:bCs/>
                <w:w w:val="99"/>
                <w:sz w:val="15"/>
                <w:szCs w:val="15"/>
              </w:rPr>
              <w:t>Exchange</w:t>
            </w:r>
          </w:p>
        </w:tc>
        <w:tc>
          <w:tcPr>
            <w:tcW w:w="5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2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0"/>
              <w:jc w:val="center"/>
              <w:rPr>
                <w:rFonts w:ascii="Times New Roman" w:hAnsi="Times New Roman" w:cs="Times New Roman"/>
                <w:sz w:val="24"/>
                <w:szCs w:val="24"/>
              </w:rPr>
            </w:pPr>
            <w:r>
              <w:rPr>
                <w:rFonts w:ascii="Times New Roman" w:hAnsi="Times New Roman" w:cs="Times New Roman"/>
                <w:b/>
                <w:bCs/>
                <w:sz w:val="15"/>
                <w:szCs w:val="15"/>
              </w:rPr>
              <w:t>Growth</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25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Beauty</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0%</w:t>
            </w:r>
          </w:p>
        </w:tc>
        <w:tc>
          <w:tcPr>
            <w:tcW w:w="1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33"/>
              <w:jc w:val="center"/>
              <w:rPr>
                <w:rFonts w:ascii="Times New Roman" w:hAnsi="Times New Roman" w:cs="Times New Roman"/>
                <w:sz w:val="24"/>
                <w:szCs w:val="24"/>
              </w:rPr>
            </w:pPr>
            <w:r>
              <w:rPr>
                <w:rFonts w:ascii="Times New Roman" w:hAnsi="Times New Roman" w:cs="Times New Roman"/>
                <w:w w:val="94"/>
                <w:sz w:val="19"/>
                <w:szCs w:val="19"/>
              </w:rPr>
              <w:t>0%</w:t>
            </w: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9"/>
              <w:jc w:val="center"/>
              <w:rPr>
                <w:rFonts w:ascii="Times New Roman" w:hAnsi="Times New Roman" w:cs="Times New Roman"/>
                <w:sz w:val="24"/>
                <w:szCs w:val="24"/>
              </w:rPr>
            </w:pPr>
            <w:r>
              <w:rPr>
                <w:rFonts w:ascii="Times New Roman" w:hAnsi="Times New Roman" w:cs="Times New Roman"/>
                <w:w w:val="94"/>
                <w:sz w:val="19"/>
                <w:szCs w:val="19"/>
              </w:rPr>
              <w:t>-2%</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87"/>
              <w:jc w:val="center"/>
              <w:rPr>
                <w:rFonts w:ascii="Times New Roman" w:hAnsi="Times New Roman" w:cs="Times New Roman"/>
                <w:sz w:val="24"/>
                <w:szCs w:val="24"/>
              </w:rPr>
            </w:pPr>
            <w:r>
              <w:rPr>
                <w:rFonts w:ascii="Times New Roman" w:hAnsi="Times New Roman" w:cs="Times New Roman"/>
                <w:sz w:val="19"/>
                <w:szCs w:val="19"/>
              </w:rPr>
              <w:t>0%</w:t>
            </w: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08"/>
              <w:jc w:val="center"/>
              <w:rPr>
                <w:rFonts w:ascii="Times New Roman" w:hAnsi="Times New Roman" w:cs="Times New Roman"/>
                <w:sz w:val="24"/>
                <w:szCs w:val="24"/>
              </w:rPr>
            </w:pPr>
            <w:r>
              <w:rPr>
                <w:rFonts w:ascii="Times New Roman" w:hAnsi="Times New Roman" w:cs="Times New Roman"/>
                <w:sz w:val="19"/>
                <w:szCs w:val="19"/>
              </w:rPr>
              <w:t>0%</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7"/>
              <w:jc w:val="center"/>
              <w:rPr>
                <w:rFonts w:ascii="Times New Roman" w:hAnsi="Times New Roman" w:cs="Times New Roman"/>
                <w:sz w:val="24"/>
                <w:szCs w:val="24"/>
              </w:rPr>
            </w:pPr>
            <w:r>
              <w:rPr>
                <w:rFonts w:ascii="Times New Roman" w:hAnsi="Times New Roman" w:cs="Times New Roman"/>
                <w:sz w:val="19"/>
                <w:szCs w:val="19"/>
              </w:rPr>
              <w:t>0%</w:t>
            </w:r>
          </w:p>
        </w:tc>
        <w:tc>
          <w:tcPr>
            <w:tcW w:w="9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49"/>
              <w:jc w:val="center"/>
              <w:rPr>
                <w:rFonts w:ascii="Times New Roman" w:hAnsi="Times New Roman" w:cs="Times New Roman"/>
                <w:sz w:val="24"/>
                <w:szCs w:val="24"/>
              </w:rPr>
            </w:pPr>
            <w:r>
              <w:rPr>
                <w:rFonts w:ascii="Times New Roman" w:hAnsi="Times New Roman" w:cs="Times New Roman"/>
                <w:sz w:val="19"/>
                <w:szCs w:val="19"/>
              </w:rPr>
              <w:t>-2%</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2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Grooming</w:t>
            </w:r>
          </w:p>
        </w:tc>
        <w:tc>
          <w:tcPr>
            <w:tcW w:w="12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
              <w:jc w:val="center"/>
              <w:rPr>
                <w:rFonts w:ascii="Times New Roman" w:hAnsi="Times New Roman" w:cs="Times New Roman"/>
                <w:sz w:val="24"/>
                <w:szCs w:val="24"/>
              </w:rPr>
            </w:pPr>
            <w:r>
              <w:rPr>
                <w:rFonts w:ascii="Times New Roman" w:hAnsi="Times New Roman" w:cs="Times New Roman"/>
                <w:w w:val="94"/>
                <w:sz w:val="19"/>
                <w:szCs w:val="19"/>
              </w:rPr>
              <w:t>1%</w:t>
            </w: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3"/>
              <w:jc w:val="center"/>
              <w:rPr>
                <w:rFonts w:ascii="Times New Roman" w:hAnsi="Times New Roman" w:cs="Times New Roman"/>
                <w:sz w:val="24"/>
                <w:szCs w:val="24"/>
              </w:rPr>
            </w:pPr>
            <w:r>
              <w:rPr>
                <w:rFonts w:ascii="Times New Roman" w:hAnsi="Times New Roman" w:cs="Times New Roman"/>
                <w:w w:val="94"/>
                <w:sz w:val="19"/>
                <w:szCs w:val="19"/>
              </w:rPr>
              <w:t>1%</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9"/>
              <w:jc w:val="center"/>
              <w:rPr>
                <w:rFonts w:ascii="Times New Roman" w:hAnsi="Times New Roman" w:cs="Times New Roman"/>
                <w:sz w:val="24"/>
                <w:szCs w:val="24"/>
              </w:rPr>
            </w:pPr>
            <w:r>
              <w:rPr>
                <w:rFonts w:ascii="Times New Roman" w:hAnsi="Times New Roman" w:cs="Times New Roman"/>
                <w:w w:val="94"/>
                <w:sz w:val="19"/>
                <w:szCs w:val="19"/>
              </w:rPr>
              <w:t>-3%</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87"/>
              <w:jc w:val="center"/>
              <w:rPr>
                <w:rFonts w:ascii="Times New Roman" w:hAnsi="Times New Roman" w:cs="Times New Roman"/>
                <w:sz w:val="24"/>
                <w:szCs w:val="24"/>
              </w:rPr>
            </w:pPr>
            <w:r>
              <w:rPr>
                <w:rFonts w:ascii="Times New Roman" w:hAnsi="Times New Roman" w:cs="Times New Roman"/>
                <w:sz w:val="19"/>
                <w:szCs w:val="19"/>
              </w:rPr>
              <w:t>4%</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28"/>
              <w:jc w:val="center"/>
              <w:rPr>
                <w:rFonts w:ascii="Times New Roman" w:hAnsi="Times New Roman" w:cs="Times New Roman"/>
                <w:sz w:val="24"/>
                <w:szCs w:val="24"/>
              </w:rPr>
            </w:pPr>
            <w:r>
              <w:rPr>
                <w:rFonts w:ascii="Times New Roman" w:hAnsi="Times New Roman" w:cs="Times New Roman"/>
                <w:sz w:val="19"/>
                <w:szCs w:val="19"/>
              </w:rPr>
              <w:t>-2%</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
              <w:jc w:val="center"/>
              <w:rPr>
                <w:rFonts w:ascii="Times New Roman" w:hAnsi="Times New Roman" w:cs="Times New Roman"/>
                <w:sz w:val="24"/>
                <w:szCs w:val="24"/>
              </w:rPr>
            </w:pPr>
            <w:r>
              <w:rPr>
                <w:rFonts w:ascii="Times New Roman" w:hAnsi="Times New Roman" w:cs="Times New Roman"/>
                <w:sz w:val="19"/>
                <w:szCs w:val="19"/>
              </w:rPr>
              <w:t>0%</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9"/>
              <w:jc w:val="center"/>
              <w:rPr>
                <w:rFonts w:ascii="Times New Roman" w:hAnsi="Times New Roman" w:cs="Times New Roman"/>
                <w:sz w:val="24"/>
                <w:szCs w:val="24"/>
              </w:rPr>
            </w:pPr>
            <w:r>
              <w:rPr>
                <w:rFonts w:ascii="Times New Roman" w:hAnsi="Times New Roman" w:cs="Times New Roman"/>
                <w:w w:val="94"/>
                <w:sz w:val="19"/>
                <w:szCs w:val="19"/>
              </w:rPr>
              <w:t>0%</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5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Health Care</w:t>
            </w:r>
          </w:p>
        </w:tc>
        <w:tc>
          <w:tcPr>
            <w:tcW w:w="1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6"/>
              <w:jc w:val="center"/>
              <w:rPr>
                <w:rFonts w:ascii="Times New Roman" w:hAnsi="Times New Roman" w:cs="Times New Roman"/>
                <w:sz w:val="24"/>
                <w:szCs w:val="24"/>
              </w:rPr>
            </w:pPr>
            <w:r>
              <w:rPr>
                <w:rFonts w:ascii="Times New Roman" w:hAnsi="Times New Roman" w:cs="Times New Roman"/>
                <w:sz w:val="19"/>
                <w:szCs w:val="19"/>
              </w:rPr>
              <w:t>2%</w:t>
            </w:r>
          </w:p>
        </w:tc>
        <w:tc>
          <w:tcPr>
            <w:tcW w:w="1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33"/>
              <w:jc w:val="center"/>
              <w:rPr>
                <w:rFonts w:ascii="Times New Roman" w:hAnsi="Times New Roman" w:cs="Times New Roman"/>
                <w:sz w:val="24"/>
                <w:szCs w:val="24"/>
              </w:rPr>
            </w:pPr>
            <w:r>
              <w:rPr>
                <w:rFonts w:ascii="Times New Roman" w:hAnsi="Times New Roman" w:cs="Times New Roman"/>
                <w:w w:val="94"/>
                <w:sz w:val="19"/>
                <w:szCs w:val="19"/>
              </w:rPr>
              <w:t>2%</w:t>
            </w: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9"/>
              <w:jc w:val="center"/>
              <w:rPr>
                <w:rFonts w:ascii="Times New Roman" w:hAnsi="Times New Roman" w:cs="Times New Roman"/>
                <w:sz w:val="24"/>
                <w:szCs w:val="24"/>
              </w:rPr>
            </w:pPr>
            <w:r>
              <w:rPr>
                <w:rFonts w:ascii="Times New Roman" w:hAnsi="Times New Roman" w:cs="Times New Roman"/>
                <w:sz w:val="19"/>
                <w:szCs w:val="19"/>
              </w:rPr>
              <w:t>-1%</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87"/>
              <w:jc w:val="center"/>
              <w:rPr>
                <w:rFonts w:ascii="Times New Roman" w:hAnsi="Times New Roman" w:cs="Times New Roman"/>
                <w:sz w:val="24"/>
                <w:szCs w:val="24"/>
              </w:rPr>
            </w:pPr>
            <w:r>
              <w:rPr>
                <w:rFonts w:ascii="Times New Roman" w:hAnsi="Times New Roman" w:cs="Times New Roman"/>
                <w:sz w:val="19"/>
                <w:szCs w:val="19"/>
              </w:rPr>
              <w:t>1%</w:t>
            </w: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28"/>
              <w:jc w:val="center"/>
              <w:rPr>
                <w:rFonts w:ascii="Times New Roman" w:hAnsi="Times New Roman" w:cs="Times New Roman"/>
                <w:sz w:val="24"/>
                <w:szCs w:val="24"/>
              </w:rPr>
            </w:pPr>
            <w:r>
              <w:rPr>
                <w:rFonts w:ascii="Times New Roman" w:hAnsi="Times New Roman" w:cs="Times New Roman"/>
                <w:sz w:val="19"/>
                <w:szCs w:val="19"/>
              </w:rPr>
              <w:t>-1%</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7"/>
              <w:jc w:val="center"/>
              <w:rPr>
                <w:rFonts w:ascii="Times New Roman" w:hAnsi="Times New Roman" w:cs="Times New Roman"/>
                <w:sz w:val="24"/>
                <w:szCs w:val="24"/>
              </w:rPr>
            </w:pPr>
            <w:r>
              <w:rPr>
                <w:rFonts w:ascii="Times New Roman" w:hAnsi="Times New Roman" w:cs="Times New Roman"/>
                <w:sz w:val="19"/>
                <w:szCs w:val="19"/>
              </w:rPr>
              <w:t>0%</w:t>
            </w:r>
          </w:p>
        </w:tc>
        <w:tc>
          <w:tcPr>
            <w:tcW w:w="9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49"/>
              <w:jc w:val="center"/>
              <w:rPr>
                <w:rFonts w:ascii="Times New Roman" w:hAnsi="Times New Roman" w:cs="Times New Roman"/>
                <w:sz w:val="24"/>
                <w:szCs w:val="24"/>
              </w:rPr>
            </w:pPr>
            <w:r>
              <w:rPr>
                <w:rFonts w:ascii="Times New Roman" w:hAnsi="Times New Roman" w:cs="Times New Roman"/>
                <w:w w:val="94"/>
                <w:sz w:val="19"/>
                <w:szCs w:val="19"/>
              </w:rPr>
              <w:t>1%</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2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Fabric Care and Home Care</w:t>
            </w:r>
          </w:p>
        </w:tc>
        <w:tc>
          <w:tcPr>
            <w:tcW w:w="12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
              <w:jc w:val="center"/>
              <w:rPr>
                <w:rFonts w:ascii="Times New Roman" w:hAnsi="Times New Roman" w:cs="Times New Roman"/>
                <w:sz w:val="24"/>
                <w:szCs w:val="24"/>
              </w:rPr>
            </w:pPr>
            <w:r>
              <w:rPr>
                <w:rFonts w:ascii="Times New Roman" w:hAnsi="Times New Roman" w:cs="Times New Roman"/>
                <w:w w:val="94"/>
                <w:sz w:val="19"/>
                <w:szCs w:val="19"/>
              </w:rPr>
              <w:t>5%</w:t>
            </w: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3"/>
              <w:jc w:val="center"/>
              <w:rPr>
                <w:rFonts w:ascii="Times New Roman" w:hAnsi="Times New Roman" w:cs="Times New Roman"/>
                <w:sz w:val="24"/>
                <w:szCs w:val="24"/>
              </w:rPr>
            </w:pPr>
            <w:r>
              <w:rPr>
                <w:rFonts w:ascii="Times New Roman" w:hAnsi="Times New Roman" w:cs="Times New Roman"/>
                <w:sz w:val="19"/>
                <w:szCs w:val="19"/>
              </w:rPr>
              <w:t>5%</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9"/>
              <w:jc w:val="center"/>
              <w:rPr>
                <w:rFonts w:ascii="Times New Roman" w:hAnsi="Times New Roman" w:cs="Times New Roman"/>
                <w:sz w:val="24"/>
                <w:szCs w:val="24"/>
              </w:rPr>
            </w:pPr>
            <w:r>
              <w:rPr>
                <w:rFonts w:ascii="Times New Roman" w:hAnsi="Times New Roman" w:cs="Times New Roman"/>
                <w:sz w:val="19"/>
                <w:szCs w:val="19"/>
              </w:rPr>
              <w:t>-3%</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87"/>
              <w:jc w:val="center"/>
              <w:rPr>
                <w:rFonts w:ascii="Times New Roman" w:hAnsi="Times New Roman" w:cs="Times New Roman"/>
                <w:sz w:val="24"/>
                <w:szCs w:val="24"/>
              </w:rPr>
            </w:pPr>
            <w:r>
              <w:rPr>
                <w:rFonts w:ascii="Times New Roman" w:hAnsi="Times New Roman" w:cs="Times New Roman"/>
                <w:sz w:val="19"/>
                <w:szCs w:val="19"/>
              </w:rPr>
              <w:t>0%</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28"/>
              <w:jc w:val="center"/>
              <w:rPr>
                <w:rFonts w:ascii="Times New Roman" w:hAnsi="Times New Roman" w:cs="Times New Roman"/>
                <w:sz w:val="24"/>
                <w:szCs w:val="24"/>
              </w:rPr>
            </w:pPr>
            <w:r>
              <w:rPr>
                <w:rFonts w:ascii="Times New Roman" w:hAnsi="Times New Roman" w:cs="Times New Roman"/>
                <w:sz w:val="19"/>
                <w:szCs w:val="19"/>
              </w:rPr>
              <w:t>-1%</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
              <w:jc w:val="center"/>
              <w:rPr>
                <w:rFonts w:ascii="Times New Roman" w:hAnsi="Times New Roman" w:cs="Times New Roman"/>
                <w:sz w:val="24"/>
                <w:szCs w:val="24"/>
              </w:rPr>
            </w:pPr>
            <w:r>
              <w:rPr>
                <w:rFonts w:ascii="Times New Roman" w:hAnsi="Times New Roman" w:cs="Times New Roman"/>
                <w:sz w:val="19"/>
                <w:szCs w:val="19"/>
              </w:rPr>
              <w:t>0%</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9"/>
              <w:jc w:val="center"/>
              <w:rPr>
                <w:rFonts w:ascii="Times New Roman" w:hAnsi="Times New Roman" w:cs="Times New Roman"/>
                <w:sz w:val="24"/>
                <w:szCs w:val="24"/>
              </w:rPr>
            </w:pPr>
            <w:r>
              <w:rPr>
                <w:rFonts w:ascii="Times New Roman" w:hAnsi="Times New Roman" w:cs="Times New Roman"/>
                <w:w w:val="94"/>
                <w:sz w:val="19"/>
                <w:szCs w:val="19"/>
              </w:rPr>
              <w:t>1%</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252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79" w:lineRule="exact"/>
              <w:ind w:left="60"/>
              <w:rPr>
                <w:rFonts w:ascii="Times New Roman" w:hAnsi="Times New Roman" w:cs="Times New Roman"/>
                <w:sz w:val="24"/>
                <w:szCs w:val="24"/>
              </w:rPr>
            </w:pPr>
            <w:r>
              <w:rPr>
                <w:rFonts w:ascii="Times New Roman" w:hAnsi="Times New Roman" w:cs="Times New Roman"/>
                <w:sz w:val="19"/>
                <w:szCs w:val="19"/>
              </w:rPr>
              <w:t>Baby, Feminine and Family</w:t>
            </w:r>
          </w:p>
        </w:tc>
        <w:tc>
          <w:tcPr>
            <w:tcW w:w="126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
              <w:jc w:val="center"/>
              <w:rPr>
                <w:rFonts w:ascii="Times New Roman" w:hAnsi="Times New Roman" w:cs="Times New Roman"/>
                <w:sz w:val="24"/>
                <w:szCs w:val="24"/>
              </w:rPr>
            </w:pPr>
            <w:r>
              <w:rPr>
                <w:rFonts w:ascii="Times New Roman" w:hAnsi="Times New Roman" w:cs="Times New Roman"/>
                <w:w w:val="94"/>
                <w:sz w:val="19"/>
                <w:szCs w:val="19"/>
              </w:rPr>
              <w:t>4%</w:t>
            </w:r>
          </w:p>
        </w:tc>
        <w:tc>
          <w:tcPr>
            <w:tcW w:w="12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33"/>
              <w:jc w:val="center"/>
              <w:rPr>
                <w:rFonts w:ascii="Times New Roman" w:hAnsi="Times New Roman" w:cs="Times New Roman"/>
                <w:sz w:val="24"/>
                <w:szCs w:val="24"/>
              </w:rPr>
            </w:pPr>
            <w:r>
              <w:rPr>
                <w:rFonts w:ascii="Times New Roman" w:hAnsi="Times New Roman" w:cs="Times New Roman"/>
                <w:w w:val="94"/>
                <w:sz w:val="19"/>
                <w:szCs w:val="19"/>
              </w:rPr>
              <w:t>3%</w:t>
            </w:r>
          </w:p>
        </w:tc>
        <w:tc>
          <w:tcPr>
            <w:tcW w:w="9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9"/>
              <w:jc w:val="center"/>
              <w:rPr>
                <w:rFonts w:ascii="Times New Roman" w:hAnsi="Times New Roman" w:cs="Times New Roman"/>
                <w:sz w:val="24"/>
                <w:szCs w:val="24"/>
              </w:rPr>
            </w:pPr>
            <w:r>
              <w:rPr>
                <w:rFonts w:ascii="Times New Roman" w:hAnsi="Times New Roman" w:cs="Times New Roman"/>
                <w:w w:val="94"/>
                <w:sz w:val="19"/>
                <w:szCs w:val="19"/>
              </w:rPr>
              <w:t>-3%</w:t>
            </w:r>
          </w:p>
        </w:tc>
        <w:tc>
          <w:tcPr>
            <w:tcW w:w="5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87"/>
              <w:jc w:val="center"/>
              <w:rPr>
                <w:rFonts w:ascii="Times New Roman" w:hAnsi="Times New Roman" w:cs="Times New Roman"/>
                <w:sz w:val="24"/>
                <w:szCs w:val="24"/>
              </w:rPr>
            </w:pPr>
            <w:r>
              <w:rPr>
                <w:rFonts w:ascii="Times New Roman" w:hAnsi="Times New Roman" w:cs="Times New Roman"/>
                <w:sz w:val="19"/>
                <w:szCs w:val="19"/>
              </w:rPr>
              <w:t>1%</w:t>
            </w:r>
          </w:p>
        </w:tc>
        <w:tc>
          <w:tcPr>
            <w:tcW w:w="9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08"/>
              <w:jc w:val="center"/>
              <w:rPr>
                <w:rFonts w:ascii="Times New Roman" w:hAnsi="Times New Roman" w:cs="Times New Roman"/>
                <w:sz w:val="24"/>
                <w:szCs w:val="24"/>
              </w:rPr>
            </w:pPr>
            <w:r>
              <w:rPr>
                <w:rFonts w:ascii="Times New Roman" w:hAnsi="Times New Roman" w:cs="Times New Roman"/>
                <w:sz w:val="19"/>
                <w:szCs w:val="19"/>
              </w:rPr>
              <w:t>0%</w:t>
            </w:r>
          </w:p>
        </w:tc>
        <w:tc>
          <w:tcPr>
            <w:tcW w:w="8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7"/>
              <w:jc w:val="center"/>
              <w:rPr>
                <w:rFonts w:ascii="Times New Roman" w:hAnsi="Times New Roman" w:cs="Times New Roman"/>
                <w:sz w:val="24"/>
                <w:szCs w:val="24"/>
              </w:rPr>
            </w:pPr>
            <w:r>
              <w:rPr>
                <w:rFonts w:ascii="Times New Roman" w:hAnsi="Times New Roman" w:cs="Times New Roman"/>
                <w:sz w:val="19"/>
                <w:szCs w:val="19"/>
              </w:rPr>
              <w:t>0%</w:t>
            </w:r>
          </w:p>
        </w:tc>
        <w:tc>
          <w:tcPr>
            <w:tcW w:w="9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49"/>
              <w:jc w:val="center"/>
              <w:rPr>
                <w:rFonts w:ascii="Times New Roman" w:hAnsi="Times New Roman" w:cs="Times New Roman"/>
                <w:sz w:val="24"/>
                <w:szCs w:val="24"/>
              </w:rPr>
            </w:pPr>
            <w:r>
              <w:rPr>
                <w:rFonts w:ascii="Times New Roman" w:hAnsi="Times New Roman" w:cs="Times New Roman"/>
                <w:w w:val="94"/>
                <w:sz w:val="19"/>
                <w:szCs w:val="19"/>
              </w:rPr>
              <w:t>2%</w:t>
            </w:r>
          </w:p>
        </w:tc>
        <w:tc>
          <w:tcPr>
            <w:tcW w:w="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9"/>
        </w:trPr>
        <w:tc>
          <w:tcPr>
            <w:tcW w:w="252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Care</w:t>
            </w:r>
          </w:p>
        </w:tc>
        <w:tc>
          <w:tcPr>
            <w:tcW w:w="126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4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4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4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2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7"/>
        </w:trPr>
        <w:tc>
          <w:tcPr>
            <w:tcW w:w="2520" w:type="dxa"/>
            <w:gridSpan w:val="2"/>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 COMPANY</w:t>
            </w:r>
          </w:p>
        </w:tc>
        <w:tc>
          <w:tcPr>
            <w:tcW w:w="1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1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3%</w:t>
            </w:r>
          </w:p>
        </w:tc>
        <w:tc>
          <w:tcPr>
            <w:tcW w:w="12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left="33"/>
              <w:jc w:val="center"/>
              <w:rPr>
                <w:rFonts w:ascii="Times New Roman" w:hAnsi="Times New Roman" w:cs="Times New Roman"/>
                <w:sz w:val="24"/>
                <w:szCs w:val="24"/>
              </w:rPr>
            </w:pPr>
            <w:r>
              <w:rPr>
                <w:rFonts w:ascii="Times New Roman" w:hAnsi="Times New Roman" w:cs="Times New Roman"/>
                <w:w w:val="94"/>
                <w:sz w:val="19"/>
                <w:szCs w:val="19"/>
              </w:rPr>
              <w:t>3%</w:t>
            </w:r>
          </w:p>
        </w:tc>
        <w:tc>
          <w:tcPr>
            <w:tcW w:w="9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left="29"/>
              <w:jc w:val="center"/>
              <w:rPr>
                <w:rFonts w:ascii="Times New Roman" w:hAnsi="Times New Roman" w:cs="Times New Roman"/>
                <w:sz w:val="24"/>
                <w:szCs w:val="24"/>
              </w:rPr>
            </w:pPr>
            <w:r>
              <w:rPr>
                <w:rFonts w:ascii="Times New Roman" w:hAnsi="Times New Roman" w:cs="Times New Roman"/>
                <w:w w:val="94"/>
                <w:sz w:val="19"/>
                <w:szCs w:val="19"/>
              </w:rPr>
              <w:t>-2%</w:t>
            </w:r>
          </w:p>
        </w:tc>
        <w:tc>
          <w:tcPr>
            <w:tcW w:w="5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left="87"/>
              <w:jc w:val="center"/>
              <w:rPr>
                <w:rFonts w:ascii="Times New Roman" w:hAnsi="Times New Roman" w:cs="Times New Roman"/>
                <w:sz w:val="24"/>
                <w:szCs w:val="24"/>
              </w:rPr>
            </w:pPr>
            <w:r>
              <w:rPr>
                <w:rFonts w:ascii="Times New Roman" w:hAnsi="Times New Roman" w:cs="Times New Roman"/>
                <w:sz w:val="19"/>
                <w:szCs w:val="19"/>
              </w:rPr>
              <w:t>1%</w:t>
            </w:r>
          </w:p>
        </w:tc>
        <w:tc>
          <w:tcPr>
            <w:tcW w:w="9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left="128"/>
              <w:jc w:val="center"/>
              <w:rPr>
                <w:rFonts w:ascii="Times New Roman" w:hAnsi="Times New Roman" w:cs="Times New Roman"/>
                <w:sz w:val="24"/>
                <w:szCs w:val="24"/>
              </w:rPr>
            </w:pPr>
            <w:r>
              <w:rPr>
                <w:rFonts w:ascii="Times New Roman" w:hAnsi="Times New Roman" w:cs="Times New Roman"/>
                <w:sz w:val="19"/>
                <w:szCs w:val="19"/>
              </w:rPr>
              <w:t>-1%</w:t>
            </w:r>
          </w:p>
        </w:tc>
        <w:tc>
          <w:tcPr>
            <w:tcW w:w="8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left="7"/>
              <w:jc w:val="center"/>
              <w:rPr>
                <w:rFonts w:ascii="Times New Roman" w:hAnsi="Times New Roman" w:cs="Times New Roman"/>
                <w:sz w:val="24"/>
                <w:szCs w:val="24"/>
              </w:rPr>
            </w:pPr>
            <w:r>
              <w:rPr>
                <w:rFonts w:ascii="Times New Roman" w:hAnsi="Times New Roman" w:cs="Times New Roman"/>
                <w:sz w:val="19"/>
                <w:szCs w:val="19"/>
              </w:rPr>
              <w:t>0%</w:t>
            </w:r>
          </w:p>
        </w:tc>
        <w:tc>
          <w:tcPr>
            <w:tcW w:w="9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left="149"/>
              <w:jc w:val="center"/>
              <w:rPr>
                <w:rFonts w:ascii="Times New Roman" w:hAnsi="Times New Roman" w:cs="Times New Roman"/>
                <w:sz w:val="24"/>
                <w:szCs w:val="24"/>
              </w:rPr>
            </w:pPr>
            <w:r>
              <w:rPr>
                <w:rFonts w:ascii="Times New Roman" w:hAnsi="Times New Roman" w:cs="Times New Roman"/>
                <w:w w:val="94"/>
                <w:sz w:val="19"/>
                <w:szCs w:val="19"/>
              </w:rPr>
              <w:t>1%</w:t>
            </w:r>
          </w:p>
        </w:tc>
        <w:tc>
          <w:tcPr>
            <w:tcW w:w="1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740" w:type="dxa"/>
            <w:gridSpan w:val="3"/>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73"/>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68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60"/>
              <w:rPr>
                <w:rFonts w:ascii="Times New Roman" w:hAnsi="Times New Roman" w:cs="Times New Roman"/>
                <w:sz w:val="24"/>
                <w:szCs w:val="24"/>
              </w:rPr>
            </w:pPr>
            <w:r>
              <w:rPr>
                <w:rFonts w:ascii="Times New Roman" w:hAnsi="Times New Roman" w:cs="Times New Roman"/>
                <w:b/>
                <w:bCs/>
                <w:sz w:val="15"/>
                <w:szCs w:val="15"/>
              </w:rPr>
              <w:t>Net Sales Change Drivers (2013 vs. 2012)</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7"/>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1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58"/>
              <w:jc w:val="center"/>
              <w:rPr>
                <w:rFonts w:ascii="Times New Roman" w:hAnsi="Times New Roman" w:cs="Times New Roman"/>
                <w:sz w:val="24"/>
                <w:szCs w:val="24"/>
              </w:rPr>
            </w:pPr>
            <w:r>
              <w:rPr>
                <w:rFonts w:ascii="Times New Roman" w:hAnsi="Times New Roman" w:cs="Times New Roman"/>
                <w:b/>
                <w:bCs/>
                <w:w w:val="99"/>
                <w:sz w:val="15"/>
                <w:szCs w:val="15"/>
              </w:rPr>
              <w:t>Volume with</w:t>
            </w: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7" w:lineRule="exact"/>
              <w:ind w:right="13"/>
              <w:jc w:val="center"/>
              <w:rPr>
                <w:rFonts w:ascii="Times New Roman" w:hAnsi="Times New Roman" w:cs="Times New Roman"/>
                <w:sz w:val="24"/>
                <w:szCs w:val="24"/>
              </w:rPr>
            </w:pPr>
            <w:r>
              <w:rPr>
                <w:rFonts w:ascii="Times New Roman" w:hAnsi="Times New Roman" w:cs="Times New Roman"/>
                <w:b/>
                <w:bCs/>
                <w:w w:val="99"/>
                <w:sz w:val="15"/>
                <w:szCs w:val="15"/>
              </w:rPr>
              <w:t>Volume</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1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13"/>
              <w:jc w:val="center"/>
              <w:rPr>
                <w:rFonts w:ascii="Times New Roman" w:hAnsi="Times New Roman" w:cs="Times New Roman"/>
                <w:sz w:val="24"/>
                <w:szCs w:val="24"/>
              </w:rPr>
            </w:pPr>
            <w:r>
              <w:rPr>
                <w:rFonts w:ascii="Times New Roman" w:hAnsi="Times New Roman" w:cs="Times New Roman"/>
                <w:b/>
                <w:bCs/>
                <w:sz w:val="15"/>
                <w:szCs w:val="15"/>
              </w:rPr>
              <w:t>Excluding</w:t>
            </w:r>
          </w:p>
        </w:tc>
        <w:tc>
          <w:tcPr>
            <w:tcW w:w="9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9"/>
              <w:jc w:val="center"/>
              <w:rPr>
                <w:rFonts w:ascii="Times New Roman" w:hAnsi="Times New Roman" w:cs="Times New Roman"/>
                <w:sz w:val="24"/>
                <w:szCs w:val="24"/>
              </w:rPr>
            </w:pPr>
            <w:r>
              <w:rPr>
                <w:rFonts w:ascii="Times New Roman" w:hAnsi="Times New Roman" w:cs="Times New Roman"/>
                <w:b/>
                <w:bCs/>
                <w:w w:val="99"/>
                <w:sz w:val="15"/>
                <w:szCs w:val="15"/>
              </w:rPr>
              <w:t>Foreign</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60" w:type="dxa"/>
            <w:gridSpan w:val="3"/>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40"/>
              <w:jc w:val="center"/>
              <w:rPr>
                <w:rFonts w:ascii="Times New Roman" w:hAnsi="Times New Roman" w:cs="Times New Roman"/>
                <w:sz w:val="24"/>
                <w:szCs w:val="24"/>
              </w:rPr>
            </w:pPr>
            <w:r>
              <w:rPr>
                <w:rFonts w:ascii="Times New Roman" w:hAnsi="Times New Roman" w:cs="Times New Roman"/>
                <w:b/>
                <w:bCs/>
                <w:sz w:val="15"/>
                <w:szCs w:val="15"/>
              </w:rPr>
              <w:t>Net Sales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158"/>
              <w:jc w:val="center"/>
              <w:rPr>
                <w:rFonts w:ascii="Times New Roman" w:hAnsi="Times New Roman" w:cs="Times New Roman"/>
                <w:sz w:val="24"/>
                <w:szCs w:val="24"/>
              </w:rPr>
            </w:pPr>
            <w:r>
              <w:rPr>
                <w:rFonts w:ascii="Times New Roman" w:hAnsi="Times New Roman" w:cs="Times New Roman"/>
                <w:b/>
                <w:bCs/>
                <w:sz w:val="15"/>
                <w:szCs w:val="15"/>
              </w:rPr>
              <w:t>Acquisitions</w:t>
            </w: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13"/>
              <w:jc w:val="center"/>
              <w:rPr>
                <w:rFonts w:ascii="Times New Roman" w:hAnsi="Times New Roman" w:cs="Times New Roman"/>
                <w:sz w:val="24"/>
                <w:szCs w:val="24"/>
              </w:rPr>
            </w:pPr>
            <w:r>
              <w:rPr>
                <w:rFonts w:ascii="Times New Roman" w:hAnsi="Times New Roman" w:cs="Times New Roman"/>
                <w:b/>
                <w:bCs/>
                <w:sz w:val="15"/>
                <w:szCs w:val="15"/>
              </w:rPr>
              <w:t>Acquisitions</w:t>
            </w:r>
          </w:p>
        </w:tc>
        <w:tc>
          <w:tcPr>
            <w:tcW w:w="9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5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Price</w:t>
            </w:r>
          </w:p>
        </w:tc>
        <w:tc>
          <w:tcPr>
            <w:tcW w:w="9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b/>
                <w:bCs/>
                <w:sz w:val="15"/>
                <w:szCs w:val="15"/>
              </w:rPr>
              <w:t>Mix</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b/>
                <w:bCs/>
                <w:sz w:val="15"/>
                <w:szCs w:val="15"/>
              </w:rPr>
              <w:t>Other</w:t>
            </w:r>
          </w:p>
        </w:tc>
        <w:tc>
          <w:tcPr>
            <w:tcW w:w="1260" w:type="dxa"/>
            <w:gridSpan w:val="3"/>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2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8"/>
              <w:jc w:val="center"/>
              <w:rPr>
                <w:rFonts w:ascii="Times New Roman" w:hAnsi="Times New Roman" w:cs="Times New Roman"/>
                <w:sz w:val="24"/>
                <w:szCs w:val="24"/>
              </w:rPr>
            </w:pPr>
            <w:r>
              <w:rPr>
                <w:rFonts w:ascii="Times New Roman" w:hAnsi="Times New Roman" w:cs="Times New Roman"/>
                <w:b/>
                <w:bCs/>
                <w:sz w:val="15"/>
                <w:szCs w:val="15"/>
              </w:rPr>
              <w:t>&amp; Divestitures</w:t>
            </w: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
              <w:jc w:val="center"/>
              <w:rPr>
                <w:rFonts w:ascii="Times New Roman" w:hAnsi="Times New Roman" w:cs="Times New Roman"/>
                <w:sz w:val="24"/>
                <w:szCs w:val="24"/>
              </w:rPr>
            </w:pPr>
            <w:r>
              <w:rPr>
                <w:rFonts w:ascii="Times New Roman" w:hAnsi="Times New Roman" w:cs="Times New Roman"/>
                <w:b/>
                <w:bCs/>
                <w:sz w:val="15"/>
                <w:szCs w:val="15"/>
              </w:rPr>
              <w:t>&amp; Divestitures</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
              <w:jc w:val="center"/>
              <w:rPr>
                <w:rFonts w:ascii="Times New Roman" w:hAnsi="Times New Roman" w:cs="Times New Roman"/>
                <w:sz w:val="24"/>
                <w:szCs w:val="24"/>
              </w:rPr>
            </w:pPr>
            <w:r>
              <w:rPr>
                <w:rFonts w:ascii="Times New Roman" w:hAnsi="Times New Roman" w:cs="Times New Roman"/>
                <w:b/>
                <w:bCs/>
                <w:sz w:val="15"/>
                <w:szCs w:val="15"/>
              </w:rPr>
              <w:t>Exchange</w:t>
            </w:r>
          </w:p>
        </w:tc>
        <w:tc>
          <w:tcPr>
            <w:tcW w:w="5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2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20"/>
              <w:jc w:val="center"/>
              <w:rPr>
                <w:rFonts w:ascii="Times New Roman" w:hAnsi="Times New Roman" w:cs="Times New Roman"/>
                <w:sz w:val="24"/>
                <w:szCs w:val="24"/>
              </w:rPr>
            </w:pPr>
            <w:r>
              <w:rPr>
                <w:rFonts w:ascii="Times New Roman" w:hAnsi="Times New Roman" w:cs="Times New Roman"/>
                <w:b/>
                <w:bCs/>
                <w:w w:val="99"/>
                <w:sz w:val="15"/>
                <w:szCs w:val="15"/>
              </w:rPr>
              <w:t>Growth</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6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Beauty</w:t>
            </w:r>
          </w:p>
        </w:tc>
        <w:tc>
          <w:tcPr>
            <w:tcW w:w="1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38"/>
              <w:jc w:val="center"/>
              <w:rPr>
                <w:rFonts w:ascii="Times New Roman" w:hAnsi="Times New Roman" w:cs="Times New Roman"/>
                <w:sz w:val="24"/>
                <w:szCs w:val="24"/>
              </w:rPr>
            </w:pPr>
            <w:r>
              <w:rPr>
                <w:rFonts w:ascii="Times New Roman" w:hAnsi="Times New Roman" w:cs="Times New Roman"/>
                <w:sz w:val="19"/>
                <w:szCs w:val="19"/>
              </w:rPr>
              <w:t>0%</w:t>
            </w:r>
          </w:p>
        </w:tc>
        <w:tc>
          <w:tcPr>
            <w:tcW w:w="1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3"/>
              <w:jc w:val="center"/>
              <w:rPr>
                <w:rFonts w:ascii="Times New Roman" w:hAnsi="Times New Roman" w:cs="Times New Roman"/>
                <w:sz w:val="24"/>
                <w:szCs w:val="24"/>
              </w:rPr>
            </w:pPr>
            <w:r>
              <w:rPr>
                <w:rFonts w:ascii="Times New Roman" w:hAnsi="Times New Roman" w:cs="Times New Roman"/>
                <w:sz w:val="19"/>
                <w:szCs w:val="19"/>
              </w:rPr>
              <w:t>0%</w:t>
            </w: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9"/>
              <w:jc w:val="center"/>
              <w:rPr>
                <w:rFonts w:ascii="Times New Roman" w:hAnsi="Times New Roman" w:cs="Times New Roman"/>
                <w:sz w:val="24"/>
                <w:szCs w:val="24"/>
              </w:rPr>
            </w:pPr>
            <w:r>
              <w:rPr>
                <w:rFonts w:ascii="Times New Roman" w:hAnsi="Times New Roman" w:cs="Times New Roman"/>
                <w:sz w:val="19"/>
                <w:szCs w:val="19"/>
              </w:rPr>
              <w:t>-2%</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w:t>
            </w: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7"/>
              <w:jc w:val="center"/>
              <w:rPr>
                <w:rFonts w:ascii="Times New Roman" w:hAnsi="Times New Roman" w:cs="Times New Roman"/>
                <w:sz w:val="24"/>
                <w:szCs w:val="24"/>
              </w:rPr>
            </w:pPr>
            <w:r>
              <w:rPr>
                <w:rFonts w:ascii="Times New Roman" w:hAnsi="Times New Roman" w:cs="Times New Roman"/>
                <w:sz w:val="19"/>
                <w:szCs w:val="19"/>
              </w:rPr>
              <w:t>-1%</w:t>
            </w:r>
          </w:p>
        </w:tc>
        <w:tc>
          <w:tcPr>
            <w:tcW w:w="9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Grooming</w:t>
            </w:r>
          </w:p>
        </w:tc>
        <w:tc>
          <w:tcPr>
            <w:tcW w:w="12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8"/>
              <w:jc w:val="center"/>
              <w:rPr>
                <w:rFonts w:ascii="Times New Roman" w:hAnsi="Times New Roman" w:cs="Times New Roman"/>
                <w:sz w:val="24"/>
                <w:szCs w:val="24"/>
              </w:rPr>
            </w:pPr>
            <w:r>
              <w:rPr>
                <w:rFonts w:ascii="Times New Roman" w:hAnsi="Times New Roman" w:cs="Times New Roman"/>
                <w:sz w:val="19"/>
                <w:szCs w:val="19"/>
              </w:rPr>
              <w:t>-1%</w:t>
            </w: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
              <w:jc w:val="center"/>
              <w:rPr>
                <w:rFonts w:ascii="Times New Roman" w:hAnsi="Times New Roman" w:cs="Times New Roman"/>
                <w:sz w:val="24"/>
                <w:szCs w:val="24"/>
              </w:rPr>
            </w:pPr>
            <w:r>
              <w:rPr>
                <w:rFonts w:ascii="Times New Roman" w:hAnsi="Times New Roman" w:cs="Times New Roman"/>
                <w:sz w:val="19"/>
                <w:szCs w:val="19"/>
              </w:rPr>
              <w:t>0%</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
              <w:jc w:val="center"/>
              <w:rPr>
                <w:rFonts w:ascii="Times New Roman" w:hAnsi="Times New Roman" w:cs="Times New Roman"/>
                <w:sz w:val="24"/>
                <w:szCs w:val="24"/>
              </w:rPr>
            </w:pPr>
            <w:r>
              <w:rPr>
                <w:rFonts w:ascii="Times New Roman" w:hAnsi="Times New Roman" w:cs="Times New Roman"/>
                <w:sz w:val="19"/>
                <w:szCs w:val="19"/>
              </w:rPr>
              <w:t>-4%</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0%</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7"/>
              <w:jc w:val="center"/>
              <w:rPr>
                <w:rFonts w:ascii="Times New Roman" w:hAnsi="Times New Roman" w:cs="Times New Roman"/>
                <w:sz w:val="24"/>
                <w:szCs w:val="24"/>
              </w:rPr>
            </w:pPr>
            <w:r>
              <w:rPr>
                <w:rFonts w:ascii="Times New Roman" w:hAnsi="Times New Roman" w:cs="Times New Roman"/>
                <w:sz w:val="19"/>
                <w:szCs w:val="19"/>
              </w:rPr>
              <w:t>-1%</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Health Care</w:t>
            </w:r>
          </w:p>
        </w:tc>
        <w:tc>
          <w:tcPr>
            <w:tcW w:w="1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38"/>
              <w:jc w:val="center"/>
              <w:rPr>
                <w:rFonts w:ascii="Times New Roman" w:hAnsi="Times New Roman" w:cs="Times New Roman"/>
                <w:sz w:val="24"/>
                <w:szCs w:val="24"/>
              </w:rPr>
            </w:pPr>
            <w:r>
              <w:rPr>
                <w:rFonts w:ascii="Times New Roman" w:hAnsi="Times New Roman" w:cs="Times New Roman"/>
                <w:sz w:val="19"/>
                <w:szCs w:val="19"/>
              </w:rPr>
              <w:t>5%</w:t>
            </w:r>
          </w:p>
        </w:tc>
        <w:tc>
          <w:tcPr>
            <w:tcW w:w="1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3"/>
              <w:jc w:val="center"/>
              <w:rPr>
                <w:rFonts w:ascii="Times New Roman" w:hAnsi="Times New Roman" w:cs="Times New Roman"/>
                <w:sz w:val="24"/>
                <w:szCs w:val="24"/>
              </w:rPr>
            </w:pPr>
            <w:r>
              <w:rPr>
                <w:rFonts w:ascii="Times New Roman" w:hAnsi="Times New Roman" w:cs="Times New Roman"/>
                <w:sz w:val="19"/>
                <w:szCs w:val="19"/>
              </w:rPr>
              <w:t>4%</w:t>
            </w: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9"/>
              <w:jc w:val="center"/>
              <w:rPr>
                <w:rFonts w:ascii="Times New Roman" w:hAnsi="Times New Roman" w:cs="Times New Roman"/>
                <w:sz w:val="24"/>
                <w:szCs w:val="24"/>
              </w:rPr>
            </w:pPr>
            <w:r>
              <w:rPr>
                <w:rFonts w:ascii="Times New Roman" w:hAnsi="Times New Roman" w:cs="Times New Roman"/>
                <w:sz w:val="19"/>
                <w:szCs w:val="19"/>
              </w:rPr>
              <w:t>-3%</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w:t>
            </w: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2%</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7"/>
              <w:jc w:val="center"/>
              <w:rPr>
                <w:rFonts w:ascii="Times New Roman" w:hAnsi="Times New Roman" w:cs="Times New Roman"/>
                <w:sz w:val="24"/>
                <w:szCs w:val="24"/>
              </w:rPr>
            </w:pPr>
            <w:r>
              <w:rPr>
                <w:rFonts w:ascii="Times New Roman" w:hAnsi="Times New Roman" w:cs="Times New Roman"/>
                <w:sz w:val="19"/>
                <w:szCs w:val="19"/>
              </w:rPr>
              <w:t>1%</w:t>
            </w:r>
          </w:p>
        </w:tc>
        <w:tc>
          <w:tcPr>
            <w:tcW w:w="9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6%</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Fabric Care and Home Care</w:t>
            </w:r>
          </w:p>
        </w:tc>
        <w:tc>
          <w:tcPr>
            <w:tcW w:w="12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8"/>
              <w:jc w:val="center"/>
              <w:rPr>
                <w:rFonts w:ascii="Times New Roman" w:hAnsi="Times New Roman" w:cs="Times New Roman"/>
                <w:sz w:val="24"/>
                <w:szCs w:val="24"/>
              </w:rPr>
            </w:pPr>
            <w:r>
              <w:rPr>
                <w:rFonts w:ascii="Times New Roman" w:hAnsi="Times New Roman" w:cs="Times New Roman"/>
                <w:sz w:val="19"/>
                <w:szCs w:val="19"/>
              </w:rPr>
              <w:t>3%</w:t>
            </w: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
              <w:jc w:val="center"/>
              <w:rPr>
                <w:rFonts w:ascii="Times New Roman" w:hAnsi="Times New Roman" w:cs="Times New Roman"/>
                <w:sz w:val="24"/>
                <w:szCs w:val="24"/>
              </w:rPr>
            </w:pPr>
            <w:r>
              <w:rPr>
                <w:rFonts w:ascii="Times New Roman" w:hAnsi="Times New Roman" w:cs="Times New Roman"/>
                <w:sz w:val="19"/>
                <w:szCs w:val="19"/>
              </w:rPr>
              <w:t>3%</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
              <w:jc w:val="center"/>
              <w:rPr>
                <w:rFonts w:ascii="Times New Roman" w:hAnsi="Times New Roman" w:cs="Times New Roman"/>
                <w:sz w:val="24"/>
                <w:szCs w:val="24"/>
              </w:rPr>
            </w:pPr>
            <w:r>
              <w:rPr>
                <w:rFonts w:ascii="Times New Roman" w:hAnsi="Times New Roman" w:cs="Times New Roman"/>
                <w:sz w:val="19"/>
                <w:szCs w:val="19"/>
              </w:rPr>
              <w:t>-3%</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0%</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7"/>
              <w:jc w:val="center"/>
              <w:rPr>
                <w:rFonts w:ascii="Times New Roman" w:hAnsi="Times New Roman" w:cs="Times New Roman"/>
                <w:sz w:val="24"/>
                <w:szCs w:val="24"/>
              </w:rPr>
            </w:pPr>
            <w:r>
              <w:rPr>
                <w:rFonts w:ascii="Times New Roman" w:hAnsi="Times New Roman" w:cs="Times New Roman"/>
                <w:sz w:val="19"/>
                <w:szCs w:val="19"/>
              </w:rPr>
              <w:t>0%</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4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79" w:lineRule="exact"/>
              <w:ind w:left="40"/>
              <w:rPr>
                <w:rFonts w:ascii="Times New Roman" w:hAnsi="Times New Roman" w:cs="Times New Roman"/>
                <w:sz w:val="24"/>
                <w:szCs w:val="24"/>
              </w:rPr>
            </w:pPr>
            <w:r>
              <w:rPr>
                <w:rFonts w:ascii="Times New Roman" w:hAnsi="Times New Roman" w:cs="Times New Roman"/>
                <w:sz w:val="19"/>
                <w:szCs w:val="19"/>
              </w:rPr>
              <w:t>Baby, Feminine and Family</w:t>
            </w:r>
          </w:p>
        </w:tc>
        <w:tc>
          <w:tcPr>
            <w:tcW w:w="126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38"/>
              <w:jc w:val="center"/>
              <w:rPr>
                <w:rFonts w:ascii="Times New Roman" w:hAnsi="Times New Roman" w:cs="Times New Roman"/>
                <w:sz w:val="24"/>
                <w:szCs w:val="24"/>
              </w:rPr>
            </w:pPr>
            <w:r>
              <w:rPr>
                <w:rFonts w:ascii="Times New Roman" w:hAnsi="Times New Roman" w:cs="Times New Roman"/>
                <w:sz w:val="19"/>
                <w:szCs w:val="19"/>
              </w:rPr>
              <w:t>5%</w:t>
            </w:r>
          </w:p>
        </w:tc>
        <w:tc>
          <w:tcPr>
            <w:tcW w:w="12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3"/>
              <w:jc w:val="center"/>
              <w:rPr>
                <w:rFonts w:ascii="Times New Roman" w:hAnsi="Times New Roman" w:cs="Times New Roman"/>
                <w:sz w:val="24"/>
                <w:szCs w:val="24"/>
              </w:rPr>
            </w:pPr>
            <w:r>
              <w:rPr>
                <w:rFonts w:ascii="Times New Roman" w:hAnsi="Times New Roman" w:cs="Times New Roman"/>
                <w:sz w:val="19"/>
                <w:szCs w:val="19"/>
              </w:rPr>
              <w:t>3%</w:t>
            </w:r>
          </w:p>
        </w:tc>
        <w:tc>
          <w:tcPr>
            <w:tcW w:w="9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9"/>
              <w:jc w:val="center"/>
              <w:rPr>
                <w:rFonts w:ascii="Times New Roman" w:hAnsi="Times New Roman" w:cs="Times New Roman"/>
                <w:sz w:val="24"/>
                <w:szCs w:val="24"/>
              </w:rPr>
            </w:pPr>
            <w:r>
              <w:rPr>
                <w:rFonts w:ascii="Times New Roman" w:hAnsi="Times New Roman" w:cs="Times New Roman"/>
                <w:sz w:val="19"/>
                <w:szCs w:val="19"/>
              </w:rPr>
              <w:t>-2%</w:t>
            </w:r>
          </w:p>
        </w:tc>
        <w:tc>
          <w:tcPr>
            <w:tcW w:w="5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w:t>
            </w:r>
          </w:p>
        </w:tc>
        <w:tc>
          <w:tcPr>
            <w:tcW w:w="9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0%</w:t>
            </w:r>
          </w:p>
        </w:tc>
        <w:tc>
          <w:tcPr>
            <w:tcW w:w="8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7"/>
              <w:jc w:val="center"/>
              <w:rPr>
                <w:rFonts w:ascii="Times New Roman" w:hAnsi="Times New Roman" w:cs="Times New Roman"/>
                <w:sz w:val="24"/>
                <w:szCs w:val="24"/>
              </w:rPr>
            </w:pPr>
            <w:r>
              <w:rPr>
                <w:rFonts w:ascii="Times New Roman" w:hAnsi="Times New Roman" w:cs="Times New Roman"/>
                <w:sz w:val="19"/>
                <w:szCs w:val="19"/>
              </w:rPr>
              <w:t>-1%</w:t>
            </w:r>
          </w:p>
        </w:tc>
        <w:tc>
          <w:tcPr>
            <w:tcW w:w="9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Care</w:t>
            </w:r>
          </w:p>
        </w:tc>
        <w:tc>
          <w:tcPr>
            <w:tcW w:w="1260" w:type="dxa"/>
            <w:gridSpan w:val="2"/>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24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4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6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4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4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7"/>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TOTAL COMPANY</w:t>
            </w:r>
          </w:p>
        </w:tc>
        <w:tc>
          <w:tcPr>
            <w:tcW w:w="126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38"/>
              <w:jc w:val="center"/>
              <w:rPr>
                <w:rFonts w:ascii="Times New Roman" w:hAnsi="Times New Roman" w:cs="Times New Roman"/>
                <w:sz w:val="24"/>
                <w:szCs w:val="24"/>
              </w:rPr>
            </w:pPr>
            <w:r>
              <w:rPr>
                <w:rFonts w:ascii="Times New Roman" w:hAnsi="Times New Roman" w:cs="Times New Roman"/>
                <w:sz w:val="19"/>
                <w:szCs w:val="19"/>
              </w:rPr>
              <w:t>2%</w:t>
            </w:r>
          </w:p>
        </w:tc>
        <w:tc>
          <w:tcPr>
            <w:tcW w:w="1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13"/>
              <w:jc w:val="center"/>
              <w:rPr>
                <w:rFonts w:ascii="Times New Roman" w:hAnsi="Times New Roman" w:cs="Times New Roman"/>
                <w:sz w:val="24"/>
                <w:szCs w:val="24"/>
              </w:rPr>
            </w:pPr>
            <w:r>
              <w:rPr>
                <w:rFonts w:ascii="Times New Roman" w:hAnsi="Times New Roman" w:cs="Times New Roman"/>
                <w:sz w:val="19"/>
                <w:szCs w:val="19"/>
              </w:rPr>
              <w:t>2%</w:t>
            </w: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9"/>
              <w:jc w:val="center"/>
              <w:rPr>
                <w:rFonts w:ascii="Times New Roman" w:hAnsi="Times New Roman" w:cs="Times New Roman"/>
                <w:sz w:val="24"/>
                <w:szCs w:val="24"/>
              </w:rPr>
            </w:pPr>
            <w:r>
              <w:rPr>
                <w:rFonts w:ascii="Times New Roman" w:hAnsi="Times New Roman" w:cs="Times New Roman"/>
                <w:sz w:val="19"/>
                <w:szCs w:val="19"/>
              </w:rPr>
              <w:t>-2%</w:t>
            </w: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w:t>
            </w: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0%</w:t>
            </w: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47"/>
              <w:jc w:val="center"/>
              <w:rPr>
                <w:rFonts w:ascii="Times New Roman" w:hAnsi="Times New Roman" w:cs="Times New Roman"/>
                <w:sz w:val="24"/>
                <w:szCs w:val="24"/>
              </w:rPr>
            </w:pPr>
            <w:r>
              <w:rPr>
                <w:rFonts w:ascii="Times New Roman" w:hAnsi="Times New Roman" w:cs="Times New Roman"/>
                <w:sz w:val="19"/>
                <w:szCs w:val="19"/>
              </w:rPr>
              <w:t>0%</w:t>
            </w: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9" w:lineRule="auto"/>
        <w:ind w:left="140" w:right="160"/>
        <w:rPr>
          <w:rFonts w:ascii="Times New Roman" w:hAnsi="Times New Roman" w:cs="Times New Roman"/>
          <w:sz w:val="24"/>
          <w:szCs w:val="24"/>
        </w:rPr>
      </w:pPr>
      <w:r>
        <w:rPr>
          <w:rFonts w:ascii="Times New Roman" w:hAnsi="Times New Roman" w:cs="Times New Roman"/>
          <w:sz w:val="17"/>
          <w:szCs w:val="17"/>
        </w:rPr>
        <w:t>Net sales percentage changes are approximations based on quantitative formulas that are consistently applied. Other includes the sales mix impact from acquisitions and divestitures and rounding impacts necessary to reconcile volume to net sales.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591" w:left="1060" w:header="720" w:footer="720" w:gutter="0"/>
          <w:cols w:space="720" w:equalWidth="0">
            <w:col w:w="9560"/>
          </w:cols>
          <w:noEndnote/>
        </w:sectPr>
      </w:pPr>
    </w:p>
    <w:p w:rsidR="00000000" w:rsidRDefault="0057438D">
      <w:pPr>
        <w:pStyle w:val="DefaultParagraphFont"/>
        <w:widowControl w:val="0"/>
        <w:autoSpaceDE w:val="0"/>
        <w:autoSpaceDN w:val="0"/>
        <w:adjustRightInd w:val="0"/>
        <w:spacing w:after="0" w:line="31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BEAUTY</w:t>
      </w:r>
    </w:p>
    <w:p w:rsidR="00000000" w:rsidRDefault="0057438D">
      <w:pPr>
        <w:pStyle w:val="DefaultParagraphFont"/>
        <w:widowControl w:val="0"/>
        <w:autoSpaceDE w:val="0"/>
        <w:autoSpaceDN w:val="0"/>
        <w:adjustRightInd w:val="0"/>
        <w:spacing w:after="0" w:line="17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160"/>
        <w:gridCol w:w="840"/>
        <w:gridCol w:w="80"/>
        <w:gridCol w:w="800"/>
        <w:gridCol w:w="80"/>
        <w:gridCol w:w="820"/>
        <w:gridCol w:w="60"/>
        <w:gridCol w:w="800"/>
        <w:gridCol w:w="20"/>
        <w:gridCol w:w="20"/>
      </w:tblGrid>
      <w:tr w:rsidR="00000000">
        <w:tblPrEx>
          <w:tblCellMar>
            <w:top w:w="0" w:type="dxa"/>
            <w:left w:w="0" w:type="dxa"/>
            <w:bottom w:w="0" w:type="dxa"/>
            <w:right w:w="0" w:type="dxa"/>
          </w:tblCellMar>
        </w:tblPrEx>
        <w:trPr>
          <w:trHeight w:val="172"/>
        </w:trPr>
        <w:tc>
          <w:tcPr>
            <w:tcW w:w="11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 millions)</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Change vs</w:t>
            </w:r>
          </w:p>
        </w:tc>
        <w:tc>
          <w:tcPr>
            <w:tcW w:w="9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2013</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right="20"/>
              <w:jc w:val="center"/>
              <w:rPr>
                <w:rFonts w:ascii="Times New Roman" w:hAnsi="Times New Roman" w:cs="Times New Roman"/>
                <w:sz w:val="24"/>
                <w:szCs w:val="24"/>
              </w:rPr>
            </w:pPr>
            <w:r>
              <w:rPr>
                <w:rFonts w:ascii="Times New Roman" w:hAnsi="Times New Roman" w:cs="Times New Roman"/>
                <w:b/>
                <w:bCs/>
                <w:sz w:val="15"/>
                <w:szCs w:val="15"/>
              </w:rPr>
              <w:t>Change vs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1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2013</w:t>
            </w:r>
          </w:p>
        </w:tc>
        <w:tc>
          <w:tcPr>
            <w:tcW w:w="90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2012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1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Volume</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9"/>
                <w:szCs w:val="19"/>
              </w:rPr>
              <w:t>n/a</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9"/>
                <w:szCs w:val="19"/>
              </w:rPr>
              <w:t>n/a</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9"/>
                <w:szCs w:val="19"/>
              </w:rPr>
              <w:t>0%</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Net sales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$19,507</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w:t>
            </w:r>
          </w:p>
        </w:tc>
        <w:tc>
          <w:tcPr>
            <w:tcW w:w="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$19,956</w:t>
            </w:r>
          </w:p>
        </w:tc>
        <w:tc>
          <w:tcPr>
            <w:tcW w:w="8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Net earnings</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9"/>
                <w:szCs w:val="19"/>
              </w:rPr>
              <w:t>$2,739</w:t>
            </w:r>
          </w:p>
        </w:tc>
        <w:tc>
          <w:tcPr>
            <w:tcW w:w="8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+11%</w:t>
            </w:r>
          </w:p>
        </w:tc>
        <w:tc>
          <w:tcPr>
            <w:tcW w:w="9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$2,474</w:t>
            </w:r>
          </w:p>
        </w:tc>
        <w:tc>
          <w:tcPr>
            <w:tcW w:w="8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+4%</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3"/>
        </w:trPr>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7"/>
                <w:szCs w:val="17"/>
              </w:rPr>
              <w:t>% of Net Sales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8"/>
                <w:sz w:val="17"/>
                <w:szCs w:val="17"/>
              </w:rPr>
              <w:t>14.0%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7"/>
                <w:szCs w:val="17"/>
              </w:rPr>
              <w:t>160 bps</w:t>
            </w:r>
          </w:p>
        </w:tc>
        <w:tc>
          <w:tcPr>
            <w:tcW w:w="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7"/>
                <w:szCs w:val="17"/>
              </w:rPr>
              <w:t>12.4%</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
              <w:jc w:val="center"/>
              <w:rPr>
                <w:rFonts w:ascii="Times New Roman" w:hAnsi="Times New Roman" w:cs="Times New Roman"/>
                <w:sz w:val="24"/>
                <w:szCs w:val="24"/>
              </w:rPr>
            </w:pPr>
            <w:r>
              <w:rPr>
                <w:rFonts w:ascii="Times New Roman" w:hAnsi="Times New Roman" w:cs="Times New Roman"/>
                <w:w w:val="97"/>
                <w:sz w:val="17"/>
                <w:szCs w:val="17"/>
              </w:rPr>
              <w:t>60 bps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2014 compared with fiscal year 2013</w:t>
      </w:r>
    </w:p>
    <w:p w:rsidR="00000000" w:rsidRDefault="0057438D">
      <w:pPr>
        <w:pStyle w:val="DefaultParagraphFont"/>
        <w:widowControl w:val="0"/>
        <w:autoSpaceDE w:val="0"/>
        <w:autoSpaceDN w:val="0"/>
        <w:adjustRightInd w:val="0"/>
        <w:spacing w:after="0" w:line="10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Beauty net sales decreased 2% to $19.5 billion in 2014. Unit volume was in line with the prior year period as overall market growth was offset by share declines from the impacts of competitive activity. Organic sales were flat. Unfavorable foreign exchange</w:t>
      </w:r>
      <w:r>
        <w:rPr>
          <w:rFonts w:ascii="Times New Roman" w:hAnsi="Times New Roman" w:cs="Times New Roman"/>
          <w:sz w:val="19"/>
          <w:szCs w:val="19"/>
        </w:rPr>
        <w:t xml:space="preserve"> reduced net sales by 2%. Global market share of the Beauty segment decreased 0.4 points. Volume increased low single digits in developing markets and declined low single digits in developed markets. Volume in Hair Care and Color was flat with decreases in</w:t>
      </w:r>
      <w:r>
        <w:rPr>
          <w:rFonts w:ascii="Times New Roman" w:hAnsi="Times New Roman" w:cs="Times New Roman"/>
          <w:sz w:val="19"/>
          <w:szCs w:val="19"/>
        </w:rPr>
        <w:t xml:space="preserve"> developed regions offset by an increase in developing regions. Global market share of the hair care category decreased nearly half a point. Volume in Beauty Care increased low single digits due to product and commercial innovation and market growth for pe</w:t>
      </w:r>
      <w:r>
        <w:rPr>
          <w:rFonts w:ascii="Times New Roman" w:hAnsi="Times New Roman" w:cs="Times New Roman"/>
          <w:sz w:val="19"/>
          <w:szCs w:val="19"/>
        </w:rPr>
        <w:t>rsonal cleansing and deodorants, partially offset by a decrease in facial skin care due to competitive activity. Global market share of the beauty care category decreased nearly half a point. Volume in Salon Professional decreased mid-single digits due to</w:t>
      </w:r>
    </w:p>
    <w:p w:rsidR="00000000" w:rsidRDefault="0057438D">
      <w:pPr>
        <w:pStyle w:val="DefaultParagraphFont"/>
        <w:widowControl w:val="0"/>
        <w:autoSpaceDE w:val="0"/>
        <w:autoSpaceDN w:val="0"/>
        <w:adjustRightInd w:val="0"/>
        <w:spacing w:after="0" w:line="153"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overflowPunct w:val="0"/>
        <w:autoSpaceDE w:val="0"/>
        <w:autoSpaceDN w:val="0"/>
        <w:adjustRightInd w:val="0"/>
        <w:spacing w:after="0" w:line="269" w:lineRule="auto"/>
        <w:ind w:right="80"/>
        <w:rPr>
          <w:rFonts w:ascii="Times New Roman" w:hAnsi="Times New Roman" w:cs="Times New Roman"/>
          <w:sz w:val="24"/>
          <w:szCs w:val="24"/>
        </w:rPr>
      </w:pPr>
      <w:r>
        <w:rPr>
          <w:rFonts w:ascii="Times New Roman" w:hAnsi="Times New Roman" w:cs="Times New Roman"/>
          <w:sz w:val="19"/>
          <w:szCs w:val="19"/>
        </w:rPr>
        <w:t>competitive activity and European market contraction. Volume in Prestige decreased low single digits due to minor brand divestitures.</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Net earnings increased 11% to $2.7 billion due to a 160 basis point increase in net earnings margin. Net earnings margi</w:t>
      </w:r>
      <w:r>
        <w:rPr>
          <w:rFonts w:ascii="Times New Roman" w:hAnsi="Times New Roman" w:cs="Times New Roman"/>
          <w:sz w:val="19"/>
          <w:szCs w:val="19"/>
        </w:rPr>
        <w:t>n increased due to a decrease in SG&amp;A and a gain on a minor brand divestiture (Pert in Latin America), partially offset by gross margin contraction. SG&amp;A decreased primarily due to a reduction in marketing spending resulting from optimization efforts. Gros</w:t>
      </w:r>
      <w:r>
        <w:rPr>
          <w:rFonts w:ascii="Times New Roman" w:hAnsi="Times New Roman" w:cs="Times New Roman"/>
          <w:sz w:val="19"/>
          <w:szCs w:val="19"/>
        </w:rPr>
        <w:t>s margin decreased slightly due to the impact of foreign exchange and negative geographic and product mix, partially offset by manufacturing cost savings.</w:t>
      </w:r>
    </w:p>
    <w:p w:rsidR="00000000" w:rsidRDefault="0057438D">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2013 compared with fiscal year 2012</w:t>
      </w:r>
    </w:p>
    <w:p w:rsidR="00000000" w:rsidRDefault="0057438D">
      <w:pPr>
        <w:pStyle w:val="DefaultParagraphFont"/>
        <w:widowControl w:val="0"/>
        <w:autoSpaceDE w:val="0"/>
        <w:autoSpaceDN w:val="0"/>
        <w:adjustRightInd w:val="0"/>
        <w:spacing w:after="0" w:line="10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Beauty net sales decreased 2% to $20.0 billion in 2</w:t>
      </w:r>
      <w:r>
        <w:rPr>
          <w:rFonts w:ascii="Times New Roman" w:hAnsi="Times New Roman" w:cs="Times New Roman"/>
          <w:sz w:val="19"/>
          <w:szCs w:val="19"/>
        </w:rPr>
        <w:t>013 on unit volume that was in line with the prior year period. Organic sales increased 1%. Price increases contributed 2% to net sales growth. Unfavorable geographic mix reduced net sales by 1% due to disproportionate growth in developing regions, which h</w:t>
      </w:r>
      <w:r>
        <w:rPr>
          <w:rFonts w:ascii="Times New Roman" w:hAnsi="Times New Roman" w:cs="Times New Roman"/>
          <w:sz w:val="19"/>
          <w:szCs w:val="19"/>
        </w:rPr>
        <w:t>ave lower than segment average selling prices. Unfavorable foreign exchange reduced net sales by 2%. The mix impact of minor brand divestitures reduced net sales by 1%. Global market share of the Beauty segment decreased 0.5 points. Volume increased low si</w:t>
      </w:r>
      <w:r>
        <w:rPr>
          <w:rFonts w:ascii="Times New Roman" w:hAnsi="Times New Roman" w:cs="Times New Roman"/>
          <w:sz w:val="19"/>
          <w:szCs w:val="19"/>
        </w:rPr>
        <w:t>ngle digits in developing markets and decreased low single digits in developed regions. Volume in Hair Care and Color was in line with the prior year period due to a low single-digit increase in developing regions from market growth and innovation offset b</w:t>
      </w:r>
      <w:r>
        <w:rPr>
          <w:rFonts w:ascii="Times New Roman" w:hAnsi="Times New Roman" w:cs="Times New Roman"/>
          <w:sz w:val="19"/>
          <w:szCs w:val="19"/>
        </w:rPr>
        <w:t>y a low single-digit decline in developed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900" w:bottom="591" w:left="860" w:header="720" w:footer="720" w:gutter="0"/>
          <w:cols w:num="2" w:space="440" w:equalWidth="0">
            <w:col w:w="4660" w:space="440"/>
            <w:col w:w="466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32</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20"/>
        <w:rPr>
          <w:rFonts w:ascii="Times New Roman" w:hAnsi="Times New Roman" w:cs="Times New Roman"/>
          <w:sz w:val="24"/>
          <w:szCs w:val="24"/>
        </w:rPr>
      </w:pPr>
      <w:r>
        <w:rPr>
          <w:rFonts w:ascii="Times New Roman" w:hAnsi="Times New Roman" w:cs="Times New Roman"/>
          <w:sz w:val="19"/>
          <w:szCs w:val="19"/>
        </w:rPr>
        <w:t>regions from reduced shipments as a result of price gaps versus competition. Global market share of the hair care and color category was down more than half a point. Volume in Beauty Care was in line with the prior year period. A low single-digit volume in</w:t>
      </w:r>
      <w:r>
        <w:rPr>
          <w:rFonts w:ascii="Times New Roman" w:hAnsi="Times New Roman" w:cs="Times New Roman"/>
          <w:sz w:val="19"/>
          <w:szCs w:val="19"/>
        </w:rPr>
        <w:t>crease in personal cleansing and a mid-single-digit increase in deodorants, driven by innovation and market growth in developing regions, was offset by a mid-single-digit decline in facial skin care, where global market share decreased about a point. Volum</w:t>
      </w:r>
      <w:r>
        <w:rPr>
          <w:rFonts w:ascii="Times New Roman" w:hAnsi="Times New Roman" w:cs="Times New Roman"/>
          <w:sz w:val="19"/>
          <w:szCs w:val="19"/>
        </w:rPr>
        <w:t>e in Salon Professional was in line with the prior year period due to mid-single-digit growth in developing markets behind new innovations, offset by a low single-digit decline in developed regions from market contraction. Volume in Prestige was in line wi</w:t>
      </w:r>
      <w:r>
        <w:rPr>
          <w:rFonts w:ascii="Times New Roman" w:hAnsi="Times New Roman" w:cs="Times New Roman"/>
          <w:sz w:val="19"/>
          <w:szCs w:val="19"/>
        </w:rPr>
        <w:t>th the prior year period due to minor brand divestitures and market contraction in Western Europe, offset by innovation and market growth in developing markets. Organic volume in Prestige increased low single digits.</w:t>
      </w:r>
    </w:p>
    <w:p w:rsidR="00000000" w:rsidRDefault="0057438D">
      <w:pPr>
        <w:pStyle w:val="DefaultParagraphFont"/>
        <w:widowControl w:val="0"/>
        <w:autoSpaceDE w:val="0"/>
        <w:autoSpaceDN w:val="0"/>
        <w:adjustRightInd w:val="0"/>
        <w:spacing w:after="0" w:line="9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0"/>
        <w:rPr>
          <w:rFonts w:ascii="Times New Roman" w:hAnsi="Times New Roman" w:cs="Times New Roman"/>
          <w:sz w:val="24"/>
          <w:szCs w:val="24"/>
        </w:rPr>
      </w:pPr>
      <w:r>
        <w:rPr>
          <w:rFonts w:ascii="Times New Roman" w:hAnsi="Times New Roman" w:cs="Times New Roman"/>
          <w:sz w:val="19"/>
          <w:szCs w:val="19"/>
        </w:rPr>
        <w:t>Net earnings increased 4% to $2.5 billion, as lower net sales were more than offset by a 60-basis point increase in net earnings margin. Net earnings margin increased due to gross margin expansion, a decrease in SG&amp;A as a percentage of sales and a lower ef</w:t>
      </w:r>
      <w:r>
        <w:rPr>
          <w:rFonts w:ascii="Times New Roman" w:hAnsi="Times New Roman" w:cs="Times New Roman"/>
          <w:sz w:val="19"/>
          <w:szCs w:val="19"/>
        </w:rPr>
        <w:t>fective tax rate. Gross margin increased behind manufacturing cost savings and higher pricing. SG&amp;A as a percentage of net sales declined largely due to reduced overhead spending. The effective tax rate declined due to the geographic mix of earnings.</w:t>
      </w:r>
    </w:p>
    <w:p w:rsidR="00000000" w:rsidRDefault="0057438D">
      <w:pPr>
        <w:pStyle w:val="DefaultParagraphFont"/>
        <w:widowControl w:val="0"/>
        <w:autoSpaceDE w:val="0"/>
        <w:autoSpaceDN w:val="0"/>
        <w:adjustRightInd w:val="0"/>
        <w:spacing w:after="0" w:line="7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GROO</w:t>
      </w:r>
      <w:r>
        <w:rPr>
          <w:rFonts w:ascii="Times New Roman" w:hAnsi="Times New Roman" w:cs="Times New Roman"/>
          <w:b/>
          <w:bCs/>
          <w:i/>
          <w:iCs/>
          <w:sz w:val="19"/>
          <w:szCs w:val="19"/>
        </w:rPr>
        <w:t>MING</w:t>
      </w:r>
    </w:p>
    <w:p w:rsidR="00000000" w:rsidRDefault="0057438D">
      <w:pPr>
        <w:pStyle w:val="DefaultParagraphFont"/>
        <w:widowControl w:val="0"/>
        <w:autoSpaceDE w:val="0"/>
        <w:autoSpaceDN w:val="0"/>
        <w:adjustRightInd w:val="0"/>
        <w:spacing w:after="0" w:line="17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180"/>
        <w:gridCol w:w="840"/>
        <w:gridCol w:w="80"/>
        <w:gridCol w:w="800"/>
        <w:gridCol w:w="60"/>
        <w:gridCol w:w="820"/>
        <w:gridCol w:w="60"/>
        <w:gridCol w:w="800"/>
        <w:gridCol w:w="20"/>
        <w:gridCol w:w="20"/>
      </w:tblGrid>
      <w:tr w:rsidR="00000000">
        <w:tblPrEx>
          <w:tblCellMar>
            <w:top w:w="0" w:type="dxa"/>
            <w:left w:w="0" w:type="dxa"/>
            <w:bottom w:w="0" w:type="dxa"/>
            <w:right w:w="0" w:type="dxa"/>
          </w:tblCellMar>
        </w:tblPrEx>
        <w:trPr>
          <w:trHeight w:val="172"/>
        </w:trPr>
        <w:tc>
          <w:tcPr>
            <w:tcW w:w="1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 millions)</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Change vs</w:t>
            </w:r>
          </w:p>
        </w:tc>
        <w:tc>
          <w:tcPr>
            <w:tcW w:w="8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2013</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right="20"/>
              <w:jc w:val="center"/>
              <w:rPr>
                <w:rFonts w:ascii="Times New Roman" w:hAnsi="Times New Roman" w:cs="Times New Roman"/>
                <w:sz w:val="24"/>
                <w:szCs w:val="24"/>
              </w:rPr>
            </w:pPr>
            <w:r>
              <w:rPr>
                <w:rFonts w:ascii="Times New Roman" w:hAnsi="Times New Roman" w:cs="Times New Roman"/>
                <w:b/>
                <w:bCs/>
                <w:sz w:val="15"/>
                <w:szCs w:val="15"/>
              </w:rPr>
              <w:t>Change vs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2013</w:t>
            </w:r>
          </w:p>
        </w:tc>
        <w:tc>
          <w:tcPr>
            <w:tcW w:w="8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2012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1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Volume</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9"/>
                <w:szCs w:val="19"/>
              </w:rPr>
              <w:t>n/a</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+1%</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9"/>
                <w:szCs w:val="19"/>
              </w:rPr>
              <w:t>n/a</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Net sales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9"/>
                <w:szCs w:val="19"/>
              </w:rPr>
              <w:t>$8,009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$8,038</w:t>
            </w:r>
          </w:p>
        </w:tc>
        <w:tc>
          <w:tcPr>
            <w:tcW w:w="8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Net earnings</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9"/>
                <w:szCs w:val="19"/>
              </w:rPr>
              <w:t>$1,954</w:t>
            </w:r>
          </w:p>
        </w:tc>
        <w:tc>
          <w:tcPr>
            <w:tcW w:w="8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+6%</w:t>
            </w:r>
          </w:p>
        </w:tc>
        <w:tc>
          <w:tcPr>
            <w:tcW w:w="8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$1,837</w:t>
            </w:r>
          </w:p>
        </w:tc>
        <w:tc>
          <w:tcPr>
            <w:tcW w:w="8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+2%</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3"/>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7"/>
                <w:szCs w:val="17"/>
              </w:rPr>
              <w:t>% of Net Sales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7"/>
                <w:szCs w:val="17"/>
              </w:rPr>
              <w:t>24.4%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7"/>
                <w:szCs w:val="17"/>
              </w:rPr>
              <w:t>150 bps</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7"/>
                <w:szCs w:val="17"/>
              </w:rPr>
              <w:t>22.9%</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0"/>
              <w:jc w:val="center"/>
              <w:rPr>
                <w:rFonts w:ascii="Times New Roman" w:hAnsi="Times New Roman" w:cs="Times New Roman"/>
                <w:sz w:val="24"/>
                <w:szCs w:val="24"/>
              </w:rPr>
            </w:pPr>
            <w:r>
              <w:rPr>
                <w:rFonts w:ascii="Times New Roman" w:hAnsi="Times New Roman" w:cs="Times New Roman"/>
                <w:sz w:val="17"/>
                <w:szCs w:val="17"/>
              </w:rPr>
              <w:t>120 bps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2014 compared with fiscal year 2013</w:t>
      </w:r>
    </w:p>
    <w:p w:rsidR="00000000" w:rsidRDefault="0057438D">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8" w:lineRule="auto"/>
        <w:jc w:val="both"/>
        <w:rPr>
          <w:rFonts w:ascii="Times New Roman" w:hAnsi="Times New Roman" w:cs="Times New Roman"/>
          <w:sz w:val="24"/>
          <w:szCs w:val="24"/>
        </w:rPr>
      </w:pPr>
      <w:r>
        <w:rPr>
          <w:rFonts w:ascii="Times New Roman" w:hAnsi="Times New Roman" w:cs="Times New Roman"/>
          <w:sz w:val="18"/>
          <w:szCs w:val="18"/>
        </w:rPr>
        <w:t xml:space="preserve">Grooming net sales were flat at $8.0 billion in 2014 on a 1% increase in unit volume. Organic sales were up 3%. Price increases in Blades and Razors andAppliances </w:t>
      </w:r>
      <w:r>
        <w:rPr>
          <w:rFonts w:ascii="Times New Roman" w:hAnsi="Times New Roman" w:cs="Times New Roman"/>
          <w:sz w:val="18"/>
          <w:szCs w:val="18"/>
        </w:rPr>
        <w:t>contributed 4% to net sales growth. Unfavorable geographic and product mix reduced net sales by 2% due to disproportionate growth in developing regions and mid-tier products, both of which have lower than segment average selling prices. Unfavorable foreign</w:t>
      </w:r>
      <w:r>
        <w:rPr>
          <w:rFonts w:ascii="Times New Roman" w:hAnsi="Times New Roman" w:cs="Times New Roman"/>
          <w:sz w:val="18"/>
          <w:szCs w:val="18"/>
        </w:rPr>
        <w:t xml:space="preserve"> exchange reduced net salesby 3%. Global market share of the Grooming segment increased 0.2 points. Volume increased mid-single digits in developing regions partially offset by a low single digit decrease in developed regions. Shave Care volume increased l</w:t>
      </w:r>
      <w:r>
        <w:rPr>
          <w:rFonts w:ascii="Times New Roman" w:hAnsi="Times New Roman" w:cs="Times New Roman"/>
          <w:sz w:val="18"/>
          <w:szCs w:val="18"/>
        </w:rPr>
        <w:t>ow single digits due to a mid-single-digit growth in developing regions from innovation and market growth, partially offset by a low single-digit decrease in developed regions due to market contraction. Global market share of the blades and razors category</w:t>
      </w:r>
      <w:r>
        <w:rPr>
          <w:rFonts w:ascii="Times New Roman" w:hAnsi="Times New Roman" w:cs="Times New Roman"/>
          <w:sz w:val="18"/>
          <w:szCs w:val="18"/>
        </w:rPr>
        <w:t xml:space="preserve"> was up slightly. Volume in Appliances decreased low single digits due to the sale of the Braun household appliances business. Organic volume increased mid-single digits driven by developing markets due</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to market growth, product innovation on men's shav</w:t>
      </w:r>
      <w:r>
        <w:rPr>
          <w:rFonts w:ascii="Times New Roman" w:hAnsi="Times New Roman" w:cs="Times New Roman"/>
          <w:sz w:val="19"/>
          <w:szCs w:val="19"/>
        </w:rPr>
        <w:t>ers and shipments to build inventory to support initiatives and new distributors. Global market share of the appliances category was down less than half a point.</w:t>
      </w:r>
    </w:p>
    <w:p w:rsidR="00000000" w:rsidRDefault="0057438D">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74" w:lineRule="auto"/>
        <w:jc w:val="both"/>
        <w:rPr>
          <w:rFonts w:ascii="Times New Roman" w:hAnsi="Times New Roman" w:cs="Times New Roman"/>
          <w:sz w:val="24"/>
          <w:szCs w:val="24"/>
        </w:rPr>
      </w:pPr>
      <w:r>
        <w:rPr>
          <w:rFonts w:ascii="Times New Roman" w:hAnsi="Times New Roman" w:cs="Times New Roman"/>
          <w:sz w:val="18"/>
          <w:szCs w:val="18"/>
        </w:rPr>
        <w:t>Net earnings increased 6% to $2.0 billion due to a 150 basis-point increase in net earnings margin. Net earnings margin increased primarily due to a reduction in SG&amp;A spending which was driven by a decrease in marketing spending. Gross margin increased sli</w:t>
      </w:r>
      <w:r>
        <w:rPr>
          <w:rFonts w:ascii="Times New Roman" w:hAnsi="Times New Roman" w:cs="Times New Roman"/>
          <w:sz w:val="18"/>
          <w:szCs w:val="18"/>
        </w:rPr>
        <w:t>ghtly as the benefits of pricing and manufacturing cost savings more than offset the negative impacts of foreign exchange and geographic and product mix.</w:t>
      </w:r>
    </w:p>
    <w:p w:rsidR="00000000" w:rsidRDefault="0057438D">
      <w:pPr>
        <w:pStyle w:val="DefaultParagraphFont"/>
        <w:widowControl w:val="0"/>
        <w:autoSpaceDE w:val="0"/>
        <w:autoSpaceDN w:val="0"/>
        <w:adjustRightInd w:val="0"/>
        <w:spacing w:after="0" w:line="11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2013 compared with fiscal year 2012</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1" w:lineRule="auto"/>
        <w:ind w:right="60"/>
        <w:jc w:val="both"/>
        <w:rPr>
          <w:rFonts w:ascii="Times New Roman" w:hAnsi="Times New Roman" w:cs="Times New Roman"/>
          <w:sz w:val="24"/>
          <w:szCs w:val="24"/>
        </w:rPr>
      </w:pPr>
      <w:r>
        <w:rPr>
          <w:rFonts w:ascii="Times New Roman" w:hAnsi="Times New Roman" w:cs="Times New Roman"/>
          <w:sz w:val="19"/>
          <w:szCs w:val="19"/>
        </w:rPr>
        <w:t>Grooming net sales decreased 4% to $8.0 billion in 2</w:t>
      </w:r>
      <w:r>
        <w:rPr>
          <w:rFonts w:ascii="Times New Roman" w:hAnsi="Times New Roman" w:cs="Times New Roman"/>
          <w:sz w:val="19"/>
          <w:szCs w:val="19"/>
        </w:rPr>
        <w:t>013 on a 1% decrease in unit volume. Organic sales were up 2% on organic volume that was in line with the prior year period.</w:t>
      </w:r>
    </w:p>
    <w:p w:rsidR="00000000" w:rsidRDefault="0057438D">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40"/>
        <w:rPr>
          <w:rFonts w:ascii="Times New Roman" w:hAnsi="Times New Roman" w:cs="Times New Roman"/>
          <w:sz w:val="24"/>
          <w:szCs w:val="24"/>
        </w:rPr>
      </w:pPr>
      <w:r>
        <w:rPr>
          <w:rFonts w:ascii="Times New Roman" w:hAnsi="Times New Roman" w:cs="Times New Roman"/>
          <w:sz w:val="19"/>
          <w:szCs w:val="19"/>
        </w:rPr>
        <w:t>Price increases contributed 2% to net sales growth. Unfavorable foreign exchange reduced net sales by 4%. The impact of the Braun household appliances business divestiture reduced net sales by 1%. Global market share of the Grooming segment increased 0.4 p</w:t>
      </w:r>
      <w:r>
        <w:rPr>
          <w:rFonts w:ascii="Times New Roman" w:hAnsi="Times New Roman" w:cs="Times New Roman"/>
          <w:sz w:val="19"/>
          <w:szCs w:val="19"/>
        </w:rPr>
        <w:t>oints. Volume increased low single digits in developing regions and decreased mid-single digits in developed regions. Shave Care volume increased low single digits due to low single-digit growth in developing regions, primarily behind market growth and inn</w:t>
      </w:r>
      <w:r>
        <w:rPr>
          <w:rFonts w:ascii="Times New Roman" w:hAnsi="Times New Roman" w:cs="Times New Roman"/>
          <w:sz w:val="19"/>
          <w:szCs w:val="19"/>
        </w:rPr>
        <w:t>ovation expansion, partially offset by a low single-digit decrease in developed regions primarily due to market contraction in Western Europe. Global market share of the blades and razors category was up less than half a point. Volume in Appliances decreas</w:t>
      </w:r>
      <w:r>
        <w:rPr>
          <w:rFonts w:ascii="Times New Roman" w:hAnsi="Times New Roman" w:cs="Times New Roman"/>
          <w:sz w:val="19"/>
          <w:szCs w:val="19"/>
        </w:rPr>
        <w:t>ed double digits due to the sale of the Braun household appliances business, competitive activity and market contraction. Organic volume in Appliances declined high single digits. Global market share of the appliances category decreased nearly half a point</w:t>
      </w:r>
      <w:r>
        <w:rPr>
          <w:rFonts w:ascii="Times New Roman" w:hAnsi="Times New Roman" w:cs="Times New Roman"/>
          <w:sz w:val="19"/>
          <w:szCs w:val="19"/>
        </w:rPr>
        <w:t>.</w:t>
      </w:r>
    </w:p>
    <w:p w:rsidR="00000000" w:rsidRDefault="0057438D">
      <w:pPr>
        <w:pStyle w:val="DefaultParagraphFont"/>
        <w:widowControl w:val="0"/>
        <w:autoSpaceDE w:val="0"/>
        <w:autoSpaceDN w:val="0"/>
        <w:adjustRightInd w:val="0"/>
        <w:spacing w:after="0" w:line="9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80"/>
        <w:rPr>
          <w:rFonts w:ascii="Times New Roman" w:hAnsi="Times New Roman" w:cs="Times New Roman"/>
          <w:sz w:val="24"/>
          <w:szCs w:val="24"/>
        </w:rPr>
      </w:pPr>
      <w:r>
        <w:rPr>
          <w:rFonts w:ascii="Times New Roman" w:hAnsi="Times New Roman" w:cs="Times New Roman"/>
          <w:sz w:val="19"/>
          <w:szCs w:val="19"/>
        </w:rPr>
        <w:t>Net earnings increased 2% to $1.8 billion due to a 120-basis point increase in net earnings margin, partially offset by the decrease in net sales. Net earnings margin increased primarily due to gross margin expansion. Gross margin increased due to prici</w:t>
      </w:r>
      <w:r>
        <w:rPr>
          <w:rFonts w:ascii="Times New Roman" w:hAnsi="Times New Roman" w:cs="Times New Roman"/>
          <w:sz w:val="19"/>
          <w:szCs w:val="19"/>
        </w:rPr>
        <w:t>ng and manufacturing cost savings. SG&amp;A as a percentage of net sales decreased nominally as increased marketing spending was offset by reduced overhead costs.</w:t>
      </w:r>
    </w:p>
    <w:p w:rsidR="00000000" w:rsidRDefault="0057438D">
      <w:pPr>
        <w:pStyle w:val="DefaultParagraphFont"/>
        <w:widowControl w:val="0"/>
        <w:autoSpaceDE w:val="0"/>
        <w:autoSpaceDN w:val="0"/>
        <w:adjustRightInd w:val="0"/>
        <w:spacing w:after="0" w:line="7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19"/>
          <w:szCs w:val="19"/>
        </w:rPr>
        <w:t>HEALTH CARE</w:t>
      </w:r>
    </w:p>
    <w:p w:rsidR="00000000" w:rsidRDefault="0057438D">
      <w:pPr>
        <w:pStyle w:val="DefaultParagraphFont"/>
        <w:widowControl w:val="0"/>
        <w:autoSpaceDE w:val="0"/>
        <w:autoSpaceDN w:val="0"/>
        <w:adjustRightInd w:val="0"/>
        <w:spacing w:after="0" w:line="17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160"/>
        <w:gridCol w:w="840"/>
        <w:gridCol w:w="80"/>
        <w:gridCol w:w="800"/>
        <w:gridCol w:w="80"/>
        <w:gridCol w:w="160"/>
        <w:gridCol w:w="660"/>
        <w:gridCol w:w="60"/>
        <w:gridCol w:w="820"/>
        <w:gridCol w:w="20"/>
        <w:gridCol w:w="20"/>
      </w:tblGrid>
      <w:tr w:rsidR="00000000">
        <w:tblPrEx>
          <w:tblCellMar>
            <w:top w:w="0" w:type="dxa"/>
            <w:left w:w="0" w:type="dxa"/>
            <w:bottom w:w="0" w:type="dxa"/>
            <w:right w:w="0" w:type="dxa"/>
          </w:tblCellMar>
        </w:tblPrEx>
        <w:trPr>
          <w:trHeight w:val="172"/>
        </w:trPr>
        <w:tc>
          <w:tcPr>
            <w:tcW w:w="11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 millions)</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Change vs</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90"/>
              <w:jc w:val="right"/>
              <w:rPr>
                <w:rFonts w:ascii="Times New Roman" w:hAnsi="Times New Roman" w:cs="Times New Roman"/>
                <w:sz w:val="24"/>
                <w:szCs w:val="24"/>
              </w:rPr>
            </w:pPr>
            <w:r>
              <w:rPr>
                <w:rFonts w:ascii="Times New Roman" w:hAnsi="Times New Roman" w:cs="Times New Roman"/>
                <w:b/>
                <w:bCs/>
                <w:sz w:val="15"/>
                <w:szCs w:val="15"/>
              </w:rPr>
              <w:t>2013</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0"/>
              <w:jc w:val="center"/>
              <w:rPr>
                <w:rFonts w:ascii="Times New Roman" w:hAnsi="Times New Roman" w:cs="Times New Roman"/>
                <w:sz w:val="24"/>
                <w:szCs w:val="24"/>
              </w:rPr>
            </w:pPr>
            <w:r>
              <w:rPr>
                <w:rFonts w:ascii="Times New Roman" w:hAnsi="Times New Roman" w:cs="Times New Roman"/>
                <w:b/>
                <w:bCs/>
                <w:sz w:val="15"/>
                <w:szCs w:val="15"/>
              </w:rPr>
              <w:t>Change vs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1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2012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1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Volume</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n/a</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10"/>
              <w:jc w:val="right"/>
              <w:rPr>
                <w:rFonts w:ascii="Times New Roman" w:hAnsi="Times New Roman" w:cs="Times New Roman"/>
                <w:sz w:val="24"/>
                <w:szCs w:val="24"/>
              </w:rPr>
            </w:pPr>
            <w:r>
              <w:rPr>
                <w:rFonts w:ascii="Times New Roman" w:hAnsi="Times New Roman" w:cs="Times New Roman"/>
                <w:sz w:val="19"/>
                <w:szCs w:val="19"/>
              </w:rPr>
              <w:t>n/a</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+5%</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Net</w:t>
            </w:r>
            <w:r>
              <w:rPr>
                <w:rFonts w:ascii="Times New Roman" w:hAnsi="Times New Roman" w:cs="Times New Roman"/>
                <w:sz w:val="19"/>
                <w:szCs w:val="19"/>
              </w:rPr>
              <w:t xml:space="preserve"> sales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$7,798</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+1%</w:t>
            </w:r>
          </w:p>
        </w:tc>
        <w:tc>
          <w:tcPr>
            <w:tcW w:w="2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sz w:val="19"/>
                <w:szCs w:val="19"/>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7,684</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+6%</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Net earnings</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$1,083</w:t>
            </w:r>
          </w:p>
        </w:tc>
        <w:tc>
          <w:tcPr>
            <w:tcW w:w="8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w:t>
            </w:r>
          </w:p>
        </w:tc>
        <w:tc>
          <w:tcPr>
            <w:tcW w:w="2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sz w:val="19"/>
                <w:szCs w:val="19"/>
              </w:rPr>
              <w:t>$</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1,093</w:t>
            </w:r>
          </w:p>
        </w:tc>
        <w:tc>
          <w:tcPr>
            <w:tcW w:w="8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7"/>
                <w:szCs w:val="17"/>
              </w:rPr>
              <w:t>+7%</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3"/>
        </w:trPr>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7"/>
                <w:szCs w:val="17"/>
              </w:rPr>
              <w:t>% of Net Sales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8"/>
                <w:sz w:val="17"/>
                <w:szCs w:val="17"/>
              </w:rPr>
              <w:t>13.9%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7"/>
                <w:szCs w:val="17"/>
              </w:rPr>
              <w:t>(30) bps</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0"/>
              <w:jc w:val="right"/>
              <w:rPr>
                <w:rFonts w:ascii="Times New Roman" w:hAnsi="Times New Roman" w:cs="Times New Roman"/>
                <w:sz w:val="24"/>
                <w:szCs w:val="24"/>
              </w:rPr>
            </w:pPr>
            <w:r>
              <w:rPr>
                <w:rFonts w:ascii="Times New Roman" w:hAnsi="Times New Roman" w:cs="Times New Roman"/>
                <w:sz w:val="17"/>
                <w:szCs w:val="17"/>
              </w:rPr>
              <w:t>14.2%</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0"/>
              <w:jc w:val="center"/>
              <w:rPr>
                <w:rFonts w:ascii="Times New Roman" w:hAnsi="Times New Roman" w:cs="Times New Roman"/>
                <w:sz w:val="24"/>
                <w:szCs w:val="24"/>
              </w:rPr>
            </w:pPr>
            <w:r>
              <w:rPr>
                <w:rFonts w:ascii="Times New Roman" w:hAnsi="Times New Roman" w:cs="Times New Roman"/>
                <w:w w:val="97"/>
                <w:sz w:val="17"/>
                <w:szCs w:val="17"/>
              </w:rPr>
              <w:t>10 bps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2014 compared with fiscal year 2013</w:t>
      </w:r>
    </w:p>
    <w:p w:rsidR="00000000" w:rsidRDefault="0057438D">
      <w:pPr>
        <w:pStyle w:val="DefaultParagraphFont"/>
        <w:widowControl w:val="0"/>
        <w:autoSpaceDE w:val="0"/>
        <w:autoSpaceDN w:val="0"/>
        <w:adjustRightInd w:val="0"/>
        <w:spacing w:after="0" w:line="10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60"/>
        <w:rPr>
          <w:rFonts w:ascii="Times New Roman" w:hAnsi="Times New Roman" w:cs="Times New Roman"/>
          <w:sz w:val="24"/>
          <w:szCs w:val="24"/>
        </w:rPr>
      </w:pPr>
      <w:r>
        <w:rPr>
          <w:rFonts w:ascii="Times New Roman" w:hAnsi="Times New Roman" w:cs="Times New Roman"/>
          <w:sz w:val="19"/>
          <w:szCs w:val="19"/>
        </w:rPr>
        <w:t>Health Care net sales increased 1% to $7.8 billion in 2014 on a 2% increase in unit volume. Organic sales increased 2%. Price increases across the businesses contributed 1% to</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80" w:bottom="530" w:left="860" w:header="720" w:footer="720" w:gutter="0"/>
          <w:cols w:num="2" w:space="420" w:equalWidth="0">
            <w:col w:w="4680" w:space="420"/>
            <w:col w:w="46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net sales growth. Disproportionate growth in developing regions drove unfavorable geographic mix reducing net sales by 1%. Unfavorable foreign exchange reduced net sales by 1%. Global market share of the Health Care segment increased 0.2 points. Volume inc</w:t>
      </w:r>
      <w:r>
        <w:rPr>
          <w:rFonts w:ascii="Times New Roman" w:hAnsi="Times New Roman" w:cs="Times New Roman"/>
          <w:sz w:val="19"/>
          <w:szCs w:val="19"/>
        </w:rPr>
        <w:t>reased low single digits in both developed and developing regions. Oral Care volume increased low single digits due to a mid-single digit increase in developing regions behind geographic market expansion and market growth and a low single-digit increase in</w:t>
      </w:r>
      <w:r>
        <w:rPr>
          <w:rFonts w:ascii="Times New Roman" w:hAnsi="Times New Roman" w:cs="Times New Roman"/>
          <w:sz w:val="19"/>
          <w:szCs w:val="19"/>
        </w:rPr>
        <w:t xml:space="preserve"> developed regions from innovation. Global market share of the oral care category increased less than half a point. Volume in Personal Health Care decreased low single digits due to a weak cough and cold season which was only partially offset by innovation</w:t>
      </w:r>
      <w:r>
        <w:rPr>
          <w:rFonts w:ascii="Times New Roman" w:hAnsi="Times New Roman" w:cs="Times New Roman"/>
          <w:sz w:val="19"/>
          <w:szCs w:val="19"/>
        </w:rPr>
        <w:t xml:space="preserve"> and market expansion.</w:t>
      </w:r>
    </w:p>
    <w:p w:rsidR="00000000" w:rsidRDefault="0057438D">
      <w:pPr>
        <w:pStyle w:val="DefaultParagraphFont"/>
        <w:widowControl w:val="0"/>
        <w:autoSpaceDE w:val="0"/>
        <w:autoSpaceDN w:val="0"/>
        <w:adjustRightInd w:val="0"/>
        <w:spacing w:after="0" w:line="6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rPr>
          <w:rFonts w:ascii="Times New Roman" w:hAnsi="Times New Roman" w:cs="Times New Roman"/>
          <w:sz w:val="24"/>
          <w:szCs w:val="24"/>
        </w:rPr>
      </w:pPr>
      <w:r>
        <w:rPr>
          <w:rFonts w:ascii="Times New Roman" w:hAnsi="Times New Roman" w:cs="Times New Roman"/>
          <w:sz w:val="19"/>
          <w:szCs w:val="19"/>
        </w:rPr>
        <w:t>Net earnings decreased 1% to $1.1 billion as increased net sales was more than offset by a 30-basis point decrease in net earnings margin. Net earnings margin decreased due to gross margin contraction partially offset by lower overh</w:t>
      </w:r>
      <w:r>
        <w:rPr>
          <w:rFonts w:ascii="Times New Roman" w:hAnsi="Times New Roman" w:cs="Times New Roman"/>
          <w:sz w:val="19"/>
          <w:szCs w:val="19"/>
        </w:rPr>
        <w:t>eads. Gross margin decreased due to the impact of foreign exchange and negative geographic and product mix, partially offset by manufacturing cost savings and pricing.</w:t>
      </w:r>
    </w:p>
    <w:p w:rsidR="00000000" w:rsidRDefault="0057438D">
      <w:pPr>
        <w:pStyle w:val="DefaultParagraphFont"/>
        <w:widowControl w:val="0"/>
        <w:autoSpaceDE w:val="0"/>
        <w:autoSpaceDN w:val="0"/>
        <w:adjustRightInd w:val="0"/>
        <w:spacing w:after="0" w:line="13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2013 compared with fiscal year 2012</w:t>
      </w:r>
    </w:p>
    <w:p w:rsidR="00000000" w:rsidRDefault="0057438D">
      <w:pPr>
        <w:pStyle w:val="DefaultParagraphFont"/>
        <w:widowControl w:val="0"/>
        <w:autoSpaceDE w:val="0"/>
        <w:autoSpaceDN w:val="0"/>
        <w:adjustRightInd w:val="0"/>
        <w:spacing w:after="0" w:line="10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20"/>
        <w:rPr>
          <w:rFonts w:ascii="Times New Roman" w:hAnsi="Times New Roman" w:cs="Times New Roman"/>
          <w:sz w:val="24"/>
          <w:szCs w:val="24"/>
        </w:rPr>
      </w:pPr>
      <w:r>
        <w:rPr>
          <w:rFonts w:ascii="Times New Roman" w:hAnsi="Times New Roman" w:cs="Times New Roman"/>
          <w:sz w:val="19"/>
          <w:szCs w:val="19"/>
        </w:rPr>
        <w:t xml:space="preserve">Health Care net sales increased 6% to </w:t>
      </w:r>
      <w:r>
        <w:rPr>
          <w:rFonts w:ascii="Times New Roman" w:hAnsi="Times New Roman" w:cs="Times New Roman"/>
          <w:sz w:val="19"/>
          <w:szCs w:val="19"/>
        </w:rPr>
        <w:t xml:space="preserve">$7.7 billion in 2013 on a 5% increase in unit volume. Organic sales were up 7%. Unfavorable foreign exchange reduced net sales by 3%. Price increases across all regions contributed 1% to net sales growth. Favorable geographic and product mix increased net </w:t>
      </w:r>
      <w:r>
        <w:rPr>
          <w:rFonts w:ascii="Times New Roman" w:hAnsi="Times New Roman" w:cs="Times New Roman"/>
          <w:sz w:val="19"/>
          <w:szCs w:val="19"/>
        </w:rPr>
        <w:t>sales by 2%. The mix impact from acquisitions and divestitures increased net sales by 1%. Global market share of the Health Care segment decreased 0.2 points. Volume increased high single digits in developing regions and increased low single digits in deve</w:t>
      </w:r>
      <w:r>
        <w:rPr>
          <w:rFonts w:ascii="Times New Roman" w:hAnsi="Times New Roman" w:cs="Times New Roman"/>
          <w:sz w:val="19"/>
          <w:szCs w:val="19"/>
        </w:rPr>
        <w:t>loped regions. Oral Care volume increased mid-single digits due to geographic expansion, innovation and market growth. Global market share of the oral care category was down slightly. Volume in Personal Health Care increased mid-single digits partially due</w:t>
      </w:r>
      <w:r>
        <w:rPr>
          <w:rFonts w:ascii="Times New Roman" w:hAnsi="Times New Roman" w:cs="Times New Roman"/>
          <w:sz w:val="19"/>
          <w:szCs w:val="19"/>
        </w:rPr>
        <w:t xml:space="preserve"> to a net increase from prior year acquisition and divestiture activity (the addition of the PGT Healthcare partnership and New Chapter VMS, partially offset by the divestiture of the PuR business). Organic volume increased low single digits primarily due </w:t>
      </w:r>
      <w:r>
        <w:rPr>
          <w:rFonts w:ascii="Times New Roman" w:hAnsi="Times New Roman" w:cs="Times New Roman"/>
          <w:sz w:val="19"/>
          <w:szCs w:val="19"/>
        </w:rPr>
        <w:t>to the launch of ZzzQuil and geographic expansion for Vicks.</w:t>
      </w:r>
    </w:p>
    <w:p w:rsidR="00000000" w:rsidRDefault="0057438D">
      <w:pPr>
        <w:pStyle w:val="DefaultParagraphFont"/>
        <w:widowControl w:val="0"/>
        <w:autoSpaceDE w:val="0"/>
        <w:autoSpaceDN w:val="0"/>
        <w:adjustRightInd w:val="0"/>
        <w:spacing w:after="0" w:line="7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160"/>
        <w:rPr>
          <w:rFonts w:ascii="Times New Roman" w:hAnsi="Times New Roman" w:cs="Times New Roman"/>
          <w:sz w:val="24"/>
          <w:szCs w:val="24"/>
        </w:rPr>
      </w:pPr>
      <w:r>
        <w:rPr>
          <w:rFonts w:ascii="Times New Roman" w:hAnsi="Times New Roman" w:cs="Times New Roman"/>
          <w:sz w:val="19"/>
          <w:szCs w:val="19"/>
        </w:rPr>
        <w:t>Net earnings increased 7% to $1.1 billion due to higher net sales and a 10-basis point increase in net earnings margin. Net earnings margin increased due to a reduction in overhead spending part</w:t>
      </w:r>
      <w:r>
        <w:rPr>
          <w:rFonts w:ascii="Times New Roman" w:hAnsi="Times New Roman" w:cs="Times New Roman"/>
          <w:sz w:val="19"/>
          <w:szCs w:val="19"/>
        </w:rPr>
        <w:t>ially offset by gross margin contraction. Gross margin decreased due to increased commodity costs and supply chain investments, partially offset by higher pricing and manufacturing cost savings.</w:t>
      </w:r>
    </w:p>
    <w:p w:rsidR="00000000" w:rsidRDefault="0057438D">
      <w:pPr>
        <w:pStyle w:val="DefaultParagraphFont"/>
        <w:widowControl w:val="0"/>
        <w:autoSpaceDE w:val="0"/>
        <w:autoSpaceDN w:val="0"/>
        <w:adjustRightInd w:val="0"/>
        <w:spacing w:after="0" w:line="240" w:lineRule="auto"/>
        <w:ind w:left="2280"/>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 xml:space="preserve">The Procter &amp; Gamble Company  </w:t>
      </w:r>
      <w:r>
        <w:rPr>
          <w:rFonts w:ascii="Times New Roman" w:hAnsi="Times New Roman" w:cs="Times New Roman"/>
          <w:sz w:val="19"/>
          <w:szCs w:val="19"/>
        </w:rPr>
        <w:t>33</w:t>
      </w:r>
    </w:p>
    <w:p w:rsidR="00000000" w:rsidRDefault="0057438D">
      <w:pPr>
        <w:pStyle w:val="DefaultParagraphFont"/>
        <w:widowControl w:val="0"/>
        <w:autoSpaceDE w:val="0"/>
        <w:autoSpaceDN w:val="0"/>
        <w:adjustRightInd w:val="0"/>
        <w:spacing w:after="0" w:line="35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FABRIC CARE AND HOME CARE</w:t>
      </w:r>
    </w:p>
    <w:p w:rsidR="00000000" w:rsidRDefault="0057438D">
      <w:pPr>
        <w:pStyle w:val="DefaultParagraphFont"/>
        <w:widowControl w:val="0"/>
        <w:autoSpaceDE w:val="0"/>
        <w:autoSpaceDN w:val="0"/>
        <w:adjustRightInd w:val="0"/>
        <w:spacing w:after="0" w:line="171"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180"/>
        <w:gridCol w:w="840"/>
        <w:gridCol w:w="60"/>
        <w:gridCol w:w="800"/>
        <w:gridCol w:w="80"/>
        <w:gridCol w:w="160"/>
        <w:gridCol w:w="660"/>
        <w:gridCol w:w="80"/>
        <w:gridCol w:w="800"/>
        <w:gridCol w:w="20"/>
      </w:tblGrid>
      <w:tr w:rsidR="00000000">
        <w:tblPrEx>
          <w:tblCellMar>
            <w:top w:w="0" w:type="dxa"/>
            <w:left w:w="0" w:type="dxa"/>
            <w:bottom w:w="0" w:type="dxa"/>
            <w:right w:w="0" w:type="dxa"/>
          </w:tblCellMar>
        </w:tblPrEx>
        <w:trPr>
          <w:trHeight w:val="172"/>
        </w:trPr>
        <w:tc>
          <w:tcPr>
            <w:tcW w:w="1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 millions)</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2014</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Change vs</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70"/>
              <w:jc w:val="right"/>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Change vs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1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Volume</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9"/>
                <w:szCs w:val="19"/>
              </w:rPr>
              <w:t>n/a</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10"/>
              <w:jc w:val="right"/>
              <w:rPr>
                <w:rFonts w:ascii="Times New Roman" w:hAnsi="Times New Roman" w:cs="Times New Roman"/>
                <w:sz w:val="24"/>
                <w:szCs w:val="24"/>
              </w:rPr>
            </w:pPr>
            <w:r>
              <w:rPr>
                <w:rFonts w:ascii="Times New Roman" w:hAnsi="Times New Roman" w:cs="Times New Roman"/>
                <w:sz w:val="19"/>
                <w:szCs w:val="19"/>
              </w:rPr>
              <w:t>n/a</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sales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$26,060</w:t>
            </w:r>
          </w:p>
        </w:tc>
        <w:tc>
          <w:tcPr>
            <w:tcW w:w="8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+1%</w:t>
            </w:r>
          </w:p>
        </w:tc>
        <w:tc>
          <w:tcPr>
            <w:tcW w:w="2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sz w:val="19"/>
                <w:szCs w:val="19"/>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25,862</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earnings</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9"/>
                <w:szCs w:val="19"/>
              </w:rPr>
              <w:t>$3,039</w:t>
            </w:r>
          </w:p>
        </w:tc>
        <w:tc>
          <w:tcPr>
            <w:tcW w:w="8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w:t>
            </w:r>
          </w:p>
        </w:tc>
        <w:tc>
          <w:tcPr>
            <w:tcW w:w="2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sz w:val="19"/>
                <w:szCs w:val="19"/>
              </w:rPr>
              <w:t>$</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3,089</w:t>
            </w:r>
          </w:p>
        </w:tc>
        <w:tc>
          <w:tcPr>
            <w:tcW w:w="8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3"/>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 of Net Sales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7"/>
                <w:szCs w:val="17"/>
              </w:rPr>
              <w:t>11.7%</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7"/>
                <w:szCs w:val="17"/>
              </w:rPr>
              <w:t>(20) bps</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0"/>
              <w:jc w:val="right"/>
              <w:rPr>
                <w:rFonts w:ascii="Times New Roman" w:hAnsi="Times New Roman" w:cs="Times New Roman"/>
                <w:sz w:val="24"/>
                <w:szCs w:val="24"/>
              </w:rPr>
            </w:pPr>
            <w:r>
              <w:rPr>
                <w:rFonts w:ascii="Times New Roman" w:hAnsi="Times New Roman" w:cs="Times New Roman"/>
                <w:sz w:val="17"/>
                <w:szCs w:val="17"/>
              </w:rPr>
              <w:t>11.9%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7"/>
                <w:szCs w:val="17"/>
              </w:rPr>
              <w:t>90 bps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7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2014 compared with fiscal year 2013</w:t>
      </w:r>
    </w:p>
    <w:p w:rsidR="00000000" w:rsidRDefault="0057438D">
      <w:pPr>
        <w:pStyle w:val="DefaultParagraphFont"/>
        <w:widowControl w:val="0"/>
        <w:autoSpaceDE w:val="0"/>
        <w:autoSpaceDN w:val="0"/>
        <w:adjustRightInd w:val="0"/>
        <w:spacing w:after="0" w:line="18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8" w:lineRule="auto"/>
        <w:jc w:val="both"/>
        <w:rPr>
          <w:rFonts w:ascii="Times New Roman" w:hAnsi="Times New Roman" w:cs="Times New Roman"/>
          <w:sz w:val="24"/>
          <w:szCs w:val="24"/>
        </w:rPr>
      </w:pPr>
      <w:r>
        <w:rPr>
          <w:rFonts w:ascii="Times New Roman" w:hAnsi="Times New Roman" w:cs="Times New Roman"/>
          <w:sz w:val="18"/>
          <w:szCs w:val="18"/>
        </w:rPr>
        <w:t>Fabric Care and Home Care net sales increased 1% to $26.1 billion in 2014 on a 5% increase in unit volume. Organic sales were up 4%. Unfavorable foreign exchange reduced net sales by 3%. Unfavorable geograph</w:t>
      </w:r>
      <w:r>
        <w:rPr>
          <w:rFonts w:ascii="Times New Roman" w:hAnsi="Times New Roman" w:cs="Times New Roman"/>
          <w:sz w:val="18"/>
          <w:szCs w:val="18"/>
        </w:rPr>
        <w:t>ic and product mix decreased net sales by 1%. Global market share of the Fabric Care and Home Care segment increased 0.2 points. Volume increased high single digits in developing regions and low single digits in developed regions. Fabric Care volume increa</w:t>
      </w:r>
      <w:r>
        <w:rPr>
          <w:rFonts w:ascii="Times New Roman" w:hAnsi="Times New Roman" w:cs="Times New Roman"/>
          <w:sz w:val="18"/>
          <w:szCs w:val="18"/>
        </w:rPr>
        <w:t>sed mid-single digits driven by a high single digit volume increase in developing regions behind market growth and innovation, and a low single digit increase in developed regions due to product innovation. Global market share of the fabric care category w</w:t>
      </w:r>
      <w:r>
        <w:rPr>
          <w:rFonts w:ascii="Times New Roman" w:hAnsi="Times New Roman" w:cs="Times New Roman"/>
          <w:sz w:val="18"/>
          <w:szCs w:val="18"/>
        </w:rPr>
        <w:t>as flat. Home Care volume increased mid-single digits driven by a high single digit increase in developing markets from distribution expansion and market growth, and from a low single digit increase in developed regions due to product innovation. Global ma</w:t>
      </w:r>
      <w:r>
        <w:rPr>
          <w:rFonts w:ascii="Times New Roman" w:hAnsi="Times New Roman" w:cs="Times New Roman"/>
          <w:sz w:val="18"/>
          <w:szCs w:val="18"/>
        </w:rPr>
        <w:t>rket share of the home care category was up less than half a point. Batteries volume increased mid-single digits due to new customer distribution in developed regions and market growth in developing regions. Global market share of the batteries category wa</w:t>
      </w:r>
      <w:r>
        <w:rPr>
          <w:rFonts w:ascii="Times New Roman" w:hAnsi="Times New Roman" w:cs="Times New Roman"/>
          <w:sz w:val="18"/>
          <w:szCs w:val="18"/>
        </w:rPr>
        <w:t>s up more than a point.</w:t>
      </w:r>
    </w:p>
    <w:p w:rsidR="00000000" w:rsidRDefault="0057438D">
      <w:pPr>
        <w:pStyle w:val="DefaultParagraphFont"/>
        <w:widowControl w:val="0"/>
        <w:autoSpaceDE w:val="0"/>
        <w:autoSpaceDN w:val="0"/>
        <w:adjustRightInd w:val="0"/>
        <w:spacing w:after="0" w:line="13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19"/>
          <w:szCs w:val="19"/>
        </w:rPr>
        <w:t>Net earnings decreased 2% to $3.0 billion as net sales growth was more than offset by a 20-basis point decrease in net earnings margin. Net earnings margin decreased due to gross margin contraction partially offset by a decrease in</w:t>
      </w:r>
      <w:r>
        <w:rPr>
          <w:rFonts w:ascii="Times New Roman" w:hAnsi="Times New Roman" w:cs="Times New Roman"/>
          <w:sz w:val="19"/>
          <w:szCs w:val="19"/>
        </w:rPr>
        <w:t xml:space="preserve"> SG&amp;A as a percentage of sales. Gross margin decreased due to unfavorable geographic and product mix and the impact of foreign exchange, which was partially offset by manufacturing cost savings. SG&amp;Aas a percentage of net sales decreased due to marketing a</w:t>
      </w:r>
      <w:r>
        <w:rPr>
          <w:rFonts w:ascii="Times New Roman" w:hAnsi="Times New Roman" w:cs="Times New Roman"/>
          <w:sz w:val="19"/>
          <w:szCs w:val="19"/>
        </w:rPr>
        <w:t>nd overhead efficiencies.</w:t>
      </w:r>
    </w:p>
    <w:p w:rsidR="00000000" w:rsidRDefault="0057438D">
      <w:pPr>
        <w:pStyle w:val="DefaultParagraphFont"/>
        <w:widowControl w:val="0"/>
        <w:autoSpaceDE w:val="0"/>
        <w:autoSpaceDN w:val="0"/>
        <w:adjustRightInd w:val="0"/>
        <w:spacing w:after="0" w:line="7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2013 compared with fiscal year 2012</w:t>
      </w:r>
    </w:p>
    <w:p w:rsidR="00000000" w:rsidRDefault="0057438D">
      <w:pPr>
        <w:pStyle w:val="DefaultParagraphFont"/>
        <w:widowControl w:val="0"/>
        <w:autoSpaceDE w:val="0"/>
        <w:autoSpaceDN w:val="0"/>
        <w:adjustRightInd w:val="0"/>
        <w:spacing w:after="0" w:line="10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60"/>
        <w:rPr>
          <w:rFonts w:ascii="Times New Roman" w:hAnsi="Times New Roman" w:cs="Times New Roman"/>
          <w:sz w:val="24"/>
          <w:szCs w:val="24"/>
        </w:rPr>
      </w:pPr>
      <w:r>
        <w:rPr>
          <w:rFonts w:ascii="Times New Roman" w:hAnsi="Times New Roman" w:cs="Times New Roman"/>
          <w:sz w:val="19"/>
          <w:szCs w:val="19"/>
        </w:rPr>
        <w:t>Fabric Care and Home Care net sales increased 1% in 2013 to $25.9 billion on a 3% increase in unit volume. Organic sales were up 4%. Price increases contributed 1% to net sales gro</w:t>
      </w:r>
      <w:r>
        <w:rPr>
          <w:rFonts w:ascii="Times New Roman" w:hAnsi="Times New Roman" w:cs="Times New Roman"/>
          <w:sz w:val="19"/>
          <w:szCs w:val="19"/>
        </w:rPr>
        <w:t>wth. Unfavorable foreign exchange reduced net sales by 3%. Global market share of the Fabric Care and Home Care segment decreased 0.3 points. Volume increased mid-single digits in developing regions and low single digits in developed regions. Fabric Care v</w:t>
      </w:r>
      <w:r>
        <w:rPr>
          <w:rFonts w:ascii="Times New Roman" w:hAnsi="Times New Roman" w:cs="Times New Roman"/>
          <w:sz w:val="19"/>
          <w:szCs w:val="19"/>
        </w:rPr>
        <w:t>olume increased low single digits behind low single-digit growth in developed regions and mid-single-digit growth in developing regions, driven primarily by Asia. Overall growth due to innovation and market growth was partially offset by the impacts of com</w:t>
      </w:r>
      <w:r>
        <w:rPr>
          <w:rFonts w:ascii="Times New Roman" w:hAnsi="Times New Roman" w:cs="Times New Roman"/>
          <w:sz w:val="19"/>
          <w:szCs w:val="19"/>
        </w:rPr>
        <w:t>petitive activity. Global market share of the fabric care category decreased more than half a point. Home Care volume increased mid-single digits driven by a high single-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880" w:bottom="661" w:left="860" w:header="720" w:footer="720" w:gutter="0"/>
          <w:cols w:num="2" w:space="440" w:equalWidth="0">
            <w:col w:w="4660" w:space="440"/>
            <w:col w:w="468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34</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80"/>
        <w:rPr>
          <w:rFonts w:ascii="Times New Roman" w:hAnsi="Times New Roman" w:cs="Times New Roman"/>
          <w:sz w:val="24"/>
          <w:szCs w:val="24"/>
        </w:rPr>
      </w:pPr>
      <w:r>
        <w:rPr>
          <w:rFonts w:ascii="Times New Roman" w:hAnsi="Times New Roman" w:cs="Times New Roman"/>
          <w:sz w:val="19"/>
          <w:szCs w:val="19"/>
        </w:rPr>
        <w:t>digit increase in developing markets, behind innovation and distribution expansion, and a low single-digit increase in developed markets primarily due to the impact of reduced pricing in North America. Global market share of the home care category was unch</w:t>
      </w:r>
      <w:r>
        <w:rPr>
          <w:rFonts w:ascii="Times New Roman" w:hAnsi="Times New Roman" w:cs="Times New Roman"/>
          <w:sz w:val="19"/>
          <w:szCs w:val="19"/>
        </w:rPr>
        <w:t>anged. Batteries volume increased low single digits due to a mid-single-digit increase in developing regions from market growth and geographic expansion, partially offset by a low single-digit decrease in developed markets due to market contraction and sha</w:t>
      </w:r>
      <w:r>
        <w:rPr>
          <w:rFonts w:ascii="Times New Roman" w:hAnsi="Times New Roman" w:cs="Times New Roman"/>
          <w:sz w:val="19"/>
          <w:szCs w:val="19"/>
        </w:rPr>
        <w:t>re losses, primarily behind higher pricing in Western Europe to improve the margin structure. Global market share of the batteries category was unchanged.</w:t>
      </w:r>
    </w:p>
    <w:p w:rsidR="00000000" w:rsidRDefault="0057438D">
      <w:pPr>
        <w:pStyle w:val="DefaultParagraphFont"/>
        <w:widowControl w:val="0"/>
        <w:autoSpaceDE w:val="0"/>
        <w:autoSpaceDN w:val="0"/>
        <w:adjustRightInd w:val="0"/>
        <w:spacing w:after="0" w:line="7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40"/>
        <w:rPr>
          <w:rFonts w:ascii="Times New Roman" w:hAnsi="Times New Roman" w:cs="Times New Roman"/>
          <w:sz w:val="24"/>
          <w:szCs w:val="24"/>
        </w:rPr>
      </w:pPr>
      <w:r>
        <w:rPr>
          <w:rFonts w:ascii="Times New Roman" w:hAnsi="Times New Roman" w:cs="Times New Roman"/>
          <w:sz w:val="19"/>
          <w:szCs w:val="19"/>
        </w:rPr>
        <w:t>Net earnings increased 10% to $3.1 billion due to a 90-basis point increase in net earnings margin a</w:t>
      </w:r>
      <w:r>
        <w:rPr>
          <w:rFonts w:ascii="Times New Roman" w:hAnsi="Times New Roman" w:cs="Times New Roman"/>
          <w:sz w:val="19"/>
          <w:szCs w:val="19"/>
        </w:rPr>
        <w:t>nd the increase in net sales. Net earnings margin increased due to gross margin expansion. Gross margin increased due to higher pricing and manufacturing cost savings, partially offset by higher commodity costs. SG&amp;A as a percentage of net sales was unchan</w:t>
      </w:r>
      <w:r>
        <w:rPr>
          <w:rFonts w:ascii="Times New Roman" w:hAnsi="Times New Roman" w:cs="Times New Roman"/>
          <w:sz w:val="19"/>
          <w:szCs w:val="19"/>
        </w:rPr>
        <w:t>ged as higher marketing spending was offset by reduced overhead costs.</w:t>
      </w:r>
    </w:p>
    <w:p w:rsidR="00000000" w:rsidRDefault="0057438D">
      <w:pPr>
        <w:pStyle w:val="DefaultParagraphFont"/>
        <w:widowControl w:val="0"/>
        <w:autoSpaceDE w:val="0"/>
        <w:autoSpaceDN w:val="0"/>
        <w:adjustRightInd w:val="0"/>
        <w:spacing w:after="0" w:line="13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BABY, FEMININE AND FAMILY CARE</w:t>
      </w:r>
    </w:p>
    <w:p w:rsidR="00000000" w:rsidRDefault="0057438D">
      <w:pPr>
        <w:pStyle w:val="DefaultParagraphFont"/>
        <w:widowControl w:val="0"/>
        <w:autoSpaceDE w:val="0"/>
        <w:autoSpaceDN w:val="0"/>
        <w:adjustRightInd w:val="0"/>
        <w:spacing w:after="0" w:line="17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160"/>
        <w:gridCol w:w="840"/>
        <w:gridCol w:w="80"/>
        <w:gridCol w:w="800"/>
        <w:gridCol w:w="80"/>
        <w:gridCol w:w="160"/>
        <w:gridCol w:w="660"/>
        <w:gridCol w:w="60"/>
        <w:gridCol w:w="800"/>
        <w:gridCol w:w="20"/>
        <w:gridCol w:w="20"/>
      </w:tblGrid>
      <w:tr w:rsidR="00000000">
        <w:tblPrEx>
          <w:tblCellMar>
            <w:top w:w="0" w:type="dxa"/>
            <w:left w:w="0" w:type="dxa"/>
            <w:bottom w:w="0" w:type="dxa"/>
            <w:right w:w="0" w:type="dxa"/>
          </w:tblCellMar>
        </w:tblPrEx>
        <w:trPr>
          <w:trHeight w:val="172"/>
        </w:trPr>
        <w:tc>
          <w:tcPr>
            <w:tcW w:w="11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 millions)</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Change vs</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90"/>
              <w:jc w:val="right"/>
              <w:rPr>
                <w:rFonts w:ascii="Times New Roman" w:hAnsi="Times New Roman" w:cs="Times New Roman"/>
                <w:sz w:val="24"/>
                <w:szCs w:val="24"/>
              </w:rPr>
            </w:pPr>
            <w:r>
              <w:rPr>
                <w:rFonts w:ascii="Times New Roman" w:hAnsi="Times New Roman" w:cs="Times New Roman"/>
                <w:b/>
                <w:bCs/>
                <w:sz w:val="15"/>
                <w:szCs w:val="15"/>
              </w:rPr>
              <w:t>2013</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right="20"/>
              <w:jc w:val="center"/>
              <w:rPr>
                <w:rFonts w:ascii="Times New Roman" w:hAnsi="Times New Roman" w:cs="Times New Roman"/>
                <w:sz w:val="24"/>
                <w:szCs w:val="24"/>
              </w:rPr>
            </w:pPr>
            <w:r>
              <w:rPr>
                <w:rFonts w:ascii="Times New Roman" w:hAnsi="Times New Roman" w:cs="Times New Roman"/>
                <w:b/>
                <w:bCs/>
                <w:sz w:val="15"/>
                <w:szCs w:val="15"/>
              </w:rPr>
              <w:t>Change vs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1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2012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1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Volume</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9"/>
                <w:szCs w:val="19"/>
              </w:rPr>
              <w:t>n/a</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30"/>
              <w:jc w:val="right"/>
              <w:rPr>
                <w:rFonts w:ascii="Times New Roman" w:hAnsi="Times New Roman" w:cs="Times New Roman"/>
                <w:sz w:val="24"/>
                <w:szCs w:val="24"/>
              </w:rPr>
            </w:pPr>
            <w:r>
              <w:rPr>
                <w:rFonts w:ascii="Times New Roman" w:hAnsi="Times New Roman" w:cs="Times New Roman"/>
                <w:sz w:val="19"/>
                <w:szCs w:val="19"/>
              </w:rPr>
              <w:t>n/a</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+5%</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Net</w:t>
            </w:r>
            <w:r>
              <w:rPr>
                <w:rFonts w:ascii="Times New Roman" w:hAnsi="Times New Roman" w:cs="Times New Roman"/>
                <w:sz w:val="19"/>
                <w:szCs w:val="19"/>
              </w:rPr>
              <w:t xml:space="preserve"> sales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$20,950</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+2%</w:t>
            </w:r>
          </w:p>
        </w:tc>
        <w:tc>
          <w:tcPr>
            <w:tcW w:w="2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sz w:val="19"/>
                <w:szCs w:val="19"/>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20,479</w:t>
            </w:r>
          </w:p>
        </w:tc>
        <w:tc>
          <w:tcPr>
            <w:tcW w:w="8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Net earnings</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9"/>
                <w:szCs w:val="19"/>
              </w:rPr>
              <w:t>$2,940</w:t>
            </w:r>
          </w:p>
        </w:tc>
        <w:tc>
          <w:tcPr>
            <w:tcW w:w="8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w:t>
            </w:r>
          </w:p>
        </w:tc>
        <w:tc>
          <w:tcPr>
            <w:tcW w:w="2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sz w:val="19"/>
                <w:szCs w:val="19"/>
              </w:rPr>
              <w:t>$</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3,047</w:t>
            </w:r>
          </w:p>
        </w:tc>
        <w:tc>
          <w:tcPr>
            <w:tcW w:w="8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+4%</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3"/>
        </w:trPr>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7"/>
                <w:szCs w:val="17"/>
              </w:rPr>
              <w:t>% of Net Sales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8"/>
                <w:sz w:val="17"/>
                <w:szCs w:val="17"/>
              </w:rPr>
              <w:t>14.0%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7"/>
                <w:szCs w:val="17"/>
              </w:rPr>
              <w:t>(90) bps</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0"/>
              <w:jc w:val="right"/>
              <w:rPr>
                <w:rFonts w:ascii="Times New Roman" w:hAnsi="Times New Roman" w:cs="Times New Roman"/>
                <w:sz w:val="24"/>
                <w:szCs w:val="24"/>
              </w:rPr>
            </w:pPr>
            <w:r>
              <w:rPr>
                <w:rFonts w:ascii="Times New Roman" w:hAnsi="Times New Roman" w:cs="Times New Roman"/>
                <w:sz w:val="17"/>
                <w:szCs w:val="17"/>
              </w:rPr>
              <w:t>14.9%</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
              <w:jc w:val="center"/>
              <w:rPr>
                <w:rFonts w:ascii="Times New Roman" w:hAnsi="Times New Roman" w:cs="Times New Roman"/>
                <w:sz w:val="24"/>
                <w:szCs w:val="24"/>
              </w:rPr>
            </w:pPr>
            <w:r>
              <w:rPr>
                <w:rFonts w:ascii="Times New Roman" w:hAnsi="Times New Roman" w:cs="Times New Roman"/>
                <w:w w:val="99"/>
                <w:sz w:val="17"/>
                <w:szCs w:val="17"/>
              </w:rPr>
              <w:t>(10) bps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2014 compared with fiscal year 2013</w:t>
      </w:r>
    </w:p>
    <w:p w:rsidR="00000000" w:rsidRDefault="0057438D">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18"/>
          <w:szCs w:val="18"/>
        </w:rPr>
        <w:t>Baby, Feminine and Family Care net sales increased 2% to $21.0 billion in 2014 on 4% volume growth. Organic sales were up 4% on 3% organic volume growth. Price increases primarily in Baby Care increased net sales by 1%. Unfavorable foreign exchange reduced</w:t>
      </w:r>
      <w:r>
        <w:rPr>
          <w:rFonts w:ascii="Times New Roman" w:hAnsi="Times New Roman" w:cs="Times New Roman"/>
          <w:sz w:val="18"/>
          <w:szCs w:val="18"/>
        </w:rPr>
        <w:t xml:space="preserve"> net salesby 3%. Global market share of the Baby, Feminine and Family Care segment decreased 0.3 points. Volume increased low single digits in developed regions and mid-single digits in developing regions. Volume in Baby Care increased mid-single digits du</w:t>
      </w:r>
      <w:r>
        <w:rPr>
          <w:rFonts w:ascii="Times New Roman" w:hAnsi="Times New Roman" w:cs="Times New Roman"/>
          <w:sz w:val="18"/>
          <w:szCs w:val="18"/>
        </w:rPr>
        <w:t>e to a mid-single digit increase in developing regions, from market growth and product innovation, and a mid-single digit increase in developed regions due to the buyout of our joint venture partner in Iberia and product innovation in North America, partia</w:t>
      </w:r>
      <w:r>
        <w:rPr>
          <w:rFonts w:ascii="Times New Roman" w:hAnsi="Times New Roman" w:cs="Times New Roman"/>
          <w:sz w:val="18"/>
          <w:szCs w:val="18"/>
        </w:rPr>
        <w:t xml:space="preserve">lly offset by competitive activity. Global market share of the baby care category decreased slightly. Volume in Feminine Care increased mid-single digits due to a mid-single digit increase in developed regions, from the buyout of our joint venture partner </w:t>
      </w:r>
      <w:r>
        <w:rPr>
          <w:rFonts w:ascii="Times New Roman" w:hAnsi="Times New Roman" w:cs="Times New Roman"/>
          <w:sz w:val="18"/>
          <w:szCs w:val="18"/>
        </w:rPr>
        <w:t>in Iberia and innovation, and a low single digit increase in developing regions, from market growth and innovation. Organic volume was up low single digits. Global market share of the feminine care category decreased less than half a point. Volume in Famil</w:t>
      </w:r>
      <w:r>
        <w:rPr>
          <w:rFonts w:ascii="Times New Roman" w:hAnsi="Times New Roman" w:cs="Times New Roman"/>
          <w:sz w:val="18"/>
          <w:szCs w:val="18"/>
        </w:rPr>
        <w:t>y Care increased low single digits due to product innovation on Charmin and Bounty and lower pricing, partially offset by competitive activity. In the U.S., all-outlet share of the family care category decreased less than half point.</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sz w:val="19"/>
          <w:szCs w:val="19"/>
        </w:rPr>
        <w:t>Net earnings decrea</w:t>
      </w:r>
      <w:r>
        <w:rPr>
          <w:rFonts w:ascii="Times New Roman" w:hAnsi="Times New Roman" w:cs="Times New Roman"/>
          <w:sz w:val="19"/>
          <w:szCs w:val="19"/>
        </w:rPr>
        <w:t>sed 4% to $2.9 billion as the increase in net sales was more than offset by a 90-basis point decrease in net earnings margin. Net earnings margin decreased primarily due to gross margin contraction. Gross margin decreased due to the impact of foreign excha</w:t>
      </w:r>
      <w:r>
        <w:rPr>
          <w:rFonts w:ascii="Times New Roman" w:hAnsi="Times New Roman" w:cs="Times New Roman"/>
          <w:sz w:val="19"/>
          <w:szCs w:val="19"/>
        </w:rPr>
        <w:t>nge, higher commodity costs, and unfavorable product and geographic mix from disproportionate growth in developing regions and mid-tier products, both of which have lower gross margins than the segment average, partially offset by manufacturing cost saving</w:t>
      </w:r>
      <w:r>
        <w:rPr>
          <w:rFonts w:ascii="Times New Roman" w:hAnsi="Times New Roman" w:cs="Times New Roman"/>
          <w:sz w:val="19"/>
          <w:szCs w:val="19"/>
        </w:rPr>
        <w:t>s and pricing.</w:t>
      </w:r>
    </w:p>
    <w:p w:rsidR="00000000" w:rsidRDefault="0057438D">
      <w:pPr>
        <w:pStyle w:val="DefaultParagraphFont"/>
        <w:widowControl w:val="0"/>
        <w:autoSpaceDE w:val="0"/>
        <w:autoSpaceDN w:val="0"/>
        <w:adjustRightInd w:val="0"/>
        <w:spacing w:after="0" w:line="13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2013 compared with fiscal year 2012</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20"/>
        <w:rPr>
          <w:rFonts w:ascii="Times New Roman" w:hAnsi="Times New Roman" w:cs="Times New Roman"/>
          <w:sz w:val="24"/>
          <w:szCs w:val="24"/>
        </w:rPr>
      </w:pPr>
      <w:r>
        <w:rPr>
          <w:rFonts w:ascii="Times New Roman" w:hAnsi="Times New Roman" w:cs="Times New Roman"/>
          <w:sz w:val="19"/>
          <w:szCs w:val="19"/>
        </w:rPr>
        <w:t>Baby, Feminine and Family Care net sales increased 4% to $20.5 billion in 2013 on 5% volume growth. Organic sales were up 6% on 3% organic volume growth. Pricing added 2% to net sales growth. Unfavorable foreign exchange reduced net sales by 2%. Global mar</w:t>
      </w:r>
      <w:r>
        <w:rPr>
          <w:rFonts w:ascii="Times New Roman" w:hAnsi="Times New Roman" w:cs="Times New Roman"/>
          <w:sz w:val="19"/>
          <w:szCs w:val="19"/>
        </w:rPr>
        <w:t>ket share of the Baby, Feminine and Family Care segment decreased 0.2 points. Volume increased mid-single digits in both developing and developed regions. Volume in Baby Care increased mid-single digits. Excluding the buyout of our joint venture partner in</w:t>
      </w:r>
      <w:r>
        <w:rPr>
          <w:rFonts w:ascii="Times New Roman" w:hAnsi="Times New Roman" w:cs="Times New Roman"/>
          <w:sz w:val="19"/>
          <w:szCs w:val="19"/>
        </w:rPr>
        <w:t xml:space="preserve"> Iberia, organic volume increased low-single digits as a mid-single digit increase in developing regions from market growth, distribution expansion and innovation, was partially offset by a low single-digit decrease in developed regions due to market contr</w:t>
      </w:r>
      <w:r>
        <w:rPr>
          <w:rFonts w:ascii="Times New Roman" w:hAnsi="Times New Roman" w:cs="Times New Roman"/>
          <w:sz w:val="19"/>
          <w:szCs w:val="19"/>
        </w:rPr>
        <w:t>action and competitive promotional activity, primarily in Western Europe. Global market share of the baby care category decreased nearly half a point. Volume in Feminine Care increased mid-single digits from mid-single-digit growth in developing markets be</w:t>
      </w:r>
      <w:r>
        <w:rPr>
          <w:rFonts w:ascii="Times New Roman" w:hAnsi="Times New Roman" w:cs="Times New Roman"/>
          <w:sz w:val="19"/>
          <w:szCs w:val="19"/>
        </w:rPr>
        <w:t>hind market growth and innovation and high single-digit increase in developed regions due to the buyout of our joint venture partner in Iberia. Global market share of the feminine care category was down half a point. Volume in Family Care increased mid-sin</w:t>
      </w:r>
      <w:r>
        <w:rPr>
          <w:rFonts w:ascii="Times New Roman" w:hAnsi="Times New Roman" w:cs="Times New Roman"/>
          <w:sz w:val="19"/>
          <w:szCs w:val="19"/>
        </w:rPr>
        <w:t>gle digits primarily due to market growth and innovation on Charmin and Bounty. In the U.S., all-outlet share of the family care category was flat.</w:t>
      </w:r>
    </w:p>
    <w:p w:rsidR="00000000" w:rsidRDefault="0057438D">
      <w:pPr>
        <w:pStyle w:val="DefaultParagraphFont"/>
        <w:widowControl w:val="0"/>
        <w:autoSpaceDE w:val="0"/>
        <w:autoSpaceDN w:val="0"/>
        <w:adjustRightInd w:val="0"/>
        <w:spacing w:after="0" w:line="6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40"/>
        <w:rPr>
          <w:rFonts w:ascii="Times New Roman" w:hAnsi="Times New Roman" w:cs="Times New Roman"/>
          <w:sz w:val="24"/>
          <w:szCs w:val="24"/>
        </w:rPr>
      </w:pPr>
      <w:r>
        <w:rPr>
          <w:rFonts w:ascii="Times New Roman" w:hAnsi="Times New Roman" w:cs="Times New Roman"/>
          <w:sz w:val="19"/>
          <w:szCs w:val="19"/>
        </w:rPr>
        <w:t>Net earnings increased 4% to $3.0 billion due to the increase in net sales. Net earnings margin was down sl</w:t>
      </w:r>
      <w:r>
        <w:rPr>
          <w:rFonts w:ascii="Times New Roman" w:hAnsi="Times New Roman" w:cs="Times New Roman"/>
          <w:sz w:val="19"/>
          <w:szCs w:val="19"/>
        </w:rPr>
        <w:t>ightly due to gross margin expansion offset by a higher effective tax rate. The increase in gross margin was driven by the impact of higher pricing and manufacturing and commodity cost savings, partially offset by unfavorable product and geographic mix. Th</w:t>
      </w:r>
      <w:r>
        <w:rPr>
          <w:rFonts w:ascii="Times New Roman" w:hAnsi="Times New Roman" w:cs="Times New Roman"/>
          <w:sz w:val="19"/>
          <w:szCs w:val="19"/>
        </w:rPr>
        <w:t>e effective tax rate increased due to the geographic mix of earnings.</w:t>
      </w:r>
    </w:p>
    <w:p w:rsidR="00000000" w:rsidRDefault="0057438D">
      <w:pPr>
        <w:pStyle w:val="DefaultParagraphFont"/>
        <w:widowControl w:val="0"/>
        <w:autoSpaceDE w:val="0"/>
        <w:autoSpaceDN w:val="0"/>
        <w:adjustRightInd w:val="0"/>
        <w:spacing w:after="0" w:line="13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CORPORATE</w:t>
      </w:r>
    </w:p>
    <w:p w:rsidR="00000000" w:rsidRDefault="0057438D">
      <w:pPr>
        <w:pStyle w:val="DefaultParagraphFont"/>
        <w:widowControl w:val="0"/>
        <w:autoSpaceDE w:val="0"/>
        <w:autoSpaceDN w:val="0"/>
        <w:adjustRightInd w:val="0"/>
        <w:spacing w:after="0" w:line="16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160"/>
        <w:gridCol w:w="840"/>
        <w:gridCol w:w="80"/>
        <w:gridCol w:w="800"/>
        <w:gridCol w:w="80"/>
        <w:gridCol w:w="820"/>
        <w:gridCol w:w="60"/>
        <w:gridCol w:w="820"/>
        <w:gridCol w:w="20"/>
        <w:gridCol w:w="20"/>
      </w:tblGrid>
      <w:tr w:rsidR="00000000">
        <w:tblPrEx>
          <w:tblCellMar>
            <w:top w:w="0" w:type="dxa"/>
            <w:left w:w="0" w:type="dxa"/>
            <w:bottom w:w="0" w:type="dxa"/>
            <w:right w:w="0" w:type="dxa"/>
          </w:tblCellMar>
        </w:tblPrEx>
        <w:trPr>
          <w:trHeight w:val="172"/>
        </w:trPr>
        <w:tc>
          <w:tcPr>
            <w:tcW w:w="11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 millions)</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Change vs</w:t>
            </w:r>
          </w:p>
        </w:tc>
        <w:tc>
          <w:tcPr>
            <w:tcW w:w="9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2013</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0"/>
              <w:jc w:val="center"/>
              <w:rPr>
                <w:rFonts w:ascii="Times New Roman" w:hAnsi="Times New Roman" w:cs="Times New Roman"/>
                <w:sz w:val="24"/>
                <w:szCs w:val="24"/>
              </w:rPr>
            </w:pPr>
            <w:r>
              <w:rPr>
                <w:rFonts w:ascii="Times New Roman" w:hAnsi="Times New Roman" w:cs="Times New Roman"/>
                <w:b/>
                <w:bCs/>
                <w:sz w:val="15"/>
                <w:szCs w:val="15"/>
              </w:rPr>
              <w:t>Change vs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1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71"/>
              <w:jc w:val="right"/>
              <w:rPr>
                <w:rFonts w:ascii="Times New Roman" w:hAnsi="Times New Roman" w:cs="Times New Roman"/>
                <w:sz w:val="24"/>
                <w:szCs w:val="24"/>
              </w:rPr>
            </w:pPr>
            <w:r>
              <w:rPr>
                <w:rFonts w:ascii="Times New Roman" w:hAnsi="Times New Roman" w:cs="Times New Roman"/>
                <w:b/>
                <w:bCs/>
                <w:sz w:val="15"/>
                <w:szCs w:val="15"/>
              </w:rPr>
              <w:t>2013</w:t>
            </w:r>
          </w:p>
        </w:tc>
        <w:tc>
          <w:tcPr>
            <w:tcW w:w="90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71"/>
              <w:jc w:val="right"/>
              <w:rPr>
                <w:rFonts w:ascii="Times New Roman" w:hAnsi="Times New Roman" w:cs="Times New Roman"/>
                <w:sz w:val="24"/>
                <w:szCs w:val="24"/>
              </w:rPr>
            </w:pPr>
            <w:r>
              <w:rPr>
                <w:rFonts w:ascii="Times New Roman" w:hAnsi="Times New Roman" w:cs="Times New Roman"/>
                <w:b/>
                <w:bCs/>
                <w:sz w:val="15"/>
                <w:szCs w:val="15"/>
              </w:rPr>
              <w:t>2012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1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Net sales</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9"/>
                <w:szCs w:val="19"/>
              </w:rPr>
              <w:t>$738</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91"/>
              <w:jc w:val="right"/>
              <w:rPr>
                <w:rFonts w:ascii="Times New Roman" w:hAnsi="Times New Roman" w:cs="Times New Roman"/>
                <w:sz w:val="24"/>
                <w:szCs w:val="24"/>
              </w:rPr>
            </w:pPr>
            <w:r>
              <w:rPr>
                <w:rFonts w:ascii="Times New Roman" w:hAnsi="Times New Roman" w:cs="Times New Roman"/>
                <w:sz w:val="19"/>
                <w:szCs w:val="19"/>
              </w:rPr>
              <w:t>+31%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$562</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31"/>
              <w:jc w:val="right"/>
              <w:rPr>
                <w:rFonts w:ascii="Times New Roman" w:hAnsi="Times New Roman" w:cs="Times New Roman"/>
                <w:sz w:val="24"/>
                <w:szCs w:val="24"/>
              </w:rPr>
            </w:pPr>
            <w:r>
              <w:rPr>
                <w:rFonts w:ascii="Times New Roman" w:hAnsi="Times New Roman" w:cs="Times New Roman"/>
                <w:sz w:val="19"/>
                <w:szCs w:val="19"/>
              </w:rPr>
              <w:t>-31%</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Net earnings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$(48)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N/A</w:t>
            </w:r>
          </w:p>
        </w:tc>
        <w:tc>
          <w:tcPr>
            <w:tcW w:w="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$(239)</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
              <w:jc w:val="center"/>
              <w:rPr>
                <w:rFonts w:ascii="Times New Roman" w:hAnsi="Times New Roman" w:cs="Times New Roman"/>
                <w:sz w:val="24"/>
                <w:szCs w:val="24"/>
              </w:rPr>
            </w:pPr>
            <w:r>
              <w:rPr>
                <w:rFonts w:ascii="Times New Roman" w:hAnsi="Times New Roman" w:cs="Times New Roman"/>
                <w:sz w:val="19"/>
                <w:szCs w:val="19"/>
              </w:rPr>
              <w:t>N/A</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7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160"/>
        <w:rPr>
          <w:rFonts w:ascii="Times New Roman" w:hAnsi="Times New Roman" w:cs="Times New Roman"/>
          <w:sz w:val="24"/>
          <w:szCs w:val="24"/>
        </w:rPr>
      </w:pPr>
      <w:r>
        <w:rPr>
          <w:rFonts w:ascii="Times New Roman" w:hAnsi="Times New Roman" w:cs="Times New Roman"/>
          <w:sz w:val="19"/>
          <w:szCs w:val="19"/>
        </w:rPr>
        <w:t>Corporate includes certain operating and non-operating activities not allocated to specific business units. These include: the incidental businesses managed at the corporate level; financing and investing activities; other general corporate items; the hist</w:t>
      </w:r>
      <w:r>
        <w:rPr>
          <w:rFonts w:ascii="Times New Roman" w:hAnsi="Times New Roman" w:cs="Times New Roman"/>
          <w:sz w:val="19"/>
          <w:szCs w:val="19"/>
        </w:rPr>
        <w:t>orical results of certain divested brands and categories; certain asset impairment charges;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80" w:bottom="543" w:left="860" w:header="720" w:footer="720" w:gutter="0"/>
          <w:cols w:num="2" w:space="420" w:equalWidth="0">
            <w:col w:w="4680" w:space="420"/>
            <w:col w:w="46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80"/>
        <w:rPr>
          <w:rFonts w:ascii="Times New Roman" w:hAnsi="Times New Roman" w:cs="Times New Roman"/>
          <w:sz w:val="24"/>
          <w:szCs w:val="24"/>
        </w:rPr>
      </w:pPr>
      <w:r>
        <w:rPr>
          <w:rFonts w:ascii="Times New Roman" w:hAnsi="Times New Roman" w:cs="Times New Roman"/>
          <w:sz w:val="19"/>
          <w:szCs w:val="19"/>
        </w:rPr>
        <w:t>certain balance sheet impacts from significant foreign exchange devaluations; and certain restructuring-type activities to maint</w:t>
      </w:r>
      <w:r>
        <w:rPr>
          <w:rFonts w:ascii="Times New Roman" w:hAnsi="Times New Roman" w:cs="Times New Roman"/>
          <w:sz w:val="19"/>
          <w:szCs w:val="19"/>
        </w:rPr>
        <w:t>ain a competitive cost structure, including manufacturing and workforce optimization. Corporate also includes reconciling items to adjust the accounting policies used in the segments to U.S. GAAP. The most significant reconciling item includes income taxes</w:t>
      </w:r>
      <w:r>
        <w:rPr>
          <w:rFonts w:ascii="Times New Roman" w:hAnsi="Times New Roman" w:cs="Times New Roman"/>
          <w:sz w:val="19"/>
          <w:szCs w:val="19"/>
        </w:rPr>
        <w:t xml:space="preserve"> to adjust from blended statutory tax rates that are reflected in the segments to the overall Company effective tax rate.</w:t>
      </w:r>
    </w:p>
    <w:p w:rsidR="00000000" w:rsidRDefault="0057438D">
      <w:pPr>
        <w:pStyle w:val="DefaultParagraphFont"/>
        <w:widowControl w:val="0"/>
        <w:autoSpaceDE w:val="0"/>
        <w:autoSpaceDN w:val="0"/>
        <w:adjustRightInd w:val="0"/>
        <w:spacing w:after="0" w:line="7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rPr>
          <w:rFonts w:ascii="Times New Roman" w:hAnsi="Times New Roman" w:cs="Times New Roman"/>
          <w:sz w:val="24"/>
          <w:szCs w:val="24"/>
        </w:rPr>
      </w:pPr>
      <w:r>
        <w:rPr>
          <w:rFonts w:ascii="Times New Roman" w:hAnsi="Times New Roman" w:cs="Times New Roman"/>
          <w:sz w:val="19"/>
          <w:szCs w:val="19"/>
        </w:rPr>
        <w:t>Net sales in Corporate increased by $176 million in 2014. Corporate net earnings improved by $191 million in 2014 primarily due to reduced net after-tax goodwill and intangible asset impairment charges (which totaled $290 million in the prior year but were</w:t>
      </w:r>
      <w:r>
        <w:rPr>
          <w:rFonts w:ascii="Times New Roman" w:hAnsi="Times New Roman" w:cs="Times New Roman"/>
          <w:sz w:val="19"/>
          <w:szCs w:val="19"/>
        </w:rPr>
        <w:t xml:space="preserve"> zero in the current period), lower current year restructuring and overhead spending and lower overall Company effective tax rate, partially offset by the holding gain in the prior year from the buyout of our Iberian joint venture partner. Additional discu</w:t>
      </w:r>
      <w:r>
        <w:rPr>
          <w:rFonts w:ascii="Times New Roman" w:hAnsi="Times New Roman" w:cs="Times New Roman"/>
          <w:sz w:val="19"/>
          <w:szCs w:val="19"/>
        </w:rPr>
        <w:t>ssion of the items impacting net earnings in Corporate are included in the Results of Operations section.</w:t>
      </w:r>
    </w:p>
    <w:p w:rsidR="00000000" w:rsidRDefault="0057438D">
      <w:pPr>
        <w:pStyle w:val="DefaultParagraphFont"/>
        <w:widowControl w:val="0"/>
        <w:autoSpaceDE w:val="0"/>
        <w:autoSpaceDN w:val="0"/>
        <w:adjustRightInd w:val="0"/>
        <w:spacing w:after="0" w:line="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sz w:val="19"/>
          <w:szCs w:val="19"/>
        </w:rPr>
        <w:t>In 2013, net sales in Corporate decreased by $258 million due to a reduction in sales from P&amp;G Chemicals as a result of lower commodity prices. Corpo</w:t>
      </w:r>
      <w:r>
        <w:rPr>
          <w:rFonts w:ascii="Times New Roman" w:hAnsi="Times New Roman" w:cs="Times New Roman"/>
          <w:sz w:val="19"/>
          <w:szCs w:val="19"/>
        </w:rPr>
        <w:t>rate net earnings improved $1.6 billion primarily due to reduced net after-tax goodwill and intangible asset impairment charges (which totaled $1.5 billion in the prior year as compared to $290 million in the current period), along with the 2013 net after-</w:t>
      </w:r>
      <w:r>
        <w:rPr>
          <w:rFonts w:ascii="Times New Roman" w:hAnsi="Times New Roman" w:cs="Times New Roman"/>
          <w:sz w:val="19"/>
          <w:szCs w:val="19"/>
        </w:rPr>
        <w:t>tax holding gain related to the purchase of the balance of our Iberian joint venture, partially offset by the 2013 charge for the impact of the Venezuela devaluation. Additional discussion of the items impacting net earnings in Corporate are included in th</w:t>
      </w:r>
      <w:r>
        <w:rPr>
          <w:rFonts w:ascii="Times New Roman" w:hAnsi="Times New Roman" w:cs="Times New Roman"/>
          <w:sz w:val="19"/>
          <w:szCs w:val="19"/>
        </w:rPr>
        <w:t>e Results of Operations section above.</w:t>
      </w:r>
    </w:p>
    <w:p w:rsidR="00000000" w:rsidRDefault="0057438D">
      <w:pPr>
        <w:pStyle w:val="DefaultParagraphFont"/>
        <w:widowControl w:val="0"/>
        <w:autoSpaceDE w:val="0"/>
        <w:autoSpaceDN w:val="0"/>
        <w:adjustRightInd w:val="0"/>
        <w:spacing w:after="0" w:line="14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Productivity and Cost Savings Plan</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80"/>
        <w:rPr>
          <w:rFonts w:ascii="Times New Roman" w:hAnsi="Times New Roman" w:cs="Times New Roman"/>
          <w:sz w:val="24"/>
          <w:szCs w:val="24"/>
        </w:rPr>
      </w:pPr>
      <w:r>
        <w:rPr>
          <w:rFonts w:ascii="Times New Roman" w:hAnsi="Times New Roman" w:cs="Times New Roman"/>
          <w:sz w:val="19"/>
          <w:szCs w:val="19"/>
        </w:rPr>
        <w:t>In 2012, the Company initiated a productivity and cost savings plan to reduce costs and better leverage scale in the areas of supply chain, research and development, marketing and overheads. The plan was designed to accelerate cost reductions by streamlini</w:t>
      </w:r>
      <w:r>
        <w:rPr>
          <w:rFonts w:ascii="Times New Roman" w:hAnsi="Times New Roman" w:cs="Times New Roman"/>
          <w:sz w:val="19"/>
          <w:szCs w:val="19"/>
        </w:rPr>
        <w:t>ng management decision making, manufacturing and other work processes to fund the Company's growth strategy.</w:t>
      </w:r>
    </w:p>
    <w:p w:rsidR="00000000" w:rsidRDefault="0057438D">
      <w:pPr>
        <w:pStyle w:val="DefaultParagraphFont"/>
        <w:widowControl w:val="0"/>
        <w:autoSpaceDE w:val="0"/>
        <w:autoSpaceDN w:val="0"/>
        <w:adjustRightInd w:val="0"/>
        <w:spacing w:after="0" w:line="8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1" w:lineRule="auto"/>
        <w:ind w:right="80"/>
        <w:jc w:val="both"/>
        <w:rPr>
          <w:rFonts w:ascii="Times New Roman" w:hAnsi="Times New Roman" w:cs="Times New Roman"/>
          <w:sz w:val="24"/>
          <w:szCs w:val="24"/>
        </w:rPr>
      </w:pPr>
      <w:r>
        <w:rPr>
          <w:rFonts w:ascii="Times New Roman" w:hAnsi="Times New Roman" w:cs="Times New Roman"/>
          <w:sz w:val="19"/>
          <w:szCs w:val="19"/>
        </w:rPr>
        <w:t>As part of this plan, the Company expects to incur in excess of $4.5 billion in before-tax restructuring costs over a five-year period (from fisca</w:t>
      </w:r>
      <w:r>
        <w:rPr>
          <w:rFonts w:ascii="Times New Roman" w:hAnsi="Times New Roman" w:cs="Times New Roman"/>
          <w:sz w:val="19"/>
          <w:szCs w:val="19"/>
        </w:rPr>
        <w:t>l 2012 through fiscal 2016).</w:t>
      </w:r>
    </w:p>
    <w:p w:rsidR="00000000" w:rsidRDefault="0057438D">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20"/>
        <w:rPr>
          <w:rFonts w:ascii="Times New Roman" w:hAnsi="Times New Roman" w:cs="Times New Roman"/>
          <w:sz w:val="24"/>
          <w:szCs w:val="24"/>
        </w:rPr>
      </w:pPr>
      <w:r>
        <w:rPr>
          <w:rFonts w:ascii="Times New Roman" w:hAnsi="Times New Roman" w:cs="Times New Roman"/>
          <w:sz w:val="19"/>
          <w:szCs w:val="19"/>
        </w:rPr>
        <w:t>Approximately 62% of the costs have been incurred through the end of fiscal 2014. Savings generated from the restructuring costs are difficult to estimate, given the nature of the activities, the corollary benefits achieved (e</w:t>
      </w:r>
      <w:r>
        <w:rPr>
          <w:rFonts w:ascii="Times New Roman" w:hAnsi="Times New Roman" w:cs="Times New Roman"/>
          <w:sz w:val="19"/>
          <w:szCs w:val="19"/>
        </w:rPr>
        <w:t>.g., enrollment reduction achieved via normal attrition), the timing of the execution and the degree of reinvestment. Overall, the costs and other non-manufacturing enrollment reductions are expected to deliver in excess of $2.8 billion in annual gross sav</w:t>
      </w:r>
      <w:r>
        <w:rPr>
          <w:rFonts w:ascii="Times New Roman" w:hAnsi="Times New Roman" w:cs="Times New Roman"/>
          <w:sz w:val="19"/>
          <w:szCs w:val="19"/>
        </w:rPr>
        <w:t>ings (before-tax). The cumulative before-tax savings realized through 2014 were approximately $1.4 billion.</w:t>
      </w:r>
    </w:p>
    <w:p w:rsidR="00000000" w:rsidRDefault="0057438D">
      <w:pPr>
        <w:pStyle w:val="DefaultParagraphFont"/>
        <w:widowControl w:val="0"/>
        <w:autoSpaceDE w:val="0"/>
        <w:autoSpaceDN w:val="0"/>
        <w:adjustRightInd w:val="0"/>
        <w:spacing w:after="0" w:line="240" w:lineRule="auto"/>
        <w:ind w:left="2280"/>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 xml:space="preserve">The Procter &amp; Gamble Company  </w:t>
      </w:r>
      <w:r>
        <w:rPr>
          <w:rFonts w:ascii="Times New Roman" w:hAnsi="Times New Roman" w:cs="Times New Roman"/>
          <w:sz w:val="19"/>
          <w:szCs w:val="19"/>
        </w:rPr>
        <w:t>35</w:t>
      </w:r>
    </w:p>
    <w:p w:rsidR="00000000" w:rsidRDefault="0057438D">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140"/>
        <w:rPr>
          <w:rFonts w:ascii="Times New Roman" w:hAnsi="Times New Roman" w:cs="Times New Roman"/>
          <w:sz w:val="24"/>
          <w:szCs w:val="24"/>
        </w:rPr>
      </w:pPr>
      <w:r>
        <w:rPr>
          <w:rFonts w:ascii="Times New Roman" w:hAnsi="Times New Roman" w:cs="Times New Roman"/>
          <w:sz w:val="19"/>
          <w:szCs w:val="19"/>
        </w:rPr>
        <w:t xml:space="preserve">Restructuring accruals of $381 million as of June 30, 2014, are classified as current liabilities. Approximately </w:t>
      </w:r>
      <w:r>
        <w:rPr>
          <w:rFonts w:ascii="Times New Roman" w:hAnsi="Times New Roman" w:cs="Times New Roman"/>
          <w:sz w:val="19"/>
          <w:szCs w:val="19"/>
        </w:rPr>
        <w:t>75% of the restructuring charges incurred during fiscal 2014 either have been or will be settled with cash. Consistent with our historical policies for ongoing restructuring-type activities, the resulting charges are funded by and included within Corporate</w:t>
      </w:r>
      <w:r>
        <w:rPr>
          <w:rFonts w:ascii="Times New Roman" w:hAnsi="Times New Roman" w:cs="Times New Roman"/>
          <w:sz w:val="19"/>
          <w:szCs w:val="19"/>
        </w:rPr>
        <w:t xml:space="preserve"> for segment reporting.</w:t>
      </w:r>
    </w:p>
    <w:p w:rsidR="00000000" w:rsidRDefault="0057438D">
      <w:pPr>
        <w:pStyle w:val="DefaultParagraphFont"/>
        <w:widowControl w:val="0"/>
        <w:autoSpaceDE w:val="0"/>
        <w:autoSpaceDN w:val="0"/>
        <w:adjustRightInd w:val="0"/>
        <w:spacing w:after="0" w:line="8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20"/>
        <w:rPr>
          <w:rFonts w:ascii="Times New Roman" w:hAnsi="Times New Roman" w:cs="Times New Roman"/>
          <w:sz w:val="24"/>
          <w:szCs w:val="24"/>
        </w:rPr>
      </w:pPr>
      <w:r>
        <w:rPr>
          <w:rFonts w:ascii="Times New Roman" w:hAnsi="Times New Roman" w:cs="Times New Roman"/>
          <w:sz w:val="19"/>
          <w:szCs w:val="19"/>
        </w:rPr>
        <w:t>Refer to Note 3 to our Consolidated Financial Statements for more details on the restructuring program.</w:t>
      </w:r>
    </w:p>
    <w:p w:rsidR="00000000" w:rsidRDefault="0057438D">
      <w:pPr>
        <w:pStyle w:val="DefaultParagraphFont"/>
        <w:widowControl w:val="0"/>
        <w:autoSpaceDE w:val="0"/>
        <w:autoSpaceDN w:val="0"/>
        <w:adjustRightInd w:val="0"/>
        <w:spacing w:after="0" w:line="10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740"/>
        <w:rPr>
          <w:rFonts w:ascii="Times New Roman" w:hAnsi="Times New Roman" w:cs="Times New Roman"/>
          <w:sz w:val="24"/>
          <w:szCs w:val="24"/>
        </w:rPr>
      </w:pPr>
      <w:r>
        <w:rPr>
          <w:rFonts w:ascii="Times New Roman" w:hAnsi="Times New Roman" w:cs="Times New Roman"/>
          <w:b/>
          <w:bCs/>
          <w:sz w:val="19"/>
          <w:szCs w:val="19"/>
        </w:rPr>
        <w:t>CASH FLOW, FINANCIAL CONDITION AND LIQUIDITY</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140"/>
        <w:jc w:val="both"/>
        <w:rPr>
          <w:rFonts w:ascii="Times New Roman" w:hAnsi="Times New Roman" w:cs="Times New Roman"/>
          <w:sz w:val="24"/>
          <w:szCs w:val="24"/>
        </w:rPr>
      </w:pPr>
      <w:r>
        <w:rPr>
          <w:rFonts w:ascii="Times New Roman" w:hAnsi="Times New Roman" w:cs="Times New Roman"/>
          <w:sz w:val="19"/>
          <w:szCs w:val="19"/>
        </w:rPr>
        <w:t>We believe our financia</w:t>
      </w:r>
      <w:r>
        <w:rPr>
          <w:rFonts w:ascii="Times New Roman" w:hAnsi="Times New Roman" w:cs="Times New Roman"/>
          <w:sz w:val="19"/>
          <w:szCs w:val="19"/>
        </w:rPr>
        <w:t>l condition continues to be of high quality, as evidenced by our ability to generate substantial cash from operations and ready access to capital markets at competitive rates.</w:t>
      </w:r>
    </w:p>
    <w:p w:rsidR="00000000" w:rsidRDefault="0057438D">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100"/>
        <w:rPr>
          <w:rFonts w:ascii="Times New Roman" w:hAnsi="Times New Roman" w:cs="Times New Roman"/>
          <w:sz w:val="24"/>
          <w:szCs w:val="24"/>
        </w:rPr>
      </w:pPr>
      <w:r>
        <w:rPr>
          <w:rFonts w:ascii="Times New Roman" w:hAnsi="Times New Roman" w:cs="Times New Roman"/>
          <w:sz w:val="19"/>
          <w:szCs w:val="19"/>
        </w:rPr>
        <w:t>Operating cash flow provides the primary source of cash to fund operating needs</w:t>
      </w:r>
      <w:r>
        <w:rPr>
          <w:rFonts w:ascii="Times New Roman" w:hAnsi="Times New Roman" w:cs="Times New Roman"/>
          <w:sz w:val="19"/>
          <w:szCs w:val="19"/>
        </w:rPr>
        <w:t xml:space="preserve"> and capital expenditures. Excess operating cash is used first to fund shareholder dividends. Other discretionary uses include share repurchases and acquisitions to complement our portfolio of businesses, brands and geographies. As necessary, we may supple</w:t>
      </w:r>
      <w:r>
        <w:rPr>
          <w:rFonts w:ascii="Times New Roman" w:hAnsi="Times New Roman" w:cs="Times New Roman"/>
          <w:sz w:val="19"/>
          <w:szCs w:val="19"/>
        </w:rPr>
        <w:t>ment operating cash flow with debt to fund these activities. The overall cash position of the Company reflects our strong business results and a global cash management strategy that takes into account liquidity management, economic factors and tax consider</w:t>
      </w:r>
      <w:r>
        <w:rPr>
          <w:rFonts w:ascii="Times New Roman" w:hAnsi="Times New Roman" w:cs="Times New Roman"/>
          <w:sz w:val="19"/>
          <w:szCs w:val="19"/>
        </w:rPr>
        <w:t>ations.</w:t>
      </w:r>
    </w:p>
    <w:p w:rsidR="00000000" w:rsidRDefault="0057438D">
      <w:pPr>
        <w:pStyle w:val="DefaultParagraphFont"/>
        <w:widowControl w:val="0"/>
        <w:autoSpaceDE w:val="0"/>
        <w:autoSpaceDN w:val="0"/>
        <w:adjustRightInd w:val="0"/>
        <w:spacing w:after="0" w:line="13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Operating Cash Flow</w:t>
      </w:r>
    </w:p>
    <w:p w:rsidR="00000000" w:rsidRDefault="0057438D">
      <w:pPr>
        <w:pStyle w:val="DefaultParagraphFont"/>
        <w:widowControl w:val="0"/>
        <w:autoSpaceDE w:val="0"/>
        <w:autoSpaceDN w:val="0"/>
        <w:adjustRightInd w:val="0"/>
        <w:spacing w:after="0" w:line="12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2014 compared with fiscal year 2013</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Operating cash flow was $14.0 billion in 2014, a 6% decrease from the prior year, which was primarily driven by a $1 billion discretionary contribution into a foreign pension plan. Operating cash flows resulted primarily from net earnings, adjusted for non</w:t>
      </w:r>
      <w:r>
        <w:rPr>
          <w:rFonts w:ascii="Times New Roman" w:hAnsi="Times New Roman" w:cs="Times New Roman"/>
          <w:sz w:val="19"/>
          <w:szCs w:val="19"/>
        </w:rPr>
        <w:t>-cash items (depreciation and amortization, stock-based compensation, deferred income taxes and gains on sale and purchase of businesses) partially offset by the impact of other operating assets and liabilities. Working capital changes did not have a signi</w:t>
      </w:r>
      <w:r>
        <w:rPr>
          <w:rFonts w:ascii="Times New Roman" w:hAnsi="Times New Roman" w:cs="Times New Roman"/>
          <w:sz w:val="19"/>
          <w:szCs w:val="19"/>
        </w:rPr>
        <w:t>ficant impact on operating cash flow in 2014. Reduced accounts receivable generated $87 million of cash primarily due to improved collection results, which, along with the timing and mix of sales late in the period, drove a 1 day decrease in accounts recei</w:t>
      </w:r>
      <w:r>
        <w:rPr>
          <w:rFonts w:ascii="Times New Roman" w:hAnsi="Times New Roman" w:cs="Times New Roman"/>
          <w:sz w:val="19"/>
          <w:szCs w:val="19"/>
        </w:rPr>
        <w:t>vable days sales outstanding. Inventory changes did not significantly impact operating cash flow as inventory management improvement efforts offset inventory needed to support product initiatives and build stock to support capacity expansions and manufactu</w:t>
      </w:r>
      <w:r>
        <w:rPr>
          <w:rFonts w:ascii="Times New Roman" w:hAnsi="Times New Roman" w:cs="Times New Roman"/>
          <w:sz w:val="19"/>
          <w:szCs w:val="19"/>
        </w:rPr>
        <w:t>ring sourcing changes. Inventory days on hand decreased by 3 days primarily due to inventory management improvement efforts. Accounts payable, accrued and other liabilities also did not significantly impact operating cash flow. Other operating assets and l</w:t>
      </w:r>
      <w:r>
        <w:rPr>
          <w:rFonts w:ascii="Times New Roman" w:hAnsi="Times New Roman" w:cs="Times New Roman"/>
          <w:sz w:val="19"/>
          <w:szCs w:val="19"/>
        </w:rPr>
        <w:t>iabilities utilized $1.6 billion of cash, primarily driven by $1 billion of cash used for a discretionary contribution into a foreign pension plan.</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1000" w:left="860" w:header="720" w:footer="720" w:gutter="0"/>
          <w:cols w:num="2" w:space="440" w:equalWidth="0">
            <w:col w:w="4660" w:space="440"/>
            <w:col w:w="466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36</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2013 compared with fiscal yea</w:t>
      </w:r>
      <w:r>
        <w:rPr>
          <w:rFonts w:ascii="Times New Roman" w:hAnsi="Times New Roman" w:cs="Times New Roman"/>
          <w:b/>
          <w:bCs/>
          <w:i/>
          <w:iCs/>
          <w:sz w:val="19"/>
          <w:szCs w:val="19"/>
        </w:rPr>
        <w:t>r 2012</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20"/>
        <w:rPr>
          <w:rFonts w:ascii="Times New Roman" w:hAnsi="Times New Roman" w:cs="Times New Roman"/>
          <w:sz w:val="24"/>
          <w:szCs w:val="24"/>
        </w:rPr>
      </w:pPr>
      <w:r>
        <w:rPr>
          <w:rFonts w:ascii="Times New Roman" w:hAnsi="Times New Roman" w:cs="Times New Roman"/>
          <w:sz w:val="19"/>
          <w:szCs w:val="19"/>
        </w:rPr>
        <w:t>Operating cash flow was $14.9 billion in 2013, a 12% increase from the prior year. Operating cash flows resulted primarily from net earnings, adjusted for non-cash items (depreciation and amortization, stock-based compensation, asset impairments, d</w:t>
      </w:r>
      <w:r>
        <w:rPr>
          <w:rFonts w:ascii="Times New Roman" w:hAnsi="Times New Roman" w:cs="Times New Roman"/>
          <w:sz w:val="19"/>
          <w:szCs w:val="19"/>
        </w:rPr>
        <w:t>eferred income taxes and gains on sale and purchase of businesses) and a decrease in working capital. Increased accounts receivable used $415 million of cash primarily to fund growth. In addition, accounts receivable days sales outstanding increased two da</w:t>
      </w:r>
      <w:r>
        <w:rPr>
          <w:rFonts w:ascii="Times New Roman" w:hAnsi="Times New Roman" w:cs="Times New Roman"/>
          <w:sz w:val="19"/>
          <w:szCs w:val="19"/>
        </w:rPr>
        <w:t>ys due to the timing and mix of sales late in the period and foreign exchange impacts. Increased inventory used $225 million of cash to support product initiatives and to build stock to support capacity expansions and manufacturing sourcing changes, partia</w:t>
      </w:r>
      <w:r>
        <w:rPr>
          <w:rFonts w:ascii="Times New Roman" w:hAnsi="Times New Roman" w:cs="Times New Roman"/>
          <w:sz w:val="19"/>
          <w:szCs w:val="19"/>
        </w:rPr>
        <w:t>lly offset by inventory management improvement efforts. Inventory days on hand increased by one day primarily due to foreign exchange impacts. Increased accounts payable, accrued and other liabilities generated $1.3 billion of cash primarily due to an incr</w:t>
      </w:r>
      <w:r>
        <w:rPr>
          <w:rFonts w:ascii="Times New Roman" w:hAnsi="Times New Roman" w:cs="Times New Roman"/>
          <w:sz w:val="19"/>
          <w:szCs w:val="19"/>
        </w:rPr>
        <w:t>ease in marketing accruals from increased advertising and other marketing costs.</w:t>
      </w:r>
    </w:p>
    <w:p w:rsidR="00000000" w:rsidRDefault="0057438D">
      <w:pPr>
        <w:pStyle w:val="DefaultParagraphFont"/>
        <w:widowControl w:val="0"/>
        <w:autoSpaceDE w:val="0"/>
        <w:autoSpaceDN w:val="0"/>
        <w:adjustRightInd w:val="0"/>
        <w:spacing w:after="0" w:line="14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rPr>
          <w:rFonts w:ascii="Times New Roman" w:hAnsi="Times New Roman" w:cs="Times New Roman"/>
          <w:sz w:val="24"/>
          <w:szCs w:val="24"/>
        </w:rPr>
      </w:pPr>
      <w:r>
        <w:rPr>
          <w:rFonts w:ascii="Times New Roman" w:hAnsi="Times New Roman" w:cs="Times New Roman"/>
          <w:b/>
          <w:bCs/>
          <w:i/>
          <w:iCs/>
          <w:sz w:val="19"/>
          <w:szCs w:val="19"/>
        </w:rPr>
        <w:t xml:space="preserve">Free Cash Flow. </w:t>
      </w:r>
      <w:r>
        <w:rPr>
          <w:rFonts w:ascii="Times New Roman" w:hAnsi="Times New Roman" w:cs="Times New Roman"/>
          <w:sz w:val="19"/>
          <w:szCs w:val="19"/>
        </w:rPr>
        <w:t>We view free cash flow as an important</w:t>
      </w:r>
      <w:r>
        <w:rPr>
          <w:rFonts w:ascii="Times New Roman" w:hAnsi="Times New Roman" w:cs="Times New Roman"/>
          <w:b/>
          <w:bCs/>
          <w:i/>
          <w:iCs/>
          <w:sz w:val="19"/>
          <w:szCs w:val="19"/>
        </w:rPr>
        <w:t xml:space="preserve"> </w:t>
      </w:r>
      <w:r>
        <w:rPr>
          <w:rFonts w:ascii="Times New Roman" w:hAnsi="Times New Roman" w:cs="Times New Roman"/>
          <w:sz w:val="19"/>
          <w:szCs w:val="19"/>
        </w:rPr>
        <w:t>measure because it is a factor impacting the amount of cash available for dividends, share repurchases, acquisitions an</w:t>
      </w:r>
      <w:r>
        <w:rPr>
          <w:rFonts w:ascii="Times New Roman" w:hAnsi="Times New Roman" w:cs="Times New Roman"/>
          <w:sz w:val="19"/>
          <w:szCs w:val="19"/>
        </w:rPr>
        <w:t>d other discretionary investment. It is defined as operating cash flow less capital expenditures and is one of the measures used to evaluate senior management and determine their at-risk compensation.</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2014 compared with fiscal year 2013</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rPr>
          <w:rFonts w:ascii="Times New Roman" w:hAnsi="Times New Roman" w:cs="Times New Roman"/>
          <w:sz w:val="24"/>
          <w:szCs w:val="24"/>
        </w:rPr>
      </w:pPr>
      <w:r>
        <w:rPr>
          <w:rFonts w:ascii="Times New Roman" w:hAnsi="Times New Roman" w:cs="Times New Roman"/>
          <w:sz w:val="19"/>
          <w:szCs w:val="19"/>
        </w:rPr>
        <w:t xml:space="preserve">Free </w:t>
      </w:r>
      <w:r>
        <w:rPr>
          <w:rFonts w:ascii="Times New Roman" w:hAnsi="Times New Roman" w:cs="Times New Roman"/>
          <w:sz w:val="19"/>
          <w:szCs w:val="19"/>
        </w:rPr>
        <w:t>cash flow was $10.1 billion in 2014, a decrease of 7% versus the prior year. The decrease was driven by the decrease in operating cash flows, which was primarily due to a $1 billion discretionary contribution into a foreign pension plan. Free cash flow pro</w:t>
      </w:r>
      <w:r>
        <w:rPr>
          <w:rFonts w:ascii="Times New Roman" w:hAnsi="Times New Roman" w:cs="Times New Roman"/>
          <w:sz w:val="19"/>
          <w:szCs w:val="19"/>
        </w:rPr>
        <w:t>ductivity, defined as the ratio of free cash flow to net earnings, was 86% in 2014.</w:t>
      </w:r>
    </w:p>
    <w:p w:rsidR="00000000" w:rsidRDefault="0057438D">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2013 compared with fiscal year 2012</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rPr>
          <w:rFonts w:ascii="Times New Roman" w:hAnsi="Times New Roman" w:cs="Times New Roman"/>
          <w:sz w:val="24"/>
          <w:szCs w:val="24"/>
        </w:rPr>
      </w:pPr>
      <w:r>
        <w:rPr>
          <w:rFonts w:ascii="Times New Roman" w:hAnsi="Times New Roman" w:cs="Times New Roman"/>
          <w:sz w:val="19"/>
          <w:szCs w:val="19"/>
        </w:rPr>
        <w:t xml:space="preserve">Free cash flow was $10.9 billion in 2013, an increase of 17% versus the prior year. The </w:t>
      </w:r>
      <w:r>
        <w:rPr>
          <w:rFonts w:ascii="Times New Roman" w:hAnsi="Times New Roman" w:cs="Times New Roman"/>
          <w:sz w:val="19"/>
          <w:szCs w:val="19"/>
        </w:rPr>
        <w:t>increase was driven by the increase in operating cash flows. Free cash flow productivity, defined as the ratio of free cash flow to net earnings, was 95% in 2013.</w:t>
      </w:r>
    </w:p>
    <w:p w:rsidR="00000000" w:rsidRDefault="0057438D">
      <w:pPr>
        <w:pStyle w:val="DefaultParagraphFont"/>
        <w:widowControl w:val="0"/>
        <w:autoSpaceDE w:val="0"/>
        <w:autoSpaceDN w:val="0"/>
        <w:adjustRightInd w:val="0"/>
        <w:spacing w:after="0" w:line="13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Investing Cash Flows</w:t>
      </w:r>
    </w:p>
    <w:p w:rsidR="00000000" w:rsidRDefault="0057438D">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2014 compared with fiscal year 2013</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200"/>
        <w:rPr>
          <w:rFonts w:ascii="Times New Roman" w:hAnsi="Times New Roman" w:cs="Times New Roman"/>
          <w:sz w:val="24"/>
          <w:szCs w:val="24"/>
        </w:rPr>
      </w:pPr>
      <w:r>
        <w:rPr>
          <w:rFonts w:ascii="Times New Roman" w:hAnsi="Times New Roman" w:cs="Times New Roman"/>
          <w:sz w:val="19"/>
          <w:szCs w:val="19"/>
        </w:rPr>
        <w:t>Net investing activit</w:t>
      </w:r>
      <w:r>
        <w:rPr>
          <w:rFonts w:ascii="Times New Roman" w:hAnsi="Times New Roman" w:cs="Times New Roman"/>
          <w:sz w:val="19"/>
          <w:szCs w:val="19"/>
        </w:rPr>
        <w:t>ies consumed $4.1 billion in cash in 2014 mainly due to capital spending and cash paid for investments in available-for-sale securities, partially offset by asset sales.</w:t>
      </w:r>
    </w:p>
    <w:p w:rsidR="00000000" w:rsidRDefault="0057438D">
      <w:pPr>
        <w:pStyle w:val="DefaultParagraphFont"/>
        <w:widowControl w:val="0"/>
        <w:autoSpaceDE w:val="0"/>
        <w:autoSpaceDN w:val="0"/>
        <w:adjustRightInd w:val="0"/>
        <w:spacing w:after="0" w:line="7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Fiscal year 2013 compared with fiscal year 2012</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80"/>
        <w:rPr>
          <w:rFonts w:ascii="Times New Roman" w:hAnsi="Times New Roman" w:cs="Times New Roman"/>
          <w:sz w:val="24"/>
          <w:szCs w:val="24"/>
        </w:rPr>
      </w:pPr>
      <w:r>
        <w:rPr>
          <w:rFonts w:ascii="Times New Roman" w:hAnsi="Times New Roman" w:cs="Times New Roman"/>
          <w:sz w:val="19"/>
          <w:szCs w:val="19"/>
        </w:rPr>
        <w:t>Net investing activities consumed $6</w:t>
      </w:r>
      <w:r>
        <w:rPr>
          <w:rFonts w:ascii="Times New Roman" w:hAnsi="Times New Roman" w:cs="Times New Roman"/>
          <w:sz w:val="19"/>
          <w:szCs w:val="19"/>
        </w:rPr>
        <w:t>.3 billion in cash in 2013 mainly due to capital spending, cash paid for acquisitions and investments in available-for-sale securities, partially offset by asset sales.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5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100"/>
        <w:rPr>
          <w:rFonts w:ascii="Times New Roman" w:hAnsi="Times New Roman" w:cs="Times New Roman"/>
          <w:sz w:val="24"/>
          <w:szCs w:val="24"/>
        </w:rPr>
      </w:pPr>
      <w:r>
        <w:rPr>
          <w:rFonts w:ascii="Times New Roman" w:hAnsi="Times New Roman" w:cs="Times New Roman"/>
          <w:b/>
          <w:bCs/>
          <w:i/>
          <w:iCs/>
          <w:sz w:val="19"/>
          <w:szCs w:val="19"/>
        </w:rPr>
        <w:t xml:space="preserve">Capital Spending. </w:t>
      </w:r>
      <w:r>
        <w:rPr>
          <w:rFonts w:ascii="Times New Roman" w:hAnsi="Times New Roman" w:cs="Times New Roman"/>
          <w:sz w:val="19"/>
          <w:szCs w:val="19"/>
        </w:rPr>
        <w:t>We manage capital spending to support</w:t>
      </w:r>
      <w:r>
        <w:rPr>
          <w:rFonts w:ascii="Times New Roman" w:hAnsi="Times New Roman" w:cs="Times New Roman"/>
          <w:b/>
          <w:bCs/>
          <w:i/>
          <w:iCs/>
          <w:sz w:val="19"/>
          <w:szCs w:val="19"/>
        </w:rPr>
        <w:t xml:space="preserve"> </w:t>
      </w:r>
      <w:r>
        <w:rPr>
          <w:rFonts w:ascii="Times New Roman" w:hAnsi="Times New Roman" w:cs="Times New Roman"/>
          <w:sz w:val="19"/>
          <w:szCs w:val="19"/>
        </w:rPr>
        <w:t>our business growth plans and have cost controls to deliver our cash generation targets. Capital expenditures, primarily to support capacity expansion, innovation and cost savings, were $3.8 billion in 2014 and $4.0 billion in 2013. Capital spending as a p</w:t>
      </w:r>
      <w:r>
        <w:rPr>
          <w:rFonts w:ascii="Times New Roman" w:hAnsi="Times New Roman" w:cs="Times New Roman"/>
          <w:sz w:val="19"/>
          <w:szCs w:val="19"/>
        </w:rPr>
        <w:t>ercentage of net sales decreased 30 basis points to 4.6% in 2014. Capital spending as a percentage of net sales in 2013 increased 10 basis points to 4.9%.</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5" w:lineRule="auto"/>
        <w:ind w:right="80"/>
        <w:rPr>
          <w:rFonts w:ascii="Times New Roman" w:hAnsi="Times New Roman" w:cs="Times New Roman"/>
          <w:sz w:val="24"/>
          <w:szCs w:val="24"/>
        </w:rPr>
      </w:pPr>
      <w:r>
        <w:rPr>
          <w:rFonts w:ascii="Times New Roman" w:hAnsi="Times New Roman" w:cs="Times New Roman"/>
          <w:b/>
          <w:bCs/>
          <w:i/>
          <w:iCs/>
          <w:sz w:val="19"/>
          <w:szCs w:val="19"/>
        </w:rPr>
        <w:t xml:space="preserve">Acquisitions. </w:t>
      </w:r>
      <w:r>
        <w:rPr>
          <w:rFonts w:ascii="Times New Roman" w:hAnsi="Times New Roman" w:cs="Times New Roman"/>
          <w:sz w:val="19"/>
          <w:szCs w:val="19"/>
        </w:rPr>
        <w:t>Acquisition activity was not material in 2014.</w:t>
      </w:r>
      <w:r>
        <w:rPr>
          <w:rFonts w:ascii="Times New Roman" w:hAnsi="Times New Roman" w:cs="Times New Roman"/>
          <w:b/>
          <w:bCs/>
          <w:i/>
          <w:iCs/>
          <w:sz w:val="19"/>
          <w:szCs w:val="19"/>
        </w:rPr>
        <w:t xml:space="preserve"> </w:t>
      </w:r>
      <w:r>
        <w:rPr>
          <w:rFonts w:ascii="Times New Roman" w:hAnsi="Times New Roman" w:cs="Times New Roman"/>
          <w:sz w:val="19"/>
          <w:szCs w:val="19"/>
        </w:rPr>
        <w:t>Acquisitions used $1.1 billion of cash in 2013 primarily for the acquisition of our partner's interest in a joint venture in Iberia.</w:t>
      </w:r>
    </w:p>
    <w:p w:rsidR="00000000" w:rsidRDefault="0057438D">
      <w:pPr>
        <w:pStyle w:val="DefaultParagraphFont"/>
        <w:widowControl w:val="0"/>
        <w:autoSpaceDE w:val="0"/>
        <w:autoSpaceDN w:val="0"/>
        <w:adjustRightInd w:val="0"/>
        <w:spacing w:after="0" w:line="12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Proceeds from Divestitures and Other Asset Sales.</w:t>
      </w:r>
    </w:p>
    <w:p w:rsidR="00000000" w:rsidRDefault="0057438D">
      <w:pPr>
        <w:pStyle w:val="DefaultParagraphFont"/>
        <w:widowControl w:val="0"/>
        <w:autoSpaceDE w:val="0"/>
        <w:autoSpaceDN w:val="0"/>
        <w:adjustRightInd w:val="0"/>
        <w:spacing w:after="0" w:line="1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rPr>
          <w:rFonts w:ascii="Times New Roman" w:hAnsi="Times New Roman" w:cs="Times New Roman"/>
          <w:sz w:val="24"/>
          <w:szCs w:val="24"/>
        </w:rPr>
      </w:pPr>
      <w:r>
        <w:rPr>
          <w:rFonts w:ascii="Times New Roman" w:hAnsi="Times New Roman" w:cs="Times New Roman"/>
          <w:sz w:val="19"/>
          <w:szCs w:val="19"/>
        </w:rPr>
        <w:t>Proceeds from asset sales contributed $570 million in cash in 2014 main</w:t>
      </w:r>
      <w:r>
        <w:rPr>
          <w:rFonts w:ascii="Times New Roman" w:hAnsi="Times New Roman" w:cs="Times New Roman"/>
          <w:sz w:val="19"/>
          <w:szCs w:val="19"/>
        </w:rPr>
        <w:t>ly due to minor brand divestiture activities, including MDVIP, the Pert business in Latin America, and the bleach business in CEEMEA and Latin America. Proceeds from asset sales contributed $584 million in cash in 2013 mainly due to the divestitures of the</w:t>
      </w:r>
      <w:r>
        <w:rPr>
          <w:rFonts w:ascii="Times New Roman" w:hAnsi="Times New Roman" w:cs="Times New Roman"/>
          <w:sz w:val="19"/>
          <w:szCs w:val="19"/>
        </w:rPr>
        <w:t xml:space="preserve"> bleach business in Italy and the Braun household appliances business.</w:t>
      </w:r>
    </w:p>
    <w:p w:rsidR="00000000" w:rsidRDefault="0057438D">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Financing Cash Flows</w:t>
      </w:r>
    </w:p>
    <w:p w:rsidR="00000000" w:rsidRDefault="0057438D">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80"/>
        <w:rPr>
          <w:rFonts w:ascii="Times New Roman" w:hAnsi="Times New Roman" w:cs="Times New Roman"/>
          <w:sz w:val="24"/>
          <w:szCs w:val="24"/>
        </w:rPr>
      </w:pPr>
      <w:r>
        <w:rPr>
          <w:rFonts w:ascii="Times New Roman" w:hAnsi="Times New Roman" w:cs="Times New Roman"/>
          <w:b/>
          <w:bCs/>
          <w:i/>
          <w:iCs/>
          <w:sz w:val="19"/>
          <w:szCs w:val="19"/>
        </w:rPr>
        <w:t xml:space="preserve">Dividend Payments. </w:t>
      </w:r>
      <w:r>
        <w:rPr>
          <w:rFonts w:ascii="Times New Roman" w:hAnsi="Times New Roman" w:cs="Times New Roman"/>
          <w:sz w:val="19"/>
          <w:szCs w:val="19"/>
        </w:rPr>
        <w:t>Our first discretionary use of cash is</w:t>
      </w:r>
      <w:r>
        <w:rPr>
          <w:rFonts w:ascii="Times New Roman" w:hAnsi="Times New Roman" w:cs="Times New Roman"/>
          <w:b/>
          <w:bCs/>
          <w:i/>
          <w:iCs/>
          <w:sz w:val="19"/>
          <w:szCs w:val="19"/>
        </w:rPr>
        <w:t xml:space="preserve"> </w:t>
      </w:r>
      <w:r>
        <w:rPr>
          <w:rFonts w:ascii="Times New Roman" w:hAnsi="Times New Roman" w:cs="Times New Roman"/>
          <w:sz w:val="19"/>
          <w:szCs w:val="19"/>
        </w:rPr>
        <w:t>dividend payments. Dividends per common share increased 7% to $2.45 per share in 2014. Tot</w:t>
      </w:r>
      <w:r>
        <w:rPr>
          <w:rFonts w:ascii="Times New Roman" w:hAnsi="Times New Roman" w:cs="Times New Roman"/>
          <w:sz w:val="19"/>
          <w:szCs w:val="19"/>
        </w:rPr>
        <w:t xml:space="preserve">al dividend payments to common and preferred shareholders were $6.9 billion in 2014 and $6.5 billion in 2013. In April 2014, the Board of Directors declared an increase in our quarterly dividend from $0.6015 to $0.6436 per share on Common Stock and Series </w:t>
      </w:r>
      <w:r>
        <w:rPr>
          <w:rFonts w:ascii="Times New Roman" w:hAnsi="Times New Roman" w:cs="Times New Roman"/>
          <w:sz w:val="19"/>
          <w:szCs w:val="19"/>
        </w:rPr>
        <w:t>A and B ESOP Convertible Class A Preferred Stock. This represents a 7% increase compared to the prior quarterly dividend and is the 58th consecutive year that our dividend has increased. We have paid a dividend in every year since our incorporation in 1890</w:t>
      </w:r>
      <w:r>
        <w:rPr>
          <w:rFonts w:ascii="Times New Roman" w:hAnsi="Times New Roman" w:cs="Times New Roman"/>
          <w:sz w:val="19"/>
          <w:szCs w:val="19"/>
        </w:rPr>
        <w:t>.</w:t>
      </w:r>
    </w:p>
    <w:p w:rsidR="00000000" w:rsidRDefault="0057438D">
      <w:pPr>
        <w:pStyle w:val="DefaultParagraphFont"/>
        <w:widowControl w:val="0"/>
        <w:autoSpaceDE w:val="0"/>
        <w:autoSpaceDN w:val="0"/>
        <w:adjustRightInd w:val="0"/>
        <w:spacing w:after="0" w:line="13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0"/>
        <w:rPr>
          <w:rFonts w:ascii="Times New Roman" w:hAnsi="Times New Roman" w:cs="Times New Roman"/>
          <w:sz w:val="24"/>
          <w:szCs w:val="24"/>
        </w:rPr>
      </w:pPr>
      <w:r>
        <w:rPr>
          <w:rFonts w:ascii="Times New Roman" w:hAnsi="Times New Roman" w:cs="Times New Roman"/>
          <w:b/>
          <w:bCs/>
          <w:i/>
          <w:iCs/>
          <w:sz w:val="19"/>
          <w:szCs w:val="19"/>
        </w:rPr>
        <w:t xml:space="preserve">Long-Term and Short-Term Debt. </w:t>
      </w:r>
      <w:r>
        <w:rPr>
          <w:rFonts w:ascii="Times New Roman" w:hAnsi="Times New Roman" w:cs="Times New Roman"/>
          <w:sz w:val="19"/>
          <w:szCs w:val="19"/>
        </w:rPr>
        <w:t>We maintain debt levels</w:t>
      </w:r>
      <w:r>
        <w:rPr>
          <w:rFonts w:ascii="Times New Roman" w:hAnsi="Times New Roman" w:cs="Times New Roman"/>
          <w:b/>
          <w:bCs/>
          <w:i/>
          <w:iCs/>
          <w:sz w:val="19"/>
          <w:szCs w:val="19"/>
        </w:rPr>
        <w:t xml:space="preserve"> </w:t>
      </w:r>
      <w:r>
        <w:rPr>
          <w:rFonts w:ascii="Times New Roman" w:hAnsi="Times New Roman" w:cs="Times New Roman"/>
          <w:sz w:val="19"/>
          <w:szCs w:val="19"/>
        </w:rPr>
        <w:t>we consider appropriate after evaluating a number of factors, including cash flow expectations, cash requirements for ongoing operations, investment and financing plans (including acquisitions and s</w:t>
      </w:r>
      <w:r>
        <w:rPr>
          <w:rFonts w:ascii="Times New Roman" w:hAnsi="Times New Roman" w:cs="Times New Roman"/>
          <w:sz w:val="19"/>
          <w:szCs w:val="19"/>
        </w:rPr>
        <w:t>hare repurchase activities) and the overall cost of capital. Total debt was $35.4 billion as of June 30, 2014 and $31.5 billion as of June 30, 2013. Our total debt increased in 2014 mainly due to debt issuances and an increase in commercial paper outstandi</w:t>
      </w:r>
      <w:r>
        <w:rPr>
          <w:rFonts w:ascii="Times New Roman" w:hAnsi="Times New Roman" w:cs="Times New Roman"/>
          <w:sz w:val="19"/>
          <w:szCs w:val="19"/>
        </w:rPr>
        <w:t>ng, partially offset by bond maturities.</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1" w:lineRule="auto"/>
        <w:ind w:right="380"/>
        <w:rPr>
          <w:rFonts w:ascii="Times New Roman" w:hAnsi="Times New Roman" w:cs="Times New Roman"/>
          <w:sz w:val="24"/>
          <w:szCs w:val="24"/>
        </w:rPr>
      </w:pPr>
      <w:r>
        <w:rPr>
          <w:rFonts w:ascii="Times New Roman" w:hAnsi="Times New Roman" w:cs="Times New Roman"/>
          <w:b/>
          <w:bCs/>
          <w:i/>
          <w:iCs/>
          <w:sz w:val="19"/>
          <w:szCs w:val="19"/>
        </w:rPr>
        <w:t xml:space="preserve">Treasury Purchases. </w:t>
      </w:r>
      <w:r>
        <w:rPr>
          <w:rFonts w:ascii="Times New Roman" w:hAnsi="Times New Roman" w:cs="Times New Roman"/>
          <w:sz w:val="19"/>
          <w:szCs w:val="19"/>
        </w:rPr>
        <w:t>Total share repurchases were $6.0</w:t>
      </w:r>
      <w:r>
        <w:rPr>
          <w:rFonts w:ascii="Times New Roman" w:hAnsi="Times New Roman" w:cs="Times New Roman"/>
          <w:b/>
          <w:bCs/>
          <w:i/>
          <w:iCs/>
          <w:sz w:val="19"/>
          <w:szCs w:val="19"/>
        </w:rPr>
        <w:t xml:space="preserve"> </w:t>
      </w:r>
      <w:r>
        <w:rPr>
          <w:rFonts w:ascii="Times New Roman" w:hAnsi="Times New Roman" w:cs="Times New Roman"/>
          <w:sz w:val="19"/>
          <w:szCs w:val="19"/>
        </w:rPr>
        <w:t>billion in 2014 and 2013.</w:t>
      </w:r>
    </w:p>
    <w:p w:rsidR="00000000" w:rsidRDefault="0057438D">
      <w:pPr>
        <w:pStyle w:val="DefaultParagraphFont"/>
        <w:widowControl w:val="0"/>
        <w:autoSpaceDE w:val="0"/>
        <w:autoSpaceDN w:val="0"/>
        <w:adjustRightInd w:val="0"/>
        <w:spacing w:after="0" w:line="10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Liquidity</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20"/>
        <w:rPr>
          <w:rFonts w:ascii="Times New Roman" w:hAnsi="Times New Roman" w:cs="Times New Roman"/>
          <w:sz w:val="24"/>
          <w:szCs w:val="24"/>
        </w:rPr>
      </w:pPr>
      <w:r>
        <w:rPr>
          <w:rFonts w:ascii="Times New Roman" w:hAnsi="Times New Roman" w:cs="Times New Roman"/>
          <w:sz w:val="19"/>
          <w:szCs w:val="19"/>
        </w:rPr>
        <w:t xml:space="preserve">At June 30, 2014, our current liabilities exceeded current assets by $2.1 billion ($4.3 billion, excluding current assets </w:t>
      </w:r>
      <w:r>
        <w:rPr>
          <w:rFonts w:ascii="Times New Roman" w:hAnsi="Times New Roman" w:cs="Times New Roman"/>
          <w:sz w:val="19"/>
          <w:szCs w:val="19"/>
        </w:rPr>
        <w:t>and current liabilities of the Pet Care business held for sale), largely due to short-term borrowings under our commercial paper program. We anticipate being able to support our short-term liquidity and operating needs largely through cash generated from o</w:t>
      </w:r>
      <w:r>
        <w:rPr>
          <w:rFonts w:ascii="Times New Roman" w:hAnsi="Times New Roman" w:cs="Times New Roman"/>
          <w:sz w:val="19"/>
          <w:szCs w:val="19"/>
        </w:rPr>
        <w:t>perations. The Company regularly assesses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80" w:bottom="591" w:left="860" w:header="720" w:footer="720" w:gutter="0"/>
          <w:cols w:num="2" w:space="440" w:equalWidth="0">
            <w:col w:w="4660" w:space="440"/>
            <w:col w:w="468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37</w:t>
      </w: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5140"/>
        <w:rPr>
          <w:rFonts w:ascii="Times New Roman" w:hAnsi="Times New Roman" w:cs="Times New Roman"/>
          <w:sz w:val="24"/>
          <w:szCs w:val="24"/>
        </w:rPr>
      </w:pPr>
      <w:r>
        <w:rPr>
          <w:rFonts w:ascii="Times New Roman" w:hAnsi="Times New Roman" w:cs="Times New Roman"/>
          <w:sz w:val="19"/>
          <w:szCs w:val="19"/>
        </w:rPr>
        <w:t>its cash needs and the available sources to fund these needs. The majority of our cash is held off-shore by foreign subsidiaries, but we do not expect restrictions or taxes on repatriation of cash held outside of the United States to have a material effect</w:t>
      </w:r>
      <w:r>
        <w:rPr>
          <w:rFonts w:ascii="Times New Roman" w:hAnsi="Times New Roman" w:cs="Times New Roman"/>
          <w:sz w:val="19"/>
          <w:szCs w:val="19"/>
        </w:rPr>
        <w:t xml:space="preserve"> on our overall liquidity, financial condition or the results of operations for the foreseeable future. We utilize short- and long-term debt to fund discretionary items, such as acquisitions and share repurchases. We have strong short- and long-term debt r</w:t>
      </w:r>
      <w:r>
        <w:rPr>
          <w:rFonts w:ascii="Times New Roman" w:hAnsi="Times New Roman" w:cs="Times New Roman"/>
          <w:sz w:val="19"/>
          <w:szCs w:val="19"/>
        </w:rPr>
        <w:t>atings, which have enabled and should continue to enable us to refinance our debt as it becomes due at favorable rates in commercial paper and bond markets. In addition, we have agreements with a diverse group of financial institutions that, if needed, sho</w:t>
      </w:r>
      <w:r>
        <w:rPr>
          <w:rFonts w:ascii="Times New Roman" w:hAnsi="Times New Roman" w:cs="Times New Roman"/>
          <w:sz w:val="19"/>
          <w:szCs w:val="19"/>
        </w:rPr>
        <w:t>uld provide sufficient credit funding to meet short-term financing requirements.</w:t>
      </w: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5200"/>
        <w:rPr>
          <w:rFonts w:ascii="Times New Roman" w:hAnsi="Times New Roman" w:cs="Times New Roman"/>
          <w:sz w:val="24"/>
          <w:szCs w:val="24"/>
        </w:rPr>
      </w:pPr>
      <w:r>
        <w:rPr>
          <w:rFonts w:ascii="Times New Roman" w:hAnsi="Times New Roman" w:cs="Times New Roman"/>
          <w:sz w:val="19"/>
          <w:szCs w:val="19"/>
        </w:rPr>
        <w:t>On June 30, 2014, our short-term credit ratings were P-1 (Moody's) and A-1+ (Standard &amp; Poor's), while our long-term credit ratings are Aa3 (Moody's) and AA- (Standard &amp; Poor</w:t>
      </w:r>
      <w:r>
        <w:rPr>
          <w:rFonts w:ascii="Times New Roman" w:hAnsi="Times New Roman" w:cs="Times New Roman"/>
          <w:sz w:val="19"/>
          <w:szCs w:val="19"/>
        </w:rPr>
        <w:t>'s), all with a stable outlook.</w:t>
      </w:r>
    </w:p>
    <w:p w:rsidR="00000000" w:rsidRDefault="0057438D">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5100"/>
        <w:rPr>
          <w:rFonts w:ascii="Times New Roman" w:hAnsi="Times New Roman" w:cs="Times New Roman"/>
          <w:sz w:val="24"/>
          <w:szCs w:val="24"/>
        </w:rPr>
      </w:pPr>
      <w:r>
        <w:rPr>
          <w:rFonts w:ascii="Times New Roman" w:hAnsi="Times New Roman" w:cs="Times New Roman"/>
          <w:sz w:val="19"/>
          <w:szCs w:val="19"/>
        </w:rPr>
        <w:t>We maintain bank credit facilities to support our ongoing commercial paper program. The current facility is an $11.0 billion facility split between a $7.0 billion 5-year facility and a $4.0 billion 364-day facility, which e</w:t>
      </w:r>
      <w:r>
        <w:rPr>
          <w:rFonts w:ascii="Times New Roman" w:hAnsi="Times New Roman" w:cs="Times New Roman"/>
          <w:sz w:val="19"/>
          <w:szCs w:val="19"/>
        </w:rPr>
        <w:t>xpire in August 2018 and July 2015, respectively. The 364-day facility can be extended for certain periods of time as specified in, and in accordance with, the terms of the credit agreement. These facilities are currently undrawn and we anticipate that the</w:t>
      </w:r>
      <w:r>
        <w:rPr>
          <w:rFonts w:ascii="Times New Roman" w:hAnsi="Times New Roman" w:cs="Times New Roman"/>
          <w:sz w:val="19"/>
          <w:szCs w:val="19"/>
        </w:rPr>
        <w:t>y will remain largely undrawn for the foreseeable future. These credit facilities do not have cross-default or ratings triggers, nor do they have material adverse events clauses, except at the time of signing. In addition to these credit facilities, we hav</w:t>
      </w:r>
      <w:r>
        <w:rPr>
          <w:rFonts w:ascii="Times New Roman" w:hAnsi="Times New Roman" w:cs="Times New Roman"/>
          <w:sz w:val="19"/>
          <w:szCs w:val="19"/>
        </w:rPr>
        <w:t>e an automatically effective registration statement on Form S-3 filed with the SEC that is available for registered offerings of short- or long-term debt securities.</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Guarantees and Other Off-Balance Sheet Arrangements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5220"/>
        <w:rPr>
          <w:rFonts w:ascii="Times New Roman" w:hAnsi="Times New Roman" w:cs="Times New Roman"/>
          <w:sz w:val="24"/>
          <w:szCs w:val="24"/>
        </w:rPr>
      </w:pPr>
      <w:r>
        <w:rPr>
          <w:rFonts w:ascii="Times New Roman" w:hAnsi="Times New Roman" w:cs="Times New Roman"/>
          <w:sz w:val="19"/>
          <w:szCs w:val="19"/>
        </w:rPr>
        <w:t>We do not have guarantees or other o</w:t>
      </w:r>
      <w:r>
        <w:rPr>
          <w:rFonts w:ascii="Times New Roman" w:hAnsi="Times New Roman" w:cs="Times New Roman"/>
          <w:sz w:val="19"/>
          <w:szCs w:val="19"/>
        </w:rPr>
        <w:t>ff-balance sheet financing arrangements, including variable interest entities, which we believe could have a material impact on financial condition or liquidity.</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1440" w:left="860" w:header="720" w:footer="720" w:gutter="0"/>
          <w:cols w:space="720" w:equalWidth="0">
            <w:col w:w="9760"/>
          </w:cols>
          <w:noEndnote/>
        </w:sectPr>
      </w:pPr>
    </w:p>
    <w:p w:rsidR="00000000" w:rsidRDefault="0057438D">
      <w:pPr>
        <w:pStyle w:val="DefaultParagraphFont"/>
        <w:widowControl w:val="0"/>
        <w:tabs>
          <w:tab w:val="left" w:pos="360"/>
        </w:tabs>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7"/>
          <w:szCs w:val="17"/>
        </w:rPr>
        <w:t>38</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Contractual Commitments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The following table provides information on the amount and payable date of our contractual commitments as of June 30, 2014.</w:t>
      </w:r>
    </w:p>
    <w:p w:rsidR="00000000" w:rsidRDefault="0057438D">
      <w:pPr>
        <w:pStyle w:val="DefaultParagraphFont"/>
        <w:widowControl w:val="0"/>
        <w:autoSpaceDE w:val="0"/>
        <w:autoSpaceDN w:val="0"/>
        <w:adjustRightInd w:val="0"/>
        <w:spacing w:after="0" w:line="16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180"/>
        <w:gridCol w:w="880"/>
        <w:gridCol w:w="940"/>
        <w:gridCol w:w="940"/>
        <w:gridCol w:w="920"/>
        <w:gridCol w:w="920"/>
        <w:gridCol w:w="20"/>
      </w:tblGrid>
      <w:tr w:rsidR="00000000">
        <w:tblPrEx>
          <w:tblCellMar>
            <w:top w:w="0" w:type="dxa"/>
            <w:left w:w="0" w:type="dxa"/>
            <w:bottom w:w="0" w:type="dxa"/>
            <w:right w:w="0" w:type="dxa"/>
          </w:tblCellMar>
        </w:tblPrEx>
        <w:trPr>
          <w:trHeight w:val="172"/>
        </w:trPr>
        <w:tc>
          <w:tcPr>
            <w:tcW w:w="5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 millions)</w:t>
            </w:r>
          </w:p>
        </w:tc>
        <w:tc>
          <w:tcPr>
            <w:tcW w:w="8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7"/>
              <w:jc w:val="right"/>
              <w:rPr>
                <w:rFonts w:ascii="Times New Roman" w:hAnsi="Times New Roman" w:cs="Times New Roman"/>
                <w:sz w:val="24"/>
                <w:szCs w:val="24"/>
              </w:rPr>
            </w:pPr>
            <w:r>
              <w:rPr>
                <w:rFonts w:ascii="Times New Roman" w:hAnsi="Times New Roman" w:cs="Times New Roman"/>
                <w:b/>
                <w:bCs/>
                <w:sz w:val="15"/>
                <w:szCs w:val="15"/>
              </w:rPr>
              <w:t>Total</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right="48"/>
              <w:jc w:val="right"/>
              <w:rPr>
                <w:rFonts w:ascii="Times New Roman" w:hAnsi="Times New Roman" w:cs="Times New Roman"/>
                <w:sz w:val="24"/>
                <w:szCs w:val="24"/>
              </w:rPr>
            </w:pPr>
            <w:r>
              <w:rPr>
                <w:rFonts w:ascii="Times New Roman" w:hAnsi="Times New Roman" w:cs="Times New Roman"/>
                <w:b/>
                <w:bCs/>
                <w:sz w:val="15"/>
                <w:szCs w:val="15"/>
              </w:rPr>
              <w:t>Less Than</w:t>
            </w:r>
          </w:p>
        </w:tc>
        <w:tc>
          <w:tcPr>
            <w:tcW w:w="9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7"/>
              <w:jc w:val="right"/>
              <w:rPr>
                <w:rFonts w:ascii="Times New Roman" w:hAnsi="Times New Roman" w:cs="Times New Roman"/>
                <w:sz w:val="24"/>
                <w:szCs w:val="24"/>
              </w:rPr>
            </w:pPr>
            <w:r>
              <w:rPr>
                <w:rFonts w:ascii="Times New Roman" w:hAnsi="Times New Roman" w:cs="Times New Roman"/>
                <w:b/>
                <w:bCs/>
                <w:sz w:val="15"/>
                <w:szCs w:val="15"/>
              </w:rPr>
              <w:t>1-3 Years</w:t>
            </w:r>
          </w:p>
        </w:tc>
        <w:tc>
          <w:tcPr>
            <w:tcW w:w="9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7"/>
              <w:jc w:val="right"/>
              <w:rPr>
                <w:rFonts w:ascii="Times New Roman" w:hAnsi="Times New Roman" w:cs="Times New Roman"/>
                <w:sz w:val="24"/>
                <w:szCs w:val="24"/>
              </w:rPr>
            </w:pPr>
            <w:r>
              <w:rPr>
                <w:rFonts w:ascii="Times New Roman" w:hAnsi="Times New Roman" w:cs="Times New Roman"/>
                <w:b/>
                <w:bCs/>
                <w:sz w:val="15"/>
                <w:szCs w:val="15"/>
              </w:rPr>
              <w:t>3-5 Years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right="168"/>
              <w:jc w:val="right"/>
              <w:rPr>
                <w:rFonts w:ascii="Times New Roman" w:hAnsi="Times New Roman" w:cs="Times New Roman"/>
                <w:sz w:val="24"/>
                <w:szCs w:val="24"/>
              </w:rPr>
            </w:pPr>
            <w:r>
              <w:rPr>
                <w:rFonts w:ascii="Times New Roman" w:hAnsi="Times New Roman" w:cs="Times New Roman"/>
                <w:b/>
                <w:bCs/>
                <w:sz w:val="15"/>
                <w:szCs w:val="15"/>
              </w:rPr>
              <w:t>After</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5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8"/>
              <w:jc w:val="right"/>
              <w:rPr>
                <w:rFonts w:ascii="Times New Roman" w:hAnsi="Times New Roman" w:cs="Times New Roman"/>
                <w:sz w:val="24"/>
                <w:szCs w:val="24"/>
              </w:rPr>
            </w:pPr>
            <w:r>
              <w:rPr>
                <w:rFonts w:ascii="Times New Roman" w:hAnsi="Times New Roman" w:cs="Times New Roman"/>
                <w:b/>
                <w:bCs/>
                <w:sz w:val="15"/>
                <w:szCs w:val="15"/>
              </w:rPr>
              <w:t>1 Year</w:t>
            </w:r>
          </w:p>
        </w:tc>
        <w:tc>
          <w:tcPr>
            <w:tcW w:w="9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Times New Roman" w:hAnsi="Times New Roman" w:cs="Times New Roman"/>
                <w:b/>
                <w:bCs/>
                <w:sz w:val="15"/>
                <w:szCs w:val="15"/>
              </w:rPr>
              <w:t>5 Years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51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5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RECORDED LIABILITIES</w:t>
            </w:r>
          </w:p>
        </w:tc>
        <w:tc>
          <w:tcPr>
            <w:tcW w:w="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Total debt</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b/>
                <w:bCs/>
                <w:sz w:val="19"/>
                <w:szCs w:val="19"/>
              </w:rPr>
              <w:t>$ 35,229</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$ 15,576</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sz w:val="19"/>
                <w:szCs w:val="19"/>
              </w:rPr>
              <w:t>$  4,391</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sz w:val="19"/>
                <w:szCs w:val="19"/>
              </w:rPr>
              <w:t>$  3,939</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$ 11,323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Capital leases</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b/>
                <w:bCs/>
                <w:sz w:val="19"/>
                <w:szCs w:val="19"/>
              </w:rPr>
              <w:t>83</w:t>
            </w: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19</w:t>
            </w: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sz w:val="19"/>
                <w:szCs w:val="19"/>
              </w:rPr>
              <w:t>34</w:t>
            </w:r>
          </w:p>
        </w:tc>
        <w:tc>
          <w:tcPr>
            <w:tcW w:w="9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w:t>
            </w:r>
          </w:p>
        </w:tc>
        <w:tc>
          <w:tcPr>
            <w:tcW w:w="9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Uncertain tax positions</w:t>
            </w:r>
            <w:r>
              <w:rPr>
                <w:rFonts w:ascii="Times New Roman" w:hAnsi="Times New Roman" w:cs="Times New Roman"/>
                <w:sz w:val="24"/>
                <w:szCs w:val="24"/>
                <w:vertAlign w:val="superscript"/>
              </w:rPr>
              <w:t>(1)</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b/>
                <w:bCs/>
                <w:sz w:val="19"/>
                <w:szCs w:val="19"/>
              </w:rPr>
              <w:t>37</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37</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sz w:val="19"/>
                <w:szCs w:val="19"/>
              </w:rPr>
              <w: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7"/>
        </w:trPr>
        <w:tc>
          <w:tcPr>
            <w:tcW w:w="5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OTHER</w:t>
            </w:r>
          </w:p>
        </w:tc>
        <w:tc>
          <w:tcPr>
            <w:tcW w:w="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Interest payments relating to long-term debt</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b/>
                <w:bCs/>
                <w:sz w:val="19"/>
                <w:szCs w:val="19"/>
              </w:rPr>
              <w:t>7,929</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831</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sz w:val="19"/>
                <w:szCs w:val="19"/>
              </w:rPr>
              <w:t>1,385</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1,195</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4,518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5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Operating leases</w:t>
            </w:r>
            <w:r>
              <w:rPr>
                <w:rFonts w:ascii="Times New Roman" w:hAnsi="Times New Roman" w:cs="Times New Roman"/>
                <w:sz w:val="24"/>
                <w:szCs w:val="24"/>
                <w:vertAlign w:val="superscript"/>
              </w:rPr>
              <w:t>(2)</w:t>
            </w:r>
          </w:p>
        </w:tc>
        <w:tc>
          <w:tcPr>
            <w:tcW w:w="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b/>
                <w:bCs/>
                <w:sz w:val="19"/>
                <w:szCs w:val="19"/>
              </w:rPr>
              <w:t>1,944</w:t>
            </w: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288</w:t>
            </w: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sz w:val="19"/>
                <w:szCs w:val="19"/>
              </w:rPr>
              <w:t>509</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404</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743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Minimum pension funding</w:t>
            </w:r>
            <w:r>
              <w:rPr>
                <w:rFonts w:ascii="Times New Roman" w:hAnsi="Times New Roman" w:cs="Times New Roman"/>
                <w:sz w:val="24"/>
                <w:szCs w:val="24"/>
                <w:vertAlign w:val="superscript"/>
              </w:rPr>
              <w:t>(3)</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b/>
                <w:bCs/>
                <w:sz w:val="19"/>
                <w:szCs w:val="19"/>
              </w:rPr>
              <w:t>817</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264</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sz w:val="19"/>
                <w:szCs w:val="19"/>
              </w:rPr>
              <w:t>553</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7"/>
        </w:trPr>
        <w:tc>
          <w:tcPr>
            <w:tcW w:w="5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Purchase obligations</w:t>
            </w:r>
            <w:r>
              <w:rPr>
                <w:rFonts w:ascii="Times New Roman" w:hAnsi="Times New Roman" w:cs="Times New Roman"/>
                <w:sz w:val="24"/>
                <w:szCs w:val="24"/>
                <w:vertAlign w:val="superscript"/>
              </w:rPr>
              <w:t>(4)</w:t>
            </w:r>
          </w:p>
        </w:tc>
        <w:tc>
          <w:tcPr>
            <w:tcW w:w="8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b/>
                <w:bCs/>
                <w:sz w:val="19"/>
                <w:szCs w:val="19"/>
              </w:rPr>
              <w:t>1,985</w:t>
            </w:r>
          </w:p>
        </w:tc>
        <w:tc>
          <w:tcPr>
            <w:tcW w:w="9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1,068</w:t>
            </w:r>
          </w:p>
        </w:tc>
        <w:tc>
          <w:tcPr>
            <w:tcW w:w="9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sz w:val="19"/>
                <w:szCs w:val="19"/>
              </w:rPr>
              <w:t>432</w:t>
            </w:r>
          </w:p>
        </w:tc>
        <w:tc>
          <w:tcPr>
            <w:tcW w:w="9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164</w:t>
            </w:r>
          </w:p>
        </w:tc>
        <w:tc>
          <w:tcPr>
            <w:tcW w:w="9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321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7"/>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 CONTRACTUAL COMMITMENTS</w:t>
            </w:r>
          </w:p>
        </w:tc>
        <w:tc>
          <w:tcPr>
            <w:tcW w:w="8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b/>
                <w:bCs/>
                <w:sz w:val="19"/>
                <w:szCs w:val="19"/>
              </w:rPr>
              <w:t>48,024</w:t>
            </w: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18,083</w:t>
            </w: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sz w:val="19"/>
                <w:szCs w:val="19"/>
              </w:rPr>
              <w:t>7,304</w:t>
            </w: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5,725</w:t>
            </w: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16,912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90" w:lineRule="exact"/>
        <w:rPr>
          <w:rFonts w:ascii="Times New Roman" w:hAnsi="Times New Roman" w:cs="Times New Roman"/>
          <w:sz w:val="24"/>
          <w:szCs w:val="24"/>
        </w:rPr>
      </w:pPr>
    </w:p>
    <w:p w:rsidR="00000000" w:rsidRDefault="0057438D">
      <w:pPr>
        <w:pStyle w:val="DefaultParagraphFont"/>
        <w:widowControl w:val="0"/>
        <w:numPr>
          <w:ilvl w:val="0"/>
          <w:numId w:val="10"/>
        </w:numPr>
        <w:tabs>
          <w:tab w:val="clear" w:pos="720"/>
          <w:tab w:val="num" w:pos="360"/>
        </w:tabs>
        <w:overflowPunct w:val="0"/>
        <w:autoSpaceDE w:val="0"/>
        <w:autoSpaceDN w:val="0"/>
        <w:adjustRightInd w:val="0"/>
        <w:spacing w:after="0" w:line="231" w:lineRule="auto"/>
        <w:ind w:left="360" w:hanging="345"/>
        <w:rPr>
          <w:rFonts w:ascii="Times New Roman" w:hAnsi="Times New Roman" w:cs="Times New Roman"/>
          <w:sz w:val="25"/>
          <w:szCs w:val="25"/>
          <w:vertAlign w:val="superscript"/>
        </w:rPr>
      </w:pPr>
      <w:r>
        <w:rPr>
          <w:rFonts w:ascii="Times New Roman" w:hAnsi="Times New Roman" w:cs="Times New Roman"/>
          <w:sz w:val="17"/>
          <w:szCs w:val="17"/>
        </w:rPr>
        <w:t>As of June 30, 2014, the Company's Consolidated Balance Sheet reflects a liability for uncertain tax positions of $1.9 billion, including $443 million of interest and penalties. Due to the high degree of uncertainty regarding the timing of future cash outf</w:t>
      </w:r>
      <w:r>
        <w:rPr>
          <w:rFonts w:ascii="Times New Roman" w:hAnsi="Times New Roman" w:cs="Times New Roman"/>
          <w:sz w:val="17"/>
          <w:szCs w:val="17"/>
        </w:rPr>
        <w:t>lows of liabilities for uncertain tax positions beyond one year, a reasonable estimate of the period of cash settlement beyond twelve months from the balance sheet date of June 30, 2014, cannot be made.</w:t>
      </w:r>
    </w:p>
    <w:p w:rsidR="00000000" w:rsidRDefault="0057438D">
      <w:pPr>
        <w:pStyle w:val="DefaultParagraphFont"/>
        <w:widowControl w:val="0"/>
        <w:autoSpaceDE w:val="0"/>
        <w:autoSpaceDN w:val="0"/>
        <w:adjustRightInd w:val="0"/>
        <w:spacing w:after="0" w:line="2"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10"/>
        </w:numPr>
        <w:tabs>
          <w:tab w:val="clear" w:pos="720"/>
          <w:tab w:val="num" w:pos="360"/>
        </w:tabs>
        <w:overflowPunct w:val="0"/>
        <w:autoSpaceDE w:val="0"/>
        <w:autoSpaceDN w:val="0"/>
        <w:adjustRightInd w:val="0"/>
        <w:spacing w:after="0" w:line="191" w:lineRule="auto"/>
        <w:ind w:left="360" w:hanging="345"/>
        <w:jc w:val="both"/>
        <w:rPr>
          <w:rFonts w:ascii="Times New Roman" w:hAnsi="Times New Roman" w:cs="Times New Roman"/>
          <w:sz w:val="25"/>
          <w:szCs w:val="25"/>
          <w:vertAlign w:val="superscript"/>
        </w:rPr>
      </w:pPr>
      <w:r>
        <w:rPr>
          <w:rFonts w:ascii="Times New Roman" w:hAnsi="Times New Roman" w:cs="Times New Roman"/>
          <w:sz w:val="17"/>
          <w:szCs w:val="17"/>
        </w:rPr>
        <w:t>Operating lease obligations are shown net of guaranteed sublease income.</w:t>
      </w:r>
    </w:p>
    <w:p w:rsidR="00000000" w:rsidRDefault="0057438D">
      <w:pPr>
        <w:pStyle w:val="DefaultParagraphFont"/>
        <w:widowControl w:val="0"/>
        <w:autoSpaceDE w:val="0"/>
        <w:autoSpaceDN w:val="0"/>
        <w:adjustRightInd w:val="0"/>
        <w:spacing w:after="0" w:line="4"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10"/>
        </w:numPr>
        <w:tabs>
          <w:tab w:val="clear" w:pos="720"/>
          <w:tab w:val="num" w:pos="360"/>
        </w:tabs>
        <w:overflowPunct w:val="0"/>
        <w:autoSpaceDE w:val="0"/>
        <w:autoSpaceDN w:val="0"/>
        <w:adjustRightInd w:val="0"/>
        <w:spacing w:after="0" w:line="231" w:lineRule="auto"/>
        <w:ind w:left="360" w:right="140" w:hanging="345"/>
        <w:rPr>
          <w:rFonts w:ascii="Times New Roman" w:hAnsi="Times New Roman" w:cs="Times New Roman"/>
          <w:sz w:val="25"/>
          <w:szCs w:val="25"/>
          <w:vertAlign w:val="superscript"/>
        </w:rPr>
      </w:pPr>
      <w:r>
        <w:rPr>
          <w:rFonts w:ascii="Times New Roman" w:hAnsi="Times New Roman" w:cs="Times New Roman"/>
          <w:sz w:val="17"/>
          <w:szCs w:val="17"/>
        </w:rPr>
        <w:t>Represents future pension payments to comply with local funding requirements. These future pension payments assume the Company continues to meet its future statutory funding requ</w:t>
      </w:r>
      <w:r>
        <w:rPr>
          <w:rFonts w:ascii="Times New Roman" w:hAnsi="Times New Roman" w:cs="Times New Roman"/>
          <w:sz w:val="17"/>
          <w:szCs w:val="17"/>
        </w:rPr>
        <w:t>irements. Considering the current economic environment in which the Company operates, the Company believes its cash flows are adequate to meet the future statutory funding requirements. The projected payments beyond fiscal year 2017 are not currently deter</w:t>
      </w:r>
      <w:r>
        <w:rPr>
          <w:rFonts w:ascii="Times New Roman" w:hAnsi="Times New Roman" w:cs="Times New Roman"/>
          <w:sz w:val="17"/>
          <w:szCs w:val="17"/>
        </w:rPr>
        <w:t>minable.</w:t>
      </w:r>
    </w:p>
    <w:p w:rsidR="00000000" w:rsidRDefault="0057438D">
      <w:pPr>
        <w:pStyle w:val="DefaultParagraphFont"/>
        <w:widowControl w:val="0"/>
        <w:autoSpaceDE w:val="0"/>
        <w:autoSpaceDN w:val="0"/>
        <w:adjustRightInd w:val="0"/>
        <w:spacing w:after="0" w:line="6"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10"/>
        </w:numPr>
        <w:tabs>
          <w:tab w:val="clear" w:pos="720"/>
          <w:tab w:val="num" w:pos="360"/>
        </w:tabs>
        <w:overflowPunct w:val="0"/>
        <w:autoSpaceDE w:val="0"/>
        <w:autoSpaceDN w:val="0"/>
        <w:adjustRightInd w:val="0"/>
        <w:spacing w:after="0" w:line="243" w:lineRule="auto"/>
        <w:ind w:left="360" w:right="40" w:hanging="345"/>
        <w:rPr>
          <w:rFonts w:ascii="Times New Roman" w:hAnsi="Times New Roman" w:cs="Times New Roman"/>
          <w:sz w:val="25"/>
          <w:szCs w:val="25"/>
          <w:vertAlign w:val="superscript"/>
        </w:rPr>
      </w:pPr>
      <w:r>
        <w:rPr>
          <w:rFonts w:ascii="Times New Roman" w:hAnsi="Times New Roman" w:cs="Times New Roman"/>
          <w:sz w:val="17"/>
          <w:szCs w:val="17"/>
        </w:rPr>
        <w:t>Primarily reflects future contractual payments under various take-or-pay arrangements entered into as part of the normal course of business. Commitments made under take-or-pay obligations represent future purchases in line with expected usage</w:t>
      </w:r>
      <w:r>
        <w:rPr>
          <w:rFonts w:ascii="Times New Roman" w:hAnsi="Times New Roman" w:cs="Times New Roman"/>
          <w:sz w:val="17"/>
          <w:szCs w:val="17"/>
        </w:rPr>
        <w:t xml:space="preserve"> to obtain favorable pricing. Approximately 19% relates to service contracts for information technology, human resources management and facilities management activities that have been outsourced. While the amounts listed represent contractual obligations, </w:t>
      </w:r>
      <w:r>
        <w:rPr>
          <w:rFonts w:ascii="Times New Roman" w:hAnsi="Times New Roman" w:cs="Times New Roman"/>
          <w:sz w:val="17"/>
          <w:szCs w:val="17"/>
        </w:rPr>
        <w:t>we do not believe it is likely that the full contractual amount would be paid if the underlying contracts were canceled prior to maturity. In such cases, we generally are able to negotiate new contracts or cancellation penalties, resulting in a reduced pay</w:t>
      </w:r>
      <w:r>
        <w:rPr>
          <w:rFonts w:ascii="Times New Roman" w:hAnsi="Times New Roman" w:cs="Times New Roman"/>
          <w:sz w:val="17"/>
          <w:szCs w:val="17"/>
        </w:rPr>
        <w:t>ment. The amounts do not include other contractual purchase obligations that are not take-or-pay arrangements. Such contractual purchase obligations are primarily purchase orders at fair value that are part of normal operations and are reflected in histori</w:t>
      </w:r>
      <w:r>
        <w:rPr>
          <w:rFonts w:ascii="Times New Roman" w:hAnsi="Times New Roman" w:cs="Times New Roman"/>
          <w:sz w:val="17"/>
          <w:szCs w:val="17"/>
        </w:rPr>
        <w:t>cal operating cash flow trends. We do not believe such purchase obligations will adversely affect our liquidity position.</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00" w:bottom="571" w:left="840" w:header="720" w:footer="720" w:gutter="0"/>
          <w:cols w:space="720" w:equalWidth="0">
            <w:col w:w="9780"/>
          </w:cols>
          <w:noEndnote/>
        </w:sectPr>
      </w:pPr>
      <w:r>
        <w:rPr>
          <w:noProof/>
        </w:rPr>
        <mc:AlternateContent>
          <mc:Choice Requires="wps">
            <w:drawing>
              <wp:anchor distT="0" distB="0" distL="114300" distR="114300" simplePos="0" relativeHeight="251692032" behindDoc="1" locked="0" layoutInCell="0" allowOverlap="1">
                <wp:simplePos x="0" y="0"/>
                <wp:positionH relativeFrom="column">
                  <wp:posOffset>8890</wp:posOffset>
                </wp:positionH>
                <wp:positionV relativeFrom="paragraph">
                  <wp:posOffset>251460</wp:posOffset>
                </wp:positionV>
                <wp:extent cx="6206490" cy="0"/>
                <wp:effectExtent l="0" t="0" r="0" b="0"/>
                <wp:wrapNone/>
                <wp:docPr id="9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6490" cy="0"/>
                        </a:xfrm>
                        <a:prstGeom prst="line">
                          <a:avLst/>
                        </a:prstGeom>
                        <a:noFill/>
                        <a:ln w="242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9.8pt" to="489.4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Xg6HgIAAEQEAAAOAAAAZHJzL2Uyb0RvYy54bWysU02P2jAQvVfqf7B8h3xslkJEWFUEetm2&#10;SLv9AcZ2iFXHtmxDQFX/e8cOQWx7qapyMOPMzJs3M8/Lp3Mn0YlbJ7SqcDZNMeKKaibUocLfXreT&#10;OUbOE8WI1IpX+MIdflq9f7fsTclz3WrJuEUAolzZmwq33psySRxteUfcVBuuwNlo2xEPV3tImCU9&#10;oHcyydN0lvTaMmM15c7B13pw4lXEbxpO/demcdwjWWHg5uNp47kPZ7JakvJgiWkFvdIg/8CiI0JB&#10;0RtUTTxBRyv+gOoEtdrpxk+p7hLdNILy2AN0k6W/dfPSEsNjLzAcZ25jcv8Pln457SwSrMILGI8i&#10;HezoWSiOHh7DbHrjSghZq50N3dGzejHPmn53SOl1S9SBR46vFwN5WchI3qSEizNQYd9/1gxiyNHr&#10;OKhzY7sACSNA57iPy20f/OwRhY+zPJ0VgRcdfQkpx0Rjnf/EdYeCUWEJpCMwOT07H4iQcgwJdZTe&#10;CinjuqVCfYXzIi+KmOG0FCx4Q5yzh/1aWnQiQTHxF9sCz31YgK6Ja4e46Bq0ZPVRsVim5YRtrrYn&#10;Qg420JIqFIImgejVGrTyY5EuNvPNvJgU+WwzKdK6nnzcrovJbJt9eKwf6vW6zn4GzllRtoIxrgLt&#10;UbdZ8Xe6uL6gQXE35d4GlLxFj5MEsuN/JB23HBY7SGSv2WVnx+2DVGPw9VmFt3B/B/v+8a9+AQAA&#10;//8DAFBLAwQUAAYACAAAACEAmftKJtsAAAAHAQAADwAAAGRycy9kb3ducmV2LnhtbEyPwW7CMBBE&#10;75X6D9ZW4lYcSEVJGgdVlSrRY6BVOZp4SaLa6yg2EP6+W3Ggx9kZzb4pVqOz4oRD6DwpmE0TEEi1&#10;Nx01Cj63749LECFqMtp6QgUXDLAq7+8KnRt/pgpPm9gILqGQawVtjH0uZahbdDpMfY/E3sEPTkeW&#10;QyPNoM9c7qycJ8lCOt0Rf2h1j28t1j+bo1NAMx/mu3T3canSrKnWid1+H76UmjyMry8gIo7xFoY/&#10;fEaHkpn2/kgmCMv6iYMK0mwBgu3seclL9teDLAv5n7/8BQAA//8DAFBLAQItABQABgAIAAAAIQC2&#10;gziS/gAAAOEBAAATAAAAAAAAAAAAAAAAAAAAAABbQ29udGVudF9UeXBlc10ueG1sUEsBAi0AFAAG&#10;AAgAAAAhADj9If/WAAAAlAEAAAsAAAAAAAAAAAAAAAAALwEAAF9yZWxzLy5yZWxzUEsBAi0AFAAG&#10;AAgAAAAhAH0deDoeAgAARAQAAA4AAAAAAAAAAAAAAAAALgIAAGRycy9lMm9Eb2MueG1sUEsBAi0A&#10;FAAGAAgAAAAhAJn7SibbAAAABwEAAA8AAAAAAAAAAAAAAAAAeAQAAGRycy9kb3ducmV2LnhtbFBL&#10;BQYAAAAABAAEAPMAAACABQAAAAA=&#10;" o:allowincell="f" strokeweight=".67344mm"/>
            </w:pict>
          </mc:Fallback>
        </mc:AlternateConten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6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620"/>
        <w:rPr>
          <w:rFonts w:ascii="Times New Roman" w:hAnsi="Times New Roman" w:cs="Times New Roman"/>
          <w:sz w:val="24"/>
          <w:szCs w:val="24"/>
        </w:rPr>
      </w:pPr>
      <w:r>
        <w:rPr>
          <w:rFonts w:ascii="Times New Roman" w:hAnsi="Times New Roman" w:cs="Times New Roman"/>
          <w:b/>
          <w:bCs/>
          <w:sz w:val="19"/>
          <w:szCs w:val="19"/>
        </w:rPr>
        <w:t>SIGNIFICANT ACCOUNTING POLICIES AND ESTIMATES</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20"/>
        <w:rPr>
          <w:rFonts w:ascii="Times New Roman" w:hAnsi="Times New Roman" w:cs="Times New Roman"/>
          <w:sz w:val="24"/>
          <w:szCs w:val="24"/>
        </w:rPr>
      </w:pPr>
      <w:r>
        <w:rPr>
          <w:rFonts w:ascii="Times New Roman" w:hAnsi="Times New Roman" w:cs="Times New Roman"/>
          <w:sz w:val="19"/>
          <w:szCs w:val="19"/>
        </w:rPr>
        <w:t xml:space="preserve">In preparing our financial statements in accordance with U.S. GAAP, there are certain accounting policies that may require a choice between acceptable accounting methods or may require substantial judgment or estimation in their application. These include </w:t>
      </w:r>
      <w:r>
        <w:rPr>
          <w:rFonts w:ascii="Times New Roman" w:hAnsi="Times New Roman" w:cs="Times New Roman"/>
          <w:sz w:val="19"/>
          <w:szCs w:val="19"/>
        </w:rPr>
        <w:t xml:space="preserve">income taxes, certain employee benefits and goodwill and intangible assets. We believe these accounting policies, and others set forth in Note 1 to the Consolidated Financial Statements, should be reviewed as they are integral to understanding the results </w:t>
      </w:r>
      <w:r>
        <w:rPr>
          <w:rFonts w:ascii="Times New Roman" w:hAnsi="Times New Roman" w:cs="Times New Roman"/>
          <w:sz w:val="19"/>
          <w:szCs w:val="19"/>
        </w:rPr>
        <w:t>of operations and financial condition of the Company.</w:t>
      </w:r>
    </w:p>
    <w:p w:rsidR="00000000" w:rsidRDefault="0057438D">
      <w:pPr>
        <w:pStyle w:val="DefaultParagraphFont"/>
        <w:widowControl w:val="0"/>
        <w:autoSpaceDE w:val="0"/>
        <w:autoSpaceDN w:val="0"/>
        <w:adjustRightInd w:val="0"/>
        <w:spacing w:after="0" w:line="8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rPr>
          <w:rFonts w:ascii="Times New Roman" w:hAnsi="Times New Roman" w:cs="Times New Roman"/>
          <w:sz w:val="24"/>
          <w:szCs w:val="24"/>
        </w:rPr>
      </w:pPr>
      <w:r>
        <w:rPr>
          <w:rFonts w:ascii="Times New Roman" w:hAnsi="Times New Roman" w:cs="Times New Roman"/>
          <w:sz w:val="19"/>
          <w:szCs w:val="19"/>
        </w:rPr>
        <w:t>The Company has discussed the selection of significant accounting policies and the effect of estimates with the Audit Committee of the Company's Board of Directors.</w:t>
      </w:r>
    </w:p>
    <w:p w:rsidR="00000000" w:rsidRDefault="0057438D">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Income Taxes</w:t>
      </w:r>
    </w:p>
    <w:p w:rsidR="00000000" w:rsidRDefault="0057438D">
      <w:pPr>
        <w:pStyle w:val="DefaultParagraphFont"/>
        <w:widowControl w:val="0"/>
        <w:autoSpaceDE w:val="0"/>
        <w:autoSpaceDN w:val="0"/>
        <w:adjustRightInd w:val="0"/>
        <w:spacing w:after="0" w:line="10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440"/>
        <w:rPr>
          <w:rFonts w:ascii="Times New Roman" w:hAnsi="Times New Roman" w:cs="Times New Roman"/>
          <w:sz w:val="24"/>
          <w:szCs w:val="24"/>
        </w:rPr>
      </w:pPr>
      <w:r>
        <w:rPr>
          <w:rFonts w:ascii="Times New Roman" w:hAnsi="Times New Roman" w:cs="Times New Roman"/>
          <w:sz w:val="19"/>
          <w:szCs w:val="19"/>
        </w:rPr>
        <w:t>Our annual tax rate i</w:t>
      </w:r>
      <w:r>
        <w:rPr>
          <w:rFonts w:ascii="Times New Roman" w:hAnsi="Times New Roman" w:cs="Times New Roman"/>
          <w:sz w:val="19"/>
          <w:szCs w:val="19"/>
        </w:rPr>
        <w:t>s determined based on our income, statutory tax rates and the tax impacts of items treated</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160"/>
        <w:rPr>
          <w:rFonts w:ascii="Times New Roman" w:hAnsi="Times New Roman" w:cs="Times New Roman"/>
          <w:sz w:val="24"/>
          <w:szCs w:val="24"/>
        </w:rPr>
      </w:pPr>
      <w:r>
        <w:rPr>
          <w:rFonts w:ascii="Times New Roman" w:hAnsi="Times New Roman" w:cs="Times New Roman"/>
          <w:sz w:val="19"/>
          <w:szCs w:val="19"/>
        </w:rPr>
        <w:t>differently for tax purposes than for finan</w:t>
      </w:r>
      <w:r>
        <w:rPr>
          <w:rFonts w:ascii="Times New Roman" w:hAnsi="Times New Roman" w:cs="Times New Roman"/>
          <w:sz w:val="19"/>
          <w:szCs w:val="19"/>
        </w:rPr>
        <w:t xml:space="preserve">cial reporting purposes. Tax law requires certain items be included in the tax return at different times than the items are reflected in the financial statements. Some of these differences are permanent, such as expenses that are not deductible in our tax </w:t>
      </w:r>
      <w:r>
        <w:rPr>
          <w:rFonts w:ascii="Times New Roman" w:hAnsi="Times New Roman" w:cs="Times New Roman"/>
          <w:sz w:val="19"/>
          <w:szCs w:val="19"/>
        </w:rPr>
        <w:t>return, and some differences are temporary, reversing over time, such as depreciation expense. These temporary differences create deferred tax assets and liabilities.</w:t>
      </w:r>
    </w:p>
    <w:p w:rsidR="00000000" w:rsidRDefault="0057438D">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Deferred tax assets generally represent the tax effect of items that can be used as a ta</w:t>
      </w:r>
      <w:r>
        <w:rPr>
          <w:rFonts w:ascii="Times New Roman" w:hAnsi="Times New Roman" w:cs="Times New Roman"/>
          <w:sz w:val="19"/>
          <w:szCs w:val="19"/>
        </w:rPr>
        <w:t>x deduction or credit in future years for which we have already recorded the tax benefit in our income statement or net operating loss carryforwards that can be utilized to reduce future taxes. Deferred tax liabilities generally represent tax expense recog</w:t>
      </w:r>
      <w:r>
        <w:rPr>
          <w:rFonts w:ascii="Times New Roman" w:hAnsi="Times New Roman" w:cs="Times New Roman"/>
          <w:sz w:val="19"/>
          <w:szCs w:val="19"/>
        </w:rPr>
        <w:t>nized in our financial statements for which payment has been deferred, the tax effect of expenditures for which a deduction has already been taken in our tax return but has not yet been recognized in our financial statements or assets recorded at fair valu</w:t>
      </w:r>
      <w:r>
        <w:rPr>
          <w:rFonts w:ascii="Times New Roman" w:hAnsi="Times New Roman" w:cs="Times New Roman"/>
          <w:sz w:val="19"/>
          <w:szCs w:val="19"/>
        </w:rPr>
        <w:t>e in business combinations for which there was no corresponding tax basis adjustment.</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880" w:bottom="571" w:left="860" w:header="720" w:footer="720" w:gutter="0"/>
          <w:cols w:num="2" w:space="440" w:equalWidth="0">
            <w:col w:w="4660" w:space="440"/>
            <w:col w:w="46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40"/>
        <w:rPr>
          <w:rFonts w:ascii="Times New Roman" w:hAnsi="Times New Roman" w:cs="Times New Roman"/>
          <w:sz w:val="24"/>
          <w:szCs w:val="24"/>
        </w:rPr>
      </w:pPr>
      <w:r>
        <w:rPr>
          <w:rFonts w:ascii="Times New Roman" w:hAnsi="Times New Roman" w:cs="Times New Roman"/>
          <w:sz w:val="19"/>
          <w:szCs w:val="19"/>
        </w:rPr>
        <w:t>Inherent in determining our annual tax rate are judgments regarding business plans, planning opportunities and expectations about fut</w:t>
      </w:r>
      <w:r>
        <w:rPr>
          <w:rFonts w:ascii="Times New Roman" w:hAnsi="Times New Roman" w:cs="Times New Roman"/>
          <w:sz w:val="19"/>
          <w:szCs w:val="19"/>
        </w:rPr>
        <w:t>ure outcomes. Realization of certain deferred tax assets, primarily net operating loss and other carryforwards, is dependent upon generating sufficient taxable income in the appropriate jurisdiction prior to the expiration of the carryforward periods. Alth</w:t>
      </w:r>
      <w:r>
        <w:rPr>
          <w:rFonts w:ascii="Times New Roman" w:hAnsi="Times New Roman" w:cs="Times New Roman"/>
          <w:sz w:val="19"/>
          <w:szCs w:val="19"/>
        </w:rPr>
        <w:t>ough realization is not assured, management believes it is more likely than not that our deferred tax assets, net of valuation allowances, will be realized.</w:t>
      </w:r>
    </w:p>
    <w:p w:rsidR="00000000" w:rsidRDefault="0057438D">
      <w:pPr>
        <w:pStyle w:val="DefaultParagraphFont"/>
        <w:widowControl w:val="0"/>
        <w:autoSpaceDE w:val="0"/>
        <w:autoSpaceDN w:val="0"/>
        <w:adjustRightInd w:val="0"/>
        <w:spacing w:after="0" w:line="8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We operate in multiple jurisdictions with complex tax policy and regulatory environments. In certa</w:t>
      </w:r>
      <w:r>
        <w:rPr>
          <w:rFonts w:ascii="Times New Roman" w:hAnsi="Times New Roman" w:cs="Times New Roman"/>
          <w:sz w:val="19"/>
          <w:szCs w:val="19"/>
        </w:rPr>
        <w:t>in of these jurisdictions, we may take tax positions that management believes are supportable, but are potentially subject to successful challenge by the applicable taxing authority. These interpretational differences with the respective governmental taxin</w:t>
      </w:r>
      <w:r>
        <w:rPr>
          <w:rFonts w:ascii="Times New Roman" w:hAnsi="Times New Roman" w:cs="Times New Roman"/>
          <w:sz w:val="19"/>
          <w:szCs w:val="19"/>
        </w:rPr>
        <w:t>g authorities can be impacted by the local economic and fiscal environment. We evaluate our tax positions and establish liabilities in accordance with the applicable accounting guidance on uncertainty in income taxes. We review these tax uncertainties in l</w:t>
      </w:r>
      <w:r>
        <w:rPr>
          <w:rFonts w:ascii="Times New Roman" w:hAnsi="Times New Roman" w:cs="Times New Roman"/>
          <w:sz w:val="19"/>
          <w:szCs w:val="19"/>
        </w:rPr>
        <w:t>ight of changing facts and circumstances, such as the progress of tax audits, and adjust them accordingly. We have a number of audits in process in various jurisdictions. Although the resolution of these tax positions is uncertain, based on currently avail</w:t>
      </w:r>
      <w:r>
        <w:rPr>
          <w:rFonts w:ascii="Times New Roman" w:hAnsi="Times New Roman" w:cs="Times New Roman"/>
          <w:sz w:val="19"/>
          <w:szCs w:val="19"/>
        </w:rPr>
        <w:t>able information, we believe that the ultimate outcomes will not have a material adverse effect on our financial position, results of operations or cash flows.</w:t>
      </w:r>
    </w:p>
    <w:p w:rsidR="00000000" w:rsidRDefault="0057438D">
      <w:pPr>
        <w:pStyle w:val="DefaultParagraphFont"/>
        <w:widowControl w:val="0"/>
        <w:autoSpaceDE w:val="0"/>
        <w:autoSpaceDN w:val="0"/>
        <w:adjustRightInd w:val="0"/>
        <w:spacing w:after="0" w:line="9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40"/>
        <w:rPr>
          <w:rFonts w:ascii="Times New Roman" w:hAnsi="Times New Roman" w:cs="Times New Roman"/>
          <w:sz w:val="24"/>
          <w:szCs w:val="24"/>
        </w:rPr>
      </w:pPr>
      <w:r>
        <w:rPr>
          <w:rFonts w:ascii="Times New Roman" w:hAnsi="Times New Roman" w:cs="Times New Roman"/>
          <w:sz w:val="19"/>
          <w:szCs w:val="19"/>
        </w:rPr>
        <w:t>Because there are a number of estimates and assumptions inherent in calculating the various components of our tax provision, certain changes or future events such as changes in tax legislation, geographic mix of earnings, completion of tax audits or earnin</w:t>
      </w:r>
      <w:r>
        <w:rPr>
          <w:rFonts w:ascii="Times New Roman" w:hAnsi="Times New Roman" w:cs="Times New Roman"/>
          <w:sz w:val="19"/>
          <w:szCs w:val="19"/>
        </w:rPr>
        <w:t>gs repatriation plans could have an impact on those estimates and our effective tax rate. For additional details on the Company's income taxes, see Note 10 to the Consolidated Financial Statements.</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Employee Benefits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8" w:lineRule="auto"/>
        <w:ind w:right="20"/>
        <w:rPr>
          <w:rFonts w:ascii="Times New Roman" w:hAnsi="Times New Roman" w:cs="Times New Roman"/>
          <w:sz w:val="24"/>
          <w:szCs w:val="24"/>
        </w:rPr>
      </w:pPr>
      <w:r>
        <w:rPr>
          <w:rFonts w:ascii="Times New Roman" w:hAnsi="Times New Roman" w:cs="Times New Roman"/>
          <w:sz w:val="18"/>
          <w:szCs w:val="18"/>
        </w:rPr>
        <w:t>We sponsor various post-employment ben</w:t>
      </w:r>
      <w:r>
        <w:rPr>
          <w:rFonts w:ascii="Times New Roman" w:hAnsi="Times New Roman" w:cs="Times New Roman"/>
          <w:sz w:val="18"/>
          <w:szCs w:val="18"/>
        </w:rPr>
        <w:t>efits throughout the world. These include pension plans, both defined contribution plans and defined benefit plans, and other post-employment benefit (OPEB) plans, consisting primarily of health care and life insurance for retirees. For accounting purposes</w:t>
      </w:r>
      <w:r>
        <w:rPr>
          <w:rFonts w:ascii="Times New Roman" w:hAnsi="Times New Roman" w:cs="Times New Roman"/>
          <w:sz w:val="18"/>
          <w:szCs w:val="18"/>
        </w:rPr>
        <w:t>, the defined benefit pension and OPEB plans require assumptions to estimate the projected and accumulated benefit obligations, including the following variables: discount rate; expected salary increases; certain employee-related factors, such as turnover,</w:t>
      </w:r>
      <w:r>
        <w:rPr>
          <w:rFonts w:ascii="Times New Roman" w:hAnsi="Times New Roman" w:cs="Times New Roman"/>
          <w:sz w:val="18"/>
          <w:szCs w:val="18"/>
        </w:rPr>
        <w:t xml:space="preserve"> retirement age and mortality; expected return on assets; and health care cost trend rates. These and other assumptions affect the annual expense and obligations recognized for the underlying plans. Our assumptions reflect our historical experiences and ma</w:t>
      </w:r>
      <w:r>
        <w:rPr>
          <w:rFonts w:ascii="Times New Roman" w:hAnsi="Times New Roman" w:cs="Times New Roman"/>
          <w:sz w:val="18"/>
          <w:szCs w:val="18"/>
        </w:rPr>
        <w:t>nagement's best judgment regarding future expectations. As permitted by U.S. GAAP, the net amount by which actual results differ from our assumptions is deferred. If this net deferred amount exceeds 10% of the greater of plan assets or liabilities, a porti</w:t>
      </w:r>
      <w:r>
        <w:rPr>
          <w:rFonts w:ascii="Times New Roman" w:hAnsi="Times New Roman" w:cs="Times New Roman"/>
          <w:sz w:val="18"/>
          <w:szCs w:val="18"/>
        </w:rPr>
        <w:t>on of the deferred amount is included in</w:t>
      </w: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 xml:space="preserve">The Procter &amp; Gamble Company  </w:t>
      </w:r>
      <w:r>
        <w:rPr>
          <w:rFonts w:ascii="Times New Roman" w:hAnsi="Times New Roman" w:cs="Times New Roman"/>
          <w:sz w:val="19"/>
          <w:szCs w:val="19"/>
        </w:rPr>
        <w:t>39</w:t>
      </w:r>
    </w:p>
    <w:p w:rsidR="00000000" w:rsidRDefault="0057438D">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60"/>
        <w:rPr>
          <w:rFonts w:ascii="Times New Roman" w:hAnsi="Times New Roman" w:cs="Times New Roman"/>
          <w:sz w:val="24"/>
          <w:szCs w:val="24"/>
        </w:rPr>
      </w:pPr>
      <w:r>
        <w:rPr>
          <w:rFonts w:ascii="Times New Roman" w:hAnsi="Times New Roman" w:cs="Times New Roman"/>
          <w:sz w:val="19"/>
          <w:szCs w:val="19"/>
        </w:rPr>
        <w:t>expense for the following year. The cost or benefit of plan changes, such as increasing or decreasing benefits for prior employee service (prior service cost), is deferred and incl</w:t>
      </w:r>
      <w:r>
        <w:rPr>
          <w:rFonts w:ascii="Times New Roman" w:hAnsi="Times New Roman" w:cs="Times New Roman"/>
          <w:sz w:val="19"/>
          <w:szCs w:val="19"/>
        </w:rPr>
        <w:t>uded in expense on a straight-line basis over the average remaining service period of the employees expected to receive benefits.</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40"/>
        <w:rPr>
          <w:rFonts w:ascii="Times New Roman" w:hAnsi="Times New Roman" w:cs="Times New Roman"/>
          <w:sz w:val="24"/>
          <w:szCs w:val="24"/>
        </w:rPr>
      </w:pPr>
      <w:r>
        <w:rPr>
          <w:rFonts w:ascii="Times New Roman" w:hAnsi="Times New Roman" w:cs="Times New Roman"/>
          <w:sz w:val="19"/>
          <w:szCs w:val="19"/>
        </w:rPr>
        <w:t xml:space="preserve">The expected return on plan assets assumption impacts our defined benefit expense, since many of our defined benefit pension </w:t>
      </w:r>
      <w:r>
        <w:rPr>
          <w:rFonts w:ascii="Times New Roman" w:hAnsi="Times New Roman" w:cs="Times New Roman"/>
          <w:sz w:val="19"/>
          <w:szCs w:val="19"/>
        </w:rPr>
        <w:t xml:space="preserve">plans and our primary OPEB plan are partially funded. The process for setting the expected rates of return is described in Note 9 to the Consolidated Financial Statements. For 2014, the average return on assets assumptions for pension plan assets and OPEB </w:t>
      </w:r>
      <w:r>
        <w:rPr>
          <w:rFonts w:ascii="Times New Roman" w:hAnsi="Times New Roman" w:cs="Times New Roman"/>
          <w:sz w:val="19"/>
          <w:szCs w:val="19"/>
        </w:rPr>
        <w:t>assets was 7.2% and 8.3%, respectively. A change in the rate of return of 100 basis points for both pension and OPEB assets would impact annual after-tax benefit expense by approximately $111 million.</w:t>
      </w:r>
    </w:p>
    <w:p w:rsidR="00000000" w:rsidRDefault="0057438D">
      <w:pPr>
        <w:pStyle w:val="DefaultParagraphFont"/>
        <w:widowControl w:val="0"/>
        <w:autoSpaceDE w:val="0"/>
        <w:autoSpaceDN w:val="0"/>
        <w:adjustRightInd w:val="0"/>
        <w:spacing w:after="0" w:line="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Since pension and OPEB liabilities are measured on a discounted basis, the discount rate impacts our plan obligations and expenses. Discount rates used for our U.S. defined benefit pension and OPEB plans are based on a yield curve constructed from a portfo</w:t>
      </w:r>
      <w:r>
        <w:rPr>
          <w:rFonts w:ascii="Times New Roman" w:hAnsi="Times New Roman" w:cs="Times New Roman"/>
          <w:sz w:val="19"/>
          <w:szCs w:val="19"/>
        </w:rPr>
        <w:t>lio of high quality bonds for which the timing and amount of cash outflows approximate the estimated payouts of the plan. For our international plans, the discount rates are set by benchmarking against investment grade corporate bonds rated AA or better. T</w:t>
      </w:r>
      <w:r>
        <w:rPr>
          <w:rFonts w:ascii="Times New Roman" w:hAnsi="Times New Roman" w:cs="Times New Roman"/>
          <w:sz w:val="19"/>
          <w:szCs w:val="19"/>
        </w:rPr>
        <w:t>he average discount rate on the defined benefit pension plans and OPEB plans of 3.5% and 4.4%, respectively, represents a weighted average of local rates in countries where such plans exist. A 100-basis point change in the pension discount rate would impac</w:t>
      </w:r>
      <w:r>
        <w:rPr>
          <w:rFonts w:ascii="Times New Roman" w:hAnsi="Times New Roman" w:cs="Times New Roman"/>
          <w:sz w:val="19"/>
          <w:szCs w:val="19"/>
        </w:rPr>
        <w:t xml:space="preserve">t annual after-tax defined benefit pension expense by approximately $197 million. A change in the OPEB discount rate of 100 basis points would impact annual after-tax OPEB expense by approximately $79 million. For additional details on our defined benefit </w:t>
      </w:r>
      <w:r>
        <w:rPr>
          <w:rFonts w:ascii="Times New Roman" w:hAnsi="Times New Roman" w:cs="Times New Roman"/>
          <w:sz w:val="19"/>
          <w:szCs w:val="19"/>
        </w:rPr>
        <w:t>pension and OPEB plans, see Note 9 to the Consolidated Financial Statements.</w:t>
      </w:r>
    </w:p>
    <w:p w:rsidR="00000000" w:rsidRDefault="0057438D">
      <w:pPr>
        <w:pStyle w:val="DefaultParagraphFont"/>
        <w:widowControl w:val="0"/>
        <w:autoSpaceDE w:val="0"/>
        <w:autoSpaceDN w:val="0"/>
        <w:adjustRightInd w:val="0"/>
        <w:spacing w:after="0" w:line="37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Goodwill and Intangible Assets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Significant judgment is required to estimate the fair value of intangible assets and in assigning their respective useful lives. Accordingly, we t</w:t>
      </w:r>
      <w:r>
        <w:rPr>
          <w:rFonts w:ascii="Times New Roman" w:hAnsi="Times New Roman" w:cs="Times New Roman"/>
          <w:sz w:val="19"/>
          <w:szCs w:val="19"/>
        </w:rPr>
        <w:t>ypically obtain the assistance of third-party valuation specialists for significant tangible and intangible assets. The fair value estimates are based on available historical information and on future expectations and assumptions deemed reasonable by manag</w:t>
      </w:r>
      <w:r>
        <w:rPr>
          <w:rFonts w:ascii="Times New Roman" w:hAnsi="Times New Roman" w:cs="Times New Roman"/>
          <w:sz w:val="19"/>
          <w:szCs w:val="19"/>
        </w:rPr>
        <w:t>ement, but are inherently uncertain.</w:t>
      </w:r>
    </w:p>
    <w:p w:rsidR="00000000" w:rsidRDefault="0057438D">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rPr>
          <w:rFonts w:ascii="Times New Roman" w:hAnsi="Times New Roman" w:cs="Times New Roman"/>
          <w:sz w:val="24"/>
          <w:szCs w:val="24"/>
        </w:rPr>
      </w:pPr>
      <w:r>
        <w:rPr>
          <w:rFonts w:ascii="Times New Roman" w:hAnsi="Times New Roman" w:cs="Times New Roman"/>
          <w:sz w:val="19"/>
          <w:szCs w:val="19"/>
        </w:rPr>
        <w:t>We typically use an income method to estimate the fair value of intangible assets, which is based on forecasts of the expected future cash flows attributable to the respective assets. Significant estimates and assumpti</w:t>
      </w:r>
      <w:r>
        <w:rPr>
          <w:rFonts w:ascii="Times New Roman" w:hAnsi="Times New Roman" w:cs="Times New Roman"/>
          <w:sz w:val="19"/>
          <w:szCs w:val="19"/>
        </w:rPr>
        <w:t>ons inherent in the valuations reflect a consideration of other marketplace participants, and include the amount and timing of future cash flows (including expected growth rates and profitability), the underlying product or technology life cycles, economic</w:t>
      </w:r>
      <w:r>
        <w:rPr>
          <w:rFonts w:ascii="Times New Roman" w:hAnsi="Times New Roman" w:cs="Times New Roman"/>
          <w:sz w:val="19"/>
          <w:szCs w:val="19"/>
        </w:rPr>
        <w:t xml:space="preserve"> barriers to entry, a brand's relative market position and the discount rate applied to the cash flows.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598" w:left="860" w:header="720" w:footer="720" w:gutter="0"/>
          <w:cols w:num="2" w:space="440" w:equalWidth="0">
            <w:col w:w="4660" w:space="440"/>
            <w:col w:w="466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40</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20"/>
        <w:rPr>
          <w:rFonts w:ascii="Times New Roman" w:hAnsi="Times New Roman" w:cs="Times New Roman"/>
          <w:sz w:val="24"/>
          <w:szCs w:val="24"/>
        </w:rPr>
      </w:pPr>
      <w:r>
        <w:rPr>
          <w:rFonts w:ascii="Times New Roman" w:hAnsi="Times New Roman" w:cs="Times New Roman"/>
          <w:sz w:val="19"/>
          <w:szCs w:val="19"/>
        </w:rPr>
        <w:t>Unanticipated market or macroeconom</w:t>
      </w:r>
      <w:r>
        <w:rPr>
          <w:rFonts w:ascii="Times New Roman" w:hAnsi="Times New Roman" w:cs="Times New Roman"/>
          <w:sz w:val="19"/>
          <w:szCs w:val="19"/>
        </w:rPr>
        <w:t>ic events and circumstances may occur, which could affect the accuracy or validity of the estimates and assumptions.</w:t>
      </w:r>
    </w:p>
    <w:p w:rsidR="00000000" w:rsidRDefault="0057438D">
      <w:pPr>
        <w:pStyle w:val="DefaultParagraphFont"/>
        <w:widowControl w:val="0"/>
        <w:autoSpaceDE w:val="0"/>
        <w:autoSpaceDN w:val="0"/>
        <w:adjustRightInd w:val="0"/>
        <w:spacing w:after="0" w:line="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Determining the useful life of an intangible asset also requires judgment. Certain brand intangible assets are expected to have indefinite</w:t>
      </w:r>
      <w:r>
        <w:rPr>
          <w:rFonts w:ascii="Times New Roman" w:hAnsi="Times New Roman" w:cs="Times New Roman"/>
          <w:sz w:val="19"/>
          <w:szCs w:val="19"/>
        </w:rPr>
        <w:t xml:space="preserve"> lives based on their history and our plans to continue to support and build the acquired brands. Other acquired intangible assets (e.g., certain trademarks or brands, customer relationships, patents and technologies) are expected to have determinable usef</w:t>
      </w:r>
      <w:r>
        <w:rPr>
          <w:rFonts w:ascii="Times New Roman" w:hAnsi="Times New Roman" w:cs="Times New Roman"/>
          <w:sz w:val="19"/>
          <w:szCs w:val="19"/>
        </w:rPr>
        <w:t>ul lives. Our assessment as to brands that have an indefinite life and those that have a determinable life is based on a number of factors including competitive environment, market share, brand history, underlying product life cycles, operating plans and t</w:t>
      </w:r>
      <w:r>
        <w:rPr>
          <w:rFonts w:ascii="Times New Roman" w:hAnsi="Times New Roman" w:cs="Times New Roman"/>
          <w:sz w:val="19"/>
          <w:szCs w:val="19"/>
        </w:rPr>
        <w:t xml:space="preserve">he macroeconomic environment of the countries in which the brands are sold. Our estimates of the useful lives of determinable-lived intangible assets are primarily based on these same factors. All of our acquired technology and customer-related intangible </w:t>
      </w:r>
      <w:r>
        <w:rPr>
          <w:rFonts w:ascii="Times New Roman" w:hAnsi="Times New Roman" w:cs="Times New Roman"/>
          <w:sz w:val="19"/>
          <w:szCs w:val="19"/>
        </w:rPr>
        <w:t>assets are expected to have determinable useful lives.</w:t>
      </w:r>
    </w:p>
    <w:p w:rsidR="00000000" w:rsidRDefault="0057438D">
      <w:pPr>
        <w:pStyle w:val="DefaultParagraphFont"/>
        <w:widowControl w:val="0"/>
        <w:autoSpaceDE w:val="0"/>
        <w:autoSpaceDN w:val="0"/>
        <w:adjustRightInd w:val="0"/>
        <w:spacing w:after="0" w:line="9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The costs of determinable-lived intangible assets are amortized to expense over their estimated lives. The value of indefinite-lived intangible assets and residual goodwill is not amortized, but is te</w:t>
      </w:r>
      <w:r>
        <w:rPr>
          <w:rFonts w:ascii="Times New Roman" w:hAnsi="Times New Roman" w:cs="Times New Roman"/>
          <w:sz w:val="19"/>
          <w:szCs w:val="19"/>
        </w:rPr>
        <w:t xml:space="preserve">sted at least annually for impairment. Our impairment testing for goodwill is performed separately from our impairment testing of indefinite-lived intangible assets. We test goodwill for impairment by reviewing the book value compared to the fair value at </w:t>
      </w:r>
      <w:r>
        <w:rPr>
          <w:rFonts w:ascii="Times New Roman" w:hAnsi="Times New Roman" w:cs="Times New Roman"/>
          <w:sz w:val="19"/>
          <w:szCs w:val="19"/>
        </w:rPr>
        <w:t xml:space="preserve">the reporting unit level. We test individual indefinite -lived intangible assets by comparing the book values of each asset to the estimated fair value. We determine the fair value of our reporting units and indefinite-lived intangible assets based on the </w:t>
      </w:r>
      <w:r>
        <w:rPr>
          <w:rFonts w:ascii="Times New Roman" w:hAnsi="Times New Roman" w:cs="Times New Roman"/>
          <w:sz w:val="19"/>
          <w:szCs w:val="19"/>
        </w:rPr>
        <w:t>income approach. Under the income approach, we calculate the fair value of our reporting units and indefinite-lived intangible assets based on the present value of estimated future cash flows. Considerable management judgment is necessary to evaluate the i</w:t>
      </w:r>
      <w:r>
        <w:rPr>
          <w:rFonts w:ascii="Times New Roman" w:hAnsi="Times New Roman" w:cs="Times New Roman"/>
          <w:sz w:val="19"/>
          <w:szCs w:val="19"/>
        </w:rPr>
        <w:t>mpact of operating and macroeconomic changes and to estimate future cash flows to measure fair value. Assumptions used in our impairment evaluations, such as forecasted growth rates and cost of capital, are consistent with internal projections and operatin</w:t>
      </w:r>
      <w:r>
        <w:rPr>
          <w:rFonts w:ascii="Times New Roman" w:hAnsi="Times New Roman" w:cs="Times New Roman"/>
          <w:sz w:val="19"/>
          <w:szCs w:val="19"/>
        </w:rPr>
        <w:t>g plans. We believe such assumptions and estimates are also comparable to those that would be used by other marketplace participants.</w:t>
      </w:r>
    </w:p>
    <w:p w:rsidR="00000000" w:rsidRDefault="0057438D">
      <w:pPr>
        <w:pStyle w:val="DefaultParagraphFont"/>
        <w:widowControl w:val="0"/>
        <w:autoSpaceDE w:val="0"/>
        <w:autoSpaceDN w:val="0"/>
        <w:adjustRightInd w:val="0"/>
        <w:spacing w:after="0" w:line="8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sz w:val="19"/>
          <w:szCs w:val="19"/>
        </w:rPr>
        <w:t>With the exception of our Appliances, Batteries and Salon Professional businesses, all of our reporting units have fair v</w:t>
      </w:r>
      <w:r>
        <w:rPr>
          <w:rFonts w:ascii="Times New Roman" w:hAnsi="Times New Roman" w:cs="Times New Roman"/>
          <w:sz w:val="19"/>
          <w:szCs w:val="19"/>
        </w:rPr>
        <w:t>alues that significantly exceed recorded values. However, future changes in the judgments, assumptions and estimates that are used in our impairment testing for goodwill and indefinite-lived intangible assets, including discount and tax rates or future cas</w:t>
      </w:r>
      <w:r>
        <w:rPr>
          <w:rFonts w:ascii="Times New Roman" w:hAnsi="Times New Roman" w:cs="Times New Roman"/>
          <w:sz w:val="19"/>
          <w:szCs w:val="19"/>
        </w:rPr>
        <w:t>h flow projections, could result in significantly different estimates of the fair values. In addition, any potential change in the strategic plans for these businesses due to the refocusing of our business portfolio could impact these judgments, assumption</w:t>
      </w:r>
      <w:r>
        <w:rPr>
          <w:rFonts w:ascii="Times New Roman" w:hAnsi="Times New Roman" w:cs="Times New Roman"/>
          <w:sz w:val="19"/>
          <w:szCs w:val="19"/>
        </w:rPr>
        <w:t>s, and estimates, in turn, impacting our fair value. A significant reduction in the estimated fair values could result in impairment charges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160"/>
        <w:rPr>
          <w:rFonts w:ascii="Times New Roman" w:hAnsi="Times New Roman" w:cs="Times New Roman"/>
          <w:sz w:val="24"/>
          <w:szCs w:val="24"/>
        </w:rPr>
      </w:pPr>
      <w:r>
        <w:rPr>
          <w:rFonts w:ascii="Times New Roman" w:hAnsi="Times New Roman" w:cs="Times New Roman"/>
          <w:sz w:val="19"/>
          <w:szCs w:val="19"/>
        </w:rPr>
        <w:t>that could materially affect the financial statements in any given year. The recorded value of goodwill and inta</w:t>
      </w:r>
      <w:r>
        <w:rPr>
          <w:rFonts w:ascii="Times New Roman" w:hAnsi="Times New Roman" w:cs="Times New Roman"/>
          <w:sz w:val="19"/>
          <w:szCs w:val="19"/>
        </w:rPr>
        <w:t xml:space="preserve">ngible assets from recently impaired businesses and recently acquired businesses are derived from more recent business operating plans and macroeconomic environmental conditions and therefore are more susceptible to an adverse change that could require an </w:t>
      </w:r>
      <w:r>
        <w:rPr>
          <w:rFonts w:ascii="Times New Roman" w:hAnsi="Times New Roman" w:cs="Times New Roman"/>
          <w:sz w:val="19"/>
          <w:szCs w:val="19"/>
        </w:rPr>
        <w:t>impairment charge.</w:t>
      </w:r>
    </w:p>
    <w:p w:rsidR="00000000" w:rsidRDefault="0057438D">
      <w:pPr>
        <w:pStyle w:val="DefaultParagraphFont"/>
        <w:widowControl w:val="0"/>
        <w:autoSpaceDE w:val="0"/>
        <w:autoSpaceDN w:val="0"/>
        <w:adjustRightInd w:val="0"/>
        <w:spacing w:after="0" w:line="8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The results of our impairment testing during fiscal 2012 indicated that the estimated fair values of our Appliances and Salon Professional reporting units were less than their respective carrying amounts. Therefore, we recorded a non-cash before- and after</w:t>
      </w:r>
      <w:r>
        <w:rPr>
          <w:rFonts w:ascii="Times New Roman" w:hAnsi="Times New Roman" w:cs="Times New Roman"/>
          <w:sz w:val="19"/>
          <w:szCs w:val="19"/>
        </w:rPr>
        <w:t>-tax impairment charge of $1.3 billion in fiscal 2012. Additionally, our impairment testing for indefinite-lived intangible assets during fiscal 2012 indicated a decline in the fair value of our Koleston Perfect and Wella trade name intangible assets below</w:t>
      </w:r>
      <w:r>
        <w:rPr>
          <w:rFonts w:ascii="Times New Roman" w:hAnsi="Times New Roman" w:cs="Times New Roman"/>
          <w:sz w:val="19"/>
          <w:szCs w:val="19"/>
        </w:rPr>
        <w:t xml:space="preserve"> their respective carrying values. This resulted in a non-cash, before-tax impairment charge of $246 million ($173 million after-tax) to reduce the carrying amounts of these assets to their estimated fair values.</w:t>
      </w:r>
    </w:p>
    <w:p w:rsidR="00000000" w:rsidRDefault="0057438D">
      <w:pPr>
        <w:pStyle w:val="DefaultParagraphFont"/>
        <w:widowControl w:val="0"/>
        <w:autoSpaceDE w:val="0"/>
        <w:autoSpaceDN w:val="0"/>
        <w:adjustRightInd w:val="0"/>
        <w:spacing w:after="0" w:line="8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60"/>
        <w:rPr>
          <w:rFonts w:ascii="Times New Roman" w:hAnsi="Times New Roman" w:cs="Times New Roman"/>
          <w:sz w:val="24"/>
          <w:szCs w:val="24"/>
        </w:rPr>
      </w:pPr>
      <w:r>
        <w:rPr>
          <w:rFonts w:ascii="Times New Roman" w:hAnsi="Times New Roman" w:cs="Times New Roman"/>
          <w:sz w:val="19"/>
          <w:szCs w:val="19"/>
        </w:rPr>
        <w:t xml:space="preserve">During the fourth quarter of fiscal 2013, </w:t>
      </w:r>
      <w:r>
        <w:rPr>
          <w:rFonts w:ascii="Times New Roman" w:hAnsi="Times New Roman" w:cs="Times New Roman"/>
          <w:sz w:val="19"/>
          <w:szCs w:val="19"/>
        </w:rPr>
        <w:t>the estimated fair value of our Appliances reporting units declined further, below the carrying amount resulting from the fiscal 2012 impairment. Therefore, we recorded an additional non-cash before and after-tax impairment charge of $259 million in fiscal</w:t>
      </w:r>
      <w:r>
        <w:rPr>
          <w:rFonts w:ascii="Times New Roman" w:hAnsi="Times New Roman" w:cs="Times New Roman"/>
          <w:sz w:val="19"/>
          <w:szCs w:val="19"/>
        </w:rPr>
        <w:t xml:space="preserve"> 2013. Additionally, our fourth quarter 2013 impairment testing for Appliances indicated a decline in the fair value of our Braun trade name intangible asset below its carrying value. This resulted in a non-cash, before-tax impairment charge of $49 million</w:t>
      </w:r>
      <w:r>
        <w:rPr>
          <w:rFonts w:ascii="Times New Roman" w:hAnsi="Times New Roman" w:cs="Times New Roman"/>
          <w:sz w:val="19"/>
          <w:szCs w:val="19"/>
        </w:rPr>
        <w:t xml:space="preserve"> ($31 million after-tax) to reduce the carrying amount of this asset to its estimated fair value.</w:t>
      </w:r>
    </w:p>
    <w:p w:rsidR="00000000" w:rsidRDefault="0057438D">
      <w:pPr>
        <w:pStyle w:val="DefaultParagraphFont"/>
        <w:widowControl w:val="0"/>
        <w:autoSpaceDE w:val="0"/>
        <w:autoSpaceDN w:val="0"/>
        <w:adjustRightInd w:val="0"/>
        <w:spacing w:after="0" w:line="9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40"/>
        <w:rPr>
          <w:rFonts w:ascii="Times New Roman" w:hAnsi="Times New Roman" w:cs="Times New Roman"/>
          <w:sz w:val="24"/>
          <w:szCs w:val="24"/>
        </w:rPr>
      </w:pPr>
      <w:r>
        <w:rPr>
          <w:rFonts w:ascii="Times New Roman" w:hAnsi="Times New Roman" w:cs="Times New Roman"/>
          <w:sz w:val="19"/>
          <w:szCs w:val="19"/>
        </w:rPr>
        <w:t>The Appliances business was acquired as part of the Gillette acquisition in 2005 and the Salon Professional business consists primarily of operations acquire</w:t>
      </w:r>
      <w:r>
        <w:rPr>
          <w:rFonts w:ascii="Times New Roman" w:hAnsi="Times New Roman" w:cs="Times New Roman"/>
          <w:sz w:val="19"/>
          <w:szCs w:val="19"/>
        </w:rPr>
        <w:t>d in the Wella acquisition in 2004. Both businesses are stand-alone reporting units. These businesses represent some of our more discretionary consumer spending categories. Because of this, their operations and underlying fair values were disproportionatel</w:t>
      </w:r>
      <w:r>
        <w:rPr>
          <w:rFonts w:ascii="Times New Roman" w:hAnsi="Times New Roman" w:cs="Times New Roman"/>
          <w:sz w:val="19"/>
          <w:szCs w:val="19"/>
        </w:rPr>
        <w:t>y impacted by the economic downturn that began in fiscal 2009, which led to a reduction in home and personal grooming appliance purchases and in visits to hair salons that drove the fiscal 2012 impairment. The additional impairment of the Appliances busine</w:t>
      </w:r>
      <w:r>
        <w:rPr>
          <w:rFonts w:ascii="Times New Roman" w:hAnsi="Times New Roman" w:cs="Times New Roman"/>
          <w:sz w:val="19"/>
          <w:szCs w:val="19"/>
        </w:rPr>
        <w:t>ss in fiscal 2013 was due to the devaluation of currency in Japan, a key country that generates a significant portion of the earnings of the Appliances business, relative to the currencies in which the underlying net assets are recorded. As of June 30, 201</w:t>
      </w:r>
      <w:r>
        <w:rPr>
          <w:rFonts w:ascii="Times New Roman" w:hAnsi="Times New Roman" w:cs="Times New Roman"/>
          <w:sz w:val="19"/>
          <w:szCs w:val="19"/>
        </w:rPr>
        <w:t xml:space="preserve">4, the Appliances business has remaining goodwill of $317 million and remaining intangible assets of $875 million, while the Salon Professional business has remaining goodwill of $436 million and remaining intangible assets of $726 million. As a result of </w:t>
      </w:r>
      <w:r>
        <w:rPr>
          <w:rFonts w:ascii="Times New Roman" w:hAnsi="Times New Roman" w:cs="Times New Roman"/>
          <w:sz w:val="19"/>
          <w:szCs w:val="19"/>
        </w:rPr>
        <w:t xml:space="preserve">the impairments, the estimated fair value of our Appliances business and the Salon Professional business slightly exceed their respective carrying values. Our fiscal 2014 valuations of the Appliances and Salon Professional businesses has them returning to </w:t>
      </w:r>
      <w:r>
        <w:rPr>
          <w:rFonts w:ascii="Times New Roman" w:hAnsi="Times New Roman" w:cs="Times New Roman"/>
          <w:sz w:val="19"/>
          <w:szCs w:val="19"/>
        </w:rPr>
        <w:t>sales and earnings growth</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80" w:bottom="656" w:left="860" w:header="720" w:footer="720" w:gutter="0"/>
          <w:cols w:num="2" w:space="440" w:equalWidth="0">
            <w:col w:w="4660" w:space="440"/>
            <w:col w:w="46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right="40"/>
        <w:rPr>
          <w:rFonts w:ascii="Times New Roman" w:hAnsi="Times New Roman" w:cs="Times New Roman"/>
          <w:sz w:val="24"/>
          <w:szCs w:val="24"/>
        </w:rPr>
      </w:pPr>
      <w:r>
        <w:rPr>
          <w:rFonts w:ascii="Times New Roman" w:hAnsi="Times New Roman" w:cs="Times New Roman"/>
          <w:sz w:val="19"/>
          <w:szCs w:val="19"/>
        </w:rPr>
        <w:t>rates consistent with our long-term business plans. Changes to or a failure to achieve these business plans or a further deterioration of the macroeconomic conditions could result in a valuation</w:t>
      </w:r>
      <w:r>
        <w:rPr>
          <w:rFonts w:ascii="Times New Roman" w:hAnsi="Times New Roman" w:cs="Times New Roman"/>
          <w:sz w:val="19"/>
          <w:szCs w:val="19"/>
        </w:rPr>
        <w:t xml:space="preserve"> that would trigger an additional impairment of the goodwill and intangible assets of these businesses.</w:t>
      </w:r>
    </w:p>
    <w:p w:rsidR="00000000" w:rsidRDefault="0057438D">
      <w:pPr>
        <w:pStyle w:val="DefaultParagraphFont"/>
        <w:widowControl w:val="0"/>
        <w:autoSpaceDE w:val="0"/>
        <w:autoSpaceDN w:val="0"/>
        <w:adjustRightInd w:val="0"/>
        <w:spacing w:after="0" w:line="7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The results of our annual goodwill impairment testing during fiscal 2014 indicated a decline in the fair value of the Batteries reporting unit due to l</w:t>
      </w:r>
      <w:r>
        <w:rPr>
          <w:rFonts w:ascii="Times New Roman" w:hAnsi="Times New Roman" w:cs="Times New Roman"/>
          <w:sz w:val="19"/>
          <w:szCs w:val="19"/>
        </w:rPr>
        <w:t>ower long-term market growth assumptions in certain key geographies. The estimated fair value of Batteries continues to exceed its underlying carrying value, but the fair value cushion has been reduced to about 5%. As of June 30, 2014, the Batteries busine</w:t>
      </w:r>
      <w:r>
        <w:rPr>
          <w:rFonts w:ascii="Times New Roman" w:hAnsi="Times New Roman" w:cs="Times New Roman"/>
          <w:sz w:val="19"/>
          <w:szCs w:val="19"/>
        </w:rPr>
        <w:t>ss has goodwill of $2.6 billion and intangible assets of $2.4 billion. The actual Batteries business results for the year ended June 30, 2014 were in line with the 2014 projections used in our annual goodwill and intangible asset impairment testing.</w:t>
      </w:r>
    </w:p>
    <w:p w:rsidR="00000000" w:rsidRDefault="0057438D">
      <w:pPr>
        <w:pStyle w:val="DefaultParagraphFont"/>
        <w:widowControl w:val="0"/>
        <w:autoSpaceDE w:val="0"/>
        <w:autoSpaceDN w:val="0"/>
        <w:adjustRightInd w:val="0"/>
        <w:spacing w:after="0" w:line="9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60"/>
        <w:rPr>
          <w:rFonts w:ascii="Times New Roman" w:hAnsi="Times New Roman" w:cs="Times New Roman"/>
          <w:sz w:val="24"/>
          <w:szCs w:val="24"/>
        </w:rPr>
      </w:pPr>
      <w:r>
        <w:rPr>
          <w:rFonts w:ascii="Times New Roman" w:hAnsi="Times New Roman" w:cs="Times New Roman"/>
          <w:sz w:val="19"/>
          <w:szCs w:val="19"/>
        </w:rPr>
        <w:t>The business unit valuations used to test goodwill and intangible assets for impairment are dependent on a number of significant estimates and assumptions, including macroeconomic conditions, overall category growth rates, competitive activities, cost cont</w:t>
      </w:r>
      <w:r>
        <w:rPr>
          <w:rFonts w:ascii="Times New Roman" w:hAnsi="Times New Roman" w:cs="Times New Roman"/>
          <w:sz w:val="19"/>
          <w:szCs w:val="19"/>
        </w:rPr>
        <w:t>ainment and margin expansion and Company business plans. We believe these estimates and assumptions are reasonable. However, actual events and results of the Batteries reporting unit could differ substantially from those used in our valuations. To the exte</w:t>
      </w:r>
      <w:r>
        <w:rPr>
          <w:rFonts w:ascii="Times New Roman" w:hAnsi="Times New Roman" w:cs="Times New Roman"/>
          <w:sz w:val="19"/>
          <w:szCs w:val="19"/>
        </w:rPr>
        <w:t>nt such factors result in a further reduction of the level of projected cash flows used to estimate the Batteries reporting unit fair value, we may need to record non-cash impairment charges in the future.</w:t>
      </w:r>
    </w:p>
    <w:p w:rsidR="00000000" w:rsidRDefault="0057438D">
      <w:pPr>
        <w:pStyle w:val="DefaultParagraphFont"/>
        <w:widowControl w:val="0"/>
        <w:autoSpaceDE w:val="0"/>
        <w:autoSpaceDN w:val="0"/>
        <w:adjustRightInd w:val="0"/>
        <w:spacing w:after="0" w:line="8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20"/>
        <w:rPr>
          <w:rFonts w:ascii="Times New Roman" w:hAnsi="Times New Roman" w:cs="Times New Roman"/>
          <w:sz w:val="24"/>
          <w:szCs w:val="24"/>
        </w:rPr>
      </w:pPr>
      <w:r>
        <w:rPr>
          <w:rFonts w:ascii="Times New Roman" w:hAnsi="Times New Roman" w:cs="Times New Roman"/>
          <w:sz w:val="19"/>
          <w:szCs w:val="19"/>
        </w:rPr>
        <w:t>In addition, in the fourth quarter of the year en</w:t>
      </w:r>
      <w:r>
        <w:rPr>
          <w:rFonts w:ascii="Times New Roman" w:hAnsi="Times New Roman" w:cs="Times New Roman"/>
          <w:sz w:val="19"/>
          <w:szCs w:val="19"/>
        </w:rPr>
        <w:t>ded June 30, 2014, a key competitor announced its intent to split its consolidated business into two separate companies during 2015. One of those companies would operate primarily in the batteries category. While this proposed transaction has not been cons</w:t>
      </w:r>
      <w:r>
        <w:rPr>
          <w:rFonts w:ascii="Times New Roman" w:hAnsi="Times New Roman" w:cs="Times New Roman"/>
          <w:sz w:val="19"/>
          <w:szCs w:val="19"/>
        </w:rPr>
        <w:t>ummated, initial independent third party estimates of the competitor’s stand-alone batteries business valuation are well below the earnings multiple implied from the valuation of our batteries business. We attribute the implied valuation differences to our</w:t>
      </w:r>
      <w:r>
        <w:rPr>
          <w:rFonts w:ascii="Times New Roman" w:hAnsi="Times New Roman" w:cs="Times New Roman"/>
          <w:sz w:val="19"/>
          <w:szCs w:val="19"/>
        </w:rPr>
        <w:t xml:space="preserve"> more favorable business trends, primarily organic net sales and share growth, along with scale dis-synergies, general market uncertainty regarding the capabilities and competitiveness of a stand-alone company and lack of a control premium. In addition, th</w:t>
      </w:r>
      <w:r>
        <w:rPr>
          <w:rFonts w:ascii="Times New Roman" w:hAnsi="Times New Roman" w:cs="Times New Roman"/>
          <w:sz w:val="19"/>
          <w:szCs w:val="19"/>
        </w:rPr>
        <w:t>e Company conducts a regular portfolio review of its businesses to assess long-term strategic fit. If our portfolio review process were to result in a decision to divest the batteries business, a divestiture could result in a loss that could be material if</w:t>
      </w:r>
      <w:r>
        <w:rPr>
          <w:rFonts w:ascii="Times New Roman" w:hAnsi="Times New Roman" w:cs="Times New Roman"/>
          <w:sz w:val="19"/>
          <w:szCs w:val="19"/>
        </w:rPr>
        <w:t xml:space="preserve"> potential acquirers utilize valuations consistent with those indicated above for the key competitor.</w:t>
      </w:r>
    </w:p>
    <w:p w:rsidR="00000000" w:rsidRDefault="0057438D">
      <w:pPr>
        <w:pStyle w:val="DefaultParagraphFont"/>
        <w:widowControl w:val="0"/>
        <w:autoSpaceDE w:val="0"/>
        <w:autoSpaceDN w:val="0"/>
        <w:adjustRightInd w:val="0"/>
        <w:spacing w:after="0" w:line="20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360"/>
        <w:rPr>
          <w:rFonts w:ascii="Times New Roman" w:hAnsi="Times New Roman" w:cs="Times New Roman"/>
          <w:sz w:val="24"/>
          <w:szCs w:val="24"/>
        </w:rPr>
      </w:pPr>
      <w:r>
        <w:rPr>
          <w:rFonts w:ascii="Times New Roman" w:hAnsi="Times New Roman" w:cs="Times New Roman"/>
          <w:sz w:val="19"/>
          <w:szCs w:val="19"/>
        </w:rPr>
        <w:t>See Note 2 to our Consolidated Financial Statements for additional discussion on goodwill and intangible asset impairment testing results.</w:t>
      </w:r>
    </w:p>
    <w:p w:rsidR="00000000" w:rsidRDefault="0057438D">
      <w:pPr>
        <w:pStyle w:val="DefaultParagraphFont"/>
        <w:widowControl w:val="0"/>
        <w:autoSpaceDE w:val="0"/>
        <w:autoSpaceDN w:val="0"/>
        <w:adjustRightInd w:val="0"/>
        <w:spacing w:after="0" w:line="240" w:lineRule="auto"/>
        <w:ind w:left="2280"/>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The Procter &amp;</w:t>
      </w:r>
      <w:r>
        <w:rPr>
          <w:rFonts w:ascii="Times New Roman" w:hAnsi="Times New Roman" w:cs="Times New Roman"/>
          <w:sz w:val="15"/>
          <w:szCs w:val="15"/>
        </w:rPr>
        <w:t xml:space="preserve"> Gamble Company  </w:t>
      </w:r>
      <w:r>
        <w:rPr>
          <w:rFonts w:ascii="Times New Roman" w:hAnsi="Times New Roman" w:cs="Times New Roman"/>
          <w:sz w:val="19"/>
          <w:szCs w:val="19"/>
        </w:rPr>
        <w:t>41</w:t>
      </w:r>
    </w:p>
    <w:p w:rsidR="00000000" w:rsidRDefault="0057438D">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New Accounting Pronouncements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40"/>
        <w:rPr>
          <w:rFonts w:ascii="Times New Roman" w:hAnsi="Times New Roman" w:cs="Times New Roman"/>
          <w:sz w:val="24"/>
          <w:szCs w:val="24"/>
        </w:rPr>
      </w:pPr>
      <w:r>
        <w:rPr>
          <w:rFonts w:ascii="Times New Roman" w:hAnsi="Times New Roman" w:cs="Times New Roman"/>
          <w:sz w:val="19"/>
          <w:szCs w:val="19"/>
        </w:rPr>
        <w:t>In May 2014, the FASB issued ASU 2014-09, “Revenue from Contracts with Customers (Topic 606).”</w:t>
      </w:r>
      <w:r>
        <w:rPr>
          <w:rFonts w:ascii="Times New Roman" w:hAnsi="Times New Roman" w:cs="Times New Roman"/>
          <w:sz w:val="19"/>
          <w:szCs w:val="19"/>
        </w:rPr>
        <w:t xml:space="preserve"> This guidance outlines a single, comprehensive model for accounting for revenue from contracts with customers. We will adopt the standard on July 1, 2017. We are evaluating the impact, if any, that the standard will have on our financial statements.</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80"/>
        <w:rPr>
          <w:rFonts w:ascii="Times New Roman" w:hAnsi="Times New Roman" w:cs="Times New Roman"/>
          <w:sz w:val="24"/>
          <w:szCs w:val="24"/>
        </w:rPr>
      </w:pPr>
      <w:r>
        <w:rPr>
          <w:rFonts w:ascii="Times New Roman" w:hAnsi="Times New Roman" w:cs="Times New Roman"/>
          <w:sz w:val="19"/>
          <w:szCs w:val="19"/>
        </w:rPr>
        <w:t>No o</w:t>
      </w:r>
      <w:r>
        <w:rPr>
          <w:rFonts w:ascii="Times New Roman" w:hAnsi="Times New Roman" w:cs="Times New Roman"/>
          <w:sz w:val="19"/>
          <w:szCs w:val="19"/>
        </w:rPr>
        <w:t>ther new accounting pronouncement issued or effective during the fiscal year had or is expected to have a material impact on the Consolidated Financial Statements.</w:t>
      </w:r>
    </w:p>
    <w:p w:rsidR="00000000" w:rsidRDefault="0057438D">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OTHER INFORMATION</w:t>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Hedging and Derivative Financial Instruments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As a multinational company</w:t>
      </w:r>
      <w:r>
        <w:rPr>
          <w:rFonts w:ascii="Times New Roman" w:hAnsi="Times New Roman" w:cs="Times New Roman"/>
          <w:sz w:val="19"/>
          <w:szCs w:val="19"/>
        </w:rPr>
        <w:t xml:space="preserve"> with diverse product offerings, we are exposed to market risks, such as changes in interest rates, currency exchange rates and commodity prices. We evaluate exposures on a centralized basis to take advantage of natural exposure correlation and netting. Ex</w:t>
      </w:r>
      <w:r>
        <w:rPr>
          <w:rFonts w:ascii="Times New Roman" w:hAnsi="Times New Roman" w:cs="Times New Roman"/>
          <w:sz w:val="19"/>
          <w:szCs w:val="19"/>
        </w:rPr>
        <w:t xml:space="preserve">cept within financing operations, we leverage the Company's broadly diversified portfolio of exposures as a natural hedge and prioritize operational hedging activities over financial market instruments. To the extent we choose to further manage volatility </w:t>
      </w:r>
      <w:r>
        <w:rPr>
          <w:rFonts w:ascii="Times New Roman" w:hAnsi="Times New Roman" w:cs="Times New Roman"/>
          <w:sz w:val="19"/>
          <w:szCs w:val="19"/>
        </w:rPr>
        <w:t>associated with the net exposures, we enter into various financial transactions which we account for using the applicable accounting guidance for derivative instruments and hedging activities. These financial transactions are governed by our policies cover</w:t>
      </w:r>
      <w:r>
        <w:rPr>
          <w:rFonts w:ascii="Times New Roman" w:hAnsi="Times New Roman" w:cs="Times New Roman"/>
          <w:sz w:val="19"/>
          <w:szCs w:val="19"/>
        </w:rPr>
        <w:t>ing acceptable counterparty exposure, instrument types and other hedging practices. Note 5 to the Consolidated Financial Statements includes a detailed discussion of our accounting policies for financial instruments.</w:t>
      </w:r>
    </w:p>
    <w:p w:rsidR="00000000" w:rsidRDefault="0057438D">
      <w:pPr>
        <w:pStyle w:val="DefaultParagraphFont"/>
        <w:widowControl w:val="0"/>
        <w:autoSpaceDE w:val="0"/>
        <w:autoSpaceDN w:val="0"/>
        <w:adjustRightInd w:val="0"/>
        <w:spacing w:after="0" w:line="9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sz w:val="19"/>
          <w:szCs w:val="19"/>
        </w:rPr>
        <w:t xml:space="preserve">Derivative positions can be monitored </w:t>
      </w:r>
      <w:r>
        <w:rPr>
          <w:rFonts w:ascii="Times New Roman" w:hAnsi="Times New Roman" w:cs="Times New Roman"/>
          <w:sz w:val="19"/>
          <w:szCs w:val="19"/>
        </w:rPr>
        <w:t>using techniques including market valuation, sensitivity analysis and value-at-risk modeling. The tests for interest rate, currency rate and commodity derivative positions discussed below are based on the CorporateManager™ value-at-risk model using a one-y</w:t>
      </w:r>
      <w:r>
        <w:rPr>
          <w:rFonts w:ascii="Times New Roman" w:hAnsi="Times New Roman" w:cs="Times New Roman"/>
          <w:sz w:val="19"/>
          <w:szCs w:val="19"/>
        </w:rPr>
        <w:t xml:space="preserve">ear horizon and a 95% confidence level. The model incorporates the impact of correlation (the degree to which exposures move together over time) and diversification (from holding multiple currency, commodity and interest rate instruments) and assumes that </w:t>
      </w:r>
      <w:r>
        <w:rPr>
          <w:rFonts w:ascii="Times New Roman" w:hAnsi="Times New Roman" w:cs="Times New Roman"/>
          <w:sz w:val="19"/>
          <w:szCs w:val="19"/>
        </w:rPr>
        <w:t>financial returns are normally distributed. Estimates of volatility and correlations of market factors are drawn from the RiskMetrics™ dataset as of June 30, 2014. In cases where data is unavailable in RiskMetrics™, a reasonable proxy is included.</w:t>
      </w:r>
    </w:p>
    <w:p w:rsidR="00000000" w:rsidRDefault="0057438D">
      <w:pPr>
        <w:pStyle w:val="DefaultParagraphFont"/>
        <w:widowControl w:val="0"/>
        <w:autoSpaceDE w:val="0"/>
        <w:autoSpaceDN w:val="0"/>
        <w:adjustRightInd w:val="0"/>
        <w:spacing w:after="0" w:line="8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right="60"/>
        <w:rPr>
          <w:rFonts w:ascii="Times New Roman" w:hAnsi="Times New Roman" w:cs="Times New Roman"/>
          <w:sz w:val="24"/>
          <w:szCs w:val="24"/>
        </w:rPr>
      </w:pPr>
      <w:r>
        <w:rPr>
          <w:rFonts w:ascii="Times New Roman" w:hAnsi="Times New Roman" w:cs="Times New Roman"/>
          <w:sz w:val="19"/>
          <w:szCs w:val="19"/>
        </w:rPr>
        <w:t>Our market risk exposures relative to interest rates, currency rates and commodity prices, as discussed below, have not changed materially versus the previous reporting period. In addition, we are not aware of any facts or circumstances that would signific</w:t>
      </w:r>
      <w:r>
        <w:rPr>
          <w:rFonts w:ascii="Times New Roman" w:hAnsi="Times New Roman" w:cs="Times New Roman"/>
          <w:sz w:val="19"/>
          <w:szCs w:val="19"/>
        </w:rPr>
        <w:t>antly impact such exposures in the near term.</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1" w:lineRule="auto"/>
        <w:ind w:right="40"/>
        <w:rPr>
          <w:rFonts w:ascii="Times New Roman" w:hAnsi="Times New Roman" w:cs="Times New Roman"/>
          <w:sz w:val="24"/>
          <w:szCs w:val="24"/>
        </w:rPr>
      </w:pPr>
      <w:r>
        <w:rPr>
          <w:rFonts w:ascii="Times New Roman" w:hAnsi="Times New Roman" w:cs="Times New Roman"/>
          <w:b/>
          <w:bCs/>
          <w:i/>
          <w:iCs/>
          <w:sz w:val="19"/>
          <w:szCs w:val="19"/>
        </w:rPr>
        <w:t xml:space="preserve">Interest Rate Exposure on Financial Instruments. </w:t>
      </w:r>
      <w:r>
        <w:rPr>
          <w:rFonts w:ascii="Times New Roman" w:hAnsi="Times New Roman" w:cs="Times New Roman"/>
          <w:sz w:val="19"/>
          <w:szCs w:val="19"/>
        </w:rPr>
        <w:t>Interest</w:t>
      </w:r>
      <w:r>
        <w:rPr>
          <w:rFonts w:ascii="Times New Roman" w:hAnsi="Times New Roman" w:cs="Times New Roman"/>
          <w:b/>
          <w:bCs/>
          <w:i/>
          <w:iCs/>
          <w:sz w:val="19"/>
          <w:szCs w:val="19"/>
        </w:rPr>
        <w:t xml:space="preserve"> </w:t>
      </w:r>
      <w:r>
        <w:rPr>
          <w:rFonts w:ascii="Times New Roman" w:hAnsi="Times New Roman" w:cs="Times New Roman"/>
          <w:sz w:val="19"/>
          <w:szCs w:val="19"/>
        </w:rPr>
        <w:t>rate swaps are used to hedge exposures to interest rate movement on underlying debt obligations. Certain interest rate swaps denominated in foreign cur</w:t>
      </w:r>
      <w:r>
        <w:rPr>
          <w:rFonts w:ascii="Times New Roman" w:hAnsi="Times New Roman" w:cs="Times New Roman"/>
          <w:sz w:val="19"/>
          <w:szCs w:val="19"/>
        </w:rPr>
        <w:t>rencies are designated to hedge exposures to currency exchange rate movements on</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880" w:bottom="594" w:left="860" w:header="720" w:footer="720" w:gutter="0"/>
          <w:cols w:num="2" w:space="440" w:equalWidth="0">
            <w:col w:w="4660" w:space="440"/>
            <w:col w:w="468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42</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500"/>
        <w:rPr>
          <w:rFonts w:ascii="Times New Roman" w:hAnsi="Times New Roman" w:cs="Times New Roman"/>
          <w:sz w:val="24"/>
          <w:szCs w:val="24"/>
        </w:rPr>
      </w:pPr>
      <w:r>
        <w:rPr>
          <w:rFonts w:ascii="Times New Roman" w:hAnsi="Times New Roman" w:cs="Times New Roman"/>
          <w:sz w:val="19"/>
          <w:szCs w:val="19"/>
        </w:rPr>
        <w:t>our investments in foreign operations. These currency interest rate swaps are designated as hedges of the Co</w:t>
      </w:r>
      <w:r>
        <w:rPr>
          <w:rFonts w:ascii="Times New Roman" w:hAnsi="Times New Roman" w:cs="Times New Roman"/>
          <w:sz w:val="19"/>
          <w:szCs w:val="19"/>
        </w:rPr>
        <w:t>mpany's foreign net investments.</w:t>
      </w:r>
    </w:p>
    <w:p w:rsidR="00000000" w:rsidRDefault="0057438D">
      <w:pPr>
        <w:pStyle w:val="DefaultParagraphFont"/>
        <w:widowControl w:val="0"/>
        <w:autoSpaceDE w:val="0"/>
        <w:autoSpaceDN w:val="0"/>
        <w:adjustRightInd w:val="0"/>
        <w:spacing w:after="0" w:line="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rPr>
          <w:rFonts w:ascii="Times New Roman" w:hAnsi="Times New Roman" w:cs="Times New Roman"/>
          <w:sz w:val="24"/>
          <w:szCs w:val="24"/>
        </w:rPr>
      </w:pPr>
      <w:r>
        <w:rPr>
          <w:rFonts w:ascii="Times New Roman" w:hAnsi="Times New Roman" w:cs="Times New Roman"/>
          <w:sz w:val="19"/>
          <w:szCs w:val="19"/>
        </w:rPr>
        <w:t>Based on our interest rate exposure as of and during the year ended June 30, 2014, including derivative and other instruments sensitive to interest rates, we believe a near-term change in interest rates, at a 95% confidenc</w:t>
      </w:r>
      <w:r>
        <w:rPr>
          <w:rFonts w:ascii="Times New Roman" w:hAnsi="Times New Roman" w:cs="Times New Roman"/>
          <w:sz w:val="19"/>
          <w:szCs w:val="19"/>
        </w:rPr>
        <w:t>e level based on historical interest rate movements, would not materially affect our financial statements.</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Currency Rate Exposure on Financial Instruments.</w:t>
      </w:r>
    </w:p>
    <w:p w:rsidR="00000000" w:rsidRDefault="0057438D">
      <w:pPr>
        <w:pStyle w:val="DefaultParagraphFont"/>
        <w:widowControl w:val="0"/>
        <w:autoSpaceDE w:val="0"/>
        <w:autoSpaceDN w:val="0"/>
        <w:adjustRightInd w:val="0"/>
        <w:spacing w:after="0" w:line="1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60"/>
        <w:rPr>
          <w:rFonts w:ascii="Times New Roman" w:hAnsi="Times New Roman" w:cs="Times New Roman"/>
          <w:sz w:val="24"/>
          <w:szCs w:val="24"/>
        </w:rPr>
      </w:pPr>
      <w:r>
        <w:rPr>
          <w:rFonts w:ascii="Times New Roman" w:hAnsi="Times New Roman" w:cs="Times New Roman"/>
          <w:sz w:val="19"/>
          <w:szCs w:val="19"/>
        </w:rPr>
        <w:t xml:space="preserve">Because we manufacture and sell products and finance operations in a number of countries throughout the world, we are exposed to the impact on revenue and expenses of movements in currency exchange rates. Corporate policy prescribes the range of allowable </w:t>
      </w:r>
      <w:r>
        <w:rPr>
          <w:rFonts w:ascii="Times New Roman" w:hAnsi="Times New Roman" w:cs="Times New Roman"/>
          <w:sz w:val="19"/>
          <w:szCs w:val="19"/>
        </w:rPr>
        <w:t>hedging activity. To manage the exchange rate risk associated with our financing operations, we primarily use forward contracts with maturities of less than 18 months. In addition, we enter into certain currency swaps with maturities of up to five years to</w:t>
      </w:r>
      <w:r>
        <w:rPr>
          <w:rFonts w:ascii="Times New Roman" w:hAnsi="Times New Roman" w:cs="Times New Roman"/>
          <w:sz w:val="19"/>
          <w:szCs w:val="19"/>
        </w:rPr>
        <w:t xml:space="preserve"> hedge our exposure to exchange rate movements on intercompany financing transactions.</w:t>
      </w:r>
    </w:p>
    <w:p w:rsidR="00000000" w:rsidRDefault="0057438D">
      <w:pPr>
        <w:pStyle w:val="DefaultParagraphFont"/>
        <w:widowControl w:val="0"/>
        <w:autoSpaceDE w:val="0"/>
        <w:autoSpaceDN w:val="0"/>
        <w:adjustRightInd w:val="0"/>
        <w:spacing w:after="0" w:line="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60"/>
        <w:rPr>
          <w:rFonts w:ascii="Times New Roman" w:hAnsi="Times New Roman" w:cs="Times New Roman"/>
          <w:sz w:val="24"/>
          <w:szCs w:val="24"/>
        </w:rPr>
      </w:pPr>
      <w:r>
        <w:rPr>
          <w:rFonts w:ascii="Times New Roman" w:hAnsi="Times New Roman" w:cs="Times New Roman"/>
          <w:sz w:val="19"/>
          <w:szCs w:val="19"/>
        </w:rPr>
        <w:t>Based on our currency rate exposure on derivative and other instruments as of and during the year ended June 30, 2014, we believe, at a 95% confidence level based on hi</w:t>
      </w:r>
      <w:r>
        <w:rPr>
          <w:rFonts w:ascii="Times New Roman" w:hAnsi="Times New Roman" w:cs="Times New Roman"/>
          <w:sz w:val="19"/>
          <w:szCs w:val="19"/>
        </w:rPr>
        <w:t>storical currency rate movements, the impact of a near-term change in currency rates would not materially affect our financial statements.</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9" w:lineRule="auto"/>
        <w:ind w:right="20"/>
        <w:rPr>
          <w:rFonts w:ascii="Times New Roman" w:hAnsi="Times New Roman" w:cs="Times New Roman"/>
          <w:sz w:val="24"/>
          <w:szCs w:val="24"/>
        </w:rPr>
      </w:pPr>
      <w:r>
        <w:rPr>
          <w:rFonts w:ascii="Times New Roman" w:hAnsi="Times New Roman" w:cs="Times New Roman"/>
          <w:b/>
          <w:bCs/>
          <w:i/>
          <w:iCs/>
          <w:sz w:val="19"/>
          <w:szCs w:val="19"/>
        </w:rPr>
        <w:t xml:space="preserve">Commodity Price Exposure on Financial Instruments. </w:t>
      </w:r>
      <w:r>
        <w:rPr>
          <w:rFonts w:ascii="Times New Roman" w:hAnsi="Times New Roman" w:cs="Times New Roman"/>
          <w:sz w:val="19"/>
          <w:szCs w:val="19"/>
        </w:rPr>
        <w:t>We</w:t>
      </w:r>
      <w:r>
        <w:rPr>
          <w:rFonts w:ascii="Times New Roman" w:hAnsi="Times New Roman" w:cs="Times New Roman"/>
          <w:b/>
          <w:bCs/>
          <w:i/>
          <w:iCs/>
          <w:sz w:val="19"/>
          <w:szCs w:val="19"/>
        </w:rPr>
        <w:t xml:space="preserve"> </w:t>
      </w:r>
      <w:r>
        <w:rPr>
          <w:rFonts w:ascii="Times New Roman" w:hAnsi="Times New Roman" w:cs="Times New Roman"/>
          <w:sz w:val="19"/>
          <w:szCs w:val="19"/>
        </w:rPr>
        <w:t>use raw materials that are subject to price volatility caused by weather, supply conditions, political and economic variables and other unpredictable factors. We may use futures, options and swap contracts to manage the volatility related to the above expo</w:t>
      </w:r>
      <w:r>
        <w:rPr>
          <w:rFonts w:ascii="Times New Roman" w:hAnsi="Times New Roman" w:cs="Times New Roman"/>
          <w:sz w:val="19"/>
          <w:szCs w:val="19"/>
        </w:rPr>
        <w:t>sures.</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20"/>
        <w:rPr>
          <w:rFonts w:ascii="Times New Roman" w:hAnsi="Times New Roman" w:cs="Times New Roman"/>
          <w:sz w:val="24"/>
          <w:szCs w:val="24"/>
        </w:rPr>
      </w:pPr>
      <w:r>
        <w:rPr>
          <w:rFonts w:ascii="Times New Roman" w:hAnsi="Times New Roman" w:cs="Times New Roman"/>
          <w:sz w:val="19"/>
          <w:szCs w:val="19"/>
        </w:rPr>
        <w:t>As of and during the years ended June 30, 2014 and June 30, 2013, we did not have any commodity hedging activity.</w:t>
      </w:r>
    </w:p>
    <w:p w:rsidR="00000000" w:rsidRDefault="0057438D">
      <w:pPr>
        <w:pStyle w:val="DefaultParagraphFont"/>
        <w:widowControl w:val="0"/>
        <w:autoSpaceDE w:val="0"/>
        <w:autoSpaceDN w:val="0"/>
        <w:adjustRightInd w:val="0"/>
        <w:spacing w:after="0" w:line="10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Measures Not Defined By U.S. GAAP</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120"/>
        <w:rPr>
          <w:rFonts w:ascii="Times New Roman" w:hAnsi="Times New Roman" w:cs="Times New Roman"/>
          <w:sz w:val="24"/>
          <w:szCs w:val="24"/>
        </w:rPr>
      </w:pPr>
      <w:r>
        <w:rPr>
          <w:rFonts w:ascii="Times New Roman" w:hAnsi="Times New Roman" w:cs="Times New Roman"/>
          <w:sz w:val="19"/>
          <w:szCs w:val="19"/>
        </w:rPr>
        <w:t>Our discussion of financial results includes several "non-GAAP" financial measures. We believe these measures provide our investors with additional information about our underlying results and trends, as well as insight to some of the metrics used to evalu</w:t>
      </w:r>
      <w:r>
        <w:rPr>
          <w:rFonts w:ascii="Times New Roman" w:hAnsi="Times New Roman" w:cs="Times New Roman"/>
          <w:sz w:val="19"/>
          <w:szCs w:val="19"/>
        </w:rPr>
        <w:t>ate management. When used in MD&amp;A, we have provided the comparable GAAP measure in the discussion. These measures include:</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160"/>
        <w:rPr>
          <w:rFonts w:ascii="Times New Roman" w:hAnsi="Times New Roman" w:cs="Times New Roman"/>
          <w:sz w:val="24"/>
          <w:szCs w:val="24"/>
        </w:rPr>
      </w:pPr>
      <w:r>
        <w:rPr>
          <w:rFonts w:ascii="Times New Roman" w:hAnsi="Times New Roman" w:cs="Times New Roman"/>
          <w:b/>
          <w:bCs/>
          <w:i/>
          <w:iCs/>
          <w:sz w:val="19"/>
          <w:szCs w:val="19"/>
        </w:rPr>
        <w:t xml:space="preserve">Organic Sales Growth. </w:t>
      </w:r>
      <w:r>
        <w:rPr>
          <w:rFonts w:ascii="Times New Roman" w:hAnsi="Times New Roman" w:cs="Times New Roman"/>
          <w:sz w:val="19"/>
          <w:szCs w:val="19"/>
        </w:rPr>
        <w:t>Organic sales growth is a non-GAAP measure of sales growth excluding the impacts of acquisitions, divestitures</w:t>
      </w:r>
      <w:r>
        <w:rPr>
          <w:rFonts w:ascii="Times New Roman" w:hAnsi="Times New Roman" w:cs="Times New Roman"/>
          <w:sz w:val="19"/>
          <w:szCs w:val="19"/>
        </w:rPr>
        <w:t xml:space="preserve"> and foreign exchange from year-over-year comparisons. We believe this provides investors with a more complete understanding of underlying sales trends by providing sales growth on a consistent basis. Organic sales is also one of the measures used to evalu</w:t>
      </w:r>
      <w:r>
        <w:rPr>
          <w:rFonts w:ascii="Times New Roman" w:hAnsi="Times New Roman" w:cs="Times New Roman"/>
          <w:sz w:val="19"/>
          <w:szCs w:val="19"/>
        </w:rPr>
        <w:t>ate senior management and is a factor in determining their at-risk compensation.</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200"/>
        <w:rPr>
          <w:rFonts w:ascii="Times New Roman" w:hAnsi="Times New Roman" w:cs="Times New Roman"/>
          <w:sz w:val="24"/>
          <w:szCs w:val="24"/>
        </w:rPr>
      </w:pPr>
      <w:r>
        <w:rPr>
          <w:rFonts w:ascii="Times New Roman" w:hAnsi="Times New Roman" w:cs="Times New Roman"/>
          <w:sz w:val="19"/>
          <w:szCs w:val="19"/>
        </w:rPr>
        <w:t>The following tables provide a numerical reconciliation of organic sales growth to reported net sales growth:</w:t>
      </w:r>
    </w:p>
    <w:p w:rsidR="00000000" w:rsidRDefault="0057438D">
      <w:pPr>
        <w:pStyle w:val="DefaultParagraphFont"/>
        <w:widowControl w:val="0"/>
        <w:autoSpaceDE w:val="0"/>
        <w:autoSpaceDN w:val="0"/>
        <w:adjustRightInd w:val="0"/>
        <w:spacing w:after="0" w:line="29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180"/>
        <w:gridCol w:w="820"/>
        <w:gridCol w:w="900"/>
        <w:gridCol w:w="1020"/>
        <w:gridCol w:w="740"/>
        <w:gridCol w:w="20"/>
      </w:tblGrid>
      <w:tr w:rsidR="00000000">
        <w:tblPrEx>
          <w:tblCellMar>
            <w:top w:w="0" w:type="dxa"/>
            <w:left w:w="0" w:type="dxa"/>
            <w:bottom w:w="0" w:type="dxa"/>
            <w:right w:w="0" w:type="dxa"/>
          </w:tblCellMar>
        </w:tblPrEx>
        <w:trPr>
          <w:trHeight w:val="172"/>
        </w:trPr>
        <w:tc>
          <w:tcPr>
            <w:tcW w:w="1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rPr>
              <w:t>Year ended</w:t>
            </w:r>
          </w:p>
        </w:tc>
        <w:tc>
          <w:tcPr>
            <w:tcW w:w="8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
              <w:jc w:val="center"/>
              <w:rPr>
                <w:rFonts w:ascii="Times New Roman" w:hAnsi="Times New Roman" w:cs="Times New Roman"/>
                <w:sz w:val="24"/>
                <w:szCs w:val="24"/>
              </w:rPr>
            </w:pPr>
            <w:r>
              <w:rPr>
                <w:rFonts w:ascii="Times New Roman" w:hAnsi="Times New Roman" w:cs="Times New Roman"/>
                <w:b/>
                <w:bCs/>
                <w:sz w:val="15"/>
                <w:szCs w:val="15"/>
              </w:rPr>
              <w:t>Net Sales</w:t>
            </w: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w w:val="99"/>
                <w:sz w:val="15"/>
                <w:szCs w:val="15"/>
              </w:rPr>
              <w:t>Foreign</w:t>
            </w: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right="11"/>
              <w:jc w:val="center"/>
              <w:rPr>
                <w:rFonts w:ascii="Times New Roman" w:hAnsi="Times New Roman" w:cs="Times New Roman"/>
                <w:sz w:val="24"/>
                <w:szCs w:val="24"/>
              </w:rPr>
            </w:pPr>
            <w:r>
              <w:rPr>
                <w:rFonts w:ascii="Times New Roman" w:hAnsi="Times New Roman" w:cs="Times New Roman"/>
                <w:b/>
                <w:bCs/>
                <w:sz w:val="15"/>
                <w:szCs w:val="15"/>
              </w:rPr>
              <w:t>Acquisition/</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Organic</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w w:val="99"/>
                <w:sz w:val="15"/>
                <w:szCs w:val="15"/>
              </w:rPr>
              <w:t>Exchange</w:t>
            </w: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11"/>
              <w:jc w:val="center"/>
              <w:rPr>
                <w:rFonts w:ascii="Times New Roman" w:hAnsi="Times New Roman" w:cs="Times New Roman"/>
                <w:sz w:val="24"/>
                <w:szCs w:val="24"/>
              </w:rPr>
            </w:pPr>
            <w:r>
              <w:rPr>
                <w:rFonts w:ascii="Times New Roman" w:hAnsi="Times New Roman" w:cs="Times New Roman"/>
                <w:b/>
                <w:bCs/>
                <w:sz w:val="15"/>
                <w:szCs w:val="15"/>
              </w:rPr>
              <w:t>Divestiture</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Sales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rPr>
              <w:t>June 30, 2014</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
              <w:jc w:val="center"/>
              <w:rPr>
                <w:rFonts w:ascii="Times New Roman" w:hAnsi="Times New Roman" w:cs="Times New Roman"/>
                <w:sz w:val="24"/>
                <w:szCs w:val="24"/>
              </w:rPr>
            </w:pPr>
            <w:r>
              <w:rPr>
                <w:rFonts w:ascii="Times New Roman" w:hAnsi="Times New Roman" w:cs="Times New Roman"/>
                <w:b/>
                <w:bCs/>
                <w:sz w:val="15"/>
                <w:szCs w:val="15"/>
              </w:rPr>
              <w:t>Growth</w:t>
            </w: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Impact</w:t>
            </w: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1"/>
              <w:jc w:val="center"/>
              <w:rPr>
                <w:rFonts w:ascii="Times New Roman" w:hAnsi="Times New Roman" w:cs="Times New Roman"/>
                <w:sz w:val="24"/>
                <w:szCs w:val="24"/>
              </w:rPr>
            </w:pPr>
            <w:r>
              <w:rPr>
                <w:rFonts w:ascii="Times New Roman" w:hAnsi="Times New Roman" w:cs="Times New Roman"/>
                <w:b/>
                <w:bCs/>
                <w:sz w:val="15"/>
                <w:szCs w:val="15"/>
              </w:rPr>
              <w:t>Impact*</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Growth</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1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Beauty</w:t>
            </w: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w:t>
            </w:r>
          </w:p>
        </w:tc>
        <w:tc>
          <w:tcPr>
            <w:tcW w:w="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w:t>
            </w:r>
          </w:p>
        </w:tc>
        <w:tc>
          <w:tcPr>
            <w:tcW w:w="10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Times New Roman" w:hAnsi="Times New Roman" w:cs="Times New Roman"/>
                <w:b/>
                <w:bCs/>
                <w:sz w:val="19"/>
                <w:szCs w:val="19"/>
              </w:rPr>
              <w:t>0%</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Grooming</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0%</w:t>
            </w: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w:t>
            </w: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Times New Roman" w:hAnsi="Times New Roman" w:cs="Times New Roman"/>
                <w:b/>
                <w:bCs/>
                <w:sz w:val="19"/>
                <w:szCs w:val="19"/>
              </w:rPr>
              <w:t>0%</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Health Care</w:t>
            </w: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w:t>
            </w:r>
          </w:p>
        </w:tc>
        <w:tc>
          <w:tcPr>
            <w:tcW w:w="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w:t>
            </w:r>
          </w:p>
        </w:tc>
        <w:tc>
          <w:tcPr>
            <w:tcW w:w="10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Times New Roman" w:hAnsi="Times New Roman" w:cs="Times New Roman"/>
                <w:b/>
                <w:bCs/>
                <w:sz w:val="19"/>
                <w:szCs w:val="19"/>
              </w:rPr>
              <w:t>0%</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Fabric Care</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and Home</w:t>
            </w:r>
          </w:p>
        </w:tc>
        <w:tc>
          <w:tcPr>
            <w:tcW w:w="8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w:t>
            </w:r>
          </w:p>
        </w:tc>
        <w:tc>
          <w:tcPr>
            <w:tcW w:w="9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w:t>
            </w:r>
          </w:p>
        </w:tc>
        <w:tc>
          <w:tcPr>
            <w:tcW w:w="10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Times New Roman" w:hAnsi="Times New Roman" w:cs="Times New Roman"/>
                <w:b/>
                <w:bCs/>
                <w:sz w:val="19"/>
                <w:szCs w:val="19"/>
              </w:rPr>
              <w:t>0%</w:t>
            </w:r>
          </w:p>
        </w:tc>
        <w:tc>
          <w:tcPr>
            <w:tcW w:w="7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Care</w:t>
            </w:r>
          </w:p>
        </w:tc>
        <w:tc>
          <w:tcPr>
            <w:tcW w:w="8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1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8" w:lineRule="exact"/>
              <w:ind w:left="60"/>
              <w:rPr>
                <w:rFonts w:ascii="Times New Roman" w:hAnsi="Times New Roman" w:cs="Times New Roman"/>
                <w:sz w:val="24"/>
                <w:szCs w:val="24"/>
              </w:rPr>
            </w:pPr>
            <w:r>
              <w:rPr>
                <w:rFonts w:ascii="Times New Roman" w:hAnsi="Times New Roman" w:cs="Times New Roman"/>
                <w:sz w:val="19"/>
                <w:szCs w:val="19"/>
              </w:rPr>
              <w:t>Baby,</w:t>
            </w:r>
          </w:p>
        </w:tc>
        <w:tc>
          <w:tcPr>
            <w:tcW w:w="8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1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Feminine and</w:t>
            </w:r>
          </w:p>
        </w:tc>
        <w:tc>
          <w:tcPr>
            <w:tcW w:w="8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w:t>
            </w:r>
          </w:p>
        </w:tc>
        <w:tc>
          <w:tcPr>
            <w:tcW w:w="9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w:t>
            </w:r>
          </w:p>
        </w:tc>
        <w:tc>
          <w:tcPr>
            <w:tcW w:w="10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Times New Roman" w:hAnsi="Times New Roman" w:cs="Times New Roman"/>
                <w:b/>
                <w:bCs/>
                <w:sz w:val="19"/>
                <w:szCs w:val="19"/>
              </w:rPr>
              <w:t>-1%</w:t>
            </w:r>
          </w:p>
        </w:tc>
        <w:tc>
          <w:tcPr>
            <w:tcW w:w="7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0"/>
        </w:trPr>
        <w:tc>
          <w:tcPr>
            <w:tcW w:w="1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Family Care</w:t>
            </w:r>
          </w:p>
        </w:tc>
        <w:tc>
          <w:tcPr>
            <w:tcW w:w="82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0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2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8"/>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left="60"/>
              <w:rPr>
                <w:rFonts w:ascii="Times New Roman" w:hAnsi="Times New Roman" w:cs="Times New Roman"/>
                <w:sz w:val="24"/>
                <w:szCs w:val="24"/>
              </w:rPr>
            </w:pPr>
            <w:r>
              <w:rPr>
                <w:rFonts w:ascii="Times New Roman" w:hAnsi="Times New Roman" w:cs="Times New Roman"/>
                <w:b/>
                <w:bCs/>
                <w:sz w:val="18"/>
                <w:szCs w:val="18"/>
              </w:rPr>
              <w:t>TOTAL</w:t>
            </w:r>
          </w:p>
        </w:tc>
        <w:tc>
          <w:tcPr>
            <w:tcW w:w="8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w:t>
            </w:r>
          </w:p>
        </w:tc>
        <w:tc>
          <w:tcPr>
            <w:tcW w:w="9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w:t>
            </w:r>
          </w:p>
        </w:tc>
        <w:tc>
          <w:tcPr>
            <w:tcW w:w="10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Times New Roman" w:hAnsi="Times New Roman" w:cs="Times New Roman"/>
                <w:b/>
                <w:bCs/>
                <w:sz w:val="19"/>
                <w:szCs w:val="19"/>
              </w:rPr>
              <w:t>0%</w:t>
            </w:r>
          </w:p>
        </w:tc>
        <w:tc>
          <w:tcPr>
            <w:tcW w:w="7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8"/>
        </w:trPr>
        <w:tc>
          <w:tcPr>
            <w:tcW w:w="11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COMPANY</w:t>
            </w:r>
          </w:p>
        </w:tc>
        <w:tc>
          <w:tcPr>
            <w:tcW w:w="82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0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2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1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7"/>
        </w:trPr>
        <w:tc>
          <w:tcPr>
            <w:tcW w:w="1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rPr>
              <w:t>Year ended</w:t>
            </w:r>
          </w:p>
        </w:tc>
        <w:tc>
          <w:tcPr>
            <w:tcW w:w="8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
              <w:jc w:val="center"/>
              <w:rPr>
                <w:rFonts w:ascii="Times New Roman" w:hAnsi="Times New Roman" w:cs="Times New Roman"/>
                <w:sz w:val="24"/>
                <w:szCs w:val="24"/>
              </w:rPr>
            </w:pPr>
            <w:r>
              <w:rPr>
                <w:rFonts w:ascii="Times New Roman" w:hAnsi="Times New Roman" w:cs="Times New Roman"/>
                <w:b/>
                <w:bCs/>
                <w:sz w:val="15"/>
                <w:szCs w:val="15"/>
              </w:rPr>
              <w:t>Net Sales</w:t>
            </w: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7" w:lineRule="exact"/>
              <w:jc w:val="center"/>
              <w:rPr>
                <w:rFonts w:ascii="Times New Roman" w:hAnsi="Times New Roman" w:cs="Times New Roman"/>
                <w:sz w:val="24"/>
                <w:szCs w:val="24"/>
              </w:rPr>
            </w:pPr>
            <w:r>
              <w:rPr>
                <w:rFonts w:ascii="Times New Roman" w:hAnsi="Times New Roman" w:cs="Times New Roman"/>
                <w:b/>
                <w:bCs/>
                <w:w w:val="99"/>
                <w:sz w:val="15"/>
                <w:szCs w:val="15"/>
              </w:rPr>
              <w:t>Foreign</w:t>
            </w: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7" w:lineRule="exact"/>
              <w:ind w:right="11"/>
              <w:jc w:val="center"/>
              <w:rPr>
                <w:rFonts w:ascii="Times New Roman" w:hAnsi="Times New Roman" w:cs="Times New Roman"/>
                <w:sz w:val="24"/>
                <w:szCs w:val="24"/>
              </w:rPr>
            </w:pPr>
            <w:r>
              <w:rPr>
                <w:rFonts w:ascii="Times New Roman" w:hAnsi="Times New Roman" w:cs="Times New Roman"/>
                <w:b/>
                <w:bCs/>
                <w:sz w:val="15"/>
                <w:szCs w:val="15"/>
              </w:rPr>
              <w:t>Acquisition/</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7" w:lineRule="exact"/>
              <w:jc w:val="center"/>
              <w:rPr>
                <w:rFonts w:ascii="Times New Roman" w:hAnsi="Times New Roman" w:cs="Times New Roman"/>
                <w:sz w:val="24"/>
                <w:szCs w:val="24"/>
              </w:rPr>
            </w:pPr>
            <w:r>
              <w:rPr>
                <w:rFonts w:ascii="Times New Roman" w:hAnsi="Times New Roman" w:cs="Times New Roman"/>
                <w:b/>
                <w:bCs/>
                <w:sz w:val="15"/>
                <w:szCs w:val="15"/>
              </w:rPr>
              <w:t>Organic</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w w:val="99"/>
                <w:sz w:val="15"/>
                <w:szCs w:val="15"/>
              </w:rPr>
              <w:t>Exchange</w:t>
            </w: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11"/>
              <w:jc w:val="center"/>
              <w:rPr>
                <w:rFonts w:ascii="Times New Roman" w:hAnsi="Times New Roman" w:cs="Times New Roman"/>
                <w:sz w:val="24"/>
                <w:szCs w:val="24"/>
              </w:rPr>
            </w:pPr>
            <w:r>
              <w:rPr>
                <w:rFonts w:ascii="Times New Roman" w:hAnsi="Times New Roman" w:cs="Times New Roman"/>
                <w:b/>
                <w:bCs/>
                <w:sz w:val="15"/>
                <w:szCs w:val="15"/>
              </w:rPr>
              <w:t>Divestiture</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Sales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rPr>
              <w:t>June 30, 2013</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
              <w:jc w:val="center"/>
              <w:rPr>
                <w:rFonts w:ascii="Times New Roman" w:hAnsi="Times New Roman" w:cs="Times New Roman"/>
                <w:sz w:val="24"/>
                <w:szCs w:val="24"/>
              </w:rPr>
            </w:pPr>
            <w:r>
              <w:rPr>
                <w:rFonts w:ascii="Times New Roman" w:hAnsi="Times New Roman" w:cs="Times New Roman"/>
                <w:b/>
                <w:bCs/>
                <w:sz w:val="15"/>
                <w:szCs w:val="15"/>
              </w:rPr>
              <w:t>Growth</w:t>
            </w: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Impact</w:t>
            </w: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1"/>
              <w:jc w:val="center"/>
              <w:rPr>
                <w:rFonts w:ascii="Times New Roman" w:hAnsi="Times New Roman" w:cs="Times New Roman"/>
                <w:sz w:val="24"/>
                <w:szCs w:val="24"/>
              </w:rPr>
            </w:pPr>
            <w:r>
              <w:rPr>
                <w:rFonts w:ascii="Times New Roman" w:hAnsi="Times New Roman" w:cs="Times New Roman"/>
                <w:b/>
                <w:bCs/>
                <w:sz w:val="15"/>
                <w:szCs w:val="15"/>
              </w:rPr>
              <w:t>Impact*</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Growth</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1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Beauty</w:t>
            </w: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w:t>
            </w:r>
          </w:p>
        </w:tc>
        <w:tc>
          <w:tcPr>
            <w:tcW w:w="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w:t>
            </w:r>
          </w:p>
        </w:tc>
        <w:tc>
          <w:tcPr>
            <w:tcW w:w="10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Times New Roman" w:hAnsi="Times New Roman" w:cs="Times New Roman"/>
                <w:b/>
                <w:bCs/>
                <w:sz w:val="19"/>
                <w:szCs w:val="19"/>
              </w:rPr>
              <w:t>1%</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Grooming</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w:t>
            </w: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w:t>
            </w: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Times New Roman" w:hAnsi="Times New Roman" w:cs="Times New Roman"/>
                <w:b/>
                <w:bCs/>
                <w:sz w:val="19"/>
                <w:szCs w:val="19"/>
              </w:rPr>
              <w:t>2%</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Health Care</w:t>
            </w: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w:t>
            </w:r>
          </w:p>
        </w:tc>
        <w:tc>
          <w:tcPr>
            <w:tcW w:w="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w:t>
            </w:r>
          </w:p>
        </w:tc>
        <w:tc>
          <w:tcPr>
            <w:tcW w:w="10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Times New Roman" w:hAnsi="Times New Roman" w:cs="Times New Roman"/>
                <w:b/>
                <w:bCs/>
                <w:sz w:val="19"/>
                <w:szCs w:val="19"/>
              </w:rPr>
              <w:t>-2%</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Fabric Care</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and Home</w:t>
            </w:r>
          </w:p>
        </w:tc>
        <w:tc>
          <w:tcPr>
            <w:tcW w:w="8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w:t>
            </w:r>
          </w:p>
        </w:tc>
        <w:tc>
          <w:tcPr>
            <w:tcW w:w="9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w:t>
            </w:r>
          </w:p>
        </w:tc>
        <w:tc>
          <w:tcPr>
            <w:tcW w:w="10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Times New Roman" w:hAnsi="Times New Roman" w:cs="Times New Roman"/>
                <w:b/>
                <w:bCs/>
                <w:sz w:val="19"/>
                <w:szCs w:val="19"/>
              </w:rPr>
              <w:t>0%</w:t>
            </w:r>
          </w:p>
        </w:tc>
        <w:tc>
          <w:tcPr>
            <w:tcW w:w="7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Care</w:t>
            </w:r>
          </w:p>
        </w:tc>
        <w:tc>
          <w:tcPr>
            <w:tcW w:w="8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1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8" w:lineRule="exact"/>
              <w:ind w:left="60"/>
              <w:rPr>
                <w:rFonts w:ascii="Times New Roman" w:hAnsi="Times New Roman" w:cs="Times New Roman"/>
                <w:sz w:val="24"/>
                <w:szCs w:val="24"/>
              </w:rPr>
            </w:pPr>
            <w:r>
              <w:rPr>
                <w:rFonts w:ascii="Times New Roman" w:hAnsi="Times New Roman" w:cs="Times New Roman"/>
                <w:sz w:val="19"/>
                <w:szCs w:val="19"/>
              </w:rPr>
              <w:t>Baby,</w:t>
            </w:r>
          </w:p>
        </w:tc>
        <w:tc>
          <w:tcPr>
            <w:tcW w:w="8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1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Feminine and</w:t>
            </w:r>
          </w:p>
        </w:tc>
        <w:tc>
          <w:tcPr>
            <w:tcW w:w="8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w:t>
            </w:r>
          </w:p>
        </w:tc>
        <w:tc>
          <w:tcPr>
            <w:tcW w:w="9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w:t>
            </w:r>
          </w:p>
        </w:tc>
        <w:tc>
          <w:tcPr>
            <w:tcW w:w="10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Times New Roman" w:hAnsi="Times New Roman" w:cs="Times New Roman"/>
                <w:b/>
                <w:bCs/>
                <w:sz w:val="19"/>
                <w:szCs w:val="19"/>
              </w:rPr>
              <w:t>0%</w:t>
            </w:r>
          </w:p>
        </w:tc>
        <w:tc>
          <w:tcPr>
            <w:tcW w:w="7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0"/>
        </w:trPr>
        <w:tc>
          <w:tcPr>
            <w:tcW w:w="1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Family Care</w:t>
            </w:r>
          </w:p>
        </w:tc>
        <w:tc>
          <w:tcPr>
            <w:tcW w:w="82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0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2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8"/>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8" w:lineRule="exact"/>
              <w:ind w:left="60"/>
              <w:rPr>
                <w:rFonts w:ascii="Times New Roman" w:hAnsi="Times New Roman" w:cs="Times New Roman"/>
                <w:sz w:val="24"/>
                <w:szCs w:val="24"/>
              </w:rPr>
            </w:pPr>
            <w:r>
              <w:rPr>
                <w:rFonts w:ascii="Times New Roman" w:hAnsi="Times New Roman" w:cs="Times New Roman"/>
                <w:b/>
                <w:bCs/>
                <w:sz w:val="18"/>
                <w:szCs w:val="18"/>
              </w:rPr>
              <w:t>TOTAL</w:t>
            </w:r>
          </w:p>
        </w:tc>
        <w:tc>
          <w:tcPr>
            <w:tcW w:w="8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w:t>
            </w:r>
          </w:p>
        </w:tc>
        <w:tc>
          <w:tcPr>
            <w:tcW w:w="9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w:t>
            </w:r>
          </w:p>
        </w:tc>
        <w:tc>
          <w:tcPr>
            <w:tcW w:w="10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
              <w:jc w:val="right"/>
              <w:rPr>
                <w:rFonts w:ascii="Times New Roman" w:hAnsi="Times New Roman" w:cs="Times New Roman"/>
                <w:sz w:val="24"/>
                <w:szCs w:val="24"/>
              </w:rPr>
            </w:pPr>
            <w:r>
              <w:rPr>
                <w:rFonts w:ascii="Times New Roman" w:hAnsi="Times New Roman" w:cs="Times New Roman"/>
                <w:b/>
                <w:bCs/>
                <w:sz w:val="19"/>
                <w:szCs w:val="19"/>
              </w:rPr>
              <w:t>0%</w:t>
            </w:r>
          </w:p>
        </w:tc>
        <w:tc>
          <w:tcPr>
            <w:tcW w:w="7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COMPANY</w:t>
            </w:r>
          </w:p>
        </w:tc>
        <w:tc>
          <w:tcPr>
            <w:tcW w:w="82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0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2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9" w:lineRule="auto"/>
        <w:ind w:right="500"/>
        <w:rPr>
          <w:rFonts w:ascii="Times New Roman" w:hAnsi="Times New Roman" w:cs="Times New Roman"/>
          <w:sz w:val="24"/>
          <w:szCs w:val="24"/>
        </w:rPr>
      </w:pPr>
      <w:r>
        <w:rPr>
          <w:rFonts w:ascii="Times New Roman" w:hAnsi="Times New Roman" w:cs="Times New Roman"/>
          <w:sz w:val="17"/>
          <w:szCs w:val="17"/>
        </w:rPr>
        <w:t>* Acquisition/Divestiture Impact includes rounding impacts necessary to reconcile net sales to organic sales.</w:t>
      </w:r>
    </w:p>
    <w:p w:rsidR="00000000" w:rsidRDefault="0057438D">
      <w:pPr>
        <w:pStyle w:val="DefaultParagraphFont"/>
        <w:widowControl w:val="0"/>
        <w:autoSpaceDE w:val="0"/>
        <w:autoSpaceDN w:val="0"/>
        <w:adjustRightInd w:val="0"/>
        <w:spacing w:after="0" w:line="11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b/>
          <w:bCs/>
          <w:i/>
          <w:iCs/>
          <w:sz w:val="19"/>
          <w:szCs w:val="19"/>
        </w:rPr>
        <w:t xml:space="preserve">Core EPS. </w:t>
      </w:r>
      <w:r>
        <w:rPr>
          <w:rFonts w:ascii="Times New Roman" w:hAnsi="Times New Roman" w:cs="Times New Roman"/>
          <w:sz w:val="19"/>
          <w:szCs w:val="19"/>
        </w:rPr>
        <w:t>This is a measure of the Company's diluted net</w:t>
      </w:r>
      <w:r>
        <w:rPr>
          <w:rFonts w:ascii="Times New Roman" w:hAnsi="Times New Roman" w:cs="Times New Roman"/>
          <w:b/>
          <w:bCs/>
          <w:i/>
          <w:iCs/>
          <w:sz w:val="19"/>
          <w:szCs w:val="19"/>
        </w:rPr>
        <w:t xml:space="preserve"> </w:t>
      </w:r>
      <w:r>
        <w:rPr>
          <w:rFonts w:ascii="Times New Roman" w:hAnsi="Times New Roman" w:cs="Times New Roman"/>
          <w:sz w:val="19"/>
          <w:szCs w:val="19"/>
        </w:rPr>
        <w:t>earnings per share from continuing operations excluding certain items that are not judge</w:t>
      </w:r>
      <w:r>
        <w:rPr>
          <w:rFonts w:ascii="Times New Roman" w:hAnsi="Times New Roman" w:cs="Times New Roman"/>
          <w:sz w:val="19"/>
          <w:szCs w:val="19"/>
        </w:rPr>
        <w:t>d to be part of the Company's sustainable results or trends. This includes charges in 2014, 2013 and 2012 for incremental restructuring due to increased focus on productivity and cost savings, charges in 2014 and 2013 for the balance sheet impacts from for</w:t>
      </w:r>
      <w:r>
        <w:rPr>
          <w:rFonts w:ascii="Times New Roman" w:hAnsi="Times New Roman" w:cs="Times New Roman"/>
          <w:sz w:val="19"/>
          <w:szCs w:val="19"/>
        </w:rPr>
        <w:t>eign exchange policy changes and the devaluations of the official foreign currency exchange rate in Venezuela, charges in 2014, 2013 and 2012 related to pending European legal matters, a holding gain in 2013 on the purchase of the balance of our Iberian jo</w:t>
      </w:r>
      <w:r>
        <w:rPr>
          <w:rFonts w:ascii="Times New Roman" w:hAnsi="Times New Roman" w:cs="Times New Roman"/>
          <w:sz w:val="19"/>
          <w:szCs w:val="19"/>
        </w:rPr>
        <w:t>int venture (JV), and impairment charges in 2013 and 2012 for goodwill and indefinite-lived intangible assets</w:t>
      </w:r>
      <w:r>
        <w:rPr>
          <w:rFonts w:ascii="Times New Roman" w:hAnsi="Times New Roman" w:cs="Times New Roman"/>
          <w:sz w:val="15"/>
          <w:szCs w:val="15"/>
        </w:rPr>
        <w:t>.</w:t>
      </w:r>
      <w:r>
        <w:rPr>
          <w:rFonts w:ascii="Times New Roman" w:hAnsi="Times New Roman" w:cs="Times New Roman"/>
          <w:sz w:val="19"/>
          <w:szCs w:val="19"/>
        </w:rPr>
        <w:t xml:space="preserve"> We do not view these items to be part of our sustainable results. We believe the Core EPS measure provides an important perspective of underlying</w:t>
      </w:r>
      <w:r>
        <w:rPr>
          <w:rFonts w:ascii="Times New Roman" w:hAnsi="Times New Roman" w:cs="Times New Roman"/>
          <w:sz w:val="19"/>
          <w:szCs w:val="19"/>
        </w:rPr>
        <w:t xml:space="preserve"> business trends and results and provides a more comparable measure of year-on-year earnings per share growth. Core EPS is also one of the measures used to evaluate senior management and is a factor in determining their at-risk compensation.</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00" w:bottom="1003" w:left="860" w:header="720" w:footer="720" w:gutter="0"/>
          <w:cols w:num="2" w:space="440" w:equalWidth="0">
            <w:col w:w="4660" w:space="440"/>
            <w:col w:w="466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43</w:t>
      </w: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5120"/>
        <w:rPr>
          <w:rFonts w:ascii="Times New Roman" w:hAnsi="Times New Roman" w:cs="Times New Roman"/>
          <w:sz w:val="24"/>
          <w:szCs w:val="24"/>
        </w:rPr>
      </w:pPr>
      <w:r>
        <w:rPr>
          <w:rFonts w:ascii="Times New Roman" w:hAnsi="Times New Roman" w:cs="Times New Roman"/>
          <w:sz w:val="19"/>
          <w:szCs w:val="19"/>
        </w:rPr>
        <w:t>The table below provides a reconciliation of reported diluted net earnings per share from continuing operations to Core EPS:</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280"/>
        <w:gridCol w:w="740"/>
        <w:gridCol w:w="80"/>
        <w:gridCol w:w="740"/>
        <w:gridCol w:w="80"/>
        <w:gridCol w:w="740"/>
        <w:gridCol w:w="20"/>
      </w:tblGrid>
      <w:tr w:rsidR="00000000">
        <w:tblPrEx>
          <w:tblCellMar>
            <w:top w:w="0" w:type="dxa"/>
            <w:left w:w="0" w:type="dxa"/>
            <w:bottom w:w="0" w:type="dxa"/>
            <w:right w:w="0" w:type="dxa"/>
          </w:tblCellMar>
        </w:tblPrEx>
        <w:trPr>
          <w:trHeight w:val="203"/>
        </w:trPr>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7"/>
              <w:jc w:val="right"/>
              <w:rPr>
                <w:rFonts w:ascii="Times New Roman" w:hAnsi="Times New Roman" w:cs="Times New Roman"/>
                <w:sz w:val="24"/>
                <w:szCs w:val="24"/>
              </w:rPr>
            </w:pPr>
            <w:r>
              <w:rPr>
                <w:rFonts w:ascii="Times New Roman" w:hAnsi="Times New Roman" w:cs="Times New Roman"/>
                <w:b/>
                <w:bCs/>
                <w:sz w:val="15"/>
                <w:szCs w:val="15"/>
              </w:rPr>
              <w:t>2014</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5"/>
                <w:szCs w:val="15"/>
              </w:rPr>
              <w:t>2013</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5"/>
                <w:szCs w:val="15"/>
              </w:rPr>
              <w:t>2012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22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7"/>
        </w:trPr>
        <w:tc>
          <w:tcPr>
            <w:tcW w:w="2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7" w:lineRule="exact"/>
              <w:ind w:left="60"/>
              <w:rPr>
                <w:rFonts w:ascii="Times New Roman" w:hAnsi="Times New Roman" w:cs="Times New Roman"/>
                <w:sz w:val="24"/>
                <w:szCs w:val="24"/>
              </w:rPr>
            </w:pPr>
            <w:r>
              <w:rPr>
                <w:rFonts w:ascii="Times New Roman" w:hAnsi="Times New Roman" w:cs="Times New Roman"/>
                <w:sz w:val="19"/>
                <w:szCs w:val="19"/>
              </w:rPr>
              <w:t>Diluted net earnings per</w:t>
            </w: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2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share - continuing</w:t>
            </w:r>
          </w:p>
        </w:tc>
        <w:tc>
          <w:tcPr>
            <w:tcW w:w="7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7"/>
              <w:jc w:val="right"/>
              <w:rPr>
                <w:rFonts w:ascii="Times New Roman" w:hAnsi="Times New Roman" w:cs="Times New Roman"/>
                <w:sz w:val="24"/>
                <w:szCs w:val="24"/>
              </w:rPr>
            </w:pPr>
            <w:r>
              <w:rPr>
                <w:rFonts w:ascii="Times New Roman" w:hAnsi="Times New Roman" w:cs="Times New Roman"/>
                <w:b/>
                <w:bCs/>
                <w:sz w:val="19"/>
                <w:szCs w:val="19"/>
              </w:rPr>
              <w:t>$ 3.98</w:t>
            </w:r>
          </w:p>
        </w:tc>
        <w:tc>
          <w:tcPr>
            <w:tcW w:w="82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$ 3.83</w:t>
            </w:r>
          </w:p>
        </w:tc>
        <w:tc>
          <w:tcPr>
            <w:tcW w:w="82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sz w:val="19"/>
                <w:szCs w:val="19"/>
              </w:rPr>
              <w:t>$ 3.06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2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operations</w:t>
            </w:r>
          </w:p>
        </w:tc>
        <w:tc>
          <w:tcPr>
            <w:tcW w:w="74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Incremental restructuring</w:t>
            </w:r>
          </w:p>
        </w:tc>
        <w:tc>
          <w:tcPr>
            <w:tcW w:w="7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7"/>
              <w:jc w:val="right"/>
              <w:rPr>
                <w:rFonts w:ascii="Times New Roman" w:hAnsi="Times New Roman" w:cs="Times New Roman"/>
                <w:sz w:val="24"/>
                <w:szCs w:val="24"/>
              </w:rPr>
            </w:pPr>
            <w:r>
              <w:rPr>
                <w:rFonts w:ascii="Times New Roman" w:hAnsi="Times New Roman" w:cs="Times New Roman"/>
                <w:b/>
                <w:bCs/>
                <w:sz w:val="19"/>
                <w:szCs w:val="19"/>
              </w:rPr>
              <w:t>0.12</w:t>
            </w:r>
          </w:p>
        </w:tc>
        <w:tc>
          <w:tcPr>
            <w:tcW w:w="82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0.18</w:t>
            </w:r>
          </w:p>
        </w:tc>
        <w:tc>
          <w:tcPr>
            <w:tcW w:w="82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sz w:val="19"/>
                <w:szCs w:val="19"/>
              </w:rPr>
              <w:t>0.20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charges</w:t>
            </w:r>
          </w:p>
        </w:tc>
        <w:tc>
          <w:tcPr>
            <w:tcW w:w="7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2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2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2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8" w:lineRule="exact"/>
              <w:ind w:left="60"/>
              <w:rPr>
                <w:rFonts w:ascii="Times New Roman" w:hAnsi="Times New Roman" w:cs="Times New Roman"/>
                <w:sz w:val="24"/>
                <w:szCs w:val="24"/>
              </w:rPr>
            </w:pPr>
            <w:r>
              <w:rPr>
                <w:rFonts w:ascii="Times New Roman" w:hAnsi="Times New Roman" w:cs="Times New Roman"/>
                <w:sz w:val="19"/>
                <w:szCs w:val="19"/>
              </w:rPr>
              <w:t>Venezuela balance sheet</w:t>
            </w:r>
          </w:p>
        </w:tc>
        <w:tc>
          <w:tcPr>
            <w:tcW w:w="7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7"/>
              <w:jc w:val="right"/>
              <w:rPr>
                <w:rFonts w:ascii="Times New Roman" w:hAnsi="Times New Roman" w:cs="Times New Roman"/>
                <w:sz w:val="24"/>
                <w:szCs w:val="24"/>
              </w:rPr>
            </w:pPr>
            <w:r>
              <w:rPr>
                <w:rFonts w:ascii="Times New Roman" w:hAnsi="Times New Roman" w:cs="Times New Roman"/>
                <w:b/>
                <w:bCs/>
                <w:sz w:val="19"/>
                <w:szCs w:val="19"/>
              </w:rPr>
              <w:t>0.09</w:t>
            </w:r>
          </w:p>
        </w:tc>
        <w:tc>
          <w:tcPr>
            <w:tcW w:w="82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0.08</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2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devaluation Impacts</w:t>
            </w:r>
          </w:p>
        </w:tc>
        <w:tc>
          <w:tcPr>
            <w:tcW w:w="74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8" w:lineRule="exact"/>
              <w:ind w:left="60"/>
              <w:rPr>
                <w:rFonts w:ascii="Times New Roman" w:hAnsi="Times New Roman" w:cs="Times New Roman"/>
                <w:sz w:val="24"/>
                <w:szCs w:val="24"/>
              </w:rPr>
            </w:pPr>
            <w:r>
              <w:rPr>
                <w:rFonts w:ascii="Times New Roman" w:hAnsi="Times New Roman" w:cs="Times New Roman"/>
                <w:sz w:val="19"/>
                <w:szCs w:val="19"/>
              </w:rPr>
              <w:t>Charges for pending</w:t>
            </w:r>
          </w:p>
        </w:tc>
        <w:tc>
          <w:tcPr>
            <w:tcW w:w="7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7"/>
              <w:jc w:val="right"/>
              <w:rPr>
                <w:rFonts w:ascii="Times New Roman" w:hAnsi="Times New Roman" w:cs="Times New Roman"/>
                <w:sz w:val="24"/>
                <w:szCs w:val="24"/>
              </w:rPr>
            </w:pPr>
            <w:r>
              <w:rPr>
                <w:rFonts w:ascii="Times New Roman" w:hAnsi="Times New Roman" w:cs="Times New Roman"/>
                <w:b/>
                <w:bCs/>
                <w:sz w:val="19"/>
                <w:szCs w:val="19"/>
              </w:rPr>
              <w:t>0.02</w:t>
            </w:r>
          </w:p>
        </w:tc>
        <w:tc>
          <w:tcPr>
            <w:tcW w:w="82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0.05</w:t>
            </w:r>
          </w:p>
        </w:tc>
        <w:tc>
          <w:tcPr>
            <w:tcW w:w="82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sz w:val="19"/>
                <w:szCs w:val="19"/>
              </w:rPr>
              <w:t>0.03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European legal matters</w:t>
            </w:r>
          </w:p>
        </w:tc>
        <w:tc>
          <w:tcPr>
            <w:tcW w:w="7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2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2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
        </w:trPr>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2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8" w:lineRule="exact"/>
              <w:ind w:left="60"/>
              <w:rPr>
                <w:rFonts w:ascii="Times New Roman" w:hAnsi="Times New Roman" w:cs="Times New Roman"/>
                <w:sz w:val="24"/>
                <w:szCs w:val="24"/>
              </w:rPr>
            </w:pPr>
            <w:r>
              <w:rPr>
                <w:rFonts w:ascii="Times New Roman" w:hAnsi="Times New Roman" w:cs="Times New Roman"/>
                <w:sz w:val="19"/>
                <w:szCs w:val="19"/>
              </w:rPr>
              <w:t>Gain on purchase of</w:t>
            </w:r>
          </w:p>
        </w:tc>
        <w:tc>
          <w:tcPr>
            <w:tcW w:w="7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7"/>
              <w:jc w:val="right"/>
              <w:rPr>
                <w:rFonts w:ascii="Times New Roman" w:hAnsi="Times New Roman" w:cs="Times New Roman"/>
                <w:sz w:val="24"/>
                <w:szCs w:val="24"/>
              </w:rPr>
            </w:pPr>
            <w:r>
              <w:rPr>
                <w:rFonts w:ascii="Times New Roman" w:hAnsi="Times New Roman" w:cs="Times New Roman"/>
                <w:b/>
                <w:bCs/>
                <w:sz w:val="19"/>
                <w:szCs w:val="19"/>
              </w:rPr>
              <w:t>—</w:t>
            </w:r>
          </w:p>
        </w:tc>
        <w:tc>
          <w:tcPr>
            <w:tcW w:w="82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sz w:val="19"/>
                <w:szCs w:val="19"/>
              </w:rPr>
              <w:t>(0.21)</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9"/>
        </w:trPr>
        <w:tc>
          <w:tcPr>
            <w:tcW w:w="2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balance of Iberian JV</w:t>
            </w:r>
          </w:p>
        </w:tc>
        <w:tc>
          <w:tcPr>
            <w:tcW w:w="74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Impairment charges</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7"/>
              <w:jc w:val="right"/>
              <w:rPr>
                <w:rFonts w:ascii="Times New Roman" w:hAnsi="Times New Roman" w:cs="Times New Roman"/>
                <w:sz w:val="24"/>
                <w:szCs w:val="24"/>
              </w:rPr>
            </w:pPr>
            <w:r>
              <w:rPr>
                <w:rFonts w:ascii="Times New Roman" w:hAnsi="Times New Roman" w:cs="Times New Roman"/>
                <w:b/>
                <w:bCs/>
                <w:sz w:val="19"/>
                <w:szCs w:val="19"/>
              </w:rPr>
              <w:t>—</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0.10</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sz w:val="19"/>
                <w:szCs w:val="19"/>
              </w:rPr>
              <w:t>0.51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2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2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Rounding</w:t>
            </w: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7"/>
              <w:jc w:val="right"/>
              <w:rPr>
                <w:rFonts w:ascii="Times New Roman" w:hAnsi="Times New Roman" w:cs="Times New Roman"/>
                <w:sz w:val="24"/>
                <w:szCs w:val="24"/>
              </w:rPr>
            </w:pPr>
            <w:r>
              <w:rPr>
                <w:rFonts w:ascii="Times New Roman" w:hAnsi="Times New Roman" w:cs="Times New Roman"/>
                <w:b/>
                <w:bCs/>
                <w:sz w:val="19"/>
                <w:szCs w:val="19"/>
              </w:rPr>
              <w:t>0.01</w:t>
            </w:r>
          </w:p>
        </w:tc>
        <w:tc>
          <w:tcPr>
            <w:tcW w:w="8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sz w:val="19"/>
                <w:szCs w:val="19"/>
              </w:rPr>
              <w:t>(0.01)</w:t>
            </w:r>
          </w:p>
        </w:tc>
        <w:tc>
          <w:tcPr>
            <w:tcW w:w="8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(0.01)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5"/>
        </w:trPr>
        <w:tc>
          <w:tcPr>
            <w:tcW w:w="22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CORE EPS</w:t>
            </w:r>
          </w:p>
        </w:tc>
        <w:tc>
          <w:tcPr>
            <w:tcW w:w="7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107"/>
              <w:jc w:val="right"/>
              <w:rPr>
                <w:rFonts w:ascii="Times New Roman" w:hAnsi="Times New Roman" w:cs="Times New Roman"/>
                <w:sz w:val="24"/>
                <w:szCs w:val="24"/>
              </w:rPr>
            </w:pPr>
            <w:r>
              <w:rPr>
                <w:rFonts w:ascii="Times New Roman" w:hAnsi="Times New Roman" w:cs="Times New Roman"/>
                <w:b/>
                <w:bCs/>
                <w:sz w:val="19"/>
                <w:szCs w:val="19"/>
              </w:rPr>
              <w:t>4.22</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4.02</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sz w:val="19"/>
                <w:szCs w:val="19"/>
              </w:rPr>
              <w:t>3.79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8"/>
        </w:trPr>
        <w:tc>
          <w:tcPr>
            <w:tcW w:w="2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Core EPS Growth</w:t>
            </w: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9" w:lineRule="auto"/>
        <w:ind w:right="5100"/>
        <w:jc w:val="both"/>
        <w:rPr>
          <w:rFonts w:ascii="Times New Roman" w:hAnsi="Times New Roman" w:cs="Times New Roman"/>
          <w:sz w:val="24"/>
          <w:szCs w:val="24"/>
        </w:rPr>
      </w:pPr>
      <w:r>
        <w:rPr>
          <w:rFonts w:ascii="Times New Roman" w:hAnsi="Times New Roman" w:cs="Times New Roman"/>
          <w:sz w:val="17"/>
          <w:szCs w:val="17"/>
        </w:rPr>
        <w:t>Note - All reconciling items are presented net of tax. Tax effects are calculated consistent with the nature of the underlying transaction.</w:t>
      </w:r>
    </w:p>
    <w:p w:rsidR="00000000" w:rsidRDefault="0057438D">
      <w:pPr>
        <w:pStyle w:val="DefaultParagraphFont"/>
        <w:widowControl w:val="0"/>
        <w:autoSpaceDE w:val="0"/>
        <w:autoSpaceDN w:val="0"/>
        <w:adjustRightInd w:val="0"/>
        <w:spacing w:after="0" w:line="34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5100"/>
        <w:rPr>
          <w:rFonts w:ascii="Times New Roman" w:hAnsi="Times New Roman" w:cs="Times New Roman"/>
          <w:sz w:val="24"/>
          <w:szCs w:val="24"/>
        </w:rPr>
      </w:pPr>
      <w:r>
        <w:rPr>
          <w:rFonts w:ascii="Times New Roman" w:hAnsi="Times New Roman" w:cs="Times New Roman"/>
          <w:b/>
          <w:bCs/>
          <w:i/>
          <w:iCs/>
          <w:sz w:val="19"/>
          <w:szCs w:val="19"/>
        </w:rPr>
        <w:t xml:space="preserve">Free Cash Flow. </w:t>
      </w:r>
      <w:r>
        <w:rPr>
          <w:rFonts w:ascii="Times New Roman" w:hAnsi="Times New Roman" w:cs="Times New Roman"/>
          <w:sz w:val="19"/>
          <w:szCs w:val="19"/>
        </w:rPr>
        <w:t>Free cash flow is defined as operating</w:t>
      </w:r>
      <w:r>
        <w:rPr>
          <w:rFonts w:ascii="Times New Roman" w:hAnsi="Times New Roman" w:cs="Times New Roman"/>
          <w:b/>
          <w:bCs/>
          <w:i/>
          <w:iCs/>
          <w:sz w:val="19"/>
          <w:szCs w:val="19"/>
        </w:rPr>
        <w:t xml:space="preserve"> </w:t>
      </w:r>
      <w:r>
        <w:rPr>
          <w:rFonts w:ascii="Times New Roman" w:hAnsi="Times New Roman" w:cs="Times New Roman"/>
          <w:sz w:val="19"/>
          <w:szCs w:val="19"/>
        </w:rPr>
        <w:t>cash flow less capital spending. We view free cash flow as a</w:t>
      </w:r>
      <w:r>
        <w:rPr>
          <w:rFonts w:ascii="Times New Roman" w:hAnsi="Times New Roman" w:cs="Times New Roman"/>
          <w:sz w:val="19"/>
          <w:szCs w:val="19"/>
        </w:rPr>
        <w:t>n important measure because it is one factor in determining the amount of cash available for dividends, share repurchases, acquisitions and other discretionary investments. Free cash flow is also one of the measures used to evaluate senior management and i</w:t>
      </w:r>
      <w:r>
        <w:rPr>
          <w:rFonts w:ascii="Times New Roman" w:hAnsi="Times New Roman" w:cs="Times New Roman"/>
          <w:sz w:val="19"/>
          <w:szCs w:val="19"/>
        </w:rPr>
        <w:t>s a factor in determining their at-risk compensation.</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1" w:lineRule="auto"/>
        <w:ind w:right="5140"/>
        <w:rPr>
          <w:rFonts w:ascii="Times New Roman" w:hAnsi="Times New Roman" w:cs="Times New Roman"/>
          <w:sz w:val="24"/>
          <w:szCs w:val="24"/>
        </w:rPr>
      </w:pPr>
      <w:r>
        <w:rPr>
          <w:rFonts w:ascii="Times New Roman" w:hAnsi="Times New Roman" w:cs="Times New Roman"/>
          <w:b/>
          <w:bCs/>
          <w:i/>
          <w:iCs/>
          <w:sz w:val="19"/>
          <w:szCs w:val="19"/>
        </w:rPr>
        <w:t xml:space="preserve">Free Cash Flow Productivity. </w:t>
      </w:r>
      <w:r>
        <w:rPr>
          <w:rFonts w:ascii="Times New Roman" w:hAnsi="Times New Roman" w:cs="Times New Roman"/>
          <w:sz w:val="19"/>
          <w:szCs w:val="19"/>
        </w:rPr>
        <w:t>Free cash flow productivity</w:t>
      </w:r>
      <w:r>
        <w:rPr>
          <w:rFonts w:ascii="Times New Roman" w:hAnsi="Times New Roman" w:cs="Times New Roman"/>
          <w:b/>
          <w:bCs/>
          <w:i/>
          <w:iCs/>
          <w:sz w:val="19"/>
          <w:szCs w:val="19"/>
        </w:rPr>
        <w:t xml:space="preserve"> </w:t>
      </w:r>
      <w:r>
        <w:rPr>
          <w:rFonts w:ascii="Times New Roman" w:hAnsi="Times New Roman" w:cs="Times New Roman"/>
          <w:sz w:val="19"/>
          <w:szCs w:val="19"/>
        </w:rPr>
        <w:t>is defined as the ratio of free cash flow to net earnings. Free cash flow productivity is also one of the</w:t>
      </w:r>
      <w:r>
        <w:rPr>
          <w:rFonts w:ascii="Times New Roman" w:hAnsi="Times New Roman" w:cs="Times New Roman"/>
          <w:sz w:val="19"/>
          <w:szCs w:val="19"/>
        </w:rPr>
        <w:t xml:space="preserve"> measures used to evaluate senior management and is a factor in determining their at-risk compensation.</w:t>
      </w:r>
    </w:p>
    <w:p w:rsidR="00000000" w:rsidRDefault="0057438D">
      <w:pPr>
        <w:pStyle w:val="DefaultParagraphFont"/>
        <w:widowControl w:val="0"/>
        <w:autoSpaceDE w:val="0"/>
        <w:autoSpaceDN w:val="0"/>
        <w:adjustRightInd w:val="0"/>
        <w:spacing w:after="0" w:line="7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5260"/>
        <w:rPr>
          <w:rFonts w:ascii="Times New Roman" w:hAnsi="Times New Roman" w:cs="Times New Roman"/>
          <w:sz w:val="24"/>
          <w:szCs w:val="24"/>
        </w:rPr>
      </w:pPr>
      <w:r>
        <w:rPr>
          <w:rFonts w:ascii="Times New Roman" w:hAnsi="Times New Roman" w:cs="Times New Roman"/>
          <w:sz w:val="19"/>
          <w:szCs w:val="19"/>
        </w:rPr>
        <w:t>The following table provides a numerical reconciliation of free cash flow and free cash flow productivity ($ millions):</w:t>
      </w:r>
    </w:p>
    <w:p w:rsidR="00000000" w:rsidRDefault="0057438D">
      <w:pPr>
        <w:pStyle w:val="DefaultParagraphFont"/>
        <w:widowControl w:val="0"/>
        <w:autoSpaceDE w:val="0"/>
        <w:autoSpaceDN w:val="0"/>
        <w:adjustRightInd w:val="0"/>
        <w:spacing w:after="0" w:line="301"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60"/>
        <w:gridCol w:w="800"/>
        <w:gridCol w:w="780"/>
        <w:gridCol w:w="800"/>
        <w:gridCol w:w="760"/>
        <w:gridCol w:w="960"/>
        <w:gridCol w:w="20"/>
      </w:tblGrid>
      <w:tr w:rsidR="00000000">
        <w:tblPrEx>
          <w:tblCellMar>
            <w:top w:w="0" w:type="dxa"/>
            <w:left w:w="0" w:type="dxa"/>
            <w:bottom w:w="0" w:type="dxa"/>
            <w:right w:w="0" w:type="dxa"/>
          </w:tblCellMar>
        </w:tblPrEx>
        <w:trPr>
          <w:trHeight w:val="172"/>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Operating</w:t>
            </w:r>
          </w:p>
        </w:tc>
        <w:tc>
          <w:tcPr>
            <w:tcW w:w="7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2"/>
              <w:jc w:val="right"/>
              <w:rPr>
                <w:rFonts w:ascii="Times New Roman" w:hAnsi="Times New Roman" w:cs="Times New Roman"/>
                <w:sz w:val="24"/>
                <w:szCs w:val="24"/>
              </w:rPr>
            </w:pPr>
            <w:r>
              <w:rPr>
                <w:rFonts w:ascii="Times New Roman" w:hAnsi="Times New Roman" w:cs="Times New Roman"/>
                <w:b/>
                <w:bCs/>
                <w:sz w:val="15"/>
                <w:szCs w:val="15"/>
              </w:rPr>
              <w:t>Capital</w:t>
            </w:r>
          </w:p>
        </w:tc>
        <w:tc>
          <w:tcPr>
            <w:tcW w:w="8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72"/>
              <w:jc w:val="right"/>
              <w:rPr>
                <w:rFonts w:ascii="Times New Roman" w:hAnsi="Times New Roman" w:cs="Times New Roman"/>
                <w:sz w:val="24"/>
                <w:szCs w:val="24"/>
              </w:rPr>
            </w:pPr>
            <w:r>
              <w:rPr>
                <w:rFonts w:ascii="Times New Roman" w:hAnsi="Times New Roman" w:cs="Times New Roman"/>
                <w:b/>
                <w:bCs/>
                <w:sz w:val="15"/>
                <w:szCs w:val="15"/>
              </w:rPr>
              <w:t>Free</w:t>
            </w:r>
          </w:p>
        </w:tc>
        <w:tc>
          <w:tcPr>
            <w:tcW w:w="7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72"/>
              <w:jc w:val="right"/>
              <w:rPr>
                <w:rFonts w:ascii="Times New Roman" w:hAnsi="Times New Roman" w:cs="Times New Roman"/>
                <w:sz w:val="24"/>
                <w:szCs w:val="24"/>
              </w:rPr>
            </w:pPr>
            <w:r>
              <w:rPr>
                <w:rFonts w:ascii="Times New Roman" w:hAnsi="Times New Roman" w:cs="Times New Roman"/>
                <w:b/>
                <w:bCs/>
                <w:sz w:val="15"/>
                <w:szCs w:val="15"/>
              </w:rPr>
              <w:t>Net</w:t>
            </w: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Free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Cash Flow</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Cash Flow</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
              <w:jc w:val="right"/>
              <w:rPr>
                <w:rFonts w:ascii="Times New Roman" w:hAnsi="Times New Roman" w:cs="Times New Roman"/>
                <w:sz w:val="24"/>
                <w:szCs w:val="24"/>
              </w:rPr>
            </w:pPr>
            <w:r>
              <w:rPr>
                <w:rFonts w:ascii="Times New Roman" w:hAnsi="Times New Roman" w:cs="Times New Roman"/>
                <w:b/>
                <w:bCs/>
                <w:sz w:val="15"/>
                <w:szCs w:val="15"/>
              </w:rPr>
              <w:t>Spending</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Cash Flow</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Earnings</w:t>
            </w: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Productivity</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5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b/>
                <w:bCs/>
                <w:sz w:val="19"/>
                <w:szCs w:val="19"/>
              </w:rPr>
              <w:t>2014</w:t>
            </w: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$ 13,958</w:t>
            </w: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(3,848)</w:t>
            </w: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$ 10,110</w:t>
            </w: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$ 11,785</w:t>
            </w:r>
          </w:p>
        </w:tc>
        <w:tc>
          <w:tcPr>
            <w:tcW w:w="9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2013</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14,873</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(4,008)</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10,865</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11,402</w:t>
            </w: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95 %</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2012</w:t>
            </w: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13,284</w:t>
            </w: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(3,964)</w:t>
            </w: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9,320</w:t>
            </w: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10,904</w:t>
            </w:r>
          </w:p>
        </w:tc>
        <w:tc>
          <w:tcPr>
            <w:tcW w:w="9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85 %</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9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5380"/>
        <w:jc w:val="both"/>
        <w:rPr>
          <w:rFonts w:ascii="Times New Roman" w:hAnsi="Times New Roman" w:cs="Times New Roman"/>
          <w:sz w:val="24"/>
          <w:szCs w:val="24"/>
        </w:rPr>
      </w:pPr>
      <w:r>
        <w:rPr>
          <w:rFonts w:ascii="Times New Roman" w:hAnsi="Times New Roman" w:cs="Times New Roman"/>
          <w:sz w:val="19"/>
          <w:szCs w:val="19"/>
        </w:rPr>
        <w:t xml:space="preserve">Item 7A. </w:t>
      </w:r>
      <w:r>
        <w:rPr>
          <w:rFonts w:ascii="Times New Roman" w:hAnsi="Times New Roman" w:cs="Times New Roman"/>
          <w:sz w:val="19"/>
          <w:szCs w:val="19"/>
          <w:u w:val="single"/>
        </w:rPr>
        <w:t>Quantitative and Qualitative Disclosures About</w:t>
      </w:r>
      <w:r>
        <w:rPr>
          <w:rFonts w:ascii="Times New Roman" w:hAnsi="Times New Roman" w:cs="Times New Roman"/>
          <w:sz w:val="19"/>
          <w:szCs w:val="19"/>
        </w:rPr>
        <w:t xml:space="preserve"> </w:t>
      </w:r>
      <w:r>
        <w:rPr>
          <w:rFonts w:ascii="Times New Roman" w:hAnsi="Times New Roman" w:cs="Times New Roman"/>
          <w:sz w:val="19"/>
          <w:szCs w:val="19"/>
          <w:u w:val="single"/>
        </w:rPr>
        <w:t>Market Risk.</w:t>
      </w:r>
    </w:p>
    <w:p w:rsidR="00000000" w:rsidRDefault="0057438D">
      <w:pPr>
        <w:pStyle w:val="DefaultParagraphFont"/>
        <w:widowControl w:val="0"/>
        <w:autoSpaceDE w:val="0"/>
        <w:autoSpaceDN w:val="0"/>
        <w:adjustRightInd w:val="0"/>
        <w:spacing w:after="0" w:line="2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5360"/>
        <w:jc w:val="both"/>
        <w:rPr>
          <w:rFonts w:ascii="Times New Roman" w:hAnsi="Times New Roman" w:cs="Times New Roman"/>
          <w:sz w:val="24"/>
          <w:szCs w:val="24"/>
        </w:rPr>
      </w:pPr>
      <w:r>
        <w:rPr>
          <w:rFonts w:ascii="Times New Roman" w:hAnsi="Times New Roman" w:cs="Times New Roman"/>
          <w:sz w:val="19"/>
          <w:szCs w:val="19"/>
        </w:rPr>
        <w:t>The information required by this item is incorporated by reference to the section entitled Other Information under Management's Disclosure and Analys</w:t>
      </w:r>
      <w:r>
        <w:rPr>
          <w:rFonts w:ascii="Times New Roman" w:hAnsi="Times New Roman" w:cs="Times New Roman"/>
          <w:sz w:val="19"/>
          <w:szCs w:val="19"/>
        </w:rPr>
        <w:t>is, and Note 5 to the Consolidated Financial Statements.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1440" w:left="860" w:header="720" w:footer="720" w:gutter="0"/>
          <w:cols w:space="720" w:equalWidth="0">
            <w:col w:w="976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44</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8. </w:t>
      </w:r>
      <w:r>
        <w:rPr>
          <w:rFonts w:ascii="Times New Roman" w:hAnsi="Times New Roman" w:cs="Times New Roman"/>
          <w:sz w:val="19"/>
          <w:szCs w:val="19"/>
          <w:u w:val="single"/>
        </w:rPr>
        <w:t>Financial Statements and Supplementary Data.</w:t>
      </w:r>
    </w:p>
    <w:p w:rsidR="00000000" w:rsidRDefault="0057438D">
      <w:pPr>
        <w:pStyle w:val="DefaultParagraphFont"/>
        <w:widowControl w:val="0"/>
        <w:autoSpaceDE w:val="0"/>
        <w:autoSpaceDN w:val="0"/>
        <w:adjustRightInd w:val="0"/>
        <w:spacing w:after="0" w:line="22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980"/>
        <w:rPr>
          <w:rFonts w:ascii="Times New Roman" w:hAnsi="Times New Roman" w:cs="Times New Roman"/>
          <w:sz w:val="24"/>
          <w:szCs w:val="24"/>
        </w:rPr>
      </w:pPr>
      <w:r>
        <w:rPr>
          <w:rFonts w:ascii="Times New Roman" w:hAnsi="Times New Roman" w:cs="Times New Roman"/>
          <w:b/>
          <w:bCs/>
          <w:sz w:val="19"/>
          <w:szCs w:val="19"/>
        </w:rPr>
        <w:t>MANAGEMENT'S RESPONSIBILITY FOR FINANCIAL REPORTING</w:t>
      </w:r>
    </w:p>
    <w:p w:rsidR="00000000" w:rsidRDefault="0057438D">
      <w:pPr>
        <w:pStyle w:val="DefaultParagraphFont"/>
        <w:widowControl w:val="0"/>
        <w:autoSpaceDE w:val="0"/>
        <w:autoSpaceDN w:val="0"/>
        <w:adjustRightInd w:val="0"/>
        <w:spacing w:after="0" w:line="10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 xml:space="preserve">At The Procter &amp; Gamble Company, we </w:t>
      </w:r>
      <w:r>
        <w:rPr>
          <w:rFonts w:ascii="Times New Roman" w:hAnsi="Times New Roman" w:cs="Times New Roman"/>
          <w:sz w:val="19"/>
          <w:szCs w:val="19"/>
        </w:rPr>
        <w:t>take great pride in our long history of doing what's right. If you analyze what's made our Company successful over the years, you may focus on our brands, our marketing strategies, our organization design and our ability to innovate. But if you really want</w:t>
      </w:r>
      <w:r>
        <w:rPr>
          <w:rFonts w:ascii="Times New Roman" w:hAnsi="Times New Roman" w:cs="Times New Roman"/>
          <w:sz w:val="19"/>
          <w:szCs w:val="19"/>
        </w:rPr>
        <w:t xml:space="preserve"> to get at what drives our Company's success, the place to look is our people. Our people are deeply committed to our Purpose, Values and Principles. It is this commitment to doing what's right that unites us.</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40"/>
        <w:rPr>
          <w:rFonts w:ascii="Times New Roman" w:hAnsi="Times New Roman" w:cs="Times New Roman"/>
          <w:sz w:val="24"/>
          <w:szCs w:val="24"/>
        </w:rPr>
      </w:pPr>
      <w:r>
        <w:rPr>
          <w:rFonts w:ascii="Times New Roman" w:hAnsi="Times New Roman" w:cs="Times New Roman"/>
          <w:sz w:val="19"/>
          <w:szCs w:val="19"/>
        </w:rPr>
        <w:t>This commitment to doing what's right is embo</w:t>
      </w:r>
      <w:r>
        <w:rPr>
          <w:rFonts w:ascii="Times New Roman" w:hAnsi="Times New Roman" w:cs="Times New Roman"/>
          <w:sz w:val="19"/>
          <w:szCs w:val="19"/>
        </w:rPr>
        <w:t>died in our financial reporting. High-quality financial reporting is our responsibility, one we execute with integrity, and within both the letter and spirit of the law.</w:t>
      </w:r>
    </w:p>
    <w:p w:rsidR="00000000" w:rsidRDefault="0057438D">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0"/>
        <w:rPr>
          <w:rFonts w:ascii="Times New Roman" w:hAnsi="Times New Roman" w:cs="Times New Roman"/>
          <w:sz w:val="24"/>
          <w:szCs w:val="24"/>
        </w:rPr>
      </w:pPr>
      <w:r>
        <w:rPr>
          <w:rFonts w:ascii="Times New Roman" w:hAnsi="Times New Roman" w:cs="Times New Roman"/>
          <w:sz w:val="19"/>
          <w:szCs w:val="19"/>
        </w:rPr>
        <w:t>High-quality financial reporting is characterized by accuracy, objectivity and transparency. Management is responsible for maintaining an effective system of internal controls over financial reporting to deliver those characteristics in all material respec</w:t>
      </w:r>
      <w:r>
        <w:rPr>
          <w:rFonts w:ascii="Times New Roman" w:hAnsi="Times New Roman" w:cs="Times New Roman"/>
          <w:sz w:val="19"/>
          <w:szCs w:val="19"/>
        </w:rPr>
        <w:t>ts. The Board of Directors, through its Audit Committee, provides oversight. We have engaged Deloitte &amp; Touche LLP to audit our Consolidated Financial Statements, on which they have issued an unqualified opinion.</w:t>
      </w: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560"/>
        <w:rPr>
          <w:rFonts w:ascii="Times New Roman" w:hAnsi="Times New Roman" w:cs="Times New Roman"/>
          <w:sz w:val="24"/>
          <w:szCs w:val="24"/>
        </w:rPr>
      </w:pPr>
      <w:r>
        <w:rPr>
          <w:rFonts w:ascii="Times New Roman" w:hAnsi="Times New Roman" w:cs="Times New Roman"/>
          <w:sz w:val="19"/>
          <w:szCs w:val="19"/>
        </w:rPr>
        <w:t>Our commitment to providing timely, accura</w:t>
      </w:r>
      <w:r>
        <w:rPr>
          <w:rFonts w:ascii="Times New Roman" w:hAnsi="Times New Roman" w:cs="Times New Roman"/>
          <w:sz w:val="19"/>
          <w:szCs w:val="19"/>
        </w:rPr>
        <w:t>te and understandable information to investors encompasses:</w:t>
      </w:r>
    </w:p>
    <w:p w:rsidR="00000000" w:rsidRDefault="0057438D">
      <w:pPr>
        <w:pStyle w:val="DefaultParagraphFont"/>
        <w:widowControl w:val="0"/>
        <w:autoSpaceDE w:val="0"/>
        <w:autoSpaceDN w:val="0"/>
        <w:adjustRightInd w:val="0"/>
        <w:spacing w:after="0" w:line="10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b/>
          <w:bCs/>
          <w:i/>
          <w:iCs/>
          <w:sz w:val="19"/>
          <w:szCs w:val="19"/>
        </w:rPr>
        <w:t>Communicating expectations to employees</w:t>
      </w:r>
      <w:r>
        <w:rPr>
          <w:rFonts w:ascii="Times New Roman" w:hAnsi="Times New Roman" w:cs="Times New Roman"/>
          <w:sz w:val="19"/>
          <w:szCs w:val="19"/>
        </w:rPr>
        <w:t>. Every</w:t>
      </w:r>
      <w:r>
        <w:rPr>
          <w:rFonts w:ascii="Times New Roman" w:hAnsi="Times New Roman" w:cs="Times New Roman"/>
          <w:b/>
          <w:bCs/>
          <w:i/>
          <w:iCs/>
          <w:sz w:val="19"/>
          <w:szCs w:val="19"/>
        </w:rPr>
        <w:t xml:space="preserve"> </w:t>
      </w:r>
      <w:r>
        <w:rPr>
          <w:rFonts w:ascii="Times New Roman" w:hAnsi="Times New Roman" w:cs="Times New Roman"/>
          <w:sz w:val="19"/>
          <w:szCs w:val="19"/>
        </w:rPr>
        <w:t xml:space="preserve">employee, from senior management on down, is required to be trained on the Company's </w:t>
      </w:r>
      <w:r>
        <w:rPr>
          <w:rFonts w:ascii="Times New Roman" w:hAnsi="Times New Roman" w:cs="Times New Roman"/>
          <w:b/>
          <w:bCs/>
          <w:i/>
          <w:iCs/>
          <w:sz w:val="19"/>
          <w:szCs w:val="19"/>
        </w:rPr>
        <w:t>Worldwide Business Conduct</w:t>
      </w:r>
      <w:r>
        <w:rPr>
          <w:rFonts w:ascii="Times New Roman" w:hAnsi="Times New Roman" w:cs="Times New Roman"/>
          <w:sz w:val="19"/>
          <w:szCs w:val="19"/>
        </w:rPr>
        <w:t xml:space="preserve"> </w:t>
      </w:r>
      <w:r>
        <w:rPr>
          <w:rFonts w:ascii="Times New Roman" w:hAnsi="Times New Roman" w:cs="Times New Roman"/>
          <w:b/>
          <w:bCs/>
          <w:i/>
          <w:iCs/>
          <w:sz w:val="19"/>
          <w:szCs w:val="19"/>
        </w:rPr>
        <w:t>Manual</w:t>
      </w:r>
      <w:r>
        <w:rPr>
          <w:rFonts w:ascii="Times New Roman" w:hAnsi="Times New Roman" w:cs="Times New Roman"/>
          <w:sz w:val="19"/>
          <w:szCs w:val="19"/>
        </w:rPr>
        <w:t>, which sets forth the Company</w:t>
      </w:r>
      <w:r>
        <w:rPr>
          <w:rFonts w:ascii="Times New Roman" w:hAnsi="Times New Roman" w:cs="Times New Roman"/>
          <w:sz w:val="19"/>
          <w:szCs w:val="19"/>
        </w:rPr>
        <w:t>'s commitment to</w:t>
      </w:r>
      <w:r>
        <w:rPr>
          <w:rFonts w:ascii="Times New Roman" w:hAnsi="Times New Roman" w:cs="Times New Roman"/>
          <w:b/>
          <w:bCs/>
          <w:i/>
          <w:iCs/>
          <w:sz w:val="19"/>
          <w:szCs w:val="19"/>
        </w:rPr>
        <w:t xml:space="preserve"> </w:t>
      </w:r>
      <w:r>
        <w:rPr>
          <w:rFonts w:ascii="Times New Roman" w:hAnsi="Times New Roman" w:cs="Times New Roman"/>
          <w:sz w:val="19"/>
          <w:szCs w:val="19"/>
        </w:rPr>
        <w:t xml:space="preserve">conduct its business affairs with high ethical standards. Every employee is held personally accountable for compliance and is provided several means of reporting any concerns about violations of the </w:t>
      </w:r>
      <w:r>
        <w:rPr>
          <w:rFonts w:ascii="Times New Roman" w:hAnsi="Times New Roman" w:cs="Times New Roman"/>
          <w:b/>
          <w:bCs/>
          <w:i/>
          <w:iCs/>
          <w:sz w:val="19"/>
          <w:szCs w:val="19"/>
        </w:rPr>
        <w:t>Worldwide Business Conduct Manual</w:t>
      </w:r>
      <w:r>
        <w:rPr>
          <w:rFonts w:ascii="Times New Roman" w:hAnsi="Times New Roman" w:cs="Times New Roman"/>
          <w:sz w:val="19"/>
          <w:szCs w:val="19"/>
        </w:rPr>
        <w:t>, which</w:t>
      </w:r>
      <w:r>
        <w:rPr>
          <w:rFonts w:ascii="Times New Roman" w:hAnsi="Times New Roman" w:cs="Times New Roman"/>
          <w:sz w:val="19"/>
          <w:szCs w:val="19"/>
        </w:rPr>
        <w:t xml:space="preserve"> is available on our website at www.pg.com.</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60"/>
        <w:rPr>
          <w:rFonts w:ascii="Times New Roman" w:hAnsi="Times New Roman" w:cs="Times New Roman"/>
          <w:sz w:val="24"/>
          <w:szCs w:val="24"/>
        </w:rPr>
      </w:pPr>
      <w:r>
        <w:rPr>
          <w:rFonts w:ascii="Times New Roman" w:hAnsi="Times New Roman" w:cs="Times New Roman"/>
          <w:b/>
          <w:bCs/>
          <w:i/>
          <w:iCs/>
          <w:sz w:val="19"/>
          <w:szCs w:val="19"/>
        </w:rPr>
        <w:t>Maintaining a strong internal control environment</w:t>
      </w:r>
      <w:r>
        <w:rPr>
          <w:rFonts w:ascii="Times New Roman" w:hAnsi="Times New Roman" w:cs="Times New Roman"/>
          <w:sz w:val="19"/>
          <w:szCs w:val="19"/>
        </w:rPr>
        <w:t>. Our</w:t>
      </w:r>
      <w:r>
        <w:rPr>
          <w:rFonts w:ascii="Times New Roman" w:hAnsi="Times New Roman" w:cs="Times New Roman"/>
          <w:b/>
          <w:bCs/>
          <w:i/>
          <w:iCs/>
          <w:sz w:val="19"/>
          <w:szCs w:val="19"/>
        </w:rPr>
        <w:t xml:space="preserve"> </w:t>
      </w:r>
      <w:r>
        <w:rPr>
          <w:rFonts w:ascii="Times New Roman" w:hAnsi="Times New Roman" w:cs="Times New Roman"/>
          <w:sz w:val="19"/>
          <w:szCs w:val="19"/>
        </w:rPr>
        <w:t>system of internal controls includes written policies and procedures, segregation of duties and the careful selection and development of employees. The syst</w:t>
      </w:r>
      <w:r>
        <w:rPr>
          <w:rFonts w:ascii="Times New Roman" w:hAnsi="Times New Roman" w:cs="Times New Roman"/>
          <w:sz w:val="19"/>
          <w:szCs w:val="19"/>
        </w:rPr>
        <w:t>em is designed to provide reasonable assurance that transactions are executed as authorized and appropriately recorded, that assets are safeguarded and that accounting records are sufficiently reliable to permit the preparation of financial statements conf</w:t>
      </w:r>
      <w:r>
        <w:rPr>
          <w:rFonts w:ascii="Times New Roman" w:hAnsi="Times New Roman" w:cs="Times New Roman"/>
          <w:sz w:val="19"/>
          <w:szCs w:val="19"/>
        </w:rPr>
        <w:t>orming in all material respects with accounting principles generally accepted in the United States of America. We monitor these internal controls through control self-assessments conducted by business unit management. In addition to performing financial an</w:t>
      </w:r>
      <w:r>
        <w:rPr>
          <w:rFonts w:ascii="Times New Roman" w:hAnsi="Times New Roman" w:cs="Times New Roman"/>
          <w:sz w:val="19"/>
          <w:szCs w:val="19"/>
        </w:rPr>
        <w:t>d compliance audits around the world, our Global Internal Audit organization provides training and continuously improves internal control processes. Appropriate actions are taken by management to correct any identified control deficiencies.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7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80"/>
        <w:rPr>
          <w:rFonts w:ascii="Times New Roman" w:hAnsi="Times New Roman" w:cs="Times New Roman"/>
          <w:sz w:val="24"/>
          <w:szCs w:val="24"/>
        </w:rPr>
      </w:pPr>
      <w:r>
        <w:rPr>
          <w:rFonts w:ascii="Times New Roman" w:hAnsi="Times New Roman" w:cs="Times New Roman"/>
          <w:b/>
          <w:bCs/>
          <w:i/>
          <w:iCs/>
          <w:sz w:val="19"/>
          <w:szCs w:val="19"/>
        </w:rPr>
        <w:t>Executing financial stewardship</w:t>
      </w:r>
      <w:r>
        <w:rPr>
          <w:rFonts w:ascii="Times New Roman" w:hAnsi="Times New Roman" w:cs="Times New Roman"/>
          <w:sz w:val="19"/>
          <w:szCs w:val="19"/>
        </w:rPr>
        <w:t>. We maintain specific</w:t>
      </w:r>
      <w:r>
        <w:rPr>
          <w:rFonts w:ascii="Times New Roman" w:hAnsi="Times New Roman" w:cs="Times New Roman"/>
          <w:b/>
          <w:bCs/>
          <w:i/>
          <w:iCs/>
          <w:sz w:val="19"/>
          <w:szCs w:val="19"/>
        </w:rPr>
        <w:t xml:space="preserve"> </w:t>
      </w:r>
      <w:r>
        <w:rPr>
          <w:rFonts w:ascii="Times New Roman" w:hAnsi="Times New Roman" w:cs="Times New Roman"/>
          <w:sz w:val="19"/>
          <w:szCs w:val="19"/>
        </w:rPr>
        <w:t>programs and activities to ensure that employees understand their fiduciary responsibilities to shareholders. This ongoing effort encompasses financial discipline in strategic and daily business decisio</w:t>
      </w:r>
      <w:r>
        <w:rPr>
          <w:rFonts w:ascii="Times New Roman" w:hAnsi="Times New Roman" w:cs="Times New Roman"/>
          <w:sz w:val="19"/>
          <w:szCs w:val="19"/>
        </w:rPr>
        <w:t>ns and brings particular focus to maintaining accurate financial reporting and effective controls through process improvement, skill development and oversight.</w:t>
      </w:r>
    </w:p>
    <w:p w:rsidR="00000000" w:rsidRDefault="0057438D">
      <w:pPr>
        <w:pStyle w:val="DefaultParagraphFont"/>
        <w:widowControl w:val="0"/>
        <w:autoSpaceDE w:val="0"/>
        <w:autoSpaceDN w:val="0"/>
        <w:adjustRightInd w:val="0"/>
        <w:spacing w:after="0" w:line="13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rPr>
          <w:rFonts w:ascii="Times New Roman" w:hAnsi="Times New Roman" w:cs="Times New Roman"/>
          <w:sz w:val="24"/>
          <w:szCs w:val="24"/>
        </w:rPr>
      </w:pPr>
      <w:r>
        <w:rPr>
          <w:rFonts w:ascii="Times New Roman" w:hAnsi="Times New Roman" w:cs="Times New Roman"/>
          <w:b/>
          <w:bCs/>
          <w:i/>
          <w:iCs/>
          <w:sz w:val="19"/>
          <w:szCs w:val="19"/>
        </w:rPr>
        <w:t>Exerting rigorous oversight of the business</w:t>
      </w:r>
      <w:r>
        <w:rPr>
          <w:rFonts w:ascii="Times New Roman" w:hAnsi="Times New Roman" w:cs="Times New Roman"/>
          <w:sz w:val="19"/>
          <w:szCs w:val="19"/>
        </w:rPr>
        <w:t>. We</w:t>
      </w:r>
      <w:r>
        <w:rPr>
          <w:rFonts w:ascii="Times New Roman" w:hAnsi="Times New Roman" w:cs="Times New Roman"/>
          <w:b/>
          <w:bCs/>
          <w:i/>
          <w:iCs/>
          <w:sz w:val="19"/>
          <w:szCs w:val="19"/>
        </w:rPr>
        <w:t xml:space="preserve"> </w:t>
      </w:r>
      <w:r>
        <w:rPr>
          <w:rFonts w:ascii="Times New Roman" w:hAnsi="Times New Roman" w:cs="Times New Roman"/>
          <w:sz w:val="19"/>
          <w:szCs w:val="19"/>
        </w:rPr>
        <w:t>continuously review business results and strate</w:t>
      </w:r>
      <w:r>
        <w:rPr>
          <w:rFonts w:ascii="Times New Roman" w:hAnsi="Times New Roman" w:cs="Times New Roman"/>
          <w:sz w:val="19"/>
          <w:szCs w:val="19"/>
        </w:rPr>
        <w:t>gic choices. Our Global Leadership Council is actively involved - from understanding strategies to reviewing key initiatives, financial performance and control assessments. The intent is to ensure we remain objective, identify potential issues, continuousl</w:t>
      </w:r>
      <w:r>
        <w:rPr>
          <w:rFonts w:ascii="Times New Roman" w:hAnsi="Times New Roman" w:cs="Times New Roman"/>
          <w:sz w:val="19"/>
          <w:szCs w:val="19"/>
        </w:rPr>
        <w:t>y challenge each other and ensure recognition and rewards are appropriately aligned with results.</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180"/>
        <w:rPr>
          <w:rFonts w:ascii="Times New Roman" w:hAnsi="Times New Roman" w:cs="Times New Roman"/>
          <w:sz w:val="24"/>
          <w:szCs w:val="24"/>
        </w:rPr>
      </w:pPr>
      <w:r>
        <w:rPr>
          <w:rFonts w:ascii="Times New Roman" w:hAnsi="Times New Roman" w:cs="Times New Roman"/>
          <w:b/>
          <w:bCs/>
          <w:i/>
          <w:iCs/>
          <w:sz w:val="19"/>
          <w:szCs w:val="19"/>
        </w:rPr>
        <w:t>Engaging our Disclosure Committee</w:t>
      </w:r>
      <w:r>
        <w:rPr>
          <w:rFonts w:ascii="Times New Roman" w:hAnsi="Times New Roman" w:cs="Times New Roman"/>
          <w:sz w:val="19"/>
          <w:szCs w:val="19"/>
        </w:rPr>
        <w:t>. We maintain</w:t>
      </w:r>
      <w:r>
        <w:rPr>
          <w:rFonts w:ascii="Times New Roman" w:hAnsi="Times New Roman" w:cs="Times New Roman"/>
          <w:b/>
          <w:bCs/>
          <w:i/>
          <w:iCs/>
          <w:sz w:val="19"/>
          <w:szCs w:val="19"/>
        </w:rPr>
        <w:t xml:space="preserve"> </w:t>
      </w:r>
      <w:r>
        <w:rPr>
          <w:rFonts w:ascii="Times New Roman" w:hAnsi="Times New Roman" w:cs="Times New Roman"/>
          <w:sz w:val="19"/>
          <w:szCs w:val="19"/>
        </w:rPr>
        <w:t>disclosure controls and procedures designed to ensure that information required to be disclosed is recorded, p</w:t>
      </w:r>
      <w:r>
        <w:rPr>
          <w:rFonts w:ascii="Times New Roman" w:hAnsi="Times New Roman" w:cs="Times New Roman"/>
          <w:sz w:val="19"/>
          <w:szCs w:val="19"/>
        </w:rPr>
        <w:t xml:space="preserve">rocessed, summarized and reported timely and accurately. Our Disclosure Committee is a group of senior-level executives responsible for evaluating disclosure implications of significant business activities and events. The Committee reports its findings to </w:t>
      </w:r>
      <w:r>
        <w:rPr>
          <w:rFonts w:ascii="Times New Roman" w:hAnsi="Times New Roman" w:cs="Times New Roman"/>
          <w:sz w:val="19"/>
          <w:szCs w:val="19"/>
        </w:rPr>
        <w:t>the CEO and CFO, providing an effective process to evaluate our external disclosure obligations.</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40"/>
        <w:rPr>
          <w:rFonts w:ascii="Times New Roman" w:hAnsi="Times New Roman" w:cs="Times New Roman"/>
          <w:sz w:val="24"/>
          <w:szCs w:val="24"/>
        </w:rPr>
      </w:pPr>
      <w:r>
        <w:rPr>
          <w:rFonts w:ascii="Times New Roman" w:hAnsi="Times New Roman" w:cs="Times New Roman"/>
          <w:b/>
          <w:bCs/>
          <w:i/>
          <w:iCs/>
          <w:sz w:val="19"/>
          <w:szCs w:val="19"/>
        </w:rPr>
        <w:t>Strong and effective corporate governance from our Board of Directors</w:t>
      </w:r>
      <w:r>
        <w:rPr>
          <w:rFonts w:ascii="Times New Roman" w:hAnsi="Times New Roman" w:cs="Times New Roman"/>
          <w:sz w:val="19"/>
          <w:szCs w:val="19"/>
        </w:rPr>
        <w:t>. We have an active, capable and diligent Board</w:t>
      </w:r>
      <w:r>
        <w:rPr>
          <w:rFonts w:ascii="Times New Roman" w:hAnsi="Times New Roman" w:cs="Times New Roman"/>
          <w:b/>
          <w:bCs/>
          <w:i/>
          <w:iCs/>
          <w:sz w:val="19"/>
          <w:szCs w:val="19"/>
        </w:rPr>
        <w:t xml:space="preserve"> </w:t>
      </w:r>
      <w:r>
        <w:rPr>
          <w:rFonts w:ascii="Times New Roman" w:hAnsi="Times New Roman" w:cs="Times New Roman"/>
          <w:sz w:val="19"/>
          <w:szCs w:val="19"/>
        </w:rPr>
        <w:t>that meets the required standards for ind</w:t>
      </w:r>
      <w:r>
        <w:rPr>
          <w:rFonts w:ascii="Times New Roman" w:hAnsi="Times New Roman" w:cs="Times New Roman"/>
          <w:sz w:val="19"/>
          <w:szCs w:val="19"/>
        </w:rPr>
        <w:t xml:space="preserve">ependence, and we welcome the Board's oversight. Our Audit Committee comprises independent directors with significant financial knowledge and experience. We review significant accounting policies, financial reporting and internal control matters with them </w:t>
      </w:r>
      <w:r>
        <w:rPr>
          <w:rFonts w:ascii="Times New Roman" w:hAnsi="Times New Roman" w:cs="Times New Roman"/>
          <w:sz w:val="19"/>
          <w:szCs w:val="19"/>
        </w:rPr>
        <w:t>and encourage their independent discussions with external auditors. Our corporate governance guidelines, as well as the charter of the Audit Committee and certain other committees of our Board, are available on our website at www.pg.com.</w:t>
      </w: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20"/>
        <w:rPr>
          <w:rFonts w:ascii="Times New Roman" w:hAnsi="Times New Roman" w:cs="Times New Roman"/>
          <w:sz w:val="24"/>
          <w:szCs w:val="24"/>
        </w:rPr>
      </w:pPr>
      <w:r>
        <w:rPr>
          <w:rFonts w:ascii="Times New Roman" w:hAnsi="Times New Roman" w:cs="Times New Roman"/>
          <w:sz w:val="19"/>
          <w:szCs w:val="19"/>
        </w:rPr>
        <w:t xml:space="preserve">P&amp;G has a strong </w:t>
      </w:r>
      <w:r>
        <w:rPr>
          <w:rFonts w:ascii="Times New Roman" w:hAnsi="Times New Roman" w:cs="Times New Roman"/>
          <w:sz w:val="19"/>
          <w:szCs w:val="19"/>
        </w:rPr>
        <w:t>history of doing what's right. Our employees embrace our Purpose, Values and Principles. We take responsibility for the quality and accuracy of our financial reporting. We present this information proudly, with the expectation that those who use it will un</w:t>
      </w:r>
      <w:r>
        <w:rPr>
          <w:rFonts w:ascii="Times New Roman" w:hAnsi="Times New Roman" w:cs="Times New Roman"/>
          <w:sz w:val="19"/>
          <w:szCs w:val="19"/>
        </w:rPr>
        <w:t>derstand our Company, recognize our commitment to performance with integrity and share our confidence in P&amp;G's future.</w:t>
      </w:r>
    </w:p>
    <w:p w:rsidR="00000000" w:rsidRDefault="0057438D">
      <w:pPr>
        <w:pStyle w:val="DefaultParagraphFont"/>
        <w:widowControl w:val="0"/>
        <w:autoSpaceDE w:val="0"/>
        <w:autoSpaceDN w:val="0"/>
        <w:adjustRightInd w:val="0"/>
        <w:spacing w:after="0" w:line="13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/s/ A. G. Lafley</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A. G. Lafley</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560"/>
        <w:rPr>
          <w:rFonts w:ascii="Times New Roman" w:hAnsi="Times New Roman" w:cs="Times New Roman"/>
          <w:sz w:val="24"/>
          <w:szCs w:val="24"/>
        </w:rPr>
      </w:pPr>
      <w:r>
        <w:rPr>
          <w:rFonts w:ascii="Times New Roman" w:hAnsi="Times New Roman" w:cs="Times New Roman"/>
          <w:sz w:val="19"/>
          <w:szCs w:val="19"/>
        </w:rPr>
        <w:t>Chairman of the Board, President and Chief Executive Officer</w:t>
      </w:r>
    </w:p>
    <w:p w:rsidR="00000000" w:rsidRDefault="0057438D">
      <w:pPr>
        <w:pStyle w:val="DefaultParagraphFont"/>
        <w:widowControl w:val="0"/>
        <w:autoSpaceDE w:val="0"/>
        <w:autoSpaceDN w:val="0"/>
        <w:adjustRightInd w:val="0"/>
        <w:spacing w:after="0" w:line="4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/s/ Jon R. Moeller</w:t>
      </w:r>
    </w:p>
    <w:p w:rsidR="00000000" w:rsidRDefault="0057438D">
      <w:pPr>
        <w:pStyle w:val="DefaultParagraphFont"/>
        <w:widowControl w:val="0"/>
        <w:autoSpaceDE w:val="0"/>
        <w:autoSpaceDN w:val="0"/>
        <w:adjustRightInd w:val="0"/>
        <w:spacing w:after="0" w:line="12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Jon R. Moeller</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Chief Financial Officer</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80" w:bottom="599" w:left="860" w:header="720" w:footer="720" w:gutter="0"/>
          <w:cols w:num="2" w:space="360" w:equalWidth="0">
            <w:col w:w="4700" w:space="360"/>
            <w:col w:w="472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7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19" w:lineRule="auto"/>
        <w:ind w:right="860"/>
        <w:rPr>
          <w:rFonts w:ascii="Times New Roman" w:hAnsi="Times New Roman" w:cs="Times New Roman"/>
          <w:sz w:val="24"/>
          <w:szCs w:val="24"/>
        </w:rPr>
      </w:pPr>
      <w:r>
        <w:rPr>
          <w:rFonts w:ascii="Times New Roman" w:hAnsi="Times New Roman" w:cs="Times New Roman"/>
          <w:b/>
          <w:bCs/>
          <w:sz w:val="18"/>
          <w:szCs w:val="18"/>
        </w:rPr>
        <w:t>MANAGEMENT'S REPORT ON INTERNAL CONTROL OVER FINANCIAL REPORTING</w:t>
      </w:r>
    </w:p>
    <w:p w:rsidR="00000000" w:rsidRDefault="0057438D">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Management is responsible for establishing and maintaining adequate internal control over financial reporting of The Procter &amp; Gamble Company (as defined in Rule 13a-15(f) under the Securities Exchange Act of 1934, as amended). Our internal control over fi</w:t>
      </w:r>
      <w:r>
        <w:rPr>
          <w:rFonts w:ascii="Times New Roman" w:hAnsi="Times New Roman" w:cs="Times New Roman"/>
          <w:sz w:val="19"/>
          <w:szCs w:val="19"/>
        </w:rPr>
        <w:t>nancial reporting is designed to provide reasonable assurance regarding the reliability of financial reporting and the preparation of financial statements for external purposes in accordance with generally accepted accounting principles in the United State</w:t>
      </w:r>
      <w:r>
        <w:rPr>
          <w:rFonts w:ascii="Times New Roman" w:hAnsi="Times New Roman" w:cs="Times New Roman"/>
          <w:sz w:val="19"/>
          <w:szCs w:val="19"/>
        </w:rPr>
        <w:t>s of America.</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sz w:val="19"/>
          <w:szCs w:val="19"/>
        </w:rPr>
        <w:t xml:space="preserve">Strong internal controls is an objective that is reinforced through our </w:t>
      </w:r>
      <w:r>
        <w:rPr>
          <w:rFonts w:ascii="Times New Roman" w:hAnsi="Times New Roman" w:cs="Times New Roman"/>
          <w:b/>
          <w:bCs/>
          <w:i/>
          <w:iCs/>
          <w:sz w:val="19"/>
          <w:szCs w:val="19"/>
        </w:rPr>
        <w:t>Worldwide Business Conduct Manual</w:t>
      </w:r>
      <w:r>
        <w:rPr>
          <w:rFonts w:ascii="Times New Roman" w:hAnsi="Times New Roman" w:cs="Times New Roman"/>
          <w:sz w:val="19"/>
          <w:szCs w:val="19"/>
        </w:rPr>
        <w:t>, which sets forth our commitment to conduct business with integrity, and within both the letter and the spirit of the law. The Company'</w:t>
      </w:r>
      <w:r>
        <w:rPr>
          <w:rFonts w:ascii="Times New Roman" w:hAnsi="Times New Roman" w:cs="Times New Roman"/>
          <w:sz w:val="19"/>
          <w:szCs w:val="19"/>
        </w:rPr>
        <w:t>s internal control over financial reporting includes a Control Self-Assessment Program that is conducted annually for critical financial reporting areas of the Company and is audited by the internal audit function. Management takes the appropriate action t</w:t>
      </w:r>
      <w:r>
        <w:rPr>
          <w:rFonts w:ascii="Times New Roman" w:hAnsi="Times New Roman" w:cs="Times New Roman"/>
          <w:sz w:val="19"/>
          <w:szCs w:val="19"/>
        </w:rPr>
        <w:t>o correct any identified control deficiencies. Because of its inherent limitations, any system of internal control over financial reporting, no matter how well designed, may not prevent or detect misstatements due to the possibility that a control can be c</w:t>
      </w:r>
      <w:r>
        <w:rPr>
          <w:rFonts w:ascii="Times New Roman" w:hAnsi="Times New Roman" w:cs="Times New Roman"/>
          <w:sz w:val="19"/>
          <w:szCs w:val="19"/>
        </w:rPr>
        <w:t>ircumvented or overridden or that misstatements due to error or fraud may occur that are not detected. Also, because of changes in conditions, internal control effectiveness may vary over time.</w:t>
      </w:r>
    </w:p>
    <w:p w:rsidR="00000000" w:rsidRDefault="0057438D">
      <w:pPr>
        <w:pStyle w:val="DefaultParagraphFont"/>
        <w:widowControl w:val="0"/>
        <w:autoSpaceDE w:val="0"/>
        <w:autoSpaceDN w:val="0"/>
        <w:adjustRightInd w:val="0"/>
        <w:spacing w:after="0" w:line="1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40"/>
        <w:rPr>
          <w:rFonts w:ascii="Times New Roman" w:hAnsi="Times New Roman" w:cs="Times New Roman"/>
          <w:sz w:val="24"/>
          <w:szCs w:val="24"/>
        </w:rPr>
      </w:pPr>
      <w:r>
        <w:rPr>
          <w:rFonts w:ascii="Times New Roman" w:hAnsi="Times New Roman" w:cs="Times New Roman"/>
          <w:sz w:val="19"/>
          <w:szCs w:val="19"/>
        </w:rPr>
        <w:t>Management assessed the effectiveness of the Company's intern</w:t>
      </w:r>
      <w:r>
        <w:rPr>
          <w:rFonts w:ascii="Times New Roman" w:hAnsi="Times New Roman" w:cs="Times New Roman"/>
          <w:sz w:val="19"/>
          <w:szCs w:val="19"/>
        </w:rPr>
        <w:t xml:space="preserve">al control over financial reporting as of June 30, 2014, using criteria established in </w:t>
      </w:r>
      <w:r>
        <w:rPr>
          <w:rFonts w:ascii="Times New Roman" w:hAnsi="Times New Roman" w:cs="Times New Roman"/>
          <w:b/>
          <w:bCs/>
          <w:i/>
          <w:iCs/>
          <w:sz w:val="19"/>
          <w:szCs w:val="19"/>
        </w:rPr>
        <w:t>Internal Control - Integrated</w:t>
      </w:r>
      <w:r>
        <w:rPr>
          <w:rFonts w:ascii="Times New Roman" w:hAnsi="Times New Roman" w:cs="Times New Roman"/>
          <w:sz w:val="19"/>
          <w:szCs w:val="19"/>
        </w:rPr>
        <w:t xml:space="preserve"> </w:t>
      </w:r>
      <w:r>
        <w:rPr>
          <w:rFonts w:ascii="Times New Roman" w:hAnsi="Times New Roman" w:cs="Times New Roman"/>
          <w:b/>
          <w:bCs/>
          <w:i/>
          <w:iCs/>
          <w:sz w:val="19"/>
          <w:szCs w:val="19"/>
        </w:rPr>
        <w:t xml:space="preserve">Framework (1992) </w:t>
      </w:r>
      <w:r>
        <w:rPr>
          <w:rFonts w:ascii="Times New Roman" w:hAnsi="Times New Roman" w:cs="Times New Roman"/>
          <w:sz w:val="19"/>
          <w:szCs w:val="19"/>
        </w:rPr>
        <w:t>issued by the Committee of Sponsoring</w:t>
      </w:r>
      <w:r>
        <w:rPr>
          <w:rFonts w:ascii="Times New Roman" w:hAnsi="Times New Roman" w:cs="Times New Roman"/>
          <w:b/>
          <w:bCs/>
          <w:i/>
          <w:iCs/>
          <w:sz w:val="19"/>
          <w:szCs w:val="19"/>
        </w:rPr>
        <w:t xml:space="preserve"> </w:t>
      </w:r>
      <w:r>
        <w:rPr>
          <w:rFonts w:ascii="Times New Roman" w:hAnsi="Times New Roman" w:cs="Times New Roman"/>
          <w:sz w:val="19"/>
          <w:szCs w:val="19"/>
        </w:rPr>
        <w:t>Organizations of the Treadway Commission (COSO) and concluded that the Company maint</w:t>
      </w:r>
      <w:r>
        <w:rPr>
          <w:rFonts w:ascii="Times New Roman" w:hAnsi="Times New Roman" w:cs="Times New Roman"/>
          <w:sz w:val="19"/>
          <w:szCs w:val="19"/>
        </w:rPr>
        <w:t>ained effective internal control over financial reporting as of June 30, 2014, based on these criteria.</w:t>
      </w: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right="360"/>
        <w:rPr>
          <w:rFonts w:ascii="Times New Roman" w:hAnsi="Times New Roman" w:cs="Times New Roman"/>
          <w:sz w:val="24"/>
          <w:szCs w:val="24"/>
        </w:rPr>
      </w:pPr>
      <w:r>
        <w:rPr>
          <w:rFonts w:ascii="Times New Roman" w:hAnsi="Times New Roman" w:cs="Times New Roman"/>
          <w:sz w:val="19"/>
          <w:szCs w:val="19"/>
        </w:rPr>
        <w:t>Deloitte &amp; Touche LLP, an independent registered public accounting firm, has audited the effectiveness of the Company's internal control over financial</w:t>
      </w:r>
      <w:r>
        <w:rPr>
          <w:rFonts w:ascii="Times New Roman" w:hAnsi="Times New Roman" w:cs="Times New Roman"/>
          <w:sz w:val="19"/>
          <w:szCs w:val="19"/>
        </w:rPr>
        <w:t xml:space="preserve"> reporting as of June 30, 2014, as stated in their report which is included herein.</w:t>
      </w:r>
    </w:p>
    <w:p w:rsidR="00000000" w:rsidRDefault="0057438D">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/s/ A. G. Lafley</w:t>
      </w:r>
    </w:p>
    <w:p w:rsidR="00000000" w:rsidRDefault="0057438D">
      <w:pPr>
        <w:pStyle w:val="DefaultParagraphFont"/>
        <w:widowControl w:val="0"/>
        <w:autoSpaceDE w:val="0"/>
        <w:autoSpaceDN w:val="0"/>
        <w:adjustRightInd w:val="0"/>
        <w:spacing w:after="0" w:line="10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A. G. Lafley</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560"/>
        <w:rPr>
          <w:rFonts w:ascii="Times New Roman" w:hAnsi="Times New Roman" w:cs="Times New Roman"/>
          <w:sz w:val="24"/>
          <w:szCs w:val="24"/>
        </w:rPr>
      </w:pPr>
      <w:r>
        <w:rPr>
          <w:rFonts w:ascii="Times New Roman" w:hAnsi="Times New Roman" w:cs="Times New Roman"/>
          <w:sz w:val="19"/>
          <w:szCs w:val="19"/>
        </w:rPr>
        <w:t>Chairman of the Board, President and Chief Executive Officer</w:t>
      </w:r>
    </w:p>
    <w:p w:rsidR="00000000" w:rsidRDefault="0057438D">
      <w:pPr>
        <w:pStyle w:val="DefaultParagraphFont"/>
        <w:widowControl w:val="0"/>
        <w:autoSpaceDE w:val="0"/>
        <w:autoSpaceDN w:val="0"/>
        <w:adjustRightInd w:val="0"/>
        <w:spacing w:after="0" w:line="16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/s/ Jon R. Moeller</w:t>
      </w:r>
    </w:p>
    <w:p w:rsidR="00000000" w:rsidRDefault="0057438D">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Jon R. Moeller</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Chief Financial Officer</w:t>
      </w:r>
    </w:p>
    <w:p w:rsidR="00000000" w:rsidRDefault="0057438D">
      <w:pPr>
        <w:pStyle w:val="DefaultParagraphFont"/>
        <w:widowControl w:val="0"/>
        <w:autoSpaceDE w:val="0"/>
        <w:autoSpaceDN w:val="0"/>
        <w:adjustRightInd w:val="0"/>
        <w:spacing w:after="0" w:line="10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August 8, 2014</w:t>
      </w: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 xml:space="preserve">The Procter &amp; Gamble Company  </w:t>
      </w:r>
      <w:r>
        <w:rPr>
          <w:rFonts w:ascii="Times New Roman" w:hAnsi="Times New Roman" w:cs="Times New Roman"/>
          <w:sz w:val="19"/>
          <w:szCs w:val="19"/>
        </w:rPr>
        <w:t>45</w:t>
      </w:r>
    </w:p>
    <w:p w:rsidR="00000000" w:rsidRDefault="0057438D">
      <w:pPr>
        <w:pStyle w:val="DefaultParagraphFont"/>
        <w:widowControl w:val="0"/>
        <w:autoSpaceDE w:val="0"/>
        <w:autoSpaceDN w:val="0"/>
        <w:adjustRightInd w:val="0"/>
        <w:spacing w:after="0" w:line="36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REPORT OF INDEPENDENT REGISTERED PUBLIC</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ACCOUNTING FIRM</w:t>
      </w:r>
    </w:p>
    <w:p w:rsidR="00000000" w:rsidRDefault="0057438D">
      <w:pPr>
        <w:pStyle w:val="DefaultParagraphFont"/>
        <w:widowControl w:val="0"/>
        <w:autoSpaceDE w:val="0"/>
        <w:autoSpaceDN w:val="0"/>
        <w:adjustRightInd w:val="0"/>
        <w:spacing w:after="0" w:line="11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To the Board of Directors and Stockholders of</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The Procter &amp; Gamble Company</w:t>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0"/>
        <w:rPr>
          <w:rFonts w:ascii="Times New Roman" w:hAnsi="Times New Roman" w:cs="Times New Roman"/>
          <w:sz w:val="24"/>
          <w:szCs w:val="24"/>
        </w:rPr>
      </w:pPr>
      <w:r>
        <w:rPr>
          <w:rFonts w:ascii="Times New Roman" w:hAnsi="Times New Roman" w:cs="Times New Roman"/>
          <w:sz w:val="19"/>
          <w:szCs w:val="19"/>
        </w:rPr>
        <w:t xml:space="preserve">We have audited the accompanying Consolidated Balance Sheets of The Procter &amp; Gamble Company and subsidiaries (the "Company") as of June 30, 2014 and 2013, and the related Consolidated Statements of Earnings, Comprehensive Income, Shareholders' Equity and </w:t>
      </w:r>
      <w:r>
        <w:rPr>
          <w:rFonts w:ascii="Times New Roman" w:hAnsi="Times New Roman" w:cs="Times New Roman"/>
          <w:sz w:val="19"/>
          <w:szCs w:val="19"/>
        </w:rPr>
        <w:t>Cash Flows for each of the three years in the period ended June 30, 2014. These financial statements are the responsibility of the Company's management. Our responsibility is to express an opinion on these financial statements based on our audits.</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80"/>
        <w:rPr>
          <w:rFonts w:ascii="Times New Roman" w:hAnsi="Times New Roman" w:cs="Times New Roman"/>
          <w:sz w:val="24"/>
          <w:szCs w:val="24"/>
        </w:rPr>
      </w:pPr>
      <w:r>
        <w:rPr>
          <w:rFonts w:ascii="Times New Roman" w:hAnsi="Times New Roman" w:cs="Times New Roman"/>
          <w:sz w:val="19"/>
          <w:szCs w:val="19"/>
        </w:rPr>
        <w:t>We cond</w:t>
      </w:r>
      <w:r>
        <w:rPr>
          <w:rFonts w:ascii="Times New Roman" w:hAnsi="Times New Roman" w:cs="Times New Roman"/>
          <w:sz w:val="19"/>
          <w:szCs w:val="19"/>
        </w:rPr>
        <w:t>ucted our audits in accordance with the standards of the Public Company Accounting Oversight Board (United States). Those standards require that we plan and perform the audit to obtain reasonable assurance about whether the financial statements are free of</w:t>
      </w:r>
      <w:r>
        <w:rPr>
          <w:rFonts w:ascii="Times New Roman" w:hAnsi="Times New Roman" w:cs="Times New Roman"/>
          <w:sz w:val="19"/>
          <w:szCs w:val="19"/>
        </w:rPr>
        <w:t xml:space="preserve"> material misstatement. An audit includes examining, on a test basis, evidence supporting the amounts and disclosures in the financial statements. An audit also includes assessing the accounting principles used and significant estimates made by management,</w:t>
      </w:r>
      <w:r>
        <w:rPr>
          <w:rFonts w:ascii="Times New Roman" w:hAnsi="Times New Roman" w:cs="Times New Roman"/>
          <w:sz w:val="19"/>
          <w:szCs w:val="19"/>
        </w:rPr>
        <w:t xml:space="preserve"> as well as evaluating the overall financial statement presentation. We believe that our audits provide a reasonable basis for our opinion.</w:t>
      </w:r>
    </w:p>
    <w:p w:rsidR="00000000" w:rsidRDefault="0057438D">
      <w:pPr>
        <w:pStyle w:val="DefaultParagraphFont"/>
        <w:widowControl w:val="0"/>
        <w:autoSpaceDE w:val="0"/>
        <w:autoSpaceDN w:val="0"/>
        <w:adjustRightInd w:val="0"/>
        <w:spacing w:after="0" w:line="14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20"/>
        <w:rPr>
          <w:rFonts w:ascii="Times New Roman" w:hAnsi="Times New Roman" w:cs="Times New Roman"/>
          <w:sz w:val="24"/>
          <w:szCs w:val="24"/>
        </w:rPr>
      </w:pPr>
      <w:r>
        <w:rPr>
          <w:rFonts w:ascii="Times New Roman" w:hAnsi="Times New Roman" w:cs="Times New Roman"/>
          <w:sz w:val="19"/>
          <w:szCs w:val="19"/>
        </w:rPr>
        <w:t>In our opinion, such Consolidated Financial Statements present fairly, in all material respects, the financial posi</w:t>
      </w:r>
      <w:r>
        <w:rPr>
          <w:rFonts w:ascii="Times New Roman" w:hAnsi="Times New Roman" w:cs="Times New Roman"/>
          <w:sz w:val="19"/>
          <w:szCs w:val="19"/>
        </w:rPr>
        <w:t>tion of the Company at June 30, 2014 and 2013, and the results of its operations and cash flows for each of the three years in the period ended June 30, 2014, in conformity with accounting principles generally accepted in the United States of America.</w:t>
      </w:r>
    </w:p>
    <w:p w:rsidR="00000000" w:rsidRDefault="0057438D">
      <w:pPr>
        <w:pStyle w:val="DefaultParagraphFont"/>
        <w:widowControl w:val="0"/>
        <w:autoSpaceDE w:val="0"/>
        <w:autoSpaceDN w:val="0"/>
        <w:adjustRightInd w:val="0"/>
        <w:spacing w:after="0" w:line="13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 xml:space="preserve">We have also audited, in accordance with the standards of the Public Company Accounting Oversight Board (United States), the Company's internal control over financial reporting as of June 30, 2014, based on the criteria established in </w:t>
      </w:r>
      <w:r>
        <w:rPr>
          <w:rFonts w:ascii="Times New Roman" w:hAnsi="Times New Roman" w:cs="Times New Roman"/>
          <w:b/>
          <w:bCs/>
          <w:i/>
          <w:iCs/>
          <w:sz w:val="19"/>
          <w:szCs w:val="19"/>
        </w:rPr>
        <w:t>Internal Control - In</w:t>
      </w:r>
      <w:r>
        <w:rPr>
          <w:rFonts w:ascii="Times New Roman" w:hAnsi="Times New Roman" w:cs="Times New Roman"/>
          <w:b/>
          <w:bCs/>
          <w:i/>
          <w:iCs/>
          <w:sz w:val="19"/>
          <w:szCs w:val="19"/>
        </w:rPr>
        <w:t>tegrated Framework</w:t>
      </w:r>
      <w:r>
        <w:rPr>
          <w:rFonts w:ascii="Times New Roman" w:hAnsi="Times New Roman" w:cs="Times New Roman"/>
          <w:sz w:val="19"/>
          <w:szCs w:val="19"/>
        </w:rPr>
        <w:t xml:space="preserve"> </w:t>
      </w:r>
      <w:r>
        <w:rPr>
          <w:rFonts w:ascii="Times New Roman" w:hAnsi="Times New Roman" w:cs="Times New Roman"/>
          <w:b/>
          <w:bCs/>
          <w:i/>
          <w:iCs/>
          <w:sz w:val="19"/>
          <w:szCs w:val="19"/>
        </w:rPr>
        <w:t xml:space="preserve">(1992) </w:t>
      </w:r>
      <w:r>
        <w:rPr>
          <w:rFonts w:ascii="Times New Roman" w:hAnsi="Times New Roman" w:cs="Times New Roman"/>
          <w:sz w:val="19"/>
          <w:szCs w:val="19"/>
        </w:rPr>
        <w:t>issued by the Committee of Sponsoring Organizations</w:t>
      </w:r>
      <w:r>
        <w:rPr>
          <w:rFonts w:ascii="Times New Roman" w:hAnsi="Times New Roman" w:cs="Times New Roman"/>
          <w:b/>
          <w:bCs/>
          <w:i/>
          <w:iCs/>
          <w:sz w:val="19"/>
          <w:szCs w:val="19"/>
        </w:rPr>
        <w:t xml:space="preserve"> </w:t>
      </w:r>
      <w:r>
        <w:rPr>
          <w:rFonts w:ascii="Times New Roman" w:hAnsi="Times New Roman" w:cs="Times New Roman"/>
          <w:sz w:val="19"/>
          <w:szCs w:val="19"/>
        </w:rPr>
        <w:t>of the Treadway Commission and our report dated August 8, 2014 expressed an unqualified opinion on the Company's internal control over financial reporting.</w:t>
      </w:r>
    </w:p>
    <w:p w:rsidR="00000000" w:rsidRDefault="0057438D">
      <w:pPr>
        <w:pStyle w:val="DefaultParagraphFont"/>
        <w:widowControl w:val="0"/>
        <w:autoSpaceDE w:val="0"/>
        <w:autoSpaceDN w:val="0"/>
        <w:adjustRightInd w:val="0"/>
        <w:spacing w:after="0" w:line="19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/s/ Deloitte &amp; Touche</w:t>
      </w:r>
      <w:r>
        <w:rPr>
          <w:rFonts w:ascii="Times New Roman" w:hAnsi="Times New Roman" w:cs="Times New Roman"/>
          <w:b/>
          <w:bCs/>
          <w:i/>
          <w:iCs/>
          <w:sz w:val="19"/>
          <w:szCs w:val="19"/>
        </w:rPr>
        <w:t xml:space="preserve"> LLP</w:t>
      </w:r>
    </w:p>
    <w:p w:rsidR="00000000" w:rsidRDefault="0057438D">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Cincinnati, Ohio</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August 8, 2014</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1440" w:left="860" w:header="720" w:footer="720" w:gutter="0"/>
          <w:cols w:num="2" w:space="340" w:equalWidth="0">
            <w:col w:w="4720" w:space="340"/>
            <w:col w:w="470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46</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REPORT OF INDEPENDENT REGISTERED PUBLIC</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ACCOUNTING FIRM</w:t>
      </w:r>
    </w:p>
    <w:p w:rsidR="00000000" w:rsidRDefault="0057438D">
      <w:pPr>
        <w:pStyle w:val="DefaultParagraphFont"/>
        <w:widowControl w:val="0"/>
        <w:autoSpaceDE w:val="0"/>
        <w:autoSpaceDN w:val="0"/>
        <w:adjustRightInd w:val="0"/>
        <w:spacing w:after="0" w:line="11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To the Board of Directors and Stockholders of</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The Procter &amp; Gamble Company</w:t>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sz w:val="19"/>
          <w:szCs w:val="19"/>
        </w:rPr>
        <w:t xml:space="preserve">We have audited the internal control over financial reporting of The Procter &amp; Gamble Company and subsidiaries (the "Company") as of June 30, 2014, based on criteria established in </w:t>
      </w:r>
      <w:r>
        <w:rPr>
          <w:rFonts w:ascii="Times New Roman" w:hAnsi="Times New Roman" w:cs="Times New Roman"/>
          <w:b/>
          <w:bCs/>
          <w:i/>
          <w:iCs/>
          <w:sz w:val="19"/>
          <w:szCs w:val="19"/>
        </w:rPr>
        <w:t>Internal Control - Integrated Framework</w:t>
      </w:r>
      <w:r>
        <w:rPr>
          <w:rFonts w:ascii="Times New Roman" w:hAnsi="Times New Roman" w:cs="Times New Roman"/>
          <w:sz w:val="19"/>
          <w:szCs w:val="19"/>
        </w:rPr>
        <w:t xml:space="preserve"> </w:t>
      </w:r>
      <w:r>
        <w:rPr>
          <w:rFonts w:ascii="Times New Roman" w:hAnsi="Times New Roman" w:cs="Times New Roman"/>
          <w:b/>
          <w:bCs/>
          <w:i/>
          <w:iCs/>
          <w:sz w:val="19"/>
          <w:szCs w:val="19"/>
        </w:rPr>
        <w:t xml:space="preserve">(1992) </w:t>
      </w:r>
      <w:r>
        <w:rPr>
          <w:rFonts w:ascii="Times New Roman" w:hAnsi="Times New Roman" w:cs="Times New Roman"/>
          <w:sz w:val="19"/>
          <w:szCs w:val="19"/>
        </w:rPr>
        <w:t>issued by the Committee of S</w:t>
      </w:r>
      <w:r>
        <w:rPr>
          <w:rFonts w:ascii="Times New Roman" w:hAnsi="Times New Roman" w:cs="Times New Roman"/>
          <w:sz w:val="19"/>
          <w:szCs w:val="19"/>
        </w:rPr>
        <w:t>ponsoring Organizations</w:t>
      </w:r>
      <w:r>
        <w:rPr>
          <w:rFonts w:ascii="Times New Roman" w:hAnsi="Times New Roman" w:cs="Times New Roman"/>
          <w:b/>
          <w:bCs/>
          <w:i/>
          <w:iCs/>
          <w:sz w:val="19"/>
          <w:szCs w:val="19"/>
        </w:rPr>
        <w:t xml:space="preserve"> </w:t>
      </w:r>
      <w:r>
        <w:rPr>
          <w:rFonts w:ascii="Times New Roman" w:hAnsi="Times New Roman" w:cs="Times New Roman"/>
          <w:sz w:val="19"/>
          <w:szCs w:val="19"/>
        </w:rPr>
        <w:t>of the Treadway Commission. The Company's management is responsible for maintaining effective internal control over financial reporting and for its assessment of the effectiveness of internal control over financial reporting, includ</w:t>
      </w:r>
      <w:r>
        <w:rPr>
          <w:rFonts w:ascii="Times New Roman" w:hAnsi="Times New Roman" w:cs="Times New Roman"/>
          <w:sz w:val="19"/>
          <w:szCs w:val="19"/>
        </w:rPr>
        <w:t>ed in Management's Report on Internal Control over Financial Reporting. Our responsibility is to express an opinion on the Company's internal control over financial reporting based on our audit.</w:t>
      </w:r>
    </w:p>
    <w:p w:rsidR="00000000" w:rsidRDefault="0057438D">
      <w:pPr>
        <w:pStyle w:val="DefaultParagraphFont"/>
        <w:widowControl w:val="0"/>
        <w:autoSpaceDE w:val="0"/>
        <w:autoSpaceDN w:val="0"/>
        <w:adjustRightInd w:val="0"/>
        <w:spacing w:after="0" w:line="14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sz w:val="19"/>
          <w:szCs w:val="19"/>
        </w:rPr>
        <w:t>We conducted our audit in accordance with the standards of t</w:t>
      </w:r>
      <w:r>
        <w:rPr>
          <w:rFonts w:ascii="Times New Roman" w:hAnsi="Times New Roman" w:cs="Times New Roman"/>
          <w:sz w:val="19"/>
          <w:szCs w:val="19"/>
        </w:rPr>
        <w:t>he Public Company Accounting Oversight Board (United States). Those standards require that we plan and perform the audit to obtain reasonable assurance about whether effective internal control over financial reporting was maintained in all material respect</w:t>
      </w:r>
      <w:r>
        <w:rPr>
          <w:rFonts w:ascii="Times New Roman" w:hAnsi="Times New Roman" w:cs="Times New Roman"/>
          <w:sz w:val="19"/>
          <w:szCs w:val="19"/>
        </w:rPr>
        <w:t>s. Our audit included obtaining an understanding of internal control over financial reporting, assessing the risk that a material weakness exists, testing and evaluating the design and operating effectiveness of internal control based on the assessed risk,</w:t>
      </w:r>
      <w:r>
        <w:rPr>
          <w:rFonts w:ascii="Times New Roman" w:hAnsi="Times New Roman" w:cs="Times New Roman"/>
          <w:sz w:val="19"/>
          <w:szCs w:val="19"/>
        </w:rPr>
        <w:t xml:space="preserve"> and performing such other procedures as we considered necessary in the circumstances. We believe that our audit provides a reasonable basis for our opinion.</w:t>
      </w:r>
    </w:p>
    <w:p w:rsidR="00000000" w:rsidRDefault="0057438D">
      <w:pPr>
        <w:pStyle w:val="DefaultParagraphFont"/>
        <w:widowControl w:val="0"/>
        <w:autoSpaceDE w:val="0"/>
        <w:autoSpaceDN w:val="0"/>
        <w:adjustRightInd w:val="0"/>
        <w:spacing w:after="0" w:line="14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A company's internal control over financial reporting is a process designed by, or under the supe</w:t>
      </w:r>
      <w:r>
        <w:rPr>
          <w:rFonts w:ascii="Times New Roman" w:hAnsi="Times New Roman" w:cs="Times New Roman"/>
          <w:sz w:val="19"/>
          <w:szCs w:val="19"/>
        </w:rPr>
        <w:t>rvision of, the company's principal executive and principal financial officers, or persons performing similar functions, and effected by the company's board of directors, management, and other personnel to provide reasonable assurance regarding the reliabi</w:t>
      </w:r>
      <w:r>
        <w:rPr>
          <w:rFonts w:ascii="Times New Roman" w:hAnsi="Times New Roman" w:cs="Times New Roman"/>
          <w:sz w:val="19"/>
          <w:szCs w:val="19"/>
        </w:rPr>
        <w:t>lity of financial reporting and the preparation of financial statements for external purposes in accordance with generally accepted accounting principles. A company's internal control over financial reporting includes those policies and procedures that (1)</w:t>
      </w:r>
      <w:r>
        <w:rPr>
          <w:rFonts w:ascii="Times New Roman" w:hAnsi="Times New Roman" w:cs="Times New Roman"/>
          <w:sz w:val="19"/>
          <w:szCs w:val="19"/>
        </w:rPr>
        <w:t xml:space="preserve"> pertain to the maintenance of records that, in reasonable detail, accurately and fairly reflect the transactions and dispositions of the assets of the company; (2) provide reasonable assurance that transactions are recorded as necessary to permit preparat</w:t>
      </w:r>
      <w:r>
        <w:rPr>
          <w:rFonts w:ascii="Times New Roman" w:hAnsi="Times New Roman" w:cs="Times New Roman"/>
          <w:sz w:val="19"/>
          <w:szCs w:val="19"/>
        </w:rPr>
        <w:t>ion of financial statements in accordance with generally accepted accounting principles, and that receipts and expenditures of the company are being made only in accordance with authorizations of management and directors of the company; and (3) provide rea</w:t>
      </w:r>
      <w:r>
        <w:rPr>
          <w:rFonts w:ascii="Times New Roman" w:hAnsi="Times New Roman" w:cs="Times New Roman"/>
          <w:sz w:val="19"/>
          <w:szCs w:val="19"/>
        </w:rPr>
        <w:t>sonable assurance regarding prevention or timely detection of unauthorized acquisition, use, or disposition of the company's assets that could have a material effect on the financial statements.</w:t>
      </w:r>
    </w:p>
    <w:p w:rsidR="00000000" w:rsidRDefault="0057438D">
      <w:pPr>
        <w:pStyle w:val="DefaultParagraphFont"/>
        <w:widowControl w:val="0"/>
        <w:autoSpaceDE w:val="0"/>
        <w:autoSpaceDN w:val="0"/>
        <w:adjustRightInd w:val="0"/>
        <w:spacing w:after="0" w:line="14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180"/>
        <w:rPr>
          <w:rFonts w:ascii="Times New Roman" w:hAnsi="Times New Roman" w:cs="Times New Roman"/>
          <w:sz w:val="24"/>
          <w:szCs w:val="24"/>
        </w:rPr>
      </w:pPr>
      <w:r>
        <w:rPr>
          <w:rFonts w:ascii="Times New Roman" w:hAnsi="Times New Roman" w:cs="Times New Roman"/>
          <w:sz w:val="19"/>
          <w:szCs w:val="19"/>
        </w:rPr>
        <w:t>Because of the inherent limitations of internal control over</w:t>
      </w:r>
      <w:r>
        <w:rPr>
          <w:rFonts w:ascii="Times New Roman" w:hAnsi="Times New Roman" w:cs="Times New Roman"/>
          <w:sz w:val="19"/>
          <w:szCs w:val="19"/>
        </w:rPr>
        <w:t xml:space="preserve"> financial reporting, including the possibility of collusion or</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60"/>
        <w:rPr>
          <w:rFonts w:ascii="Times New Roman" w:hAnsi="Times New Roman" w:cs="Times New Roman"/>
          <w:sz w:val="24"/>
          <w:szCs w:val="24"/>
        </w:rPr>
      </w:pPr>
      <w:r>
        <w:rPr>
          <w:rFonts w:ascii="Times New Roman" w:hAnsi="Times New Roman" w:cs="Times New Roman"/>
          <w:sz w:val="19"/>
          <w:szCs w:val="19"/>
        </w:rPr>
        <w:t>improper management override of controls, material misstatements due to error or fraud may not be prevented or detected on a timely basis. Also, projections of any evaluation of the effectiveness of the internal control over financial reporting to future p</w:t>
      </w:r>
      <w:r>
        <w:rPr>
          <w:rFonts w:ascii="Times New Roman" w:hAnsi="Times New Roman" w:cs="Times New Roman"/>
          <w:sz w:val="19"/>
          <w:szCs w:val="19"/>
        </w:rPr>
        <w:t>eriods are subject to the risk that the controls may become inadequate because of changes in conditions, or that the degree of compliance with the policies or procedures may deteriorate.</w:t>
      </w: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40"/>
        <w:rPr>
          <w:rFonts w:ascii="Times New Roman" w:hAnsi="Times New Roman" w:cs="Times New Roman"/>
          <w:sz w:val="24"/>
          <w:szCs w:val="24"/>
        </w:rPr>
      </w:pPr>
      <w:r>
        <w:rPr>
          <w:rFonts w:ascii="Times New Roman" w:hAnsi="Times New Roman" w:cs="Times New Roman"/>
          <w:sz w:val="19"/>
          <w:szCs w:val="19"/>
        </w:rPr>
        <w:t>In our opinion, the Company maintained, in all material respects, ef</w:t>
      </w:r>
      <w:r>
        <w:rPr>
          <w:rFonts w:ascii="Times New Roman" w:hAnsi="Times New Roman" w:cs="Times New Roman"/>
          <w:sz w:val="19"/>
          <w:szCs w:val="19"/>
        </w:rPr>
        <w:t xml:space="preserve">fective internal control over financial reporting as of June 30, 2014, based on the criteria established in </w:t>
      </w:r>
      <w:r>
        <w:rPr>
          <w:rFonts w:ascii="Times New Roman" w:hAnsi="Times New Roman" w:cs="Times New Roman"/>
          <w:b/>
          <w:bCs/>
          <w:i/>
          <w:iCs/>
          <w:sz w:val="19"/>
          <w:szCs w:val="19"/>
        </w:rPr>
        <w:t>Internal</w:t>
      </w:r>
      <w:r>
        <w:rPr>
          <w:rFonts w:ascii="Times New Roman" w:hAnsi="Times New Roman" w:cs="Times New Roman"/>
          <w:sz w:val="19"/>
          <w:szCs w:val="19"/>
        </w:rPr>
        <w:t xml:space="preserve"> </w:t>
      </w:r>
      <w:r>
        <w:rPr>
          <w:rFonts w:ascii="Times New Roman" w:hAnsi="Times New Roman" w:cs="Times New Roman"/>
          <w:b/>
          <w:bCs/>
          <w:i/>
          <w:iCs/>
          <w:sz w:val="19"/>
          <w:szCs w:val="19"/>
        </w:rPr>
        <w:t xml:space="preserve">Control - Integrated Framework (1992) </w:t>
      </w:r>
      <w:r>
        <w:rPr>
          <w:rFonts w:ascii="Times New Roman" w:hAnsi="Times New Roman" w:cs="Times New Roman"/>
          <w:sz w:val="19"/>
          <w:szCs w:val="19"/>
        </w:rPr>
        <w:t>issued by the</w:t>
      </w:r>
      <w:r>
        <w:rPr>
          <w:rFonts w:ascii="Times New Roman" w:hAnsi="Times New Roman" w:cs="Times New Roman"/>
          <w:b/>
          <w:bCs/>
          <w:i/>
          <w:iCs/>
          <w:sz w:val="19"/>
          <w:szCs w:val="19"/>
        </w:rPr>
        <w:t xml:space="preserve"> </w:t>
      </w:r>
      <w:r>
        <w:rPr>
          <w:rFonts w:ascii="Times New Roman" w:hAnsi="Times New Roman" w:cs="Times New Roman"/>
          <w:sz w:val="19"/>
          <w:szCs w:val="19"/>
        </w:rPr>
        <w:t>Committee of Sponsoring Organizations of the Treadway Commission.</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rPr>
          <w:rFonts w:ascii="Times New Roman" w:hAnsi="Times New Roman" w:cs="Times New Roman"/>
          <w:sz w:val="24"/>
          <w:szCs w:val="24"/>
        </w:rPr>
      </w:pPr>
      <w:r>
        <w:rPr>
          <w:rFonts w:ascii="Times New Roman" w:hAnsi="Times New Roman" w:cs="Times New Roman"/>
          <w:sz w:val="19"/>
          <w:szCs w:val="19"/>
        </w:rPr>
        <w:t>We have also audited, in accordance with the standards of the Public Company Accounting Oversight Board (United States), the Consolidated Financial Statements of the Company as of and for the year ended June 30, 2014 and our report dated August 8, 2014 exp</w:t>
      </w:r>
      <w:r>
        <w:rPr>
          <w:rFonts w:ascii="Times New Roman" w:hAnsi="Times New Roman" w:cs="Times New Roman"/>
          <w:sz w:val="19"/>
          <w:szCs w:val="19"/>
        </w:rPr>
        <w:t>ressed an unqualified opinion on those financial statements.</w:t>
      </w:r>
    </w:p>
    <w:p w:rsidR="00000000" w:rsidRDefault="0057438D">
      <w:pPr>
        <w:pStyle w:val="DefaultParagraphFont"/>
        <w:widowControl w:val="0"/>
        <w:autoSpaceDE w:val="0"/>
        <w:autoSpaceDN w:val="0"/>
        <w:adjustRightInd w:val="0"/>
        <w:spacing w:after="0" w:line="19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/s/ Deloitte &amp; Touche LLP</w:t>
      </w:r>
    </w:p>
    <w:p w:rsidR="00000000" w:rsidRDefault="0057438D">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Cincinnati, Ohio</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August 8, 2014</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00" w:bottom="648" w:left="860" w:header="720" w:footer="720" w:gutter="0"/>
          <w:cols w:num="2" w:space="360" w:equalWidth="0">
            <w:col w:w="4700" w:space="360"/>
            <w:col w:w="4700"/>
          </w:cols>
          <w:noEndnote/>
        </w:sectPr>
      </w:pPr>
    </w:p>
    <w:p w:rsidR="00000000" w:rsidRDefault="0057438D">
      <w:pPr>
        <w:pStyle w:val="DefaultParagraphFont"/>
        <w:widowControl w:val="0"/>
        <w:autoSpaceDE w:val="0"/>
        <w:autoSpaceDN w:val="0"/>
        <w:adjustRightInd w:val="0"/>
        <w:spacing w:after="0" w:line="240" w:lineRule="auto"/>
        <w:ind w:left="7385"/>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47</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5"/>
        <w:rPr>
          <w:rFonts w:ascii="Times New Roman" w:hAnsi="Times New Roman" w:cs="Times New Roman"/>
          <w:sz w:val="24"/>
          <w:szCs w:val="24"/>
        </w:rPr>
      </w:pPr>
      <w:r>
        <w:rPr>
          <w:rFonts w:ascii="Times New Roman" w:hAnsi="Times New Roman" w:cs="Times New Roman"/>
          <w:b/>
          <w:bCs/>
          <w:sz w:val="19"/>
          <w:szCs w:val="19"/>
        </w:rPr>
        <w:t>Consolidated Statements of Earnings</w:t>
      </w:r>
    </w:p>
    <w:p w:rsidR="00000000" w:rsidRDefault="0057438D">
      <w:pPr>
        <w:pStyle w:val="DefaultParagraphFont"/>
        <w:widowControl w:val="0"/>
        <w:autoSpaceDE w:val="0"/>
        <w:autoSpaceDN w:val="0"/>
        <w:adjustRightInd w:val="0"/>
        <w:spacing w:after="0" w:line="227" w:lineRule="exact"/>
        <w:rPr>
          <w:rFonts w:ascii="Times New Roman" w:hAnsi="Times New Roman" w:cs="Times New Roman"/>
          <w:sz w:val="24"/>
          <w:szCs w:val="24"/>
        </w:rPr>
      </w:pPr>
    </w:p>
    <w:tbl>
      <w:tblPr>
        <w:tblW w:w="0" w:type="auto"/>
        <w:tblInd w:w="5" w:type="dxa"/>
        <w:tblLayout w:type="fixed"/>
        <w:tblCellMar>
          <w:left w:w="0" w:type="dxa"/>
          <w:right w:w="0" w:type="dxa"/>
        </w:tblCellMar>
        <w:tblLook w:val="0000" w:firstRow="0" w:lastRow="0" w:firstColumn="0" w:lastColumn="0" w:noHBand="0" w:noVBand="0"/>
      </w:tblPr>
      <w:tblGrid>
        <w:gridCol w:w="6940"/>
        <w:gridCol w:w="200"/>
        <w:gridCol w:w="700"/>
        <w:gridCol w:w="60"/>
        <w:gridCol w:w="220"/>
        <w:gridCol w:w="680"/>
        <w:gridCol w:w="80"/>
        <w:gridCol w:w="220"/>
        <w:gridCol w:w="680"/>
      </w:tblGrid>
      <w:tr w:rsidR="00000000">
        <w:tblPrEx>
          <w:tblCellMar>
            <w:top w:w="0" w:type="dxa"/>
            <w:left w:w="0" w:type="dxa"/>
            <w:bottom w:w="0" w:type="dxa"/>
            <w:right w:w="0" w:type="dxa"/>
          </w:tblCellMar>
        </w:tblPrEx>
        <w:trPr>
          <w:trHeight w:val="203"/>
        </w:trPr>
        <w:tc>
          <w:tcPr>
            <w:tcW w:w="6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Amounts in millions except per share amounts; Years ended June 30</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30"/>
              <w:jc w:val="right"/>
              <w:rPr>
                <w:rFonts w:ascii="Times New Roman" w:hAnsi="Times New Roman" w:cs="Times New Roman"/>
                <w:sz w:val="24"/>
                <w:szCs w:val="24"/>
              </w:rPr>
            </w:pPr>
            <w:r>
              <w:rPr>
                <w:rFonts w:ascii="Times New Roman" w:hAnsi="Times New Roman" w:cs="Times New Roman"/>
                <w:b/>
                <w:bCs/>
                <w:sz w:val="15"/>
                <w:szCs w:val="15"/>
              </w:rPr>
              <w:t>2014</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10"/>
              <w:jc w:val="right"/>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10"/>
              <w:jc w:val="right"/>
              <w:rPr>
                <w:rFonts w:ascii="Times New Roman" w:hAnsi="Times New Roman" w:cs="Times New Roman"/>
                <w:sz w:val="24"/>
                <w:szCs w:val="24"/>
              </w:rPr>
            </w:pPr>
            <w:r>
              <w:rPr>
                <w:rFonts w:ascii="Times New Roman" w:hAnsi="Times New Roman" w:cs="Times New Roman"/>
                <w:b/>
                <w:bCs/>
                <w:sz w:val="15"/>
                <w:szCs w:val="15"/>
              </w:rPr>
              <w:t>2012</w:t>
            </w:r>
          </w:p>
        </w:tc>
      </w:tr>
      <w:tr w:rsidR="00000000">
        <w:tblPrEx>
          <w:tblCellMar>
            <w:top w:w="0" w:type="dxa"/>
            <w:left w:w="0" w:type="dxa"/>
            <w:bottom w:w="0" w:type="dxa"/>
            <w:right w:w="0" w:type="dxa"/>
          </w:tblCellMar>
        </w:tblPrEx>
        <w:trPr>
          <w:trHeight w:val="25"/>
        </w:trPr>
        <w:tc>
          <w:tcPr>
            <w:tcW w:w="69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6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NET SALES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83,062</w:t>
            </w:r>
          </w:p>
        </w:tc>
        <w:tc>
          <w:tcPr>
            <w:tcW w:w="2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82,581</w:t>
            </w:r>
          </w:p>
        </w:tc>
        <w:tc>
          <w:tcPr>
            <w:tcW w:w="3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82,006</w:t>
            </w:r>
          </w:p>
        </w:tc>
      </w:tr>
      <w:tr w:rsidR="00000000">
        <w:tblPrEx>
          <w:tblCellMar>
            <w:top w:w="0" w:type="dxa"/>
            <w:left w:w="0" w:type="dxa"/>
            <w:bottom w:w="0" w:type="dxa"/>
            <w:right w:w="0" w:type="dxa"/>
          </w:tblCellMar>
        </w:tblPrEx>
        <w:trPr>
          <w:trHeight w:val="253"/>
        </w:trPr>
        <w:tc>
          <w:tcPr>
            <w:tcW w:w="6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Cost of products sold</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42,460</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41,391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41,411</w:t>
            </w:r>
          </w:p>
        </w:tc>
      </w:tr>
      <w:tr w:rsidR="00000000">
        <w:tblPrEx>
          <w:tblCellMar>
            <w:top w:w="0" w:type="dxa"/>
            <w:left w:w="0" w:type="dxa"/>
            <w:bottom w:w="0" w:type="dxa"/>
            <w:right w:w="0" w:type="dxa"/>
          </w:tblCellMar>
        </w:tblPrEx>
        <w:trPr>
          <w:trHeight w:val="33"/>
        </w:trPr>
        <w:tc>
          <w:tcPr>
            <w:tcW w:w="6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6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Selling, general and administrative expense</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25,314</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26,552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25,984</w:t>
            </w:r>
          </w:p>
        </w:tc>
      </w:tr>
      <w:tr w:rsidR="00000000">
        <w:tblPrEx>
          <w:tblCellMar>
            <w:top w:w="0" w:type="dxa"/>
            <w:left w:w="0" w:type="dxa"/>
            <w:bottom w:w="0" w:type="dxa"/>
            <w:right w:w="0" w:type="dxa"/>
          </w:tblCellMar>
        </w:tblPrEx>
        <w:trPr>
          <w:trHeight w:val="253"/>
        </w:trPr>
        <w:tc>
          <w:tcPr>
            <w:tcW w:w="6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Goodwill and indefinite-lived intangible asset impairment charges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308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1,576</w:t>
            </w:r>
          </w:p>
        </w:tc>
      </w:tr>
      <w:tr w:rsidR="00000000">
        <w:tblPrEx>
          <w:tblCellMar>
            <w:top w:w="0" w:type="dxa"/>
            <w:left w:w="0" w:type="dxa"/>
            <w:bottom w:w="0" w:type="dxa"/>
            <w:right w:w="0" w:type="dxa"/>
          </w:tblCellMar>
        </w:tblPrEx>
        <w:trPr>
          <w:trHeight w:val="24"/>
        </w:trPr>
        <w:tc>
          <w:tcPr>
            <w:tcW w:w="69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1"/>
        </w:trPr>
        <w:tc>
          <w:tcPr>
            <w:tcW w:w="6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OPERATING INCOME</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15,288</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14,330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13,035</w:t>
            </w:r>
          </w:p>
        </w:tc>
      </w:tr>
      <w:tr w:rsidR="00000000">
        <w:tblPrEx>
          <w:tblCellMar>
            <w:top w:w="0" w:type="dxa"/>
            <w:left w:w="0" w:type="dxa"/>
            <w:bottom w:w="0" w:type="dxa"/>
            <w:right w:w="0" w:type="dxa"/>
          </w:tblCellMar>
        </w:tblPrEx>
        <w:trPr>
          <w:trHeight w:val="243"/>
        </w:trPr>
        <w:tc>
          <w:tcPr>
            <w:tcW w:w="694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Interest expense</w:t>
            </w:r>
          </w:p>
        </w:tc>
        <w:tc>
          <w:tcPr>
            <w:tcW w:w="2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709</w:t>
            </w: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667</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769</w:t>
            </w:r>
          </w:p>
        </w:tc>
      </w:tr>
      <w:tr w:rsidR="00000000">
        <w:tblPrEx>
          <w:tblCellMar>
            <w:top w:w="0" w:type="dxa"/>
            <w:left w:w="0" w:type="dxa"/>
            <w:bottom w:w="0" w:type="dxa"/>
            <w:right w:w="0" w:type="dxa"/>
          </w:tblCellMar>
        </w:tblPrEx>
        <w:trPr>
          <w:trHeight w:val="33"/>
        </w:trPr>
        <w:tc>
          <w:tcPr>
            <w:tcW w:w="6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6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Interest income</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100</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87</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77</w:t>
            </w:r>
          </w:p>
        </w:tc>
      </w:tr>
      <w:tr w:rsidR="00000000">
        <w:tblPrEx>
          <w:tblCellMar>
            <w:top w:w="0" w:type="dxa"/>
            <w:left w:w="0" w:type="dxa"/>
            <w:bottom w:w="0" w:type="dxa"/>
            <w:right w:w="0" w:type="dxa"/>
          </w:tblCellMar>
        </w:tblPrEx>
        <w:trPr>
          <w:trHeight w:val="253"/>
        </w:trPr>
        <w:tc>
          <w:tcPr>
            <w:tcW w:w="6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Other non-operating income, net</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206</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942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185</w:t>
            </w:r>
          </w:p>
        </w:tc>
      </w:tr>
      <w:tr w:rsidR="00000000">
        <w:tblPrEx>
          <w:tblCellMar>
            <w:top w:w="0" w:type="dxa"/>
            <w:left w:w="0" w:type="dxa"/>
            <w:bottom w:w="0" w:type="dxa"/>
            <w:right w:w="0" w:type="dxa"/>
          </w:tblCellMar>
        </w:tblPrEx>
        <w:trPr>
          <w:trHeight w:val="24"/>
        </w:trPr>
        <w:tc>
          <w:tcPr>
            <w:tcW w:w="69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1"/>
        </w:trPr>
        <w:tc>
          <w:tcPr>
            <w:tcW w:w="6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EARNINGS FROM CONTINUING OPERATIONS BEFORE INCOME TAXES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14,885</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14,692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12,528</w:t>
            </w:r>
          </w:p>
        </w:tc>
      </w:tr>
      <w:tr w:rsidR="00000000">
        <w:tblPrEx>
          <w:tblCellMar>
            <w:top w:w="0" w:type="dxa"/>
            <w:left w:w="0" w:type="dxa"/>
            <w:bottom w:w="0" w:type="dxa"/>
            <w:right w:w="0" w:type="dxa"/>
          </w:tblCellMar>
        </w:tblPrEx>
        <w:trPr>
          <w:trHeight w:val="243"/>
        </w:trPr>
        <w:tc>
          <w:tcPr>
            <w:tcW w:w="694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Income taxes on continuing operations</w:t>
            </w:r>
          </w:p>
        </w:tc>
        <w:tc>
          <w:tcPr>
            <w:tcW w:w="2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3,178</w:t>
            </w: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3,391</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3,378</w:t>
            </w:r>
          </w:p>
        </w:tc>
      </w:tr>
      <w:tr w:rsidR="00000000">
        <w:tblPrEx>
          <w:tblCellMar>
            <w:top w:w="0" w:type="dxa"/>
            <w:left w:w="0" w:type="dxa"/>
            <w:bottom w:w="0" w:type="dxa"/>
            <w:right w:w="0" w:type="dxa"/>
          </w:tblCellMar>
        </w:tblPrEx>
        <w:trPr>
          <w:trHeight w:val="24"/>
        </w:trPr>
        <w:tc>
          <w:tcPr>
            <w:tcW w:w="69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1"/>
        </w:trPr>
        <w:tc>
          <w:tcPr>
            <w:tcW w:w="6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NET EARNINGS FROM CONTINUING OPERATIONS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11,707</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11,301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9,150</w:t>
            </w:r>
          </w:p>
        </w:tc>
      </w:tr>
      <w:tr w:rsidR="00000000">
        <w:tblPrEx>
          <w:tblCellMar>
            <w:top w:w="0" w:type="dxa"/>
            <w:left w:w="0" w:type="dxa"/>
            <w:bottom w:w="0" w:type="dxa"/>
            <w:right w:w="0" w:type="dxa"/>
          </w:tblCellMar>
        </w:tblPrEx>
        <w:trPr>
          <w:trHeight w:val="243"/>
        </w:trPr>
        <w:tc>
          <w:tcPr>
            <w:tcW w:w="694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NET EARNINGS FROM DISCONTINUED OPERATIONS</w:t>
            </w:r>
          </w:p>
        </w:tc>
        <w:tc>
          <w:tcPr>
            <w:tcW w:w="2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78</w:t>
            </w: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101</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1,754</w:t>
            </w:r>
          </w:p>
        </w:tc>
      </w:tr>
      <w:tr w:rsidR="00000000">
        <w:tblPrEx>
          <w:tblCellMar>
            <w:top w:w="0" w:type="dxa"/>
            <w:left w:w="0" w:type="dxa"/>
            <w:bottom w:w="0" w:type="dxa"/>
            <w:right w:w="0" w:type="dxa"/>
          </w:tblCellMar>
        </w:tblPrEx>
        <w:trPr>
          <w:trHeight w:val="23"/>
        </w:trPr>
        <w:tc>
          <w:tcPr>
            <w:tcW w:w="69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1"/>
        </w:trPr>
        <w:tc>
          <w:tcPr>
            <w:tcW w:w="6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NET EARNINGS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11,785</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11,402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10,904</w:t>
            </w:r>
          </w:p>
        </w:tc>
      </w:tr>
      <w:tr w:rsidR="00000000">
        <w:tblPrEx>
          <w:tblCellMar>
            <w:top w:w="0" w:type="dxa"/>
            <w:left w:w="0" w:type="dxa"/>
            <w:bottom w:w="0" w:type="dxa"/>
            <w:right w:w="0" w:type="dxa"/>
          </w:tblCellMar>
        </w:tblPrEx>
        <w:trPr>
          <w:trHeight w:val="243"/>
        </w:trPr>
        <w:tc>
          <w:tcPr>
            <w:tcW w:w="694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Less: Net earnings attributable to noncontrolling interests</w:t>
            </w:r>
          </w:p>
        </w:tc>
        <w:tc>
          <w:tcPr>
            <w:tcW w:w="2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142</w:t>
            </w: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90</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148</w:t>
            </w:r>
          </w:p>
        </w:tc>
      </w:tr>
      <w:tr w:rsidR="00000000">
        <w:tblPrEx>
          <w:tblCellMar>
            <w:top w:w="0" w:type="dxa"/>
            <w:left w:w="0" w:type="dxa"/>
            <w:bottom w:w="0" w:type="dxa"/>
            <w:right w:w="0" w:type="dxa"/>
          </w:tblCellMar>
        </w:tblPrEx>
        <w:trPr>
          <w:trHeight w:val="24"/>
        </w:trPr>
        <w:tc>
          <w:tcPr>
            <w:tcW w:w="69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6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NET EARNINGS ATTRIBUTABLE TO PROCTER &amp; GAMBLE</w:t>
            </w: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11,643</w:t>
            </w:r>
          </w:p>
        </w:tc>
        <w:tc>
          <w:tcPr>
            <w:tcW w:w="28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11,312</w:t>
            </w:r>
          </w:p>
        </w:tc>
        <w:tc>
          <w:tcPr>
            <w:tcW w:w="30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10,756</w:t>
            </w:r>
          </w:p>
        </w:tc>
      </w:tr>
      <w:tr w:rsidR="00000000">
        <w:tblPrEx>
          <w:tblCellMar>
            <w:top w:w="0" w:type="dxa"/>
            <w:left w:w="0" w:type="dxa"/>
            <w:bottom w:w="0" w:type="dxa"/>
            <w:right w:w="0" w:type="dxa"/>
          </w:tblCellMar>
        </w:tblPrEx>
        <w:trPr>
          <w:trHeight w:val="258"/>
        </w:trPr>
        <w:tc>
          <w:tcPr>
            <w:tcW w:w="694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86"/>
        </w:trPr>
        <w:tc>
          <w:tcPr>
            <w:tcW w:w="6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 xml:space="preserve">BASIC NET EARNINGS PER COMMON SHARE </w:t>
            </w:r>
            <w:r>
              <w:rPr>
                <w:rFonts w:ascii="Times New Roman" w:hAnsi="Times New Roman" w:cs="Times New Roman"/>
                <w:b/>
                <w:bCs/>
                <w:vertAlign w:val="superscript"/>
              </w:rPr>
              <w:t>(1)</w:t>
            </w:r>
            <w:r>
              <w:rPr>
                <w:rFonts w:ascii="Times New Roman" w:hAnsi="Times New Roman" w:cs="Times New Roman"/>
                <w:b/>
                <w:bCs/>
                <w:sz w:val="17"/>
                <w:szCs w:val="17"/>
              </w:rPr>
              <w:t>:</w:t>
            </w: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53"/>
        </w:trPr>
        <w:tc>
          <w:tcPr>
            <w:tcW w:w="6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Earnings from continuing operations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4.16</w:t>
            </w:r>
          </w:p>
        </w:tc>
        <w:tc>
          <w:tcPr>
            <w:tcW w:w="2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4.00</w:t>
            </w:r>
          </w:p>
        </w:tc>
        <w:tc>
          <w:tcPr>
            <w:tcW w:w="3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3.18</w:t>
            </w:r>
          </w:p>
        </w:tc>
      </w:tr>
      <w:tr w:rsidR="00000000">
        <w:tblPrEx>
          <w:tblCellMar>
            <w:top w:w="0" w:type="dxa"/>
            <w:left w:w="0" w:type="dxa"/>
            <w:bottom w:w="0" w:type="dxa"/>
            <w:right w:w="0" w:type="dxa"/>
          </w:tblCellMar>
        </w:tblPrEx>
        <w:trPr>
          <w:trHeight w:val="33"/>
        </w:trPr>
        <w:tc>
          <w:tcPr>
            <w:tcW w:w="6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6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Earnings from discontinued operations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0.03</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0.04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0.64</w:t>
            </w:r>
          </w:p>
        </w:tc>
      </w:tr>
      <w:tr w:rsidR="00000000">
        <w:tblPrEx>
          <w:tblCellMar>
            <w:top w:w="0" w:type="dxa"/>
            <w:left w:w="0" w:type="dxa"/>
            <w:bottom w:w="0" w:type="dxa"/>
            <w:right w:w="0" w:type="dxa"/>
          </w:tblCellMar>
        </w:tblPrEx>
        <w:trPr>
          <w:trHeight w:val="285"/>
        </w:trPr>
        <w:tc>
          <w:tcPr>
            <w:tcW w:w="694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BASIC NET EARNINGS PER COMMON SHARE</w:t>
            </w:r>
          </w:p>
        </w:tc>
        <w:tc>
          <w:tcPr>
            <w:tcW w:w="2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4.19</w:t>
            </w:r>
          </w:p>
        </w:tc>
        <w:tc>
          <w:tcPr>
            <w:tcW w:w="6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4.04</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3.82</w:t>
            </w:r>
          </w:p>
        </w:tc>
      </w:tr>
      <w:tr w:rsidR="00000000">
        <w:tblPrEx>
          <w:tblCellMar>
            <w:top w:w="0" w:type="dxa"/>
            <w:left w:w="0" w:type="dxa"/>
            <w:bottom w:w="0" w:type="dxa"/>
            <w:right w:w="0" w:type="dxa"/>
          </w:tblCellMar>
        </w:tblPrEx>
        <w:trPr>
          <w:trHeight w:val="258"/>
        </w:trPr>
        <w:tc>
          <w:tcPr>
            <w:tcW w:w="6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 xml:space="preserve">DILUTED NET EARNINGS PER COMMON SHARE </w:t>
            </w:r>
            <w:r>
              <w:rPr>
                <w:rFonts w:ascii="Times New Roman" w:hAnsi="Times New Roman" w:cs="Times New Roman"/>
                <w:b/>
                <w:bCs/>
                <w:vertAlign w:val="superscript"/>
              </w:rPr>
              <w:t>(1)</w:t>
            </w:r>
            <w:r>
              <w:rPr>
                <w:rFonts w:ascii="Times New Roman" w:hAnsi="Times New Roman" w:cs="Times New Roman"/>
                <w:b/>
                <w:bCs/>
                <w:sz w:val="17"/>
                <w:szCs w:val="17"/>
              </w:rPr>
              <w:t>:</w:t>
            </w: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53"/>
        </w:trPr>
        <w:tc>
          <w:tcPr>
            <w:tcW w:w="6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Earnings from continuing operations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3.98</w:t>
            </w:r>
          </w:p>
        </w:tc>
        <w:tc>
          <w:tcPr>
            <w:tcW w:w="2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3.83</w:t>
            </w:r>
          </w:p>
        </w:tc>
        <w:tc>
          <w:tcPr>
            <w:tcW w:w="3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3.06</w:t>
            </w:r>
          </w:p>
        </w:tc>
      </w:tr>
      <w:tr w:rsidR="00000000">
        <w:tblPrEx>
          <w:tblCellMar>
            <w:top w:w="0" w:type="dxa"/>
            <w:left w:w="0" w:type="dxa"/>
            <w:bottom w:w="0" w:type="dxa"/>
            <w:right w:w="0" w:type="dxa"/>
          </w:tblCellMar>
        </w:tblPrEx>
        <w:trPr>
          <w:trHeight w:val="33"/>
        </w:trPr>
        <w:tc>
          <w:tcPr>
            <w:tcW w:w="6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6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Earnings from discontinued operations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0.03</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0.03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0.60</w:t>
            </w:r>
          </w:p>
        </w:tc>
      </w:tr>
      <w:tr w:rsidR="00000000">
        <w:tblPrEx>
          <w:tblCellMar>
            <w:top w:w="0" w:type="dxa"/>
            <w:left w:w="0" w:type="dxa"/>
            <w:bottom w:w="0" w:type="dxa"/>
            <w:right w:w="0" w:type="dxa"/>
          </w:tblCellMar>
        </w:tblPrEx>
        <w:trPr>
          <w:trHeight w:val="285"/>
        </w:trPr>
        <w:tc>
          <w:tcPr>
            <w:tcW w:w="694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DILUTED NET EARNINGS PER COMMON SHARE</w:t>
            </w:r>
          </w:p>
        </w:tc>
        <w:tc>
          <w:tcPr>
            <w:tcW w:w="2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4.01</w:t>
            </w:r>
          </w:p>
        </w:tc>
        <w:tc>
          <w:tcPr>
            <w:tcW w:w="6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3.86</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3.66</w:t>
            </w:r>
          </w:p>
        </w:tc>
      </w:tr>
      <w:tr w:rsidR="00000000">
        <w:tblPrEx>
          <w:tblCellMar>
            <w:top w:w="0" w:type="dxa"/>
            <w:left w:w="0" w:type="dxa"/>
            <w:bottom w:w="0" w:type="dxa"/>
            <w:right w:w="0" w:type="dxa"/>
          </w:tblCellMar>
        </w:tblPrEx>
        <w:trPr>
          <w:trHeight w:val="266"/>
        </w:trPr>
        <w:tc>
          <w:tcPr>
            <w:tcW w:w="6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DIVIDENDS PER COMMON SHARE</w:t>
            </w: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7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2.45</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2.29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2.14</w:t>
            </w:r>
          </w:p>
        </w:tc>
      </w:tr>
    </w:tbl>
    <w:p w:rsidR="00000000" w:rsidRDefault="0057438D">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57438D">
      <w:pPr>
        <w:pStyle w:val="DefaultParagraphFont"/>
        <w:widowControl w:val="0"/>
        <w:numPr>
          <w:ilvl w:val="0"/>
          <w:numId w:val="11"/>
        </w:numPr>
        <w:tabs>
          <w:tab w:val="clear" w:pos="720"/>
          <w:tab w:val="num" w:pos="165"/>
        </w:tabs>
        <w:overflowPunct w:val="0"/>
        <w:autoSpaceDE w:val="0"/>
        <w:autoSpaceDN w:val="0"/>
        <w:adjustRightInd w:val="0"/>
        <w:spacing w:after="0" w:line="240" w:lineRule="auto"/>
        <w:ind w:left="165" w:right="240" w:hanging="165"/>
        <w:jc w:val="both"/>
        <w:rPr>
          <w:rFonts w:ascii="Times New Roman" w:hAnsi="Times New Roman" w:cs="Times New Roman"/>
          <w:sz w:val="21"/>
          <w:szCs w:val="21"/>
          <w:vertAlign w:val="superscript"/>
        </w:rPr>
      </w:pPr>
      <w:r>
        <w:rPr>
          <w:rFonts w:ascii="Times New Roman" w:hAnsi="Times New Roman" w:cs="Times New Roman"/>
          <w:sz w:val="15"/>
          <w:szCs w:val="15"/>
        </w:rPr>
        <w:t>Basic n</w:t>
      </w:r>
      <w:r>
        <w:rPr>
          <w:rFonts w:ascii="Times New Roman" w:hAnsi="Times New Roman" w:cs="Times New Roman"/>
          <w:sz w:val="15"/>
          <w:szCs w:val="15"/>
        </w:rPr>
        <w:t>et earnings per common share and diluted net earnings per common share are calculated on net earnings attributable to Procter &amp; Gamble.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880" w:bottom="346" w:left="855" w:header="720" w:footer="720" w:gutter="0"/>
          <w:cols w:space="720" w:equalWidth="0">
            <w:col w:w="9785"/>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See accompanying Notes to Consolidated Financial Statements.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6740" w:header="720" w:footer="720" w:gutter="0"/>
          <w:cols w:space="720" w:equalWidth="0">
            <w:col w:w="390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48</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Consolidated Statements of Comprehensive Income</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5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6720"/>
        <w:gridCol w:w="220"/>
        <w:gridCol w:w="700"/>
        <w:gridCol w:w="140"/>
        <w:gridCol w:w="220"/>
        <w:gridCol w:w="700"/>
        <w:gridCol w:w="140"/>
        <w:gridCol w:w="220"/>
        <w:gridCol w:w="680"/>
      </w:tblGrid>
      <w:tr w:rsidR="00000000">
        <w:tblPrEx>
          <w:tblCellMar>
            <w:top w:w="0" w:type="dxa"/>
            <w:left w:w="0" w:type="dxa"/>
            <w:bottom w:w="0" w:type="dxa"/>
            <w:right w:w="0" w:type="dxa"/>
          </w:tblCellMar>
        </w:tblPrEx>
        <w:trPr>
          <w:trHeight w:val="203"/>
        </w:trPr>
        <w:tc>
          <w:tcPr>
            <w:tcW w:w="6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15"/>
                <w:szCs w:val="15"/>
                <w:u w:val="single"/>
              </w:rPr>
              <w:t>Amounts in millions; Years ended June 30</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31"/>
              <w:jc w:val="right"/>
              <w:rPr>
                <w:rFonts w:ascii="Times New Roman" w:hAnsi="Times New Roman" w:cs="Times New Roman"/>
                <w:sz w:val="24"/>
                <w:szCs w:val="24"/>
              </w:rPr>
            </w:pPr>
            <w:r>
              <w:rPr>
                <w:rFonts w:ascii="Times New Roman" w:hAnsi="Times New Roman" w:cs="Times New Roman"/>
                <w:b/>
                <w:bCs/>
                <w:sz w:val="15"/>
                <w:szCs w:val="15"/>
              </w:rPr>
              <w:t>2014</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31"/>
              <w:jc w:val="right"/>
              <w:rPr>
                <w:rFonts w:ascii="Times New Roman" w:hAnsi="Times New Roman" w:cs="Times New Roman"/>
                <w:sz w:val="24"/>
                <w:szCs w:val="24"/>
              </w:rPr>
            </w:pPr>
            <w:r>
              <w:rPr>
                <w:rFonts w:ascii="Times New Roman" w:hAnsi="Times New Roman" w:cs="Times New Roman"/>
                <w:b/>
                <w:bCs/>
                <w:sz w:val="15"/>
                <w:szCs w:val="15"/>
              </w:rPr>
              <w:t>2013</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Times New Roman" w:hAnsi="Times New Roman" w:cs="Times New Roman"/>
                <w:b/>
                <w:bCs/>
                <w:sz w:val="15"/>
                <w:szCs w:val="15"/>
              </w:rPr>
              <w:t>2012</w:t>
            </w:r>
          </w:p>
        </w:tc>
      </w:tr>
      <w:tr w:rsidR="00000000">
        <w:tblPrEx>
          <w:tblCellMar>
            <w:top w:w="0" w:type="dxa"/>
            <w:left w:w="0" w:type="dxa"/>
            <w:bottom w:w="0" w:type="dxa"/>
            <w:right w:w="0" w:type="dxa"/>
          </w:tblCellMar>
        </w:tblPrEx>
        <w:trPr>
          <w:trHeight w:val="25"/>
        </w:trPr>
        <w:tc>
          <w:tcPr>
            <w:tcW w:w="67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1"/>
        </w:trPr>
        <w:tc>
          <w:tcPr>
            <w:tcW w:w="6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7"/>
                <w:szCs w:val="17"/>
              </w:rPr>
              <w:t>NET EARNINGS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11,785</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11,402</w:t>
            </w:r>
          </w:p>
        </w:tc>
        <w:tc>
          <w:tcPr>
            <w:tcW w:w="3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10,904</w:t>
            </w:r>
          </w:p>
        </w:tc>
      </w:tr>
      <w:tr w:rsidR="00000000">
        <w:tblPrEx>
          <w:tblCellMar>
            <w:top w:w="0" w:type="dxa"/>
            <w:left w:w="0" w:type="dxa"/>
            <w:bottom w:w="0" w:type="dxa"/>
            <w:right w:w="0" w:type="dxa"/>
          </w:tblCellMar>
        </w:tblPrEx>
        <w:trPr>
          <w:trHeight w:val="223"/>
        </w:trPr>
        <w:tc>
          <w:tcPr>
            <w:tcW w:w="67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7"/>
                <w:szCs w:val="17"/>
              </w:rPr>
              <w:t>OTHER COMPREHENSIVE INCOME/(LOSS), NET OF TAX</w:t>
            </w: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33"/>
        </w:trPr>
        <w:tc>
          <w:tcPr>
            <w:tcW w:w="6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6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7"/>
                <w:szCs w:val="17"/>
              </w:rPr>
              <w:t>Financial statement translation</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1,044</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710</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(5,990)</w:t>
            </w:r>
          </w:p>
        </w:tc>
      </w:tr>
      <w:tr w:rsidR="00000000">
        <w:tblPrEx>
          <w:tblCellMar>
            <w:top w:w="0" w:type="dxa"/>
            <w:left w:w="0" w:type="dxa"/>
            <w:bottom w:w="0" w:type="dxa"/>
            <w:right w:w="0" w:type="dxa"/>
          </w:tblCellMar>
        </w:tblPrEx>
        <w:trPr>
          <w:trHeight w:val="253"/>
        </w:trPr>
        <w:tc>
          <w:tcPr>
            <w:tcW w:w="6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7"/>
                <w:szCs w:val="17"/>
              </w:rPr>
              <w:t>Unrealized gains/(losses) on hedges (net of $209, $92 and $441 tax, respectively)</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(347)</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144</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724</w:t>
            </w:r>
          </w:p>
        </w:tc>
      </w:tr>
      <w:tr w:rsidR="00000000">
        <w:tblPrEx>
          <w:tblCellMar>
            <w:top w:w="0" w:type="dxa"/>
            <w:left w:w="0" w:type="dxa"/>
            <w:bottom w:w="0" w:type="dxa"/>
            <w:right w:w="0" w:type="dxa"/>
          </w:tblCellMar>
        </w:tblPrEx>
        <w:trPr>
          <w:trHeight w:val="33"/>
        </w:trPr>
        <w:tc>
          <w:tcPr>
            <w:tcW w:w="6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6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7"/>
                <w:szCs w:val="17"/>
              </w:rPr>
              <w:t>Unrealized gains/(losses) on investment securities (net of $4, $5 and $3 tax, respectively)</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9</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(24)</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w:t>
            </w:r>
          </w:p>
        </w:tc>
      </w:tr>
      <w:tr w:rsidR="00000000">
        <w:tblPrEx>
          <w:tblCellMar>
            <w:top w:w="0" w:type="dxa"/>
            <w:left w:w="0" w:type="dxa"/>
            <w:bottom w:w="0" w:type="dxa"/>
            <w:right w:w="0" w:type="dxa"/>
          </w:tblCellMar>
        </w:tblPrEx>
        <w:trPr>
          <w:trHeight w:val="253"/>
        </w:trPr>
        <w:tc>
          <w:tcPr>
            <w:tcW w:w="6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7"/>
                <w:szCs w:val="17"/>
              </w:rPr>
              <w:t>Defined benefit retirement plans (net of $356, $637 and $993 tax, respectively)</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(869)</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1,004</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(2,010)</w:t>
            </w:r>
          </w:p>
        </w:tc>
      </w:tr>
      <w:tr w:rsidR="00000000">
        <w:tblPrEx>
          <w:tblCellMar>
            <w:top w:w="0" w:type="dxa"/>
            <w:left w:w="0" w:type="dxa"/>
            <w:bottom w:w="0" w:type="dxa"/>
            <w:right w:w="0" w:type="dxa"/>
          </w:tblCellMar>
        </w:tblPrEx>
        <w:trPr>
          <w:trHeight w:val="24"/>
        </w:trPr>
        <w:tc>
          <w:tcPr>
            <w:tcW w:w="67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1"/>
        </w:trPr>
        <w:tc>
          <w:tcPr>
            <w:tcW w:w="6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7"/>
                <w:szCs w:val="17"/>
              </w:rPr>
              <w:t>TOTAL OTHER COMPREHENSIVE INCOME/(LOSS), NET OF TAX</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(163)</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1,834</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(7,279)</w:t>
            </w:r>
          </w:p>
        </w:tc>
      </w:tr>
      <w:tr w:rsidR="00000000">
        <w:tblPrEx>
          <w:tblCellMar>
            <w:top w:w="0" w:type="dxa"/>
            <w:left w:w="0" w:type="dxa"/>
            <w:bottom w:w="0" w:type="dxa"/>
            <w:right w:w="0" w:type="dxa"/>
          </w:tblCellMar>
        </w:tblPrEx>
        <w:trPr>
          <w:trHeight w:val="243"/>
        </w:trPr>
        <w:tc>
          <w:tcPr>
            <w:tcW w:w="67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7"/>
                <w:szCs w:val="17"/>
              </w:rPr>
              <w:t>TOTAL COMPREHENSIVE INCOME</w:t>
            </w: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11,622</w:t>
            </w:r>
          </w:p>
        </w:tc>
        <w:tc>
          <w:tcPr>
            <w:tcW w:w="14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13,236</w:t>
            </w:r>
          </w:p>
        </w:tc>
        <w:tc>
          <w:tcPr>
            <w:tcW w:w="14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3,625</w:t>
            </w:r>
          </w:p>
        </w:tc>
      </w:tr>
      <w:tr w:rsidR="00000000">
        <w:tblPrEx>
          <w:tblCellMar>
            <w:top w:w="0" w:type="dxa"/>
            <w:left w:w="0" w:type="dxa"/>
            <w:bottom w:w="0" w:type="dxa"/>
            <w:right w:w="0" w:type="dxa"/>
          </w:tblCellMar>
        </w:tblPrEx>
        <w:trPr>
          <w:trHeight w:val="23"/>
        </w:trPr>
        <w:tc>
          <w:tcPr>
            <w:tcW w:w="67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1"/>
        </w:trPr>
        <w:tc>
          <w:tcPr>
            <w:tcW w:w="6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7"/>
                <w:szCs w:val="17"/>
              </w:rPr>
              <w:t>Less: Total comprehensive income attributable to noncontrolling interests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150</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94</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124</w:t>
            </w:r>
          </w:p>
        </w:tc>
      </w:tr>
      <w:tr w:rsidR="00000000">
        <w:tblPrEx>
          <w:tblCellMar>
            <w:top w:w="0" w:type="dxa"/>
            <w:left w:w="0" w:type="dxa"/>
            <w:bottom w:w="0" w:type="dxa"/>
            <w:right w:w="0" w:type="dxa"/>
          </w:tblCellMar>
        </w:tblPrEx>
        <w:trPr>
          <w:trHeight w:val="246"/>
        </w:trPr>
        <w:tc>
          <w:tcPr>
            <w:tcW w:w="67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7"/>
                <w:szCs w:val="17"/>
              </w:rPr>
              <w:t>TOTAL COMPREHENSIVE INCOME ATTRIBUTABLE TO PROCTER &amp; GAMBLE</w:t>
            </w:r>
          </w:p>
        </w:tc>
        <w:tc>
          <w:tcPr>
            <w:tcW w:w="2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7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11,472</w:t>
            </w:r>
          </w:p>
        </w:tc>
        <w:tc>
          <w:tcPr>
            <w:tcW w:w="14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7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13,142</w:t>
            </w:r>
          </w:p>
        </w:tc>
        <w:tc>
          <w:tcPr>
            <w:tcW w:w="14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3,501</w:t>
            </w:r>
          </w:p>
        </w:tc>
      </w:tr>
      <w:tr w:rsidR="00000000">
        <w:tblPrEx>
          <w:tblCellMar>
            <w:top w:w="0" w:type="dxa"/>
            <w:left w:w="0" w:type="dxa"/>
            <w:bottom w:w="0" w:type="dxa"/>
            <w:right w:w="0" w:type="dxa"/>
          </w:tblCellMar>
        </w:tblPrEx>
        <w:trPr>
          <w:trHeight w:val="20"/>
        </w:trPr>
        <w:tc>
          <w:tcPr>
            <w:tcW w:w="6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20" w:bottom="1440" w:left="860" w:header="720" w:footer="720" w:gutter="0"/>
          <w:cols w:space="720" w:equalWidth="0">
            <w:col w:w="9740"/>
          </w:cols>
          <w:noEndnote/>
        </w:sectPr>
      </w:pPr>
    </w:p>
    <w:p w:rsidR="00000000" w:rsidRDefault="0057438D">
      <w:pPr>
        <w:pStyle w:val="DefaultParagraphFont"/>
        <w:widowControl w:val="0"/>
        <w:autoSpaceDE w:val="0"/>
        <w:autoSpaceDN w:val="0"/>
        <w:adjustRightInd w:val="0"/>
        <w:spacing w:after="0" w:line="240" w:lineRule="auto"/>
        <w:ind w:left="7380"/>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49</w:t>
      </w:r>
    </w:p>
    <w:p w:rsidR="00000000" w:rsidRDefault="0057438D">
      <w:pPr>
        <w:pStyle w:val="DefaultParagraphFont"/>
        <w:widowControl w:val="0"/>
        <w:autoSpaceDE w:val="0"/>
        <w:autoSpaceDN w:val="0"/>
        <w:adjustRightInd w:val="0"/>
        <w:spacing w:after="0" w:line="35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Consolidated Balance Sheets</w:t>
      </w:r>
    </w:p>
    <w:p w:rsidR="00000000" w:rsidRDefault="0057438D">
      <w:pPr>
        <w:pStyle w:val="DefaultParagraphFont"/>
        <w:widowControl w:val="0"/>
        <w:autoSpaceDE w:val="0"/>
        <w:autoSpaceDN w:val="0"/>
        <w:adjustRightInd w:val="0"/>
        <w:spacing w:after="0" w:line="17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Amounts in millions; June 30</w:t>
      </w:r>
    </w:p>
    <w:p w:rsidR="00000000" w:rsidRDefault="0057438D">
      <w:pPr>
        <w:pStyle w:val="DefaultParagraphFont"/>
        <w:widowControl w:val="0"/>
        <w:autoSpaceDE w:val="0"/>
        <w:autoSpaceDN w:val="0"/>
        <w:adjustRightInd w:val="0"/>
        <w:spacing w:after="0" w:line="5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760"/>
        <w:gridCol w:w="220"/>
        <w:gridCol w:w="720"/>
        <w:gridCol w:w="80"/>
        <w:gridCol w:w="240"/>
        <w:gridCol w:w="760"/>
        <w:gridCol w:w="20"/>
      </w:tblGrid>
      <w:tr w:rsidR="00000000">
        <w:tblPrEx>
          <w:tblCellMar>
            <w:top w:w="0" w:type="dxa"/>
            <w:left w:w="0" w:type="dxa"/>
            <w:bottom w:w="0" w:type="dxa"/>
            <w:right w:w="0" w:type="dxa"/>
          </w:tblCellMar>
        </w:tblPrEx>
        <w:trPr>
          <w:trHeight w:val="295"/>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u w:val="single"/>
              </w:rPr>
              <w:t>Assets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30"/>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70"/>
              <w:jc w:val="right"/>
              <w:rPr>
                <w:rFonts w:ascii="Times New Roman" w:hAnsi="Times New Roman" w:cs="Times New Roman"/>
                <w:sz w:val="24"/>
                <w:szCs w:val="24"/>
              </w:rPr>
            </w:pPr>
            <w:r>
              <w:rPr>
                <w:rFonts w:ascii="Times New Roman" w:hAnsi="Times New Roman" w:cs="Times New Roman"/>
                <w:b/>
                <w:bCs/>
                <w:sz w:val="15"/>
                <w:szCs w:val="15"/>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77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CURRENT ASSETS</w:t>
            </w: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Cash and cash equivalents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8,558</w:t>
            </w:r>
          </w:p>
        </w:tc>
        <w:tc>
          <w:tcPr>
            <w:tcW w:w="3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Times New Roman" w:hAnsi="Times New Roman" w:cs="Times New Roman"/>
                <w:sz w:val="18"/>
                <w:szCs w:val="18"/>
              </w:rPr>
              <w:t>$</w:t>
            </w: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5,947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1"/>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Available-for-sale investment securities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2,128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4"/>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Accounts receivable</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6,386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6,508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4"/>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INVENTORIES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3"/>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17"/>
                <w:szCs w:val="17"/>
              </w:rPr>
              <w:t>Materials and supplies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1,742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1,704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17"/>
                <w:szCs w:val="17"/>
              </w:rPr>
              <w:t>Work in process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684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722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9"/>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17"/>
                <w:szCs w:val="17"/>
              </w:rPr>
              <w:t>Finished goods</w:t>
            </w: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4,333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4,483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7"/>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Total inventories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6,759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6,909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Deferred income taxes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1,092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948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Prepaid expenses and other current assets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3,845</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3,678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9"/>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Assets held for sale</w:t>
            </w: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2,849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5"/>
        </w:trPr>
        <w:tc>
          <w:tcPr>
            <w:tcW w:w="77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TOTAL CURRENT ASSETS</w:t>
            </w: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31,617</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23,990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8"/>
        </w:trPr>
        <w:tc>
          <w:tcPr>
            <w:tcW w:w="7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PROPERTY, PLANT AND EQUIPMENT, NET</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22,304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21,666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GOODWILL</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53,704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55,188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TRADEMARKS AND OTHER INTANGIBLE ASSETS, NET</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30,843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31,572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9"/>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OTHER NONCURRENT ASSETS</w:t>
            </w: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5,798</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6,847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4"/>
        </w:trPr>
        <w:tc>
          <w:tcPr>
            <w:tcW w:w="77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TOTAL ASSETS</w:t>
            </w: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144,266</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Times New Roman" w:hAnsi="Times New Roman" w:cs="Times New Roman"/>
                <w:sz w:val="18"/>
                <w:szCs w:val="18"/>
              </w:rPr>
              <w:t>$</w:t>
            </w: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139,263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6"/>
        </w:trPr>
        <w:tc>
          <w:tcPr>
            <w:tcW w:w="7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4"/>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u w:val="single"/>
              </w:rPr>
              <w:t>Liabilities and Shareholders' Equity</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3"/>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8"/>
        </w:trPr>
        <w:tc>
          <w:tcPr>
            <w:tcW w:w="7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CURRENT LIABILITIES</w:t>
            </w: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Accounts payable</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8,461</w:t>
            </w:r>
          </w:p>
        </w:tc>
        <w:tc>
          <w:tcPr>
            <w:tcW w:w="3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Times New Roman" w:hAnsi="Times New Roman" w:cs="Times New Roman"/>
                <w:sz w:val="18"/>
                <w:szCs w:val="18"/>
              </w:rPr>
              <w:t>$</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8,777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Accrued and other liabilities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8,999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8,828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Liabilities held for sale</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660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9"/>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Debt due within one year</w:t>
            </w: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15,606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12,432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7"/>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TOTAL CURRENT LIABILITIES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33,726</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30,037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LONG-TERM DEBT</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19,811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19,111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DEFERRED INCOME TAXES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10,218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10,827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9"/>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OTHER NONCURRENT LIABILITIES</w:t>
            </w: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10,535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10,579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5"/>
        </w:trPr>
        <w:tc>
          <w:tcPr>
            <w:tcW w:w="77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TOTAL LIABILITIES</w:t>
            </w: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74,290</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70,554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8"/>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SHAREHOLDERS' EQUITY</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Convertible Class A preferred stock, stated value $1 per share (600 shares authorized)</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1,111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1,137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Non-Voting Class B preferred stock, stated value $1 per share (200 shares authorized)</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7"/>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6" w:lineRule="exact"/>
              <w:ind w:left="60"/>
              <w:rPr>
                <w:rFonts w:ascii="Times New Roman" w:hAnsi="Times New Roman" w:cs="Times New Roman"/>
                <w:sz w:val="24"/>
                <w:szCs w:val="24"/>
              </w:rPr>
            </w:pPr>
            <w:r>
              <w:rPr>
                <w:rFonts w:ascii="Times New Roman" w:hAnsi="Times New Roman" w:cs="Times New Roman"/>
                <w:sz w:val="17"/>
                <w:szCs w:val="17"/>
              </w:rPr>
              <w:t>Common stock, stated value $1 per share (10,000 shares authorized; shares issued: 2014 - 4009.2, 2013 -</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4,009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4,009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0"/>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4,009.2)</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2"/>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Additional paid-in capital</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63,911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63,538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Reserve for ESOP debt retirement</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(1,340)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(1,352)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Accumulated other comprehensive income/(loss)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(7,662)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(7,499)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Treasury stock, at cost (shares held: 2014 - 1,298.4, 2013 - 1,266.9)</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(75,805)</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(71,966)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Retained earnings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84,990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80,197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77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Noncontrolling interest</w:t>
            </w: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762</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645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4"/>
        </w:trPr>
        <w:tc>
          <w:tcPr>
            <w:tcW w:w="7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TOTAL SHAREHOLDERS' EQUITY</w:t>
            </w: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69,976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68,709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TOTAL LIABILITIES AND SHAREHOLDERS' EQUITY</w:t>
            </w: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144,266</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Times New Roman" w:hAnsi="Times New Roman" w:cs="Times New Roman"/>
                <w:sz w:val="18"/>
                <w:szCs w:val="18"/>
              </w:rPr>
              <w:t>$</w:t>
            </w: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139,263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880" w:bottom="346" w:left="860" w:header="720" w:footer="720" w:gutter="0"/>
          <w:cols w:space="720" w:equalWidth="0">
            <w:col w:w="97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See accompanying Notes to Consolidated Financial Statements.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6740" w:header="720" w:footer="720" w:gutter="0"/>
          <w:cols w:space="720" w:equalWidth="0">
            <w:col w:w="390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50</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Consolidated Statements of Shareholders' Equity</w:t>
      </w:r>
    </w:p>
    <w:p w:rsidR="00000000" w:rsidRDefault="0057438D">
      <w:pPr>
        <w:pStyle w:val="DefaultParagraphFont"/>
        <w:widowControl w:val="0"/>
        <w:autoSpaceDE w:val="0"/>
        <w:autoSpaceDN w:val="0"/>
        <w:adjustRightInd w:val="0"/>
        <w:spacing w:after="0" w:line="16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240"/>
        <w:gridCol w:w="920"/>
        <w:gridCol w:w="660"/>
        <w:gridCol w:w="180"/>
        <w:gridCol w:w="520"/>
        <w:gridCol w:w="740"/>
        <w:gridCol w:w="180"/>
        <w:gridCol w:w="620"/>
        <w:gridCol w:w="760"/>
        <w:gridCol w:w="760"/>
        <w:gridCol w:w="720"/>
        <w:gridCol w:w="180"/>
        <w:gridCol w:w="600"/>
        <w:gridCol w:w="700"/>
        <w:gridCol w:w="20"/>
      </w:tblGrid>
      <w:tr w:rsidR="00000000">
        <w:tblPrEx>
          <w:tblCellMar>
            <w:top w:w="0" w:type="dxa"/>
            <w:left w:w="0" w:type="dxa"/>
            <w:bottom w:w="0" w:type="dxa"/>
            <w:right w:w="0" w:type="dxa"/>
          </w:tblCellMar>
        </w:tblPrEx>
        <w:trPr>
          <w:trHeight w:val="161"/>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0" w:lineRule="exact"/>
              <w:jc w:val="right"/>
              <w:rPr>
                <w:rFonts w:ascii="Times New Roman" w:hAnsi="Times New Roman" w:cs="Times New Roman"/>
                <w:sz w:val="24"/>
                <w:szCs w:val="24"/>
              </w:rPr>
            </w:pPr>
            <w:r>
              <w:rPr>
                <w:rFonts w:ascii="Times New Roman" w:hAnsi="Times New Roman" w:cs="Times New Roman"/>
                <w:b/>
                <w:bCs/>
                <w:sz w:val="14"/>
                <w:szCs w:val="14"/>
              </w:rPr>
              <w:t>Accumula</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3"/>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4"/>
                <w:szCs w:val="14"/>
              </w:rPr>
              <w:t>Reserve</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3" w:lineRule="exact"/>
              <w:jc w:val="right"/>
              <w:rPr>
                <w:rFonts w:ascii="Times New Roman" w:hAnsi="Times New Roman" w:cs="Times New Roman"/>
                <w:sz w:val="24"/>
                <w:szCs w:val="24"/>
              </w:rPr>
            </w:pPr>
            <w:r>
              <w:rPr>
                <w:rFonts w:ascii="Times New Roman" w:hAnsi="Times New Roman" w:cs="Times New Roman"/>
                <w:b/>
                <w:bCs/>
                <w:sz w:val="14"/>
                <w:szCs w:val="14"/>
              </w:rPr>
              <w:t>ted</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3"/>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b/>
                <w:bCs/>
                <w:sz w:val="14"/>
                <w:szCs w:val="14"/>
              </w:rPr>
              <w:t>Addition</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3" w:lineRule="exact"/>
              <w:jc w:val="right"/>
              <w:rPr>
                <w:rFonts w:ascii="Times New Roman" w:hAnsi="Times New Roman" w:cs="Times New Roman"/>
                <w:sz w:val="24"/>
                <w:szCs w:val="24"/>
              </w:rPr>
            </w:pPr>
            <w:r>
              <w:rPr>
                <w:rFonts w:ascii="Times New Roman" w:hAnsi="Times New Roman" w:cs="Times New Roman"/>
                <w:b/>
                <w:bCs/>
                <w:sz w:val="14"/>
                <w:szCs w:val="14"/>
              </w:rPr>
              <w:t>Other</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3"/>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9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
              <w:jc w:val="right"/>
              <w:rPr>
                <w:rFonts w:ascii="Times New Roman" w:hAnsi="Times New Roman" w:cs="Times New Roman"/>
                <w:sz w:val="24"/>
                <w:szCs w:val="24"/>
              </w:rPr>
            </w:pPr>
            <w:r>
              <w:rPr>
                <w:rFonts w:ascii="Times New Roman" w:hAnsi="Times New Roman" w:cs="Times New Roman"/>
                <w:b/>
                <w:bCs/>
                <w:sz w:val="14"/>
                <w:szCs w:val="14"/>
              </w:rPr>
              <w:t>Common</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3" w:lineRule="exact"/>
              <w:jc w:val="right"/>
              <w:rPr>
                <w:rFonts w:ascii="Times New Roman" w:hAnsi="Times New Roman" w:cs="Times New Roman"/>
                <w:sz w:val="24"/>
                <w:szCs w:val="24"/>
              </w:rPr>
            </w:pPr>
            <w:r>
              <w:rPr>
                <w:rFonts w:ascii="Times New Roman" w:hAnsi="Times New Roman" w:cs="Times New Roman"/>
                <w:b/>
                <w:bCs/>
                <w:sz w:val="14"/>
                <w:szCs w:val="14"/>
              </w:rPr>
              <w:t>for</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3" w:lineRule="exact"/>
              <w:jc w:val="right"/>
              <w:rPr>
                <w:rFonts w:ascii="Times New Roman" w:hAnsi="Times New Roman" w:cs="Times New Roman"/>
                <w:sz w:val="24"/>
                <w:szCs w:val="24"/>
              </w:rPr>
            </w:pPr>
            <w:r>
              <w:rPr>
                <w:rFonts w:ascii="Times New Roman" w:hAnsi="Times New Roman" w:cs="Times New Roman"/>
                <w:b/>
                <w:bCs/>
                <w:sz w:val="14"/>
                <w:szCs w:val="14"/>
              </w:rPr>
              <w:t>Compreh</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4"/>
                <w:szCs w:val="14"/>
              </w:rPr>
              <w:t>Non-</w:t>
            </w: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3"/>
        </w:trPr>
        <w:tc>
          <w:tcPr>
            <w:tcW w:w="22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4"/>
                <w:szCs w:val="14"/>
              </w:rPr>
              <w:t>Dollars in millions/</w:t>
            </w:r>
          </w:p>
        </w:tc>
        <w:tc>
          <w:tcPr>
            <w:tcW w:w="9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4"/>
                <w:szCs w:val="14"/>
              </w:rPr>
              <w:t>Common</w:t>
            </w:r>
          </w:p>
        </w:tc>
        <w:tc>
          <w:tcPr>
            <w:tcW w:w="7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4"/>
                <w:szCs w:val="14"/>
              </w:rPr>
              <w:t>Preferred</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3" w:lineRule="exact"/>
              <w:ind w:right="14"/>
              <w:jc w:val="right"/>
              <w:rPr>
                <w:rFonts w:ascii="Times New Roman" w:hAnsi="Times New Roman" w:cs="Times New Roman"/>
                <w:sz w:val="24"/>
                <w:szCs w:val="24"/>
              </w:rPr>
            </w:pPr>
            <w:r>
              <w:rPr>
                <w:rFonts w:ascii="Times New Roman" w:hAnsi="Times New Roman" w:cs="Times New Roman"/>
                <w:b/>
                <w:bCs/>
                <w:sz w:val="14"/>
                <w:szCs w:val="14"/>
              </w:rPr>
              <w:t>al</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3" w:lineRule="exact"/>
              <w:jc w:val="right"/>
              <w:rPr>
                <w:rFonts w:ascii="Times New Roman" w:hAnsi="Times New Roman" w:cs="Times New Roman"/>
                <w:sz w:val="24"/>
                <w:szCs w:val="24"/>
              </w:rPr>
            </w:pPr>
            <w:r>
              <w:rPr>
                <w:rFonts w:ascii="Times New Roman" w:hAnsi="Times New Roman" w:cs="Times New Roman"/>
                <w:b/>
                <w:bCs/>
                <w:sz w:val="14"/>
                <w:szCs w:val="14"/>
              </w:rPr>
              <w:t>ESOP</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3" w:lineRule="exact"/>
              <w:jc w:val="right"/>
              <w:rPr>
                <w:rFonts w:ascii="Times New Roman" w:hAnsi="Times New Roman" w:cs="Times New Roman"/>
                <w:sz w:val="24"/>
                <w:szCs w:val="24"/>
              </w:rPr>
            </w:pPr>
            <w:r>
              <w:rPr>
                <w:rFonts w:ascii="Times New Roman" w:hAnsi="Times New Roman" w:cs="Times New Roman"/>
                <w:b/>
                <w:bCs/>
                <w:sz w:val="14"/>
                <w:szCs w:val="14"/>
              </w:rPr>
              <w:t>ensive</w:t>
            </w:r>
          </w:p>
        </w:tc>
        <w:tc>
          <w:tcPr>
            <w:tcW w:w="7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4"/>
                <w:szCs w:val="14"/>
              </w:rPr>
              <w:t>Treasury</w:t>
            </w:r>
          </w:p>
        </w:tc>
        <w:tc>
          <w:tcPr>
            <w:tcW w:w="7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4"/>
                <w:szCs w:val="14"/>
              </w:rPr>
              <w:t>Retained</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3"/>
        </w:trPr>
        <w:tc>
          <w:tcPr>
            <w:tcW w:w="22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3" w:lineRule="exact"/>
              <w:ind w:right="13"/>
              <w:jc w:val="right"/>
              <w:rPr>
                <w:rFonts w:ascii="Times New Roman" w:hAnsi="Times New Roman" w:cs="Times New Roman"/>
                <w:sz w:val="24"/>
                <w:szCs w:val="24"/>
              </w:rPr>
            </w:pPr>
            <w:r>
              <w:rPr>
                <w:rFonts w:ascii="Times New Roman" w:hAnsi="Times New Roman" w:cs="Times New Roman"/>
                <w:b/>
                <w:bCs/>
                <w:sz w:val="14"/>
                <w:szCs w:val="14"/>
              </w:rPr>
              <w:t>Shares</w:t>
            </w:r>
          </w:p>
        </w:tc>
        <w:tc>
          <w:tcPr>
            <w:tcW w:w="6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0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3" w:lineRule="exact"/>
              <w:ind w:right="14"/>
              <w:jc w:val="right"/>
              <w:rPr>
                <w:rFonts w:ascii="Times New Roman" w:hAnsi="Times New Roman" w:cs="Times New Roman"/>
                <w:sz w:val="24"/>
                <w:szCs w:val="24"/>
              </w:rPr>
            </w:pPr>
            <w:r>
              <w:rPr>
                <w:rFonts w:ascii="Times New Roman" w:hAnsi="Times New Roman" w:cs="Times New Roman"/>
                <w:b/>
                <w:bCs/>
                <w:sz w:val="14"/>
                <w:szCs w:val="14"/>
              </w:rPr>
              <w:t>Paid-In</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3" w:lineRule="exact"/>
              <w:jc w:val="right"/>
              <w:rPr>
                <w:rFonts w:ascii="Times New Roman" w:hAnsi="Times New Roman" w:cs="Times New Roman"/>
                <w:sz w:val="24"/>
                <w:szCs w:val="24"/>
              </w:rPr>
            </w:pPr>
            <w:r>
              <w:rPr>
                <w:rFonts w:ascii="Times New Roman" w:hAnsi="Times New Roman" w:cs="Times New Roman"/>
                <w:b/>
                <w:bCs/>
                <w:sz w:val="14"/>
                <w:szCs w:val="14"/>
              </w:rPr>
              <w:t>Debt</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3" w:lineRule="exact"/>
              <w:jc w:val="right"/>
              <w:rPr>
                <w:rFonts w:ascii="Times New Roman" w:hAnsi="Times New Roman" w:cs="Times New Roman"/>
                <w:sz w:val="24"/>
                <w:szCs w:val="24"/>
              </w:rPr>
            </w:pPr>
            <w:r>
              <w:rPr>
                <w:rFonts w:ascii="Times New Roman" w:hAnsi="Times New Roman" w:cs="Times New Roman"/>
                <w:b/>
                <w:bCs/>
                <w:sz w:val="14"/>
                <w:szCs w:val="14"/>
              </w:rPr>
              <w:t>Income/</w:t>
            </w:r>
          </w:p>
        </w:tc>
        <w:tc>
          <w:tcPr>
            <w:tcW w:w="7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3" w:lineRule="exact"/>
              <w:jc w:val="right"/>
              <w:rPr>
                <w:rFonts w:ascii="Times New Roman" w:hAnsi="Times New Roman" w:cs="Times New Roman"/>
                <w:sz w:val="24"/>
                <w:szCs w:val="24"/>
              </w:rPr>
            </w:pPr>
            <w:r>
              <w:rPr>
                <w:rFonts w:ascii="Times New Roman" w:hAnsi="Times New Roman" w:cs="Times New Roman"/>
                <w:b/>
                <w:bCs/>
                <w:sz w:val="14"/>
                <w:szCs w:val="14"/>
              </w:rPr>
              <w:t>controlling</w:t>
            </w:r>
          </w:p>
        </w:tc>
        <w:tc>
          <w:tcPr>
            <w:tcW w:w="7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4"/>
                <w:szCs w:val="14"/>
              </w:rPr>
              <w:t>Total</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9"/>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4"/>
                <w:szCs w:val="14"/>
              </w:rPr>
              <w:t>Shares in thousands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
              <w:jc w:val="right"/>
              <w:rPr>
                <w:rFonts w:ascii="Times New Roman" w:hAnsi="Times New Roman" w:cs="Times New Roman"/>
                <w:sz w:val="24"/>
                <w:szCs w:val="24"/>
              </w:rPr>
            </w:pPr>
            <w:r>
              <w:rPr>
                <w:rFonts w:ascii="Times New Roman" w:hAnsi="Times New Roman" w:cs="Times New Roman"/>
                <w:b/>
                <w:bCs/>
                <w:sz w:val="14"/>
                <w:szCs w:val="14"/>
              </w:rPr>
              <w:t>Outstanding</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4"/>
                <w:szCs w:val="14"/>
              </w:rPr>
              <w:t>Stock</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4"/>
                <w:szCs w:val="14"/>
              </w:rPr>
              <w:t>Stock</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b/>
                <w:bCs/>
                <w:sz w:val="14"/>
                <w:szCs w:val="14"/>
              </w:rPr>
              <w:t>Capital</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4"/>
                <w:szCs w:val="14"/>
              </w:rPr>
              <w:t>Retirement</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4"/>
                <w:szCs w:val="14"/>
              </w:rPr>
              <w:t>(Loss)</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4"/>
                <w:szCs w:val="14"/>
              </w:rPr>
              <w:t>Stock</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4"/>
                <w:szCs w:val="14"/>
              </w:rPr>
              <w:t>Earnings</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4"/>
                <w:szCs w:val="14"/>
              </w:rPr>
              <w:t>Interest</w:t>
            </w:r>
          </w:p>
        </w:tc>
        <w:tc>
          <w:tcPr>
            <w:tcW w:w="7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
        </w:trPr>
        <w:tc>
          <w:tcPr>
            <w:tcW w:w="22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9"/>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BALANCE JUNE 30, 2011</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3"/>
              <w:jc w:val="right"/>
              <w:rPr>
                <w:rFonts w:ascii="Times New Roman" w:hAnsi="Times New Roman" w:cs="Times New Roman"/>
                <w:sz w:val="24"/>
                <w:szCs w:val="24"/>
              </w:rPr>
            </w:pPr>
            <w:r>
              <w:rPr>
                <w:rFonts w:ascii="Times New Roman" w:hAnsi="Times New Roman" w:cs="Times New Roman"/>
                <w:sz w:val="18"/>
                <w:szCs w:val="18"/>
              </w:rPr>
              <w:t>2,765,737</w:t>
            </w: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$ 4,008</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w:t>
            </w: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1,234</w:t>
            </w: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sz w:val="18"/>
                <w:szCs w:val="18"/>
              </w:rPr>
              <w:t>$62,405</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(1,357)</w:t>
            </w: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 (2,054)</w:t>
            </w: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$(67,278)</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98"/>
                <w:sz w:val="18"/>
                <w:szCs w:val="18"/>
              </w:rPr>
              <w:t>$ 70,682</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361</w:t>
            </w: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$68,001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Net earnings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10,756</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148</w:t>
            </w: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10,904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Other comprehensive loss</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(7,279)</w:t>
            </w: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(7,279)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5"/>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Dividends to shareholders: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3"/>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7"/>
                <w:szCs w:val="17"/>
              </w:rPr>
              <w:t>Common</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(5,883)</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(5,883)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7"/>
                <w:szCs w:val="17"/>
              </w:rPr>
              <w:t>Preferred, net of tax benefits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(256)</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(256)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Treasury purchases</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(61,826)</w:t>
            </w: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(4,024)</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(4,024)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Employee plan issuances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
              <w:jc w:val="right"/>
              <w:rPr>
                <w:rFonts w:ascii="Times New Roman" w:hAnsi="Times New Roman" w:cs="Times New Roman"/>
                <w:sz w:val="24"/>
                <w:szCs w:val="24"/>
              </w:rPr>
            </w:pPr>
            <w:r>
              <w:rPr>
                <w:rFonts w:ascii="Times New Roman" w:hAnsi="Times New Roman" w:cs="Times New Roman"/>
                <w:sz w:val="18"/>
                <w:szCs w:val="18"/>
              </w:rPr>
              <w:t>39,546</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sz w:val="18"/>
                <w:szCs w:val="18"/>
              </w:rPr>
              <w:t>550</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1,665</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2,215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Preferred stock conversions</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3"/>
              <w:jc w:val="right"/>
              <w:rPr>
                <w:rFonts w:ascii="Times New Roman" w:hAnsi="Times New Roman" w:cs="Times New Roman"/>
                <w:sz w:val="24"/>
                <w:szCs w:val="24"/>
              </w:rPr>
            </w:pPr>
            <w:r>
              <w:rPr>
                <w:rFonts w:ascii="Times New Roman" w:hAnsi="Times New Roman" w:cs="Times New Roman"/>
                <w:sz w:val="18"/>
                <w:szCs w:val="18"/>
              </w:rPr>
              <w:t>4,576</w:t>
            </w: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(39)</w:t>
            </w: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sz w:val="18"/>
                <w:szCs w:val="18"/>
              </w:rPr>
              <w:t>6</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33</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ESOP debt impacts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50</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2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Noncontrolling interest, net</w:t>
            </w:r>
          </w:p>
        </w:tc>
        <w:tc>
          <w:tcPr>
            <w:tcW w:w="9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sz w:val="18"/>
                <w:szCs w:val="18"/>
              </w:rPr>
              <w:t>220</w:t>
            </w: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87</w:t>
            </w:r>
          </w:p>
        </w:tc>
        <w:tc>
          <w:tcPr>
            <w:tcW w:w="7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307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9"/>
        </w:trPr>
        <w:tc>
          <w:tcPr>
            <w:tcW w:w="22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189" w:lineRule="exact"/>
              <w:ind w:left="60"/>
              <w:rPr>
                <w:rFonts w:ascii="Times New Roman" w:hAnsi="Times New Roman" w:cs="Times New Roman"/>
                <w:sz w:val="24"/>
                <w:szCs w:val="24"/>
              </w:rPr>
            </w:pPr>
            <w:r>
              <w:rPr>
                <w:rFonts w:ascii="Times New Roman" w:hAnsi="Times New Roman" w:cs="Times New Roman"/>
                <w:b/>
                <w:bCs/>
                <w:sz w:val="17"/>
                <w:szCs w:val="17"/>
              </w:rPr>
              <w:t>BALANCE JUNE 30, 2012</w:t>
            </w: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189" w:lineRule="exact"/>
              <w:ind w:right="13"/>
              <w:jc w:val="right"/>
              <w:rPr>
                <w:rFonts w:ascii="Times New Roman" w:hAnsi="Times New Roman" w:cs="Times New Roman"/>
                <w:sz w:val="24"/>
                <w:szCs w:val="24"/>
              </w:rPr>
            </w:pPr>
            <w:r>
              <w:rPr>
                <w:rFonts w:ascii="Times New Roman" w:hAnsi="Times New Roman" w:cs="Times New Roman"/>
                <w:sz w:val="18"/>
                <w:szCs w:val="18"/>
              </w:rPr>
              <w:t>2,748,033</w:t>
            </w: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189" w:lineRule="exact"/>
              <w:jc w:val="right"/>
              <w:rPr>
                <w:rFonts w:ascii="Times New Roman" w:hAnsi="Times New Roman" w:cs="Times New Roman"/>
                <w:sz w:val="24"/>
                <w:szCs w:val="24"/>
              </w:rPr>
            </w:pPr>
            <w:r>
              <w:rPr>
                <w:rFonts w:ascii="Times New Roman" w:hAnsi="Times New Roman" w:cs="Times New Roman"/>
                <w:sz w:val="18"/>
                <w:szCs w:val="18"/>
              </w:rPr>
              <w:t>4,008</w:t>
            </w: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189" w:lineRule="exact"/>
              <w:jc w:val="right"/>
              <w:rPr>
                <w:rFonts w:ascii="Times New Roman" w:hAnsi="Times New Roman" w:cs="Times New Roman"/>
                <w:sz w:val="24"/>
                <w:szCs w:val="24"/>
              </w:rPr>
            </w:pPr>
            <w:r>
              <w:rPr>
                <w:rFonts w:ascii="Times New Roman" w:hAnsi="Times New Roman" w:cs="Times New Roman"/>
                <w:sz w:val="18"/>
                <w:szCs w:val="18"/>
              </w:rPr>
              <w:t>1,195</w:t>
            </w: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189" w:lineRule="exact"/>
              <w:ind w:right="14"/>
              <w:jc w:val="right"/>
              <w:rPr>
                <w:rFonts w:ascii="Times New Roman" w:hAnsi="Times New Roman" w:cs="Times New Roman"/>
                <w:sz w:val="24"/>
                <w:szCs w:val="24"/>
              </w:rPr>
            </w:pPr>
            <w:r>
              <w:rPr>
                <w:rFonts w:ascii="Times New Roman" w:hAnsi="Times New Roman" w:cs="Times New Roman"/>
                <w:sz w:val="18"/>
                <w:szCs w:val="18"/>
              </w:rPr>
              <w:t>63,181</w:t>
            </w: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189" w:lineRule="exact"/>
              <w:jc w:val="right"/>
              <w:rPr>
                <w:rFonts w:ascii="Times New Roman" w:hAnsi="Times New Roman" w:cs="Times New Roman"/>
                <w:sz w:val="24"/>
                <w:szCs w:val="24"/>
              </w:rPr>
            </w:pPr>
            <w:r>
              <w:rPr>
                <w:rFonts w:ascii="Times New Roman" w:hAnsi="Times New Roman" w:cs="Times New Roman"/>
                <w:sz w:val="18"/>
                <w:szCs w:val="18"/>
              </w:rPr>
              <w:t>(1,357)</w:t>
            </w: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189" w:lineRule="exact"/>
              <w:jc w:val="right"/>
              <w:rPr>
                <w:rFonts w:ascii="Times New Roman" w:hAnsi="Times New Roman" w:cs="Times New Roman"/>
                <w:sz w:val="24"/>
                <w:szCs w:val="24"/>
              </w:rPr>
            </w:pPr>
            <w:r>
              <w:rPr>
                <w:rFonts w:ascii="Times New Roman" w:hAnsi="Times New Roman" w:cs="Times New Roman"/>
                <w:sz w:val="18"/>
                <w:szCs w:val="18"/>
              </w:rPr>
              <w:t>(9,333)</w:t>
            </w: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189" w:lineRule="exact"/>
              <w:jc w:val="right"/>
              <w:rPr>
                <w:rFonts w:ascii="Times New Roman" w:hAnsi="Times New Roman" w:cs="Times New Roman"/>
                <w:sz w:val="24"/>
                <w:szCs w:val="24"/>
              </w:rPr>
            </w:pPr>
            <w:r>
              <w:rPr>
                <w:rFonts w:ascii="Times New Roman" w:hAnsi="Times New Roman" w:cs="Times New Roman"/>
                <w:sz w:val="18"/>
                <w:szCs w:val="18"/>
              </w:rPr>
              <w:t>(69,604)</w:t>
            </w: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189" w:lineRule="exact"/>
              <w:jc w:val="right"/>
              <w:rPr>
                <w:rFonts w:ascii="Times New Roman" w:hAnsi="Times New Roman" w:cs="Times New Roman"/>
                <w:sz w:val="24"/>
                <w:szCs w:val="24"/>
              </w:rPr>
            </w:pPr>
            <w:r>
              <w:rPr>
                <w:rFonts w:ascii="Times New Roman" w:hAnsi="Times New Roman" w:cs="Times New Roman"/>
                <w:sz w:val="18"/>
                <w:szCs w:val="18"/>
              </w:rPr>
              <w:t>75,349</w:t>
            </w: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189" w:lineRule="exact"/>
              <w:jc w:val="right"/>
              <w:rPr>
                <w:rFonts w:ascii="Times New Roman" w:hAnsi="Times New Roman" w:cs="Times New Roman"/>
                <w:sz w:val="24"/>
                <w:szCs w:val="24"/>
              </w:rPr>
            </w:pPr>
            <w:r>
              <w:rPr>
                <w:rFonts w:ascii="Times New Roman" w:hAnsi="Times New Roman" w:cs="Times New Roman"/>
                <w:sz w:val="18"/>
                <w:szCs w:val="18"/>
              </w:rPr>
              <w:t>596</w:t>
            </w: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189" w:lineRule="exact"/>
              <w:jc w:val="right"/>
              <w:rPr>
                <w:rFonts w:ascii="Times New Roman" w:hAnsi="Times New Roman" w:cs="Times New Roman"/>
                <w:sz w:val="24"/>
                <w:szCs w:val="24"/>
              </w:rPr>
            </w:pPr>
            <w:r>
              <w:rPr>
                <w:rFonts w:ascii="Times New Roman" w:hAnsi="Times New Roman" w:cs="Times New Roman"/>
                <w:sz w:val="18"/>
                <w:szCs w:val="18"/>
              </w:rPr>
              <w:t>64,035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9"/>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Net earnings</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11,312</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90</w:t>
            </w: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11,402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Other comprehensive income</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9"/>
              <w:jc w:val="right"/>
              <w:rPr>
                <w:rFonts w:ascii="Times New Roman" w:hAnsi="Times New Roman" w:cs="Times New Roman"/>
                <w:sz w:val="24"/>
                <w:szCs w:val="24"/>
              </w:rPr>
            </w:pPr>
            <w:r>
              <w:rPr>
                <w:rFonts w:ascii="Times New Roman" w:hAnsi="Times New Roman" w:cs="Times New Roman"/>
                <w:sz w:val="18"/>
                <w:szCs w:val="18"/>
              </w:rPr>
              <w:t>1,834</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1,834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Dividends to shareholders:</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7"/>
                <w:szCs w:val="17"/>
              </w:rPr>
              <w:t>Common</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(6,275)</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(6,275)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7"/>
                <w:szCs w:val="17"/>
              </w:rPr>
              <w:t>Preferred, net of tax benefits</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(244)</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(244)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Treasury purchases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(84,234)</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(5,986)</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(5,986)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Employee plan issuances</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3"/>
              <w:jc w:val="right"/>
              <w:rPr>
                <w:rFonts w:ascii="Times New Roman" w:hAnsi="Times New Roman" w:cs="Times New Roman"/>
                <w:sz w:val="24"/>
                <w:szCs w:val="24"/>
              </w:rPr>
            </w:pPr>
            <w:r>
              <w:rPr>
                <w:rFonts w:ascii="Times New Roman" w:hAnsi="Times New Roman" w:cs="Times New Roman"/>
                <w:sz w:val="18"/>
                <w:szCs w:val="18"/>
              </w:rPr>
              <w:t>70,923</w:t>
            </w: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sz w:val="18"/>
                <w:szCs w:val="18"/>
              </w:rPr>
              <w:t>352</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3,573</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3,926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Preferred stock conversions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
              <w:jc w:val="right"/>
              <w:rPr>
                <w:rFonts w:ascii="Times New Roman" w:hAnsi="Times New Roman" w:cs="Times New Roman"/>
                <w:sz w:val="24"/>
                <w:szCs w:val="24"/>
              </w:rPr>
            </w:pPr>
            <w:r>
              <w:rPr>
                <w:rFonts w:ascii="Times New Roman" w:hAnsi="Times New Roman" w:cs="Times New Roman"/>
                <w:sz w:val="18"/>
                <w:szCs w:val="18"/>
              </w:rPr>
              <w:t>7,605</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(58)</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sz w:val="18"/>
                <w:szCs w:val="18"/>
              </w:rPr>
              <w:t>7</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51</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ESOP debt impacts</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w:t>
            </w: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55</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22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Noncontrolling interest, net</w:t>
            </w: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w:t>
            </w: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(41)</w:t>
            </w: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BALANCE JUNE 30, 2013</w:t>
            </w:r>
          </w:p>
        </w:tc>
        <w:tc>
          <w:tcPr>
            <w:tcW w:w="9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3"/>
              <w:jc w:val="right"/>
              <w:rPr>
                <w:rFonts w:ascii="Times New Roman" w:hAnsi="Times New Roman" w:cs="Times New Roman"/>
                <w:sz w:val="24"/>
                <w:szCs w:val="24"/>
              </w:rPr>
            </w:pPr>
            <w:r>
              <w:rPr>
                <w:rFonts w:ascii="Times New Roman" w:hAnsi="Times New Roman" w:cs="Times New Roman"/>
                <w:sz w:val="18"/>
                <w:szCs w:val="18"/>
              </w:rPr>
              <w:t>2,742,327</w:t>
            </w:r>
          </w:p>
        </w:tc>
        <w:tc>
          <w:tcPr>
            <w:tcW w:w="6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4,009</w:t>
            </w: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1,137</w:t>
            </w:r>
          </w:p>
        </w:tc>
        <w:tc>
          <w:tcPr>
            <w:tcW w:w="7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sz w:val="18"/>
                <w:szCs w:val="18"/>
              </w:rPr>
              <w:t>63,538</w:t>
            </w: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(1,352)</w:t>
            </w: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(7,499)</w:t>
            </w: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(71,966)</w:t>
            </w: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80,197</w:t>
            </w: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645</w:t>
            </w:r>
          </w:p>
        </w:tc>
        <w:tc>
          <w:tcPr>
            <w:tcW w:w="7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68,709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9"/>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Net earnings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11,643</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142</w:t>
            </w: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11,785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Other comprehensive loss</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(163)</w:t>
            </w: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(163)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5"/>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Dividends to shareholders: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3"/>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7"/>
                <w:szCs w:val="17"/>
              </w:rPr>
              <w:t>Common</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(6,658)</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(6,658)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7"/>
                <w:szCs w:val="17"/>
              </w:rPr>
              <w:t>Preferred, net of tax benefits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(253)</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(253)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Treasury purchases</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(74,987)</w:t>
            </w: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(6,005)</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(6,005)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Employee plan issuances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
              <w:jc w:val="right"/>
              <w:rPr>
                <w:rFonts w:ascii="Times New Roman" w:hAnsi="Times New Roman" w:cs="Times New Roman"/>
                <w:sz w:val="24"/>
                <w:szCs w:val="24"/>
              </w:rPr>
            </w:pPr>
            <w:r>
              <w:rPr>
                <w:rFonts w:ascii="Times New Roman" w:hAnsi="Times New Roman" w:cs="Times New Roman"/>
                <w:b/>
                <w:bCs/>
                <w:sz w:val="18"/>
                <w:szCs w:val="18"/>
              </w:rPr>
              <w:t>40,288</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b/>
                <w:bCs/>
                <w:sz w:val="18"/>
                <w:szCs w:val="18"/>
              </w:rPr>
              <w:t>364</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2,144</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2,508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Preferred stock conversions</w:t>
            </w: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3"/>
              <w:jc w:val="right"/>
              <w:rPr>
                <w:rFonts w:ascii="Times New Roman" w:hAnsi="Times New Roman" w:cs="Times New Roman"/>
                <w:sz w:val="24"/>
                <w:szCs w:val="24"/>
              </w:rPr>
            </w:pPr>
            <w:r>
              <w:rPr>
                <w:rFonts w:ascii="Times New Roman" w:hAnsi="Times New Roman" w:cs="Times New Roman"/>
                <w:b/>
                <w:bCs/>
                <w:sz w:val="18"/>
                <w:szCs w:val="18"/>
              </w:rPr>
              <w:t>3,178</w:t>
            </w: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(26)</w:t>
            </w: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b/>
                <w:bCs/>
                <w:sz w:val="18"/>
                <w:szCs w:val="18"/>
              </w:rPr>
              <w:t>4</w:t>
            </w: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22</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ESOP debt impacts</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12</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61</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73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2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Noncontrolling interest, net</w:t>
            </w:r>
          </w:p>
        </w:tc>
        <w:tc>
          <w:tcPr>
            <w:tcW w:w="9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b/>
                <w:bCs/>
                <w:sz w:val="18"/>
                <w:szCs w:val="18"/>
              </w:rPr>
              <w:t>5</w:t>
            </w: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(25)</w:t>
            </w:r>
          </w:p>
        </w:tc>
        <w:tc>
          <w:tcPr>
            <w:tcW w:w="7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3"/>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BALANCE JUNE 30, 2014</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
              <w:jc w:val="right"/>
              <w:rPr>
                <w:rFonts w:ascii="Times New Roman" w:hAnsi="Times New Roman" w:cs="Times New Roman"/>
                <w:sz w:val="24"/>
                <w:szCs w:val="24"/>
              </w:rPr>
            </w:pPr>
            <w:r>
              <w:rPr>
                <w:rFonts w:ascii="Times New Roman" w:hAnsi="Times New Roman" w:cs="Times New Roman"/>
                <w:b/>
                <w:bCs/>
                <w:sz w:val="18"/>
                <w:szCs w:val="18"/>
                <w:u w:val="single"/>
              </w:rPr>
              <w:t>2,710,806</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u w:val="single"/>
              </w:rPr>
              <w:t>$ 4,009</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8"/>
                <w:szCs w:val="18"/>
                <w:u w:val="single"/>
              </w:rPr>
              <w:t>$</w:t>
            </w: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u w:val="single"/>
              </w:rPr>
              <w:t>1,111</w:t>
            </w: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b/>
                <w:bCs/>
                <w:sz w:val="18"/>
                <w:szCs w:val="18"/>
                <w:u w:val="single"/>
              </w:rPr>
              <w:t>$63,911</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u w:val="single"/>
              </w:rPr>
              <w:t>$</w:t>
            </w: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u w:val="single"/>
              </w:rPr>
              <w:t>(1,340)</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u w:val="single"/>
              </w:rPr>
              <w:t>$ (7,662)</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u w:val="single"/>
              </w:rPr>
              <w:t>$(75,805)</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u w:val="single"/>
              </w:rPr>
              <w:t>$84,990</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u w:val="single"/>
              </w:rPr>
              <w:t>$</w:t>
            </w: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u w:val="single"/>
              </w:rPr>
              <w:t>762</w:t>
            </w: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u w:val="single"/>
              </w:rPr>
              <w:t>$69,976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
        </w:trPr>
        <w:tc>
          <w:tcPr>
            <w:tcW w:w="2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80" w:bottom="346" w:left="860" w:header="720" w:footer="720" w:gutter="0"/>
          <w:cols w:space="720" w:equalWidth="0">
            <w:col w:w="97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See accompanying Notes to Consolidated Financial Statements.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6760" w:bottom="346" w:left="860" w:header="720" w:footer="720" w:gutter="0"/>
          <w:cols w:space="720" w:equalWidth="0">
            <w:col w:w="390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51</w:t>
      </w:r>
    </w:p>
    <w:p w:rsidR="00000000" w:rsidRDefault="0057438D">
      <w:pPr>
        <w:pStyle w:val="DefaultParagraphFont"/>
        <w:widowControl w:val="0"/>
        <w:autoSpaceDE w:val="0"/>
        <w:autoSpaceDN w:val="0"/>
        <w:adjustRightInd w:val="0"/>
        <w:spacing w:after="0" w:line="35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Consolidated Statements of Cash Flows</w:t>
      </w:r>
    </w:p>
    <w:p w:rsidR="00000000" w:rsidRDefault="0057438D">
      <w:pPr>
        <w:pStyle w:val="DefaultParagraphFont"/>
        <w:widowControl w:val="0"/>
        <w:autoSpaceDE w:val="0"/>
        <w:autoSpaceDN w:val="0"/>
        <w:adjustRightInd w:val="0"/>
        <w:spacing w:after="0" w:line="22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000"/>
        <w:gridCol w:w="200"/>
        <w:gridCol w:w="680"/>
        <w:gridCol w:w="60"/>
        <w:gridCol w:w="220"/>
        <w:gridCol w:w="660"/>
        <w:gridCol w:w="80"/>
        <w:gridCol w:w="200"/>
        <w:gridCol w:w="680"/>
        <w:gridCol w:w="20"/>
      </w:tblGrid>
      <w:tr w:rsidR="00000000">
        <w:tblPrEx>
          <w:tblCellMar>
            <w:top w:w="0" w:type="dxa"/>
            <w:left w:w="0" w:type="dxa"/>
            <w:bottom w:w="0" w:type="dxa"/>
            <w:right w:w="0" w:type="dxa"/>
          </w:tblCellMar>
        </w:tblPrEx>
        <w:trPr>
          <w:trHeight w:val="203"/>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Amounts in millions; Years ended June 30</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10"/>
              <w:jc w:val="right"/>
              <w:rPr>
                <w:rFonts w:ascii="Times New Roman" w:hAnsi="Times New Roman" w:cs="Times New Roman"/>
                <w:sz w:val="24"/>
                <w:szCs w:val="24"/>
              </w:rPr>
            </w:pPr>
            <w:r>
              <w:rPr>
                <w:rFonts w:ascii="Times New Roman" w:hAnsi="Times New Roman" w:cs="Times New Roman"/>
                <w:b/>
                <w:bCs/>
                <w:sz w:val="15"/>
                <w:szCs w:val="15"/>
              </w:rPr>
              <w:t>2014</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10"/>
              <w:jc w:val="right"/>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10"/>
              <w:jc w:val="right"/>
              <w:rPr>
                <w:rFonts w:ascii="Times New Roman" w:hAnsi="Times New Roman" w:cs="Times New Roman"/>
                <w:sz w:val="24"/>
                <w:szCs w:val="24"/>
              </w:rPr>
            </w:pPr>
            <w:r>
              <w:rPr>
                <w:rFonts w:ascii="Times New Roman" w:hAnsi="Times New Roman" w:cs="Times New Roman"/>
                <w:b/>
                <w:bCs/>
                <w:sz w:val="15"/>
                <w:szCs w:val="15"/>
              </w:rPr>
              <w:t>2012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r>
      <w:tr w:rsidR="00000000">
        <w:tblPrEx>
          <w:tblCellMar>
            <w:top w:w="0" w:type="dxa"/>
            <w:left w:w="0" w:type="dxa"/>
            <w:bottom w:w="0" w:type="dxa"/>
            <w:right w:w="0" w:type="dxa"/>
          </w:tblCellMar>
        </w:tblPrEx>
        <w:trPr>
          <w:trHeight w:val="25"/>
        </w:trPr>
        <w:tc>
          <w:tcPr>
            <w:tcW w:w="70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7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CASH AND CASH EQUI</w:t>
            </w:r>
            <w:r>
              <w:rPr>
                <w:rFonts w:ascii="Times New Roman" w:hAnsi="Times New Roman" w:cs="Times New Roman"/>
                <w:b/>
                <w:bCs/>
                <w:sz w:val="17"/>
                <w:szCs w:val="17"/>
              </w:rPr>
              <w:t>VALENTS, BEGINNING OF YEAR</w:t>
            </w: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5,947</w:t>
            </w: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4,436</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2,768</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34"/>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OPERATING ACTIVITIES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3"/>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Net earnings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11,785</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11,402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10,904</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0"/>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Depreciation and amortization</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3,141</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2,982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3,204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7"/>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Share-based compensation expense</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360</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346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377</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0"/>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Deferred income taxes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(44)</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(307)</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(65)</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7"/>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Gain on sale and purchase of businesses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(154)</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(916)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(2,106)</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0"/>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Goodwill and indefinite-lived intangible asset impairment charges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308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1,576</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7"/>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Change in accounts receivable</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87</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(415)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(427)</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0"/>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Change in inventories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8</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(225)</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77</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7"/>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Change in accounts payable, accrued and other liabilities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1,253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(22)</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0"/>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Change in other operating assets and liabilities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(1,557)</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(444)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7"/>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9"/>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Other</w:t>
            </w: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331</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377</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210</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35"/>
        </w:trPr>
        <w:tc>
          <w:tcPr>
            <w:tcW w:w="70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TOTAL OPERATING ACTIVITIES</w:t>
            </w: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13,958</w:t>
            </w: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14,873</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13,284</w:t>
            </w: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8"/>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INVESTING ACTIVITIES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Capital expenditures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(3,848)</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(4,008)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(3,964)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7"/>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Proceeds from asset sales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570</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584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2,893</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0"/>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Acquisitions, net of cash acquired</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(24)</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(1,145)</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(134)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7"/>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Purchases of available-for-sale investment securities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(568)</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(1,605)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sz w:val="18"/>
                <w:szCs w:val="18"/>
              </w:rPr>
              <w:t>—</w:t>
            </w:r>
          </w:p>
        </w:tc>
      </w:tr>
      <w:tr w:rsidR="00000000">
        <w:tblPrEx>
          <w:tblCellMar>
            <w:top w:w="0" w:type="dxa"/>
            <w:left w:w="0" w:type="dxa"/>
            <w:bottom w:w="0" w:type="dxa"/>
            <w:right w:w="0" w:type="dxa"/>
          </w:tblCellMar>
        </w:tblPrEx>
        <w:trPr>
          <w:trHeight w:val="240"/>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Proceeds from sales of available-for-sale investment securities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24</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sz w:val="18"/>
                <w:szCs w:val="18"/>
              </w:rPr>
              <w:t>—</w:t>
            </w:r>
          </w:p>
        </w:tc>
      </w:tr>
      <w:tr w:rsidR="00000000">
        <w:tblPrEx>
          <w:tblCellMar>
            <w:top w:w="0" w:type="dxa"/>
            <w:left w:w="0" w:type="dxa"/>
            <w:bottom w:w="0" w:type="dxa"/>
            <w:right w:w="0" w:type="dxa"/>
          </w:tblCellMar>
        </w:tblPrEx>
        <w:trPr>
          <w:trHeight w:val="27"/>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9"/>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Change in other investments</w:t>
            </w: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(261)</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(121)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112</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35"/>
        </w:trPr>
        <w:tc>
          <w:tcPr>
            <w:tcW w:w="70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TOTAL INVESTING ACTIVITIES</w:t>
            </w: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(4,107)</w:t>
            </w: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(6,295)</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(1,093)</w:t>
            </w: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8"/>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FINANCING ACTIVITIES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Dividends to shareholders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(6,911)</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(6,519)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(6,139)</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7"/>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Change in short-term debt</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3,304</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3,406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(3,412)</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0"/>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Additions to long-term debt</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4,334</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2,331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3,985</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7"/>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Reductions of long-term debt</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(4,095)</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(3,752)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(2,549)</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0"/>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Treasury stock purchases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(6,005)</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(5,986)</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(4,024)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7"/>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9"/>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Impact of stock options and other</w:t>
            </w: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2,094</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3,449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1,729</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35"/>
        </w:trPr>
        <w:tc>
          <w:tcPr>
            <w:tcW w:w="70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TOTAL FINANCING ACTIVITIES</w:t>
            </w: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(7,279)</w:t>
            </w: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(7,071)</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(10,410)</w:t>
            </w: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64"/>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EFFECT OF EXCHANGE RATE CHANGES ON CASH AND CASH EQUIVALENTS</w:t>
            </w: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39</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(113)</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30"/>
        </w:trPr>
        <w:tc>
          <w:tcPr>
            <w:tcW w:w="70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CHANGE IN CASH AND CASH EQUIVALENTS</w:t>
            </w: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2,611</w:t>
            </w: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1,511</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1,668</w:t>
            </w: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66"/>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CASH AND CASH EQUIVALENTS, END OF YEAR</w:t>
            </w: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8,558</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5,947</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4,436</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181"/>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247"/>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7"/>
                <w:szCs w:val="17"/>
              </w:rPr>
              <w:t>SUPPLEMENTAL DISCLOSURE</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34"/>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Cash payments for:</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3"/>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7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7"/>
                <w:szCs w:val="17"/>
              </w:rPr>
              <w:t>Interest</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686</w:t>
            </w:r>
          </w:p>
        </w:tc>
        <w:tc>
          <w:tcPr>
            <w:tcW w:w="2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683</w:t>
            </w:r>
          </w:p>
        </w:tc>
        <w:tc>
          <w:tcPr>
            <w:tcW w:w="2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740</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0"/>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7"/>
                <w:szCs w:val="17"/>
              </w:rPr>
              <w:t>Income taxes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8"/>
                <w:szCs w:val="18"/>
              </w:rPr>
              <w:t>3,320</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3,780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4,348</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7"/>
        </w:trPr>
        <w:tc>
          <w:tcPr>
            <w:tcW w:w="7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4"/>
        </w:trPr>
        <w:tc>
          <w:tcPr>
            <w:tcW w:w="7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7"/>
                <w:szCs w:val="17"/>
              </w:rPr>
              <w:t>Assets acquired through non-cash capital leases are immaterial for all periods.</w:t>
            </w: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3"/>
        </w:trPr>
        <w:tc>
          <w:tcPr>
            <w:tcW w:w="7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346" w:left="840" w:header="720" w:footer="720" w:gutter="0"/>
          <w:cols w:space="720" w:equalWidth="0">
            <w:col w:w="97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3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See accompanying Notes to Consolidated Financial Statements.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6740" w:header="720" w:footer="720" w:gutter="0"/>
          <w:cols w:space="720" w:equalWidth="0">
            <w:col w:w="390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52</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Notes to Consolidated Financial Statements</w:t>
      </w:r>
    </w:p>
    <w:p w:rsidR="00000000" w:rsidRDefault="0057438D">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NOTE 1</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680"/>
        <w:rPr>
          <w:rFonts w:ascii="Times New Roman" w:hAnsi="Times New Roman" w:cs="Times New Roman"/>
          <w:sz w:val="24"/>
          <w:szCs w:val="24"/>
        </w:rPr>
      </w:pPr>
      <w:r>
        <w:rPr>
          <w:rFonts w:ascii="Times New Roman" w:hAnsi="Times New Roman" w:cs="Times New Roman"/>
          <w:b/>
          <w:bCs/>
          <w:sz w:val="19"/>
          <w:szCs w:val="19"/>
        </w:rPr>
        <w:t>SUMMARY OF SIGNIFICANT ACCOUNTING POLICIES</w:t>
      </w:r>
    </w:p>
    <w:p w:rsidR="00000000" w:rsidRDefault="0057438D">
      <w:pPr>
        <w:pStyle w:val="DefaultParagraphFont"/>
        <w:widowControl w:val="0"/>
        <w:autoSpaceDE w:val="0"/>
        <w:autoSpaceDN w:val="0"/>
        <w:adjustRightInd w:val="0"/>
        <w:spacing w:after="0" w:line="10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Nature of Operations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0"/>
        <w:rPr>
          <w:rFonts w:ascii="Times New Roman" w:hAnsi="Times New Roman" w:cs="Times New Roman"/>
          <w:sz w:val="24"/>
          <w:szCs w:val="24"/>
        </w:rPr>
      </w:pPr>
      <w:r>
        <w:rPr>
          <w:rFonts w:ascii="Times New Roman" w:hAnsi="Times New Roman" w:cs="Times New Roman"/>
          <w:sz w:val="19"/>
          <w:szCs w:val="19"/>
        </w:rPr>
        <w:t xml:space="preserve">The Procter &amp; Gamble Company's (the "Company," "Procter &amp; Gamble," "we" or "us") business is focused on providing branded consumer packaged goods of superior quality and value. Our products </w:t>
      </w:r>
      <w:r>
        <w:rPr>
          <w:rFonts w:ascii="Times New Roman" w:hAnsi="Times New Roman" w:cs="Times New Roman"/>
          <w:sz w:val="19"/>
          <w:szCs w:val="19"/>
        </w:rPr>
        <w:t>are sold in more than 180 countries and territories primarily through retail operations including mass merchandisers, grocery stores, membership club stores, drug stores, department stores, salons, high-frequency stores and e-commerce. We have on-the-groun</w:t>
      </w:r>
      <w:r>
        <w:rPr>
          <w:rFonts w:ascii="Times New Roman" w:hAnsi="Times New Roman" w:cs="Times New Roman"/>
          <w:sz w:val="19"/>
          <w:szCs w:val="19"/>
        </w:rPr>
        <w:t>d operations in approximately 70 countries.</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Basis of Presentation</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200"/>
        <w:rPr>
          <w:rFonts w:ascii="Times New Roman" w:hAnsi="Times New Roman" w:cs="Times New Roman"/>
          <w:sz w:val="24"/>
          <w:szCs w:val="24"/>
        </w:rPr>
      </w:pPr>
      <w:r>
        <w:rPr>
          <w:rFonts w:ascii="Times New Roman" w:hAnsi="Times New Roman" w:cs="Times New Roman"/>
          <w:sz w:val="19"/>
          <w:szCs w:val="19"/>
        </w:rPr>
        <w:t>The Consolidated Financial Statements include the Company and its controlled subsidiaries. Intercompany transactions are eliminated. Prior year amounts have been reclassified to conform wi</w:t>
      </w:r>
      <w:r>
        <w:rPr>
          <w:rFonts w:ascii="Times New Roman" w:hAnsi="Times New Roman" w:cs="Times New Roman"/>
          <w:sz w:val="19"/>
          <w:szCs w:val="19"/>
        </w:rPr>
        <w:t>th current year presentation for amounts related to discontinued operations (see Note 13) and segment reporting (see Note 12).</w:t>
      </w:r>
    </w:p>
    <w:p w:rsidR="00000000" w:rsidRDefault="0057438D">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Use of Estimates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 xml:space="preserve">Preparation of financial statements in conformity with accounting principles generally accepted in the United </w:t>
      </w:r>
      <w:r>
        <w:rPr>
          <w:rFonts w:ascii="Times New Roman" w:hAnsi="Times New Roman" w:cs="Times New Roman"/>
          <w:sz w:val="19"/>
          <w:szCs w:val="19"/>
        </w:rPr>
        <w:t xml:space="preserve">States of America (U.S. GAAP) requires management to make estimates and assumptions that affect the amounts reported in the Consolidated Financial Statements and accompanying disclosures. These estimates are based on management's best knowledge of current </w:t>
      </w:r>
      <w:r>
        <w:rPr>
          <w:rFonts w:ascii="Times New Roman" w:hAnsi="Times New Roman" w:cs="Times New Roman"/>
          <w:sz w:val="19"/>
          <w:szCs w:val="19"/>
        </w:rPr>
        <w:t>events and actions the Company may undertake in the future. Estimates are used in accounting for, among other items, consumer and trade promotion accruals, restructuring reserves, pensions, post-employment benefits, stock options, valuation of acquired int</w:t>
      </w:r>
      <w:r>
        <w:rPr>
          <w:rFonts w:ascii="Times New Roman" w:hAnsi="Times New Roman" w:cs="Times New Roman"/>
          <w:sz w:val="19"/>
          <w:szCs w:val="19"/>
        </w:rPr>
        <w:t>angible assets, useful lives for depreciation and amortization of long-lived assets, future cash flows associated with impairment testing for goodwill, indefinite-lived intangible assets and other long-lived assets, deferred tax assets, uncertain income ta</w:t>
      </w:r>
      <w:r>
        <w:rPr>
          <w:rFonts w:ascii="Times New Roman" w:hAnsi="Times New Roman" w:cs="Times New Roman"/>
          <w:sz w:val="19"/>
          <w:szCs w:val="19"/>
        </w:rPr>
        <w:t>x positions and contingencies. Actual results may ultimately differ from estimates, although management does not generally believe such differences would materially affect the financial statements in any individual year. However, in regard to ongoing impai</w:t>
      </w:r>
      <w:r>
        <w:rPr>
          <w:rFonts w:ascii="Times New Roman" w:hAnsi="Times New Roman" w:cs="Times New Roman"/>
          <w:sz w:val="19"/>
          <w:szCs w:val="19"/>
        </w:rPr>
        <w:t xml:space="preserve">rment testing of goodwill and indefinite-lived intangible assets, significant deterioration in future cash flow projections or other assumptions used in estimating fair values versus those anticipated at the time of the initial valuations, could result in </w:t>
      </w:r>
      <w:r>
        <w:rPr>
          <w:rFonts w:ascii="Times New Roman" w:hAnsi="Times New Roman" w:cs="Times New Roman"/>
          <w:sz w:val="19"/>
          <w:szCs w:val="19"/>
        </w:rPr>
        <w:t>impairment charges that materially affect the financial statements in a given year.</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Revenue Recognition</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80"/>
        <w:rPr>
          <w:rFonts w:ascii="Times New Roman" w:hAnsi="Times New Roman" w:cs="Times New Roman"/>
          <w:sz w:val="24"/>
          <w:szCs w:val="24"/>
        </w:rPr>
      </w:pPr>
      <w:r>
        <w:rPr>
          <w:rFonts w:ascii="Times New Roman" w:hAnsi="Times New Roman" w:cs="Times New Roman"/>
          <w:sz w:val="19"/>
          <w:szCs w:val="19"/>
        </w:rPr>
        <w:t>Sales are recognized when rev</w:t>
      </w:r>
      <w:r>
        <w:rPr>
          <w:rFonts w:ascii="Times New Roman" w:hAnsi="Times New Roman" w:cs="Times New Roman"/>
          <w:sz w:val="19"/>
          <w:szCs w:val="19"/>
        </w:rPr>
        <w:t>enue is realized or realizable and has been earned. Revenue transactions represent sales of inventory. The revenue recorded is presented net of sales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9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180"/>
        <w:rPr>
          <w:rFonts w:ascii="Times New Roman" w:hAnsi="Times New Roman" w:cs="Times New Roman"/>
          <w:sz w:val="24"/>
          <w:szCs w:val="24"/>
        </w:rPr>
      </w:pPr>
      <w:r>
        <w:rPr>
          <w:rFonts w:ascii="Times New Roman" w:hAnsi="Times New Roman" w:cs="Times New Roman"/>
          <w:sz w:val="19"/>
          <w:szCs w:val="19"/>
        </w:rPr>
        <w:t>and other taxes we collect on behalf of governmental authorities. The revenue includes shipping and ha</w:t>
      </w:r>
      <w:r>
        <w:rPr>
          <w:rFonts w:ascii="Times New Roman" w:hAnsi="Times New Roman" w:cs="Times New Roman"/>
          <w:sz w:val="19"/>
          <w:szCs w:val="19"/>
        </w:rPr>
        <w:t xml:space="preserve">ndling costs, which generally are included in the list price to the customer. Our policy is to recognize revenue when title to the product, ownership and risk of loss transfer to the customer, which can be on the date of shipment or the date of receipt by </w:t>
      </w:r>
      <w:r>
        <w:rPr>
          <w:rFonts w:ascii="Times New Roman" w:hAnsi="Times New Roman" w:cs="Times New Roman"/>
          <w:sz w:val="19"/>
          <w:szCs w:val="19"/>
        </w:rPr>
        <w:t>the customer. A provision for payment discounts and product return allowances is recorded as a reduction of sales in the same period the revenue is recognized.</w:t>
      </w:r>
    </w:p>
    <w:p w:rsidR="00000000" w:rsidRDefault="0057438D">
      <w:pPr>
        <w:pStyle w:val="DefaultParagraphFont"/>
        <w:widowControl w:val="0"/>
        <w:autoSpaceDE w:val="0"/>
        <w:autoSpaceDN w:val="0"/>
        <w:adjustRightInd w:val="0"/>
        <w:spacing w:after="0" w:line="8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rPr>
          <w:rFonts w:ascii="Times New Roman" w:hAnsi="Times New Roman" w:cs="Times New Roman"/>
          <w:sz w:val="24"/>
          <w:szCs w:val="24"/>
        </w:rPr>
      </w:pPr>
      <w:r>
        <w:rPr>
          <w:rFonts w:ascii="Times New Roman" w:hAnsi="Times New Roman" w:cs="Times New Roman"/>
          <w:sz w:val="19"/>
          <w:szCs w:val="19"/>
        </w:rPr>
        <w:t xml:space="preserve">Trade promotions, consisting primarily of customer pricing allowances, merchandising funds and </w:t>
      </w:r>
      <w:r>
        <w:rPr>
          <w:rFonts w:ascii="Times New Roman" w:hAnsi="Times New Roman" w:cs="Times New Roman"/>
          <w:sz w:val="19"/>
          <w:szCs w:val="19"/>
        </w:rPr>
        <w:t>consumer coupons, are offered through various programs to customers and consumers. Sales are recorded net of trade promotion spending, which is recognized as incurred, generally at the time of the sale. Most of these arrangements have terms of approximatel</w:t>
      </w:r>
      <w:r>
        <w:rPr>
          <w:rFonts w:ascii="Times New Roman" w:hAnsi="Times New Roman" w:cs="Times New Roman"/>
          <w:sz w:val="19"/>
          <w:szCs w:val="19"/>
        </w:rPr>
        <w:t>y one year. Accruals for expected payouts under these programs are included as accrued marketing and promotion in the Accrued and other liabilities line item in the Consolidated Balance Sheets.</w:t>
      </w:r>
    </w:p>
    <w:p w:rsidR="00000000" w:rsidRDefault="0057438D">
      <w:pPr>
        <w:pStyle w:val="DefaultParagraphFont"/>
        <w:widowControl w:val="0"/>
        <w:autoSpaceDE w:val="0"/>
        <w:autoSpaceDN w:val="0"/>
        <w:adjustRightInd w:val="0"/>
        <w:spacing w:after="0" w:line="13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Cost of Products Sold</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40"/>
        <w:rPr>
          <w:rFonts w:ascii="Times New Roman" w:hAnsi="Times New Roman" w:cs="Times New Roman"/>
          <w:sz w:val="24"/>
          <w:szCs w:val="24"/>
        </w:rPr>
      </w:pPr>
      <w:r>
        <w:rPr>
          <w:rFonts w:ascii="Times New Roman" w:hAnsi="Times New Roman" w:cs="Times New Roman"/>
          <w:sz w:val="19"/>
          <w:szCs w:val="19"/>
        </w:rPr>
        <w:t xml:space="preserve">Cost of products sold is primarily comprised of direct materials and supplies consumed in the manufacture of product, as well as manufacturing labor, depreciation expense and direct overhead expense necessary to acquire and convert the purchased materials </w:t>
      </w:r>
      <w:r>
        <w:rPr>
          <w:rFonts w:ascii="Times New Roman" w:hAnsi="Times New Roman" w:cs="Times New Roman"/>
          <w:sz w:val="19"/>
          <w:szCs w:val="19"/>
        </w:rPr>
        <w:t>and supplies into finished product. Cost of products sold also includes the cost to distribute products to customers, inbound freight costs, internal transfer costs, warehousing costs and other shipping and handling activity.</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Selling, General and Administ</w:t>
      </w:r>
      <w:r>
        <w:rPr>
          <w:rFonts w:ascii="Times New Roman" w:hAnsi="Times New Roman" w:cs="Times New Roman"/>
          <w:b/>
          <w:bCs/>
          <w:sz w:val="19"/>
          <w:szCs w:val="19"/>
        </w:rPr>
        <w:t>rative Expense</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Selling, general and administrative expense (SG&amp;A) is primarily comprised of marketing expenses, selling expenses, research and development costs, administrative and other indirect overhead costs, depreciation and amortization expense on no</w:t>
      </w:r>
      <w:r>
        <w:rPr>
          <w:rFonts w:ascii="Times New Roman" w:hAnsi="Times New Roman" w:cs="Times New Roman"/>
          <w:sz w:val="19"/>
          <w:szCs w:val="19"/>
        </w:rPr>
        <w:t>n-manufacturing assets and other miscellaneous operating items. Research and development costs are charged to expense as incurred and were $2.0 billion in 2014, 2013 and 2012. Advertising costs, charged to expense as incurred, include worldwide television,</w:t>
      </w:r>
      <w:r>
        <w:rPr>
          <w:rFonts w:ascii="Times New Roman" w:hAnsi="Times New Roman" w:cs="Times New Roman"/>
          <w:sz w:val="19"/>
          <w:szCs w:val="19"/>
        </w:rPr>
        <w:t xml:space="preserve"> print, radio, internet and in-store advertising expenses and were $9.2 billion in 2014, $9.6 billion in 2013 and $9.2 billion in 2012. Non-advertising related components of the Company's total marketing spending include costs associated with consumer prom</w:t>
      </w:r>
      <w:r>
        <w:rPr>
          <w:rFonts w:ascii="Times New Roman" w:hAnsi="Times New Roman" w:cs="Times New Roman"/>
          <w:sz w:val="19"/>
          <w:szCs w:val="19"/>
        </w:rPr>
        <w:t>otions, product sampling and sales aids, which are included in SG&amp;A, as well as coupons and customer trade funds, which are recorded as reductions to net sales.</w:t>
      </w:r>
    </w:p>
    <w:p w:rsidR="00000000" w:rsidRDefault="0057438D">
      <w:pPr>
        <w:pStyle w:val="DefaultParagraphFont"/>
        <w:widowControl w:val="0"/>
        <w:autoSpaceDE w:val="0"/>
        <w:autoSpaceDN w:val="0"/>
        <w:adjustRightInd w:val="0"/>
        <w:spacing w:after="0" w:line="1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Other Non-Operating Income, Net</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320"/>
        <w:rPr>
          <w:rFonts w:ascii="Times New Roman" w:hAnsi="Times New Roman" w:cs="Times New Roman"/>
          <w:sz w:val="24"/>
          <w:szCs w:val="24"/>
        </w:rPr>
      </w:pPr>
      <w:r>
        <w:rPr>
          <w:rFonts w:ascii="Times New Roman" w:hAnsi="Times New Roman" w:cs="Times New Roman"/>
          <w:sz w:val="19"/>
          <w:szCs w:val="19"/>
        </w:rPr>
        <w:t>Other non-operating income, net, primarily includes net acqui</w:t>
      </w:r>
      <w:r>
        <w:rPr>
          <w:rFonts w:ascii="Times New Roman" w:hAnsi="Times New Roman" w:cs="Times New Roman"/>
          <w:sz w:val="19"/>
          <w:szCs w:val="19"/>
        </w:rPr>
        <w:t>sition and divestiture gains and investment income.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00" w:bottom="346" w:left="860" w:header="720" w:footer="720" w:gutter="0"/>
          <w:cols w:num="2" w:space="440" w:equalWidth="0">
            <w:col w:w="4660" w:space="440"/>
            <w:col w:w="4660"/>
          </w:cols>
          <w:noEndnote/>
        </w:sectPr>
      </w:pPr>
    </w:p>
    <w:p w:rsidR="00000000" w:rsidRDefault="0057438D">
      <w:pPr>
        <w:pStyle w:val="DefaultParagraphFont"/>
        <w:widowControl w:val="0"/>
        <w:autoSpaceDE w:val="0"/>
        <w:autoSpaceDN w:val="0"/>
        <w:adjustRightInd w:val="0"/>
        <w:spacing w:after="0" w:line="12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5620" w:bottom="346" w:left="860" w:header="720" w:footer="720" w:gutter="0"/>
          <w:cols w:space="440" w:equalWidth="0">
            <w:col w:w="5040" w:space="44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7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Currency Translation</w:t>
      </w:r>
    </w:p>
    <w:p w:rsidR="00000000" w:rsidRDefault="0057438D">
      <w:pPr>
        <w:pStyle w:val="DefaultParagraphFont"/>
        <w:widowControl w:val="0"/>
        <w:autoSpaceDE w:val="0"/>
        <w:autoSpaceDN w:val="0"/>
        <w:adjustRightInd w:val="0"/>
        <w:spacing w:after="0" w:line="18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Financial statements of operating subsidiaries outside the U.S. generally are measured using the local currency as the functional currency. Adjustments to translate those statements into U.S. dollars are recorded in other comprehensive income (OCI). Curren</w:t>
      </w:r>
      <w:r>
        <w:rPr>
          <w:rFonts w:ascii="Times New Roman" w:hAnsi="Times New Roman" w:cs="Times New Roman"/>
          <w:sz w:val="19"/>
          <w:szCs w:val="19"/>
        </w:rPr>
        <w:t>cy translation adjustments in accumulated OCI were gains of $1.4 billion and $353 at June 30, 2014 and June 30, 2013, respectively. For subsidiaries operating in highly inflationary economies, the U.S. dollar is the functional currency. Re-measurement adju</w:t>
      </w:r>
      <w:r>
        <w:rPr>
          <w:rFonts w:ascii="Times New Roman" w:hAnsi="Times New Roman" w:cs="Times New Roman"/>
          <w:sz w:val="19"/>
          <w:szCs w:val="19"/>
        </w:rPr>
        <w:t>stments for financial statements in highly inflationary economies and other transactional exchange gains and losses are reflected in earnings.</w:t>
      </w:r>
    </w:p>
    <w:p w:rsidR="00000000" w:rsidRDefault="0057438D">
      <w:pPr>
        <w:pStyle w:val="DefaultParagraphFont"/>
        <w:widowControl w:val="0"/>
        <w:autoSpaceDE w:val="0"/>
        <w:autoSpaceDN w:val="0"/>
        <w:adjustRightInd w:val="0"/>
        <w:spacing w:after="0" w:line="14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Cash Flow Presentation</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20"/>
        <w:rPr>
          <w:rFonts w:ascii="Times New Roman" w:hAnsi="Times New Roman" w:cs="Times New Roman"/>
          <w:sz w:val="24"/>
          <w:szCs w:val="24"/>
        </w:rPr>
      </w:pPr>
      <w:r>
        <w:rPr>
          <w:rFonts w:ascii="Times New Roman" w:hAnsi="Times New Roman" w:cs="Times New Roman"/>
          <w:sz w:val="19"/>
          <w:szCs w:val="19"/>
        </w:rPr>
        <w:t xml:space="preserve">The Consolidated Statements of Cash Flows are prepared using the indirect method, which </w:t>
      </w:r>
      <w:r>
        <w:rPr>
          <w:rFonts w:ascii="Times New Roman" w:hAnsi="Times New Roman" w:cs="Times New Roman"/>
          <w:sz w:val="19"/>
          <w:szCs w:val="19"/>
        </w:rPr>
        <w:t>reconciles net earnings to cash flow from operating activities. The reconciliation adjustments include the removal of timing differences between the occurrence of operating receipts and payments and their recognition in net earnings. The adjustments also r</w:t>
      </w:r>
      <w:r>
        <w:rPr>
          <w:rFonts w:ascii="Times New Roman" w:hAnsi="Times New Roman" w:cs="Times New Roman"/>
          <w:sz w:val="19"/>
          <w:szCs w:val="19"/>
        </w:rPr>
        <w:t>emove cash flows arising from investing and financing activities, which are presented separately from operating activities. Cash flows from foreign currency transactions and operations are translated at an average exchange rate for the period. Cash flows f</w:t>
      </w:r>
      <w:r>
        <w:rPr>
          <w:rFonts w:ascii="Times New Roman" w:hAnsi="Times New Roman" w:cs="Times New Roman"/>
          <w:sz w:val="19"/>
          <w:szCs w:val="19"/>
        </w:rPr>
        <w:t xml:space="preserve">rom hedging activities are included in the same category as the items being hedged. Cash flows from derivative instruments designated as net investment hedges are classified as financing activities. Realized gains and losses from non-qualifying derivative </w:t>
      </w:r>
      <w:r>
        <w:rPr>
          <w:rFonts w:ascii="Times New Roman" w:hAnsi="Times New Roman" w:cs="Times New Roman"/>
          <w:sz w:val="19"/>
          <w:szCs w:val="19"/>
        </w:rPr>
        <w:t>instruments used to hedge currency exposures resulting from intercompany financing transactions are also classified as financing activities. Cash flows from other derivative instruments used to manage interest, commodity or other currency exposures are cla</w:t>
      </w:r>
      <w:r>
        <w:rPr>
          <w:rFonts w:ascii="Times New Roman" w:hAnsi="Times New Roman" w:cs="Times New Roman"/>
          <w:sz w:val="19"/>
          <w:szCs w:val="19"/>
        </w:rPr>
        <w:t>ssified as operating activities. Cash payments related to income taxes are classified as operating activities. Cash flows from the Company's discontinued operations are included in the Consolidated Statements of Cash Flows.</w:t>
      </w:r>
    </w:p>
    <w:p w:rsidR="00000000" w:rsidRDefault="0057438D">
      <w:pPr>
        <w:pStyle w:val="DefaultParagraphFont"/>
        <w:widowControl w:val="0"/>
        <w:autoSpaceDE w:val="0"/>
        <w:autoSpaceDN w:val="0"/>
        <w:adjustRightInd w:val="0"/>
        <w:spacing w:after="0" w:line="14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Cash Equivalents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80"/>
        <w:jc w:val="both"/>
        <w:rPr>
          <w:rFonts w:ascii="Times New Roman" w:hAnsi="Times New Roman" w:cs="Times New Roman"/>
          <w:sz w:val="24"/>
          <w:szCs w:val="24"/>
        </w:rPr>
      </w:pPr>
      <w:r>
        <w:rPr>
          <w:rFonts w:ascii="Times New Roman" w:hAnsi="Times New Roman" w:cs="Times New Roman"/>
          <w:sz w:val="19"/>
          <w:szCs w:val="19"/>
        </w:rPr>
        <w:t>Highly liquid</w:t>
      </w:r>
      <w:r>
        <w:rPr>
          <w:rFonts w:ascii="Times New Roman" w:hAnsi="Times New Roman" w:cs="Times New Roman"/>
          <w:sz w:val="19"/>
          <w:szCs w:val="19"/>
        </w:rPr>
        <w:t xml:space="preserve"> investments with remaining stated maturities of three months or less when purchased are considered cash equivalents and recorded at cost.</w:t>
      </w:r>
    </w:p>
    <w:p w:rsidR="00000000" w:rsidRDefault="0057438D">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Investments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20"/>
        <w:rPr>
          <w:rFonts w:ascii="Times New Roman" w:hAnsi="Times New Roman" w:cs="Times New Roman"/>
          <w:sz w:val="24"/>
          <w:szCs w:val="24"/>
        </w:rPr>
      </w:pPr>
      <w:r>
        <w:rPr>
          <w:rFonts w:ascii="Times New Roman" w:hAnsi="Times New Roman" w:cs="Times New Roman"/>
          <w:sz w:val="19"/>
          <w:szCs w:val="19"/>
        </w:rPr>
        <w:t>Investment securities consist of readily marketable debt and equity securities. Unrealized gains or losses from investments classified as trading, if any, are charged to earnings. Unrealized gains or losses on securities classified as available-for-sale ar</w:t>
      </w:r>
      <w:r>
        <w:rPr>
          <w:rFonts w:ascii="Times New Roman" w:hAnsi="Times New Roman" w:cs="Times New Roman"/>
          <w:sz w:val="19"/>
          <w:szCs w:val="19"/>
        </w:rPr>
        <w:t xml:space="preserve">e generally recorded in OCI. If an available-for-sale security is other than temporarily impaired, the loss is charged to either earnings or OCI depending on our intent and ability to retain the security until we recover the full cost basis and the extent </w:t>
      </w:r>
      <w:r>
        <w:rPr>
          <w:rFonts w:ascii="Times New Roman" w:hAnsi="Times New Roman" w:cs="Times New Roman"/>
          <w:sz w:val="19"/>
          <w:szCs w:val="19"/>
        </w:rPr>
        <w:t>of the loss attributable to the creditworthiness of the issuer. Investment securities are included as available-for-sale investment</w:t>
      </w: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 xml:space="preserve">The Procter &amp; Gamble Company  </w:t>
      </w:r>
      <w:r>
        <w:rPr>
          <w:rFonts w:ascii="Times New Roman" w:hAnsi="Times New Roman" w:cs="Times New Roman"/>
          <w:sz w:val="19"/>
          <w:szCs w:val="19"/>
        </w:rPr>
        <w:t>53</w:t>
      </w:r>
    </w:p>
    <w:p w:rsidR="00000000" w:rsidRDefault="0057438D">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80"/>
        <w:rPr>
          <w:rFonts w:ascii="Times New Roman" w:hAnsi="Times New Roman" w:cs="Times New Roman"/>
          <w:sz w:val="24"/>
          <w:szCs w:val="24"/>
        </w:rPr>
      </w:pPr>
      <w:r>
        <w:rPr>
          <w:rFonts w:ascii="Times New Roman" w:hAnsi="Times New Roman" w:cs="Times New Roman"/>
          <w:sz w:val="19"/>
          <w:szCs w:val="19"/>
        </w:rPr>
        <w:t>securities and other current assets or other noncurrent assets in the Consolidated Balanc</w:t>
      </w:r>
      <w:r>
        <w:rPr>
          <w:rFonts w:ascii="Times New Roman" w:hAnsi="Times New Roman" w:cs="Times New Roman"/>
          <w:sz w:val="19"/>
          <w:szCs w:val="19"/>
        </w:rPr>
        <w:t>e Sheets.</w:t>
      </w:r>
    </w:p>
    <w:p w:rsidR="00000000" w:rsidRDefault="0057438D">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60"/>
        <w:rPr>
          <w:rFonts w:ascii="Times New Roman" w:hAnsi="Times New Roman" w:cs="Times New Roman"/>
          <w:sz w:val="24"/>
          <w:szCs w:val="24"/>
        </w:rPr>
      </w:pPr>
      <w:r>
        <w:rPr>
          <w:rFonts w:ascii="Times New Roman" w:hAnsi="Times New Roman" w:cs="Times New Roman"/>
          <w:sz w:val="19"/>
          <w:szCs w:val="19"/>
        </w:rPr>
        <w:t>Investments in certain companies over which we exert significant influence, but do not control the financial and operating decisions, are accounted for as equity method investments. Other investments that are not controlled, and over which we do</w:t>
      </w:r>
      <w:r>
        <w:rPr>
          <w:rFonts w:ascii="Times New Roman" w:hAnsi="Times New Roman" w:cs="Times New Roman"/>
          <w:sz w:val="19"/>
          <w:szCs w:val="19"/>
        </w:rPr>
        <w:t xml:space="preserve"> not have the ability to exercise significant influence, are accounted for under the cost method. Both equity and cost method investments are included as other noncurrent assets in the Consolidated Balance Sheets.</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Inventory Valuation</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140"/>
        <w:rPr>
          <w:rFonts w:ascii="Times New Roman" w:hAnsi="Times New Roman" w:cs="Times New Roman"/>
          <w:sz w:val="24"/>
          <w:szCs w:val="24"/>
        </w:rPr>
      </w:pPr>
      <w:r>
        <w:rPr>
          <w:rFonts w:ascii="Times New Roman" w:hAnsi="Times New Roman" w:cs="Times New Roman"/>
          <w:sz w:val="19"/>
          <w:szCs w:val="19"/>
        </w:rPr>
        <w:t>Inventories are valued at the lower of cost or market value. Product-related inventories are primarily maintained on the first-in, first-out method. Minor amounts of product inventories, including certain cosmetics and commodities, are maintained on the la</w:t>
      </w:r>
      <w:r>
        <w:rPr>
          <w:rFonts w:ascii="Times New Roman" w:hAnsi="Times New Roman" w:cs="Times New Roman"/>
          <w:sz w:val="19"/>
          <w:szCs w:val="19"/>
        </w:rPr>
        <w:t>st-in, first-out method. The cost of spare part inventories is maintained using the average-cost method.</w:t>
      </w:r>
    </w:p>
    <w:p w:rsidR="00000000" w:rsidRDefault="0057438D">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Property, Plant and Equipment</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40"/>
        <w:rPr>
          <w:rFonts w:ascii="Times New Roman" w:hAnsi="Times New Roman" w:cs="Times New Roman"/>
          <w:sz w:val="24"/>
          <w:szCs w:val="24"/>
        </w:rPr>
      </w:pPr>
      <w:r>
        <w:rPr>
          <w:rFonts w:ascii="Times New Roman" w:hAnsi="Times New Roman" w:cs="Times New Roman"/>
          <w:sz w:val="19"/>
          <w:szCs w:val="19"/>
        </w:rPr>
        <w:t>Property, plant and equipment is recorded at cost reduced by accumulated depreciation. Depreciation expense is recogniz</w:t>
      </w:r>
      <w:r>
        <w:rPr>
          <w:rFonts w:ascii="Times New Roman" w:hAnsi="Times New Roman" w:cs="Times New Roman"/>
          <w:sz w:val="19"/>
          <w:szCs w:val="19"/>
        </w:rPr>
        <w:t>ed over the assets' estimated useful lives using the straight-line method. Machinery and equipment includes office furniture and fixtures (15-year life), computer equipment and capitalized software (3- to 5-year lives) and manufacturing equipment (3- to 20</w:t>
      </w:r>
      <w:r>
        <w:rPr>
          <w:rFonts w:ascii="Times New Roman" w:hAnsi="Times New Roman" w:cs="Times New Roman"/>
          <w:sz w:val="19"/>
          <w:szCs w:val="19"/>
        </w:rPr>
        <w:t>-year lives). Buildings are depreciated over an estimated useful life of 40 years. Estimated useful lives are periodically reviewed and, when appropriate, changes are made prospectively. When certain events or changes in operating conditions occur, asset l</w:t>
      </w:r>
      <w:r>
        <w:rPr>
          <w:rFonts w:ascii="Times New Roman" w:hAnsi="Times New Roman" w:cs="Times New Roman"/>
          <w:sz w:val="19"/>
          <w:szCs w:val="19"/>
        </w:rPr>
        <w:t>ives may be adjusted and an impairment assessment may be performed on the recoverability of the carrying amounts.</w:t>
      </w: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Goodwill and Other Intangible Assets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Goodwill and indefinite-lived intangible assets are not amortized, but are evaluated for impairment ann</w:t>
      </w:r>
      <w:r>
        <w:rPr>
          <w:rFonts w:ascii="Times New Roman" w:hAnsi="Times New Roman" w:cs="Times New Roman"/>
          <w:sz w:val="19"/>
          <w:szCs w:val="19"/>
        </w:rPr>
        <w:t>ually or more often if indicators of a potential impairment are present. Our annual impairment testing of goodwill is performed separately from our impairment testing of indefinite-lived intangible assets. The annual evaluation for impairment of goodwill a</w:t>
      </w:r>
      <w:r>
        <w:rPr>
          <w:rFonts w:ascii="Times New Roman" w:hAnsi="Times New Roman" w:cs="Times New Roman"/>
          <w:sz w:val="19"/>
          <w:szCs w:val="19"/>
        </w:rPr>
        <w:t>nd indefinite-lived intangible assets is based on valuation models that incorporate assumptions and internal projections of expected future cash flows and operating plans. We believe such assumptions are also comparable to those that would be used by other</w:t>
      </w:r>
      <w:r>
        <w:rPr>
          <w:rFonts w:ascii="Times New Roman" w:hAnsi="Times New Roman" w:cs="Times New Roman"/>
          <w:sz w:val="19"/>
          <w:szCs w:val="19"/>
        </w:rPr>
        <w:t xml:space="preserve"> marketplace participants.</w:t>
      </w:r>
    </w:p>
    <w:p w:rsidR="00000000" w:rsidRDefault="0057438D">
      <w:pPr>
        <w:pStyle w:val="DefaultParagraphFont"/>
        <w:widowControl w:val="0"/>
        <w:autoSpaceDE w:val="0"/>
        <w:autoSpaceDN w:val="0"/>
        <w:adjustRightInd w:val="0"/>
        <w:spacing w:after="0" w:line="9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0"/>
        <w:rPr>
          <w:rFonts w:ascii="Times New Roman" w:hAnsi="Times New Roman" w:cs="Times New Roman"/>
          <w:sz w:val="24"/>
          <w:szCs w:val="24"/>
        </w:rPr>
      </w:pPr>
      <w:r>
        <w:rPr>
          <w:rFonts w:ascii="Times New Roman" w:hAnsi="Times New Roman" w:cs="Times New Roman"/>
          <w:sz w:val="19"/>
          <w:szCs w:val="19"/>
        </w:rPr>
        <w:t>We have acquired brands that have been determined to have indefinite lives. We evaluate a number of factors to determine whether an indefinite life is appropriate, including the competitive environment, market share, brand histo</w:t>
      </w:r>
      <w:r>
        <w:rPr>
          <w:rFonts w:ascii="Times New Roman" w:hAnsi="Times New Roman" w:cs="Times New Roman"/>
          <w:sz w:val="19"/>
          <w:szCs w:val="19"/>
        </w:rPr>
        <w:t>ry, product life cycles, operating plans and the macroeconomic environment of the countries in which the brands are sold. When certain events or changes in operating conditions occur, an impairment assessment is performed and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346" w:left="860" w:header="720" w:footer="720" w:gutter="0"/>
          <w:cols w:num="2" w:space="460" w:equalWidth="0">
            <w:col w:w="4640" w:space="460"/>
            <w:col w:w="4660"/>
          </w:cols>
          <w:noEndnote/>
        </w:sectPr>
      </w:pP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5580" w:header="720" w:footer="720" w:gutter="0"/>
          <w:cols w:space="460" w:equalWidth="0">
            <w:col w:w="5060" w:space="46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54</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280" w:bottom="346" w:left="860" w:header="720" w:footer="720" w:gutter="0"/>
          <w:cols w:space="720" w:equalWidth="0">
            <w:col w:w="2380"/>
          </w:cols>
          <w:noEndnote/>
        </w:sectPr>
      </w:pP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240"/>
        <w:rPr>
          <w:rFonts w:ascii="Times New Roman" w:hAnsi="Times New Roman" w:cs="Times New Roman"/>
          <w:sz w:val="24"/>
          <w:szCs w:val="24"/>
        </w:rPr>
      </w:pPr>
      <w:r>
        <w:rPr>
          <w:rFonts w:ascii="Times New Roman" w:hAnsi="Times New Roman" w:cs="Times New Roman"/>
          <w:sz w:val="19"/>
          <w:szCs w:val="19"/>
        </w:rPr>
        <w:t>indefinite-lived assets may be adjusted to a determinable life.</w:t>
      </w:r>
    </w:p>
    <w:p w:rsidR="00000000" w:rsidRDefault="0057438D">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The cost of intangible assets with determinable useful lives is amortized to reflect the pattern of economic benefits consumed, either on a straight-line or accelerated basis over the estimat</w:t>
      </w:r>
      <w:r>
        <w:rPr>
          <w:rFonts w:ascii="Times New Roman" w:hAnsi="Times New Roman" w:cs="Times New Roman"/>
          <w:sz w:val="19"/>
          <w:szCs w:val="19"/>
        </w:rPr>
        <w:t>ed periods benefited. Patents, technology and other intangible assets with contractual terms are generally amortized over their respective legal or contractual lives. Customer relationships, brands and other non-contractual intangible assets with determina</w:t>
      </w:r>
      <w:r>
        <w:rPr>
          <w:rFonts w:ascii="Times New Roman" w:hAnsi="Times New Roman" w:cs="Times New Roman"/>
          <w:sz w:val="19"/>
          <w:szCs w:val="19"/>
        </w:rPr>
        <w:t>ble lives are amortized over periods generally ranging from 5 to 30 years. When certain events or changes in operating conditions occur, an impairment assessment is performed and remaining lives of intangible assets with determinable lives may be adjusted.</w:t>
      </w:r>
    </w:p>
    <w:p w:rsidR="00000000" w:rsidRDefault="0057438D">
      <w:pPr>
        <w:pStyle w:val="DefaultParagraphFont"/>
        <w:widowControl w:val="0"/>
        <w:autoSpaceDE w:val="0"/>
        <w:autoSpaceDN w:val="0"/>
        <w:adjustRightInd w:val="0"/>
        <w:spacing w:after="0" w:line="14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Fair Values of Financial Instruments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right="80"/>
        <w:rPr>
          <w:rFonts w:ascii="Times New Roman" w:hAnsi="Times New Roman" w:cs="Times New Roman"/>
          <w:sz w:val="24"/>
          <w:szCs w:val="24"/>
        </w:rPr>
      </w:pPr>
      <w:r>
        <w:rPr>
          <w:rFonts w:ascii="Times New Roman" w:hAnsi="Times New Roman" w:cs="Times New Roman"/>
          <w:sz w:val="19"/>
          <w:szCs w:val="19"/>
        </w:rPr>
        <w:t>Certain financial instruments are required to be recorded at fair value. Changes in assumptions or estim</w:t>
      </w:r>
      <w:r>
        <w:rPr>
          <w:rFonts w:ascii="Times New Roman" w:hAnsi="Times New Roman" w:cs="Times New Roman"/>
          <w:sz w:val="19"/>
          <w:szCs w:val="19"/>
        </w:rPr>
        <w:t>ation methods could affect the fair value estimates; however, we do not believe any such changes would have a material impact on our financial condition, results of operations or cash flows.</w:t>
      </w:r>
    </w:p>
    <w:p w:rsidR="00000000" w:rsidRDefault="0057438D">
      <w:pPr>
        <w:pStyle w:val="DefaultParagraphFont"/>
        <w:widowControl w:val="0"/>
        <w:autoSpaceDE w:val="0"/>
        <w:autoSpaceDN w:val="0"/>
        <w:adjustRightInd w:val="0"/>
        <w:spacing w:after="0" w:line="369"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overflowPunct w:val="0"/>
        <w:autoSpaceDE w:val="0"/>
        <w:autoSpaceDN w:val="0"/>
        <w:adjustRightInd w:val="0"/>
        <w:spacing w:after="0" w:line="263" w:lineRule="auto"/>
        <w:ind w:right="40"/>
        <w:rPr>
          <w:rFonts w:ascii="Times New Roman" w:hAnsi="Times New Roman" w:cs="Times New Roman"/>
          <w:sz w:val="24"/>
          <w:szCs w:val="24"/>
        </w:rPr>
      </w:pPr>
      <w:r>
        <w:rPr>
          <w:rFonts w:ascii="Times New Roman" w:hAnsi="Times New Roman" w:cs="Times New Roman"/>
          <w:sz w:val="19"/>
          <w:szCs w:val="19"/>
        </w:rPr>
        <w:t xml:space="preserve">Other financial instruments, including cash equivalents, other </w:t>
      </w:r>
      <w:r>
        <w:rPr>
          <w:rFonts w:ascii="Times New Roman" w:hAnsi="Times New Roman" w:cs="Times New Roman"/>
          <w:sz w:val="19"/>
          <w:szCs w:val="19"/>
        </w:rPr>
        <w:t>investments and short-term debt, are recorded at cost, which approximates fair value. The fair values of long-term debt and financial instruments are disclosed in Note 5.</w:t>
      </w:r>
    </w:p>
    <w:p w:rsidR="00000000" w:rsidRDefault="0057438D">
      <w:pPr>
        <w:pStyle w:val="DefaultParagraphFont"/>
        <w:widowControl w:val="0"/>
        <w:autoSpaceDE w:val="0"/>
        <w:autoSpaceDN w:val="0"/>
        <w:adjustRightInd w:val="0"/>
        <w:spacing w:after="0" w:line="12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New Accounting Pronouncements and Policies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rPr>
          <w:rFonts w:ascii="Times New Roman" w:hAnsi="Times New Roman" w:cs="Times New Roman"/>
          <w:sz w:val="24"/>
          <w:szCs w:val="24"/>
        </w:rPr>
      </w:pPr>
      <w:r>
        <w:rPr>
          <w:rFonts w:ascii="Times New Roman" w:hAnsi="Times New Roman" w:cs="Times New Roman"/>
          <w:sz w:val="19"/>
          <w:szCs w:val="19"/>
        </w:rPr>
        <w:t>In May 2014, the FASB issued ASU 2014-09</w:t>
      </w:r>
      <w:r>
        <w:rPr>
          <w:rFonts w:ascii="Times New Roman" w:hAnsi="Times New Roman" w:cs="Times New Roman"/>
          <w:sz w:val="19"/>
          <w:szCs w:val="19"/>
        </w:rPr>
        <w:t>, “Revenue from Contracts with Customers (Topic 606).” This guidance outlines a single, comprehensive model for accounting for revenue from contracts with customers. We will adopt the standard on July 1, 2017. We are evaluating the impact, if any, that the</w:t>
      </w:r>
      <w:r>
        <w:rPr>
          <w:rFonts w:ascii="Times New Roman" w:hAnsi="Times New Roman" w:cs="Times New Roman"/>
          <w:sz w:val="19"/>
          <w:szCs w:val="19"/>
        </w:rPr>
        <w:t xml:space="preserve"> standard will have on our financial statements.</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40"/>
        <w:rPr>
          <w:rFonts w:ascii="Times New Roman" w:hAnsi="Times New Roman" w:cs="Times New Roman"/>
          <w:sz w:val="24"/>
          <w:szCs w:val="24"/>
        </w:rPr>
      </w:pPr>
      <w:r>
        <w:rPr>
          <w:rFonts w:ascii="Times New Roman" w:hAnsi="Times New Roman" w:cs="Times New Roman"/>
          <w:sz w:val="19"/>
          <w:szCs w:val="19"/>
        </w:rPr>
        <w:t>No other new accounting pronouncement issued or effective during the fiscal year had or is expected to have a material impact on the Consolidated Financial Statements.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920" w:bottom="346" w:left="860" w:header="720" w:footer="720" w:gutter="0"/>
          <w:cols w:num="2" w:space="520" w:equalWidth="0">
            <w:col w:w="4580" w:space="520"/>
            <w:col w:w="4640"/>
          </w:cols>
          <w:noEndnote/>
        </w:sectPr>
      </w:pPr>
      <w:r>
        <w:rPr>
          <w:noProof/>
        </w:rPr>
        <mc:AlternateContent>
          <mc:Choice Requires="wps">
            <w:drawing>
              <wp:anchor distT="0" distB="0" distL="114300" distR="114300" simplePos="0" relativeHeight="251693056" behindDoc="1" locked="0" layoutInCell="0" allowOverlap="1">
                <wp:simplePos x="0" y="0"/>
                <wp:positionH relativeFrom="column">
                  <wp:posOffset>-3241675</wp:posOffset>
                </wp:positionH>
                <wp:positionV relativeFrom="paragraph">
                  <wp:posOffset>939165</wp:posOffset>
                </wp:positionV>
                <wp:extent cx="6205855" cy="0"/>
                <wp:effectExtent l="0" t="0" r="0" b="0"/>
                <wp:wrapNone/>
                <wp:docPr id="89"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5855" cy="0"/>
                        </a:xfrm>
                        <a:prstGeom prst="line">
                          <a:avLst/>
                        </a:prstGeom>
                        <a:noFill/>
                        <a:ln w="242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25pt,73.95pt" to="233.4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HGHwIAAEQEAAAOAAAAZHJzL2Uyb0RvYy54bWysU02P2jAQvVfqf7B8h3xsoBARVhWBXmiL&#10;tNsfYGyHWHVsyzYEVPW/d+wAYttLVZWDGWdm3ryZeV48nzuJTtw6oVWFs3GKEVdUM6EOFf72uhnN&#10;MHKeKEakVrzCF+7w8/L9u0VvSp7rVkvGLQIQ5creVLj13pRJ4mjLO+LG2nAFzkbbjni42kPCLOkB&#10;vZNJnqbTpNeWGaspdw6+1oMTLyN+03DqvzaN4x7JCgM3H08bz304k+WClAdLTCvolQb5BxYdEQqK&#10;3qFq4gk6WvEHVCeo1U43fkx1l+imEZTHHqCbLP2tm5eWGB57geE4cx+T+3+w9MtpZ5FgFZ7NMVKk&#10;gx1theLoaRpm0xtXQshK7Wzojp7Vi9lq+t0hpVctUQceOb5eDORlISN5kxIuzkCFff9ZM4ghR6/j&#10;oM6N7QIkjACd4z4u933ws0cUPk7zdDKbTDCiN19Cyluisc5/4rpDwaiwBNIRmJy2zgcipLyFhDpK&#10;b4SUcd1Sob7CeZEXRcxwWgoWvCHO2cN+JS06kaCY+IttgecxLEDXxLVDXHQNWrL6qFgs03LC1lfb&#10;EyEHG2hJFQpBk0D0ag1a+TFP5+vZelaMiny6HhVpXY8+blbFaLrJPkzqp3q1qrOfgXNWlK1gjKtA&#10;+6bbrPg7XVxf0KC4u3LvA0reosdJAtnbfyQdtxwWO0hkr9llZ2/bB6nG4OuzCm/h8Q724+Nf/gIA&#10;AP//AwBQSwMEFAAGAAgAAAAhAO1etQvfAAAADAEAAA8AAABkcnMvZG93bnJldi54bWxMj81OwzAQ&#10;hO9IvIO1SNxaO/0JNMSpEBISHNOC6NFNtkmEvY5it03fnkVCKsed+TQ7k69HZ8UJh9B50pBMFQik&#10;ytcdNRo+tq+TRxAhGqqN9YQaLhhgXdze5Car/ZlKPG1iIziEQmY0tDH2mZShatGZMPU9EnsHPzgT&#10;+RwaWQ/mzOHOyplSqXSmI/7Qmh5fWqy+N0engRIfZrv57v1SzldN+abs9uvwqfX93fj8BCLiGK8w&#10;/Nbn6lBwp70/Uh2E1TBZJmrJLDuLhxUIRhZpymv2f4oscvl/RPEDAAD//wMAUEsBAi0AFAAGAAgA&#10;AAAhALaDOJL+AAAA4QEAABMAAAAAAAAAAAAAAAAAAAAAAFtDb250ZW50X1R5cGVzXS54bWxQSwEC&#10;LQAUAAYACAAAACEAOP0h/9YAAACUAQAACwAAAAAAAAAAAAAAAAAvAQAAX3JlbHMvLnJlbHNQSwEC&#10;LQAUAAYACAAAACEAWwxRxh8CAABEBAAADgAAAAAAAAAAAAAAAAAuAgAAZHJzL2Uyb0RvYy54bWxQ&#10;SwECLQAUAAYACAAAACEA7V61C98AAAAMAQAADwAAAAAAAAAAAAAAAAB5BAAAZHJzL2Rvd25yZXYu&#10;eG1sUEsFBgAAAAAEAAQA8wAAAIUFAAAAAA==&#10;" o:allowincell="f" strokeweight=".67344mm"/>
            </w:pict>
          </mc:Fallback>
        </mc:AlternateContent>
      </w:r>
    </w:p>
    <w:p w:rsidR="00000000" w:rsidRDefault="0057438D">
      <w:pPr>
        <w:pStyle w:val="DefaultParagraphFont"/>
        <w:widowControl w:val="0"/>
        <w:autoSpaceDE w:val="0"/>
        <w:autoSpaceDN w:val="0"/>
        <w:adjustRightInd w:val="0"/>
        <w:spacing w:after="0" w:line="35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i/>
          <w:iCs/>
          <w:sz w:val="19"/>
          <w:szCs w:val="19"/>
        </w:rPr>
        <w:t>N</w:t>
      </w:r>
      <w:r>
        <w:rPr>
          <w:rFonts w:ascii="Times New Roman" w:hAnsi="Times New Roman" w:cs="Times New Roman"/>
          <w:b/>
          <w:bCs/>
          <w:i/>
          <w:iCs/>
          <w:sz w:val="19"/>
          <w:szCs w:val="19"/>
        </w:rPr>
        <w:t>OTE 2</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GOODWILL AND INTANGIBLE ASSETS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The change in the net carrying amount of goodwill by reportable segment was as follows:</w:t>
      </w:r>
    </w:p>
    <w:p w:rsidR="00000000" w:rsidRDefault="0057438D">
      <w:pPr>
        <w:pStyle w:val="DefaultParagraphFont"/>
        <w:widowControl w:val="0"/>
        <w:autoSpaceDE w:val="0"/>
        <w:autoSpaceDN w:val="0"/>
        <w:adjustRightInd w:val="0"/>
        <w:spacing w:after="0" w:line="15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000"/>
        <w:gridCol w:w="820"/>
        <w:gridCol w:w="800"/>
        <w:gridCol w:w="680"/>
        <w:gridCol w:w="1000"/>
        <w:gridCol w:w="860"/>
        <w:gridCol w:w="840"/>
        <w:gridCol w:w="780"/>
        <w:gridCol w:w="20"/>
      </w:tblGrid>
      <w:tr w:rsidR="00000000">
        <w:tblPrEx>
          <w:tblCellMar>
            <w:top w:w="0" w:type="dxa"/>
            <w:left w:w="0" w:type="dxa"/>
            <w:bottom w:w="0" w:type="dxa"/>
            <w:right w:w="0" w:type="dxa"/>
          </w:tblCellMar>
        </w:tblPrEx>
        <w:trPr>
          <w:trHeight w:val="172"/>
        </w:trPr>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Fabric Care</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Baby,</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7"/>
              <w:jc w:val="right"/>
              <w:rPr>
                <w:rFonts w:ascii="Times New Roman" w:hAnsi="Times New Roman" w:cs="Times New Roman"/>
                <w:sz w:val="24"/>
                <w:szCs w:val="24"/>
              </w:rPr>
            </w:pPr>
            <w:r>
              <w:rPr>
                <w:rFonts w:ascii="Times New Roman" w:hAnsi="Times New Roman" w:cs="Times New Roman"/>
                <w:b/>
                <w:bCs/>
                <w:sz w:val="15"/>
                <w:szCs w:val="15"/>
              </w:rPr>
              <w:t>Health</w:t>
            </w:r>
          </w:p>
        </w:tc>
        <w:tc>
          <w:tcPr>
            <w:tcW w:w="10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w w:val="99"/>
                <w:sz w:val="15"/>
                <w:szCs w:val="15"/>
              </w:rPr>
              <w:t>Feminine</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7"/>
              <w:jc w:val="right"/>
              <w:rPr>
                <w:rFonts w:ascii="Times New Roman" w:hAnsi="Times New Roman" w:cs="Times New Roman"/>
                <w:sz w:val="24"/>
                <w:szCs w:val="24"/>
              </w:rPr>
            </w:pPr>
            <w:r>
              <w:rPr>
                <w:rFonts w:ascii="Times New Roman" w:hAnsi="Times New Roman" w:cs="Times New Roman"/>
                <w:b/>
                <w:bCs/>
                <w:sz w:val="15"/>
                <w:szCs w:val="15"/>
              </w:rPr>
              <w:t>Total</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sz w:val="15"/>
                <w:szCs w:val="15"/>
              </w:rPr>
              <w:t>Beauty</w:t>
            </w:r>
          </w:p>
        </w:tc>
        <w:tc>
          <w:tcPr>
            <w:tcW w:w="8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5"/>
                <w:szCs w:val="15"/>
              </w:rPr>
              <w:t>Grooming</w:t>
            </w:r>
          </w:p>
        </w:tc>
        <w:tc>
          <w:tcPr>
            <w:tcW w:w="6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and Home</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and Family</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5"/>
                <w:szCs w:val="15"/>
              </w:rPr>
              <w:t>Corporate</w:t>
            </w:r>
          </w:p>
        </w:tc>
        <w:tc>
          <w:tcPr>
            <w:tcW w:w="7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40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2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107"/>
              <w:jc w:val="right"/>
              <w:rPr>
                <w:rFonts w:ascii="Times New Roman" w:hAnsi="Times New Roman" w:cs="Times New Roman"/>
                <w:sz w:val="24"/>
                <w:szCs w:val="24"/>
              </w:rPr>
            </w:pPr>
            <w:r>
              <w:rPr>
                <w:rFonts w:ascii="Times New Roman" w:hAnsi="Times New Roman" w:cs="Times New Roman"/>
                <w:b/>
                <w:bCs/>
                <w:sz w:val="15"/>
                <w:szCs w:val="15"/>
              </w:rPr>
              <w:t>Care</w:t>
            </w:r>
          </w:p>
        </w:tc>
        <w:tc>
          <w:tcPr>
            <w:tcW w:w="10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Care</w:t>
            </w: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Care</w:t>
            </w:r>
          </w:p>
        </w:tc>
        <w:tc>
          <w:tcPr>
            <w:tcW w:w="8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b/>
                <w:bCs/>
                <w:sz w:val="15"/>
                <w:szCs w:val="15"/>
              </w:rPr>
              <w:t>Company</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4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GOODWILL at JUNE 30, 2012 - Gross</w:t>
            </w: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$ 16,860</w:t>
            </w: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$ 21,579</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$ 6,115</w:t>
            </w:r>
          </w:p>
        </w:tc>
        <w:tc>
          <w:tcPr>
            <w:tcW w:w="1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    4,424</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3,684</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  2,441</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$ 55,103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Accumulated impairment losses at June 30, 2012</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(431)</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(899)</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(1,330)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40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4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GOODWILL at JUNE 30, 2012 - Net</w:t>
            </w: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16,429</w:t>
            </w: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20,680</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6,115</w:t>
            </w:r>
          </w:p>
        </w:tc>
        <w:tc>
          <w:tcPr>
            <w:tcW w:w="1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4,424</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3,684</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2,441</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53,773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Acquisitions and divestitures</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(40)</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1,090</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1,015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4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Goodwill impairment charges</w:t>
            </w: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w:t>
            </w: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(259)</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Translation and other</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255</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236</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70</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43</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54</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1</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659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40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4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GOODWILL at JUNE 30, 2013 - Gross</w:t>
            </w: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17,094</w:t>
            </w: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21,775</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6,185</w:t>
            </w:r>
          </w:p>
        </w:tc>
        <w:tc>
          <w:tcPr>
            <w:tcW w:w="1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4,453</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4,828</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2,442</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56,777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Accumulated impairment losses at June 30, 2013</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(431)</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(1,158)</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(1,589)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40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4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GOODWILL at JUNE 30, 2013 - Net</w:t>
            </w: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16,663</w:t>
            </w: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20,617</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6,185</w:t>
            </w:r>
          </w:p>
        </w:tc>
        <w:tc>
          <w:tcPr>
            <w:tcW w:w="1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sz w:val="19"/>
                <w:szCs w:val="19"/>
              </w:rPr>
              <w:t>4,453</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4,828</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2,442</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55,188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Acquisitions and divestitures</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(2,445)</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(2,448)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4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Translation and other</w:t>
            </w: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377</w:t>
            </w: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322</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95</w:t>
            </w:r>
          </w:p>
        </w:tc>
        <w:tc>
          <w:tcPr>
            <w:tcW w:w="1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b/>
                <w:bCs/>
                <w:sz w:val="19"/>
                <w:szCs w:val="19"/>
              </w:rPr>
              <w:t>85</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82</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3</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964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3"/>
        </w:trPr>
        <w:tc>
          <w:tcPr>
            <w:tcW w:w="400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GOODWILL at JUNE 30, 2014 - Gross</w:t>
            </w:r>
          </w:p>
        </w:tc>
        <w:tc>
          <w:tcPr>
            <w:tcW w:w="8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17,471</w:t>
            </w:r>
          </w:p>
        </w:tc>
        <w:tc>
          <w:tcPr>
            <w:tcW w:w="8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22,097</w:t>
            </w: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6,280</w:t>
            </w:r>
          </w:p>
        </w:tc>
        <w:tc>
          <w:tcPr>
            <w:tcW w:w="10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b/>
                <w:bCs/>
                <w:sz w:val="19"/>
                <w:szCs w:val="19"/>
              </w:rPr>
              <w:t>4,535</w:t>
            </w:r>
          </w:p>
        </w:tc>
        <w:tc>
          <w:tcPr>
            <w:tcW w:w="8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4,910</w:t>
            </w:r>
          </w:p>
        </w:tc>
        <w:tc>
          <w:tcPr>
            <w:tcW w:w="8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w:t>
            </w:r>
          </w:p>
        </w:tc>
        <w:tc>
          <w:tcPr>
            <w:tcW w:w="7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55,293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
        </w:trPr>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4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Accumulated impairment losses at June 30, 2014</w:t>
            </w: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(431)</w:t>
            </w: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(1,158)</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1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b/>
                <w:bCs/>
                <w:sz w:val="19"/>
                <w:szCs w:val="19"/>
              </w:rPr>
              <w:t>—</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(1,589)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7"/>
        </w:trPr>
        <w:tc>
          <w:tcPr>
            <w:tcW w:w="400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GOODWILL at JUNE 30, 2014 - Net</w:t>
            </w:r>
          </w:p>
        </w:tc>
        <w:tc>
          <w:tcPr>
            <w:tcW w:w="8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17,040</w:t>
            </w:r>
          </w:p>
        </w:tc>
        <w:tc>
          <w:tcPr>
            <w:tcW w:w="8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20,939</w:t>
            </w: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6,280</w:t>
            </w:r>
          </w:p>
        </w:tc>
        <w:tc>
          <w:tcPr>
            <w:tcW w:w="10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8"/>
              <w:jc w:val="right"/>
              <w:rPr>
                <w:rFonts w:ascii="Times New Roman" w:hAnsi="Times New Roman" w:cs="Times New Roman"/>
                <w:sz w:val="24"/>
                <w:szCs w:val="24"/>
              </w:rPr>
            </w:pPr>
            <w:r>
              <w:rPr>
                <w:rFonts w:ascii="Times New Roman" w:hAnsi="Times New Roman" w:cs="Times New Roman"/>
                <w:b/>
                <w:bCs/>
                <w:sz w:val="19"/>
                <w:szCs w:val="19"/>
              </w:rPr>
              <w:t>4,535</w:t>
            </w:r>
          </w:p>
        </w:tc>
        <w:tc>
          <w:tcPr>
            <w:tcW w:w="8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4,910</w:t>
            </w:r>
          </w:p>
        </w:tc>
        <w:tc>
          <w:tcPr>
            <w:tcW w:w="8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w:t>
            </w:r>
          </w:p>
        </w:tc>
        <w:tc>
          <w:tcPr>
            <w:tcW w:w="7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53,704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4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900" w:bottom="346" w:left="840" w:header="720" w:footer="720" w:gutter="0"/>
          <w:cols w:space="520" w:equalWidth="0">
            <w:col w:w="9780" w:space="52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3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5620" w:bottom="346" w:left="860" w:header="720" w:footer="720" w:gutter="0"/>
          <w:cols w:space="520" w:equalWidth="0">
            <w:col w:w="5040" w:space="52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20"/>
        <w:rPr>
          <w:rFonts w:ascii="Times New Roman" w:hAnsi="Times New Roman" w:cs="Times New Roman"/>
          <w:sz w:val="24"/>
          <w:szCs w:val="24"/>
        </w:rPr>
      </w:pPr>
      <w:r>
        <w:rPr>
          <w:rFonts w:ascii="Times New Roman" w:hAnsi="Times New Roman" w:cs="Times New Roman"/>
          <w:sz w:val="19"/>
          <w:szCs w:val="19"/>
        </w:rPr>
        <w:t>On July 31, 2014, the Company completed the divestiture of its Pet Care operations in North America, Latin America and other selected countries. The Company is pursuing alternate plans to sell its Pet Care business in the other markets, primarily the Europ</w:t>
      </w:r>
      <w:r>
        <w:rPr>
          <w:rFonts w:ascii="Times New Roman" w:hAnsi="Times New Roman" w:cs="Times New Roman"/>
          <w:sz w:val="19"/>
          <w:szCs w:val="19"/>
        </w:rPr>
        <w:t>ean Union countries. As a result, the Pet Care goodwill is included in the Corporate Segment as of June 30, 2013 and 2012. Pet Care goodwill and intangible assets at June 30, 2014 are reported in assets held for sale. The remaining change in goodwill since</w:t>
      </w:r>
      <w:r>
        <w:rPr>
          <w:rFonts w:ascii="Times New Roman" w:hAnsi="Times New Roman" w:cs="Times New Roman"/>
          <w:sz w:val="19"/>
          <w:szCs w:val="19"/>
        </w:rPr>
        <w:t xml:space="preserve"> June 30, 2013 was primarily due to currency translation across all reportable segments.</w:t>
      </w:r>
    </w:p>
    <w:p w:rsidR="00000000" w:rsidRDefault="0057438D">
      <w:pPr>
        <w:pStyle w:val="DefaultParagraphFont"/>
        <w:widowControl w:val="0"/>
        <w:autoSpaceDE w:val="0"/>
        <w:autoSpaceDN w:val="0"/>
        <w:adjustRightInd w:val="0"/>
        <w:spacing w:after="0" w:line="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20"/>
        <w:rPr>
          <w:rFonts w:ascii="Times New Roman" w:hAnsi="Times New Roman" w:cs="Times New Roman"/>
          <w:sz w:val="24"/>
          <w:szCs w:val="24"/>
        </w:rPr>
      </w:pPr>
      <w:r>
        <w:rPr>
          <w:rFonts w:ascii="Times New Roman" w:hAnsi="Times New Roman" w:cs="Times New Roman"/>
          <w:sz w:val="19"/>
          <w:szCs w:val="19"/>
        </w:rPr>
        <w:t>The results of our goodwill impairment testing during fiscal 2013 determined that the estimated fair value of our Appliances reporting unit declined below its carryin</w:t>
      </w:r>
      <w:r>
        <w:rPr>
          <w:rFonts w:ascii="Times New Roman" w:hAnsi="Times New Roman" w:cs="Times New Roman"/>
          <w:sz w:val="19"/>
          <w:szCs w:val="19"/>
        </w:rPr>
        <w:t>g amount. As a result, we recorded a non-cash before and after-tax impairment charge of $259, in fiscal 2013, to reduce the carrying amount of goodwill to estimated fair value. We also recorded a non-cash before-tax impairment charge of $49 ($31 after-tax)</w:t>
      </w:r>
      <w:r>
        <w:rPr>
          <w:rFonts w:ascii="Times New Roman" w:hAnsi="Times New Roman" w:cs="Times New Roman"/>
          <w:sz w:val="19"/>
          <w:szCs w:val="19"/>
        </w:rPr>
        <w:t xml:space="preserve"> to reduce the carrying amount of our Braun indefinite-lived trade name intangible asset to its fair value. The fiscal 2013 declines in fair values of the Appliances reporting unit and the Braun trade name intangible asset were primarily driven by currency</w:t>
      </w:r>
      <w:r>
        <w:rPr>
          <w:rFonts w:ascii="Times New Roman" w:hAnsi="Times New Roman" w:cs="Times New Roman"/>
          <w:sz w:val="19"/>
          <w:szCs w:val="19"/>
        </w:rPr>
        <w:t xml:space="preserve"> impacts. Specifically, currency in Japan, a country that generates a significant portion of the Appliances earnings, devalued approximately 20% in the second half of fiscal 2013 relative to the currencies in which the underlying net assets are recorded. T</w:t>
      </w:r>
      <w:r>
        <w:rPr>
          <w:rFonts w:ascii="Times New Roman" w:hAnsi="Times New Roman" w:cs="Times New Roman"/>
          <w:sz w:val="19"/>
          <w:szCs w:val="19"/>
        </w:rPr>
        <w:t>his sustained reduction in the yen reduced the underlying category market size and the projected future cash flows of the business, which in turn triggered the impairment.</w:t>
      </w:r>
    </w:p>
    <w:p w:rsidR="00000000" w:rsidRDefault="0057438D">
      <w:pPr>
        <w:pStyle w:val="DefaultParagraphFont"/>
        <w:widowControl w:val="0"/>
        <w:autoSpaceDE w:val="0"/>
        <w:autoSpaceDN w:val="0"/>
        <w:adjustRightInd w:val="0"/>
        <w:spacing w:after="0" w:line="7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rPr>
          <w:rFonts w:ascii="Times New Roman" w:hAnsi="Times New Roman" w:cs="Times New Roman"/>
          <w:sz w:val="24"/>
          <w:szCs w:val="24"/>
        </w:rPr>
      </w:pPr>
      <w:r>
        <w:rPr>
          <w:rFonts w:ascii="Times New Roman" w:hAnsi="Times New Roman" w:cs="Times New Roman"/>
          <w:sz w:val="19"/>
          <w:szCs w:val="19"/>
        </w:rPr>
        <w:t xml:space="preserve">In October 2012, the Company acquired our partner's interest in a joint venture in </w:t>
      </w:r>
      <w:r>
        <w:rPr>
          <w:rFonts w:ascii="Times New Roman" w:hAnsi="Times New Roman" w:cs="Times New Roman"/>
          <w:sz w:val="19"/>
          <w:szCs w:val="19"/>
        </w:rPr>
        <w:t>Iberia that operates in our Baby Care and Family Care and Health Care reportable segments. We paid $1.1 billion for our partner's interest and the transaction was accounted for as a business combination. The total enterprise value of $1.9 billion was alloc</w:t>
      </w:r>
      <w:r>
        <w:rPr>
          <w:rFonts w:ascii="Times New Roman" w:hAnsi="Times New Roman" w:cs="Times New Roman"/>
          <w:sz w:val="19"/>
          <w:szCs w:val="19"/>
        </w:rPr>
        <w:t>ated to indefinite-lived intangible assets of $0.2 billion, defined-life intangible assets of $0.9 billion and goodwill of $1.1 billion. These were partially offset by $0.3 billion of deferred tax liabilities on the intangible assets. The Company recognize</w:t>
      </w:r>
      <w:r>
        <w:rPr>
          <w:rFonts w:ascii="Times New Roman" w:hAnsi="Times New Roman" w:cs="Times New Roman"/>
          <w:sz w:val="19"/>
          <w:szCs w:val="19"/>
        </w:rPr>
        <w:t>d a $0.6 billion holding gain on its previously held investment, which was included in other non-operating income, net in the Consolidated Statement of Earnings in fiscal 2013. In addition to these items and the impairment discussed above, the remaining ne</w:t>
      </w:r>
      <w:r>
        <w:rPr>
          <w:rFonts w:ascii="Times New Roman" w:hAnsi="Times New Roman" w:cs="Times New Roman"/>
          <w:sz w:val="19"/>
          <w:szCs w:val="19"/>
        </w:rPr>
        <w:t>t increase in goodwill during fiscal 2013 was primarily due to currency translation across all reportable segments.</w:t>
      </w:r>
    </w:p>
    <w:p w:rsidR="00000000" w:rsidRDefault="0057438D">
      <w:pPr>
        <w:pStyle w:val="DefaultParagraphFont"/>
        <w:widowControl w:val="0"/>
        <w:autoSpaceDE w:val="0"/>
        <w:autoSpaceDN w:val="0"/>
        <w:adjustRightInd w:val="0"/>
        <w:spacing w:after="0" w:line="7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The results of our goodwill impairment testing during fiscal 2012 determined that the estimated fair values of our Appliances and Salon Pro</w:t>
      </w:r>
      <w:r>
        <w:rPr>
          <w:rFonts w:ascii="Times New Roman" w:hAnsi="Times New Roman" w:cs="Times New Roman"/>
          <w:sz w:val="19"/>
          <w:szCs w:val="19"/>
        </w:rPr>
        <w:t>fessional reporting units were less than their respective carrying amounts. As a result, we recorded a non-cash before and after-tax impairment charge of $1.3 billion in fiscal 2012 to reduce the carrying amount of goodwill to estimated fair value. $899 of</w:t>
      </w:r>
      <w:r>
        <w:rPr>
          <w:rFonts w:ascii="Times New Roman" w:hAnsi="Times New Roman" w:cs="Times New Roman"/>
          <w:sz w:val="19"/>
          <w:szCs w:val="19"/>
        </w:rPr>
        <w:t xml:space="preserve"> the impairment related to Appliances and $431 related to Salon Professional. Our impairment testing for indefinite-lived intangible assets</w:t>
      </w:r>
    </w:p>
    <w:p w:rsidR="00000000" w:rsidRDefault="0057438D">
      <w:pPr>
        <w:pStyle w:val="DefaultParagraphFont"/>
        <w:widowControl w:val="0"/>
        <w:autoSpaceDE w:val="0"/>
        <w:autoSpaceDN w:val="0"/>
        <w:adjustRightInd w:val="0"/>
        <w:spacing w:after="0" w:line="240" w:lineRule="auto"/>
        <w:ind w:left="2300"/>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 xml:space="preserve">The Procter &amp; Gamble Company  </w:t>
      </w:r>
      <w:r>
        <w:rPr>
          <w:rFonts w:ascii="Times New Roman" w:hAnsi="Times New Roman" w:cs="Times New Roman"/>
          <w:sz w:val="19"/>
          <w:szCs w:val="19"/>
        </w:rPr>
        <w:t>55</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left="20" w:right="80"/>
        <w:rPr>
          <w:rFonts w:ascii="Times New Roman" w:hAnsi="Times New Roman" w:cs="Times New Roman"/>
          <w:sz w:val="24"/>
          <w:szCs w:val="24"/>
        </w:rPr>
      </w:pPr>
      <w:r>
        <w:rPr>
          <w:rFonts w:ascii="Times New Roman" w:hAnsi="Times New Roman" w:cs="Times New Roman"/>
          <w:sz w:val="19"/>
          <w:szCs w:val="19"/>
        </w:rPr>
        <w:t>during fiscal 2012 also indicated a decline in the fair value of our Koleston Perfect and Wella trade name intangible assets below their respective carrying values. This resulted in a non-cash before-tax impairment charge of $246 ($173 after-tax) to reduce</w:t>
      </w:r>
      <w:r>
        <w:rPr>
          <w:rFonts w:ascii="Times New Roman" w:hAnsi="Times New Roman" w:cs="Times New Roman"/>
          <w:sz w:val="19"/>
          <w:szCs w:val="19"/>
        </w:rPr>
        <w:t xml:space="preserve"> the carrying amounts of these assets to their respective values. The fiscal 2012 declines in the fair values of the Appliances and Salon Professional reporting units and the underlying Koleston Perfect and Wella trade name intangible assets were driven by</w:t>
      </w:r>
      <w:r>
        <w:rPr>
          <w:rFonts w:ascii="Times New Roman" w:hAnsi="Times New Roman" w:cs="Times New Roman"/>
          <w:sz w:val="19"/>
          <w:szCs w:val="19"/>
        </w:rPr>
        <w:t xml:space="preserve"> a combination of competitive and economic factors, which resulted in a reduction in the forecasted growth rates and cash flows used to estimate fair value.</w:t>
      </w:r>
    </w:p>
    <w:p w:rsidR="00000000" w:rsidRDefault="0057438D">
      <w:pPr>
        <w:pStyle w:val="DefaultParagraphFont"/>
        <w:widowControl w:val="0"/>
        <w:autoSpaceDE w:val="0"/>
        <w:autoSpaceDN w:val="0"/>
        <w:adjustRightInd w:val="0"/>
        <w:spacing w:after="0" w:line="14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left="20" w:right="220"/>
        <w:rPr>
          <w:rFonts w:ascii="Times New Roman" w:hAnsi="Times New Roman" w:cs="Times New Roman"/>
          <w:sz w:val="24"/>
          <w:szCs w:val="24"/>
        </w:rPr>
      </w:pPr>
      <w:r>
        <w:rPr>
          <w:rFonts w:ascii="Times New Roman" w:hAnsi="Times New Roman" w:cs="Times New Roman"/>
          <w:sz w:val="19"/>
          <w:szCs w:val="19"/>
        </w:rPr>
        <w:t>All of the goodwill and indefinite-lived intangible asset impairment charges are included in Corpo</w:t>
      </w:r>
      <w:r>
        <w:rPr>
          <w:rFonts w:ascii="Times New Roman" w:hAnsi="Times New Roman" w:cs="Times New Roman"/>
          <w:sz w:val="19"/>
          <w:szCs w:val="19"/>
        </w:rPr>
        <w:t>rate for segment reporting.</w:t>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left="20" w:right="40"/>
        <w:rPr>
          <w:rFonts w:ascii="Times New Roman" w:hAnsi="Times New Roman" w:cs="Times New Roman"/>
          <w:sz w:val="24"/>
          <w:szCs w:val="24"/>
        </w:rPr>
      </w:pPr>
      <w:r>
        <w:rPr>
          <w:rFonts w:ascii="Times New Roman" w:hAnsi="Times New Roman" w:cs="Times New Roman"/>
          <w:sz w:val="19"/>
          <w:szCs w:val="19"/>
        </w:rPr>
        <w:t>The goodwill and intangible asset valuations are dependent on a number of significant estimates and assumptions, including macroeconomic conditions, overall category growth rates, competitive activities, cost containment and ma</w:t>
      </w:r>
      <w:r>
        <w:rPr>
          <w:rFonts w:ascii="Times New Roman" w:hAnsi="Times New Roman" w:cs="Times New Roman"/>
          <w:sz w:val="19"/>
          <w:szCs w:val="19"/>
        </w:rPr>
        <w:t>rgin expansion and Company business plans. We believe these estimates and assumptions are reasonable. However, actual events and results could differ substantially from those used in our valuations. To the extent such factors result in a failure to achieve</w:t>
      </w:r>
      <w:r>
        <w:rPr>
          <w:rFonts w:ascii="Times New Roman" w:hAnsi="Times New Roman" w:cs="Times New Roman"/>
          <w:sz w:val="19"/>
          <w:szCs w:val="19"/>
        </w:rPr>
        <w:t xml:space="preserve"> the level of projected cash flows used to estimate fair value, we may need to record additional non-cash impairment charges in the future.</w:t>
      </w:r>
    </w:p>
    <w:p w:rsidR="00000000" w:rsidRDefault="0057438D">
      <w:pPr>
        <w:pStyle w:val="DefaultParagraphFont"/>
        <w:widowControl w:val="0"/>
        <w:autoSpaceDE w:val="0"/>
        <w:autoSpaceDN w:val="0"/>
        <w:adjustRightInd w:val="0"/>
        <w:spacing w:after="0" w:line="8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Identifiable intangible assets were comprised of:</w:t>
      </w:r>
    </w:p>
    <w:p w:rsidR="00000000" w:rsidRDefault="0057438D">
      <w:pPr>
        <w:pStyle w:val="DefaultParagraphFont"/>
        <w:widowControl w:val="0"/>
        <w:autoSpaceDE w:val="0"/>
        <w:autoSpaceDN w:val="0"/>
        <w:adjustRightInd w:val="0"/>
        <w:spacing w:after="0" w:line="179"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firstRow="0" w:lastRow="0" w:firstColumn="0" w:lastColumn="0" w:noHBand="0" w:noVBand="0"/>
      </w:tblPr>
      <w:tblGrid>
        <w:gridCol w:w="1120"/>
        <w:gridCol w:w="680"/>
        <w:gridCol w:w="1060"/>
        <w:gridCol w:w="80"/>
        <w:gridCol w:w="680"/>
        <w:gridCol w:w="1060"/>
        <w:gridCol w:w="20"/>
      </w:tblGrid>
      <w:tr w:rsidR="00000000">
        <w:tblPrEx>
          <w:tblCellMar>
            <w:top w:w="0" w:type="dxa"/>
            <w:left w:w="0" w:type="dxa"/>
            <w:bottom w:w="0" w:type="dxa"/>
            <w:right w:w="0" w:type="dxa"/>
          </w:tblCellMar>
        </w:tblPrEx>
        <w:trPr>
          <w:trHeight w:val="203"/>
        </w:trPr>
        <w:tc>
          <w:tcPr>
            <w:tcW w:w="1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30"/>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30"/>
              <w:jc w:val="right"/>
              <w:rPr>
                <w:rFonts w:ascii="Times New Roman" w:hAnsi="Times New Roman" w:cs="Times New Roman"/>
                <w:sz w:val="24"/>
                <w:szCs w:val="24"/>
              </w:rPr>
            </w:pPr>
            <w:r>
              <w:rPr>
                <w:rFonts w:ascii="Times New Roman" w:hAnsi="Times New Roman" w:cs="Times New Roman"/>
                <w:b/>
                <w:bCs/>
                <w:sz w:val="15"/>
                <w:szCs w:val="15"/>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1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7"/>
        </w:trPr>
        <w:tc>
          <w:tcPr>
            <w:tcW w:w="1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7" w:lineRule="exact"/>
              <w:jc w:val="center"/>
              <w:rPr>
                <w:rFonts w:ascii="Times New Roman" w:hAnsi="Times New Roman" w:cs="Times New Roman"/>
                <w:sz w:val="24"/>
                <w:szCs w:val="24"/>
              </w:rPr>
            </w:pPr>
            <w:r>
              <w:rPr>
                <w:rFonts w:ascii="Times New Roman" w:hAnsi="Times New Roman" w:cs="Times New Roman"/>
                <w:b/>
                <w:bCs/>
                <w:sz w:val="15"/>
                <w:szCs w:val="15"/>
              </w:rPr>
              <w:t>Gross</w:t>
            </w:r>
          </w:p>
        </w:tc>
        <w:tc>
          <w:tcPr>
            <w:tcW w:w="10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Accumulated</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7" w:lineRule="exact"/>
              <w:jc w:val="center"/>
              <w:rPr>
                <w:rFonts w:ascii="Times New Roman" w:hAnsi="Times New Roman" w:cs="Times New Roman"/>
                <w:sz w:val="24"/>
                <w:szCs w:val="24"/>
              </w:rPr>
            </w:pPr>
            <w:r>
              <w:rPr>
                <w:rFonts w:ascii="Times New Roman" w:hAnsi="Times New Roman" w:cs="Times New Roman"/>
                <w:b/>
                <w:bCs/>
                <w:sz w:val="15"/>
                <w:szCs w:val="15"/>
              </w:rPr>
              <w:t>Gross</w:t>
            </w:r>
          </w:p>
        </w:tc>
        <w:tc>
          <w:tcPr>
            <w:tcW w:w="10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Accumulated</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1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Carrying</w:t>
            </w:r>
          </w:p>
        </w:tc>
        <w:tc>
          <w:tcPr>
            <w:tcW w:w="10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Carrying</w:t>
            </w:r>
          </w:p>
        </w:tc>
        <w:tc>
          <w:tcPr>
            <w:tcW w:w="10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1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Amount</w:t>
            </w: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Amortization</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8"/>
                <w:sz w:val="15"/>
                <w:szCs w:val="15"/>
              </w:rPr>
              <w:t>Amount</w:t>
            </w: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Amortization</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294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7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7"/>
        </w:trPr>
        <w:tc>
          <w:tcPr>
            <w:tcW w:w="112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ind w:left="60"/>
              <w:rPr>
                <w:rFonts w:ascii="Times New Roman" w:hAnsi="Times New Roman" w:cs="Times New Roman"/>
                <w:sz w:val="24"/>
                <w:szCs w:val="24"/>
              </w:rPr>
            </w:pPr>
            <w:r>
              <w:rPr>
                <w:rFonts w:ascii="Times New Roman" w:hAnsi="Times New Roman" w:cs="Times New Roman"/>
                <w:b/>
                <w:bCs/>
                <w:w w:val="85"/>
                <w:sz w:val="19"/>
                <w:szCs w:val="19"/>
              </w:rPr>
              <w:t>INTANGIBLE</w:t>
            </w:r>
          </w:p>
        </w:tc>
        <w:tc>
          <w:tcPr>
            <w:tcW w:w="1740" w:type="dxa"/>
            <w:gridSpan w:val="2"/>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ind w:right="150"/>
              <w:jc w:val="right"/>
              <w:rPr>
                <w:rFonts w:ascii="Times New Roman" w:hAnsi="Times New Roman" w:cs="Times New Roman"/>
                <w:sz w:val="24"/>
                <w:szCs w:val="24"/>
              </w:rPr>
            </w:pPr>
            <w:r>
              <w:rPr>
                <w:rFonts w:ascii="Times New Roman" w:hAnsi="Times New Roman" w:cs="Times New Roman"/>
                <w:b/>
                <w:bCs/>
                <w:sz w:val="19"/>
                <w:szCs w:val="19"/>
              </w:rPr>
              <w:t>ASSETS WITH</w:t>
            </w:r>
          </w:p>
        </w:tc>
        <w:tc>
          <w:tcPr>
            <w:tcW w:w="8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740" w:type="dxa"/>
            <w:gridSpan w:val="2"/>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ind w:right="350"/>
              <w:jc w:val="right"/>
              <w:rPr>
                <w:rFonts w:ascii="Times New Roman" w:hAnsi="Times New Roman" w:cs="Times New Roman"/>
                <w:sz w:val="24"/>
                <w:szCs w:val="24"/>
              </w:rPr>
            </w:pPr>
            <w:r>
              <w:rPr>
                <w:rFonts w:ascii="Times New Roman" w:hAnsi="Times New Roman" w:cs="Times New Roman"/>
                <w:b/>
                <w:bCs/>
                <w:w w:val="81"/>
                <w:sz w:val="19"/>
                <w:szCs w:val="19"/>
              </w:rPr>
              <w:t>DETERMINABLE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1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LIVES</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Brands</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$ 4,154</w:t>
            </w: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(2,205)</w:t>
            </w:r>
          </w:p>
        </w:tc>
        <w:tc>
          <w:tcPr>
            <w:tcW w:w="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$ 4,251</w:t>
            </w: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(2,020)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1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Patents and</w:t>
            </w:r>
          </w:p>
        </w:tc>
        <w:tc>
          <w:tcPr>
            <w:tcW w:w="6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2,850</w:t>
            </w:r>
          </w:p>
        </w:tc>
        <w:tc>
          <w:tcPr>
            <w:tcW w:w="10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(2,082)</w:t>
            </w:r>
          </w:p>
        </w:tc>
        <w:tc>
          <w:tcPr>
            <w:tcW w:w="76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2,976</w:t>
            </w:r>
          </w:p>
        </w:tc>
        <w:tc>
          <w:tcPr>
            <w:tcW w:w="10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(2,032)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1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technology</w:t>
            </w:r>
          </w:p>
        </w:tc>
        <w:tc>
          <w:tcPr>
            <w:tcW w:w="6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6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6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1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Customer</w:t>
            </w:r>
          </w:p>
        </w:tc>
        <w:tc>
          <w:tcPr>
            <w:tcW w:w="6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2,002</w:t>
            </w:r>
          </w:p>
        </w:tc>
        <w:tc>
          <w:tcPr>
            <w:tcW w:w="10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(763)</w:t>
            </w:r>
          </w:p>
        </w:tc>
        <w:tc>
          <w:tcPr>
            <w:tcW w:w="76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2,118</w:t>
            </w:r>
          </w:p>
        </w:tc>
        <w:tc>
          <w:tcPr>
            <w:tcW w:w="10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(703)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1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relationships</w:t>
            </w:r>
          </w:p>
        </w:tc>
        <w:tc>
          <w:tcPr>
            <w:tcW w:w="6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1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1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Other</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355</w:t>
            </w:r>
          </w:p>
        </w:tc>
        <w:tc>
          <w:tcPr>
            <w:tcW w:w="1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(164)</w:t>
            </w:r>
          </w:p>
        </w:tc>
        <w:tc>
          <w:tcPr>
            <w:tcW w:w="7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348</w:t>
            </w:r>
          </w:p>
        </w:tc>
        <w:tc>
          <w:tcPr>
            <w:tcW w:w="1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5"/>
        </w:trPr>
        <w:tc>
          <w:tcPr>
            <w:tcW w:w="112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w:t>
            </w: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9,361</w:t>
            </w:r>
          </w:p>
        </w:tc>
        <w:tc>
          <w:tcPr>
            <w:tcW w:w="10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(5,214)</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9,693</w:t>
            </w:r>
          </w:p>
        </w:tc>
        <w:tc>
          <w:tcPr>
            <w:tcW w:w="10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(4,923)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7"/>
        </w:trPr>
        <w:tc>
          <w:tcPr>
            <w:tcW w:w="1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1"/>
        </w:trPr>
        <w:tc>
          <w:tcPr>
            <w:tcW w:w="4680" w:type="dxa"/>
            <w:gridSpan w:val="6"/>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INTANGIBLE ASSETS WITH INDEFINITE LIVES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9"/>
        </w:trPr>
        <w:tc>
          <w:tcPr>
            <w:tcW w:w="1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Brands</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26,696</w:t>
            </w:r>
          </w:p>
        </w:tc>
        <w:tc>
          <w:tcPr>
            <w:tcW w:w="1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7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26,802</w:t>
            </w:r>
          </w:p>
        </w:tc>
        <w:tc>
          <w:tcPr>
            <w:tcW w:w="1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7"/>
        </w:trPr>
        <w:tc>
          <w:tcPr>
            <w:tcW w:w="11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w:t>
            </w: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36,057</w:t>
            </w:r>
          </w:p>
        </w:tc>
        <w:tc>
          <w:tcPr>
            <w:tcW w:w="10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(5,214)</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36,495</w:t>
            </w:r>
          </w:p>
        </w:tc>
        <w:tc>
          <w:tcPr>
            <w:tcW w:w="10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(4,923)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1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7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left="20" w:right="20"/>
        <w:rPr>
          <w:rFonts w:ascii="Times New Roman" w:hAnsi="Times New Roman" w:cs="Times New Roman"/>
          <w:sz w:val="24"/>
          <w:szCs w:val="24"/>
        </w:rPr>
      </w:pPr>
      <w:r>
        <w:rPr>
          <w:rFonts w:ascii="Times New Roman" w:hAnsi="Times New Roman" w:cs="Times New Roman"/>
          <w:sz w:val="19"/>
          <w:szCs w:val="19"/>
        </w:rPr>
        <w:t>Due to the divestiture of the Pet Care business, intangible assets specific to the Pet Care business are reported in assets held for sale in accordance with the accounting principles for assets held for sale as of June 30, 2014.</w:t>
      </w:r>
    </w:p>
    <w:p w:rsidR="00000000" w:rsidRDefault="0057438D">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Amortization expense of in</w:t>
      </w:r>
      <w:r>
        <w:rPr>
          <w:rFonts w:ascii="Times New Roman" w:hAnsi="Times New Roman" w:cs="Times New Roman"/>
          <w:sz w:val="19"/>
          <w:szCs w:val="19"/>
        </w:rPr>
        <w:t>tangible assets was as follows:</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820"/>
        <w:gridCol w:w="560"/>
        <w:gridCol w:w="80"/>
        <w:gridCol w:w="580"/>
        <w:gridCol w:w="60"/>
        <w:gridCol w:w="580"/>
      </w:tblGrid>
      <w:tr w:rsidR="00000000">
        <w:tblPrEx>
          <w:tblCellMar>
            <w:top w:w="0" w:type="dxa"/>
            <w:left w:w="0" w:type="dxa"/>
            <w:bottom w:w="0" w:type="dxa"/>
            <w:right w:w="0" w:type="dxa"/>
          </w:tblCellMar>
        </w:tblPrEx>
        <w:trPr>
          <w:trHeight w:val="203"/>
        </w:trPr>
        <w:tc>
          <w:tcPr>
            <w:tcW w:w="2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4"/>
              <w:jc w:val="right"/>
              <w:rPr>
                <w:rFonts w:ascii="Times New Roman" w:hAnsi="Times New Roman" w:cs="Times New Roman"/>
                <w:sz w:val="24"/>
                <w:szCs w:val="24"/>
              </w:rPr>
            </w:pPr>
            <w:r>
              <w:rPr>
                <w:rFonts w:ascii="Times New Roman" w:hAnsi="Times New Roman" w:cs="Times New Roman"/>
                <w:b/>
                <w:bCs/>
                <w:sz w:val="15"/>
                <w:szCs w:val="15"/>
              </w:rPr>
              <w:t>2014</w:t>
            </w:r>
          </w:p>
        </w:tc>
        <w:tc>
          <w:tcPr>
            <w:tcW w:w="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b/>
                <w:bCs/>
                <w:sz w:val="15"/>
                <w:szCs w:val="15"/>
              </w:rPr>
              <w:t>2013</w:t>
            </w:r>
          </w:p>
        </w:tc>
        <w:tc>
          <w:tcPr>
            <w:tcW w:w="6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5"/>
                <w:szCs w:val="15"/>
              </w:rPr>
              <w:t>2012</w:t>
            </w:r>
          </w:p>
        </w:tc>
      </w:tr>
      <w:tr w:rsidR="00000000">
        <w:tblPrEx>
          <w:tblCellMar>
            <w:top w:w="0" w:type="dxa"/>
            <w:left w:w="0" w:type="dxa"/>
            <w:bottom w:w="0" w:type="dxa"/>
            <w:right w:w="0" w:type="dxa"/>
          </w:tblCellMar>
        </w:tblPrEx>
        <w:trPr>
          <w:trHeight w:val="25"/>
        </w:trPr>
        <w:tc>
          <w:tcPr>
            <w:tcW w:w="28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3"/>
        </w:trPr>
        <w:tc>
          <w:tcPr>
            <w:tcW w:w="28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Intangible asset amortization</w:t>
            </w: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$ 514</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$ 528</w:t>
            </w: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$ 500</w:t>
            </w:r>
          </w:p>
        </w:tc>
      </w:tr>
      <w:tr w:rsidR="00000000">
        <w:tblPrEx>
          <w:tblCellMar>
            <w:top w:w="0" w:type="dxa"/>
            <w:left w:w="0" w:type="dxa"/>
            <w:bottom w:w="0" w:type="dxa"/>
            <w:right w:w="0" w:type="dxa"/>
          </w:tblCellMar>
        </w:tblPrEx>
        <w:trPr>
          <w:trHeight w:val="23"/>
        </w:trPr>
        <w:tc>
          <w:tcPr>
            <w:tcW w:w="28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880" w:bottom="346" w:left="860" w:header="720" w:footer="720" w:gutter="0"/>
          <w:cols w:num="2" w:space="440" w:equalWidth="0">
            <w:col w:w="4640" w:space="440"/>
            <w:col w:w="4700"/>
          </w:cols>
          <w:noEndnote/>
        </w:sectPr>
      </w:pPr>
    </w:p>
    <w:p w:rsidR="00000000" w:rsidRDefault="0057438D">
      <w:pPr>
        <w:pStyle w:val="DefaultParagraphFont"/>
        <w:widowControl w:val="0"/>
        <w:autoSpaceDE w:val="0"/>
        <w:autoSpaceDN w:val="0"/>
        <w:adjustRightInd w:val="0"/>
        <w:spacing w:after="0" w:line="17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5580" w:header="720" w:footer="720" w:gutter="0"/>
          <w:cols w:space="440" w:equalWidth="0">
            <w:col w:w="5060" w:space="440"/>
          </w:cols>
          <w:noEndnote/>
        </w:sectPr>
      </w:pPr>
    </w:p>
    <w:p w:rsidR="00000000" w:rsidRDefault="0057438D">
      <w:pPr>
        <w:pStyle w:val="DefaultParagraphFont"/>
        <w:widowControl w:val="0"/>
        <w:tabs>
          <w:tab w:val="left" w:pos="360"/>
        </w:tabs>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7"/>
          <w:szCs w:val="17"/>
        </w:rPr>
        <w:t>56</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400"/>
        <w:rPr>
          <w:rFonts w:ascii="Times New Roman" w:hAnsi="Times New Roman" w:cs="Times New Roman"/>
          <w:sz w:val="24"/>
          <w:szCs w:val="24"/>
        </w:rPr>
      </w:pPr>
      <w:r>
        <w:rPr>
          <w:rFonts w:ascii="Times New Roman" w:hAnsi="Times New Roman" w:cs="Times New Roman"/>
          <w:sz w:val="19"/>
          <w:szCs w:val="19"/>
        </w:rPr>
        <w:t>Estimated amortization expense over the next five fiscal years is as follows:</w:t>
      </w:r>
    </w:p>
    <w:p w:rsidR="00000000" w:rsidRDefault="0057438D">
      <w:pPr>
        <w:pStyle w:val="DefaultParagraphFont"/>
        <w:widowControl w:val="0"/>
        <w:autoSpaceDE w:val="0"/>
        <w:autoSpaceDN w:val="0"/>
        <w:adjustRightInd w:val="0"/>
        <w:spacing w:after="0" w:line="28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500"/>
        <w:gridCol w:w="560"/>
        <w:gridCol w:w="80"/>
        <w:gridCol w:w="580"/>
        <w:gridCol w:w="60"/>
        <w:gridCol w:w="620"/>
        <w:gridCol w:w="80"/>
        <w:gridCol w:w="560"/>
        <w:gridCol w:w="80"/>
        <w:gridCol w:w="560"/>
        <w:gridCol w:w="20"/>
      </w:tblGrid>
      <w:tr w:rsidR="00000000">
        <w:tblPrEx>
          <w:tblCellMar>
            <w:top w:w="0" w:type="dxa"/>
            <w:left w:w="0" w:type="dxa"/>
            <w:bottom w:w="0" w:type="dxa"/>
            <w:right w:w="0" w:type="dxa"/>
          </w:tblCellMar>
        </w:tblPrEx>
        <w:trPr>
          <w:trHeight w:val="203"/>
        </w:trPr>
        <w:tc>
          <w:tcPr>
            <w:tcW w:w="15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4"/>
              <w:jc w:val="right"/>
              <w:rPr>
                <w:rFonts w:ascii="Times New Roman" w:hAnsi="Times New Roman" w:cs="Times New Roman"/>
                <w:sz w:val="24"/>
                <w:szCs w:val="24"/>
              </w:rPr>
            </w:pPr>
            <w:r>
              <w:rPr>
                <w:rFonts w:ascii="Times New Roman" w:hAnsi="Times New Roman" w:cs="Times New Roman"/>
                <w:b/>
                <w:bCs/>
                <w:sz w:val="15"/>
                <w:szCs w:val="15"/>
              </w:rPr>
              <w:t>2015</w:t>
            </w:r>
          </w:p>
        </w:tc>
        <w:tc>
          <w:tcPr>
            <w:tcW w:w="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0"/>
              <w:jc w:val="right"/>
              <w:rPr>
                <w:rFonts w:ascii="Times New Roman" w:hAnsi="Times New Roman" w:cs="Times New Roman"/>
                <w:sz w:val="24"/>
                <w:szCs w:val="24"/>
              </w:rPr>
            </w:pPr>
            <w:r>
              <w:rPr>
                <w:rFonts w:ascii="Times New Roman" w:hAnsi="Times New Roman" w:cs="Times New Roman"/>
                <w:b/>
                <w:bCs/>
                <w:sz w:val="15"/>
                <w:szCs w:val="15"/>
              </w:rPr>
              <w:t>2016</w:t>
            </w:r>
          </w:p>
        </w:tc>
        <w:tc>
          <w:tcPr>
            <w:tcW w:w="6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0"/>
              <w:jc w:val="right"/>
              <w:rPr>
                <w:rFonts w:ascii="Times New Roman" w:hAnsi="Times New Roman" w:cs="Times New Roman"/>
                <w:sz w:val="24"/>
                <w:szCs w:val="24"/>
              </w:rPr>
            </w:pPr>
            <w:r>
              <w:rPr>
                <w:rFonts w:ascii="Times New Roman" w:hAnsi="Times New Roman" w:cs="Times New Roman"/>
                <w:b/>
                <w:bCs/>
                <w:sz w:val="15"/>
                <w:szCs w:val="15"/>
              </w:rPr>
              <w:t>2017</w:t>
            </w:r>
          </w:p>
        </w:tc>
        <w:tc>
          <w:tcPr>
            <w:tcW w:w="6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0"/>
              <w:jc w:val="right"/>
              <w:rPr>
                <w:rFonts w:ascii="Times New Roman" w:hAnsi="Times New Roman" w:cs="Times New Roman"/>
                <w:sz w:val="24"/>
                <w:szCs w:val="24"/>
              </w:rPr>
            </w:pPr>
            <w:r>
              <w:rPr>
                <w:rFonts w:ascii="Times New Roman" w:hAnsi="Times New Roman" w:cs="Times New Roman"/>
                <w:b/>
                <w:bCs/>
                <w:sz w:val="15"/>
                <w:szCs w:val="15"/>
              </w:rPr>
              <w:t>2018</w:t>
            </w:r>
          </w:p>
        </w:tc>
        <w:tc>
          <w:tcPr>
            <w:tcW w:w="6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0"/>
              <w:jc w:val="right"/>
              <w:rPr>
                <w:rFonts w:ascii="Times New Roman" w:hAnsi="Times New Roman" w:cs="Times New Roman"/>
                <w:sz w:val="24"/>
                <w:szCs w:val="24"/>
              </w:rPr>
            </w:pPr>
            <w:r>
              <w:rPr>
                <w:rFonts w:ascii="Times New Roman" w:hAnsi="Times New Roman" w:cs="Times New Roman"/>
                <w:b/>
                <w:bCs/>
                <w:sz w:val="15"/>
                <w:szCs w:val="15"/>
              </w:rPr>
              <w:t>2019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15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7"/>
        </w:trPr>
        <w:tc>
          <w:tcPr>
            <w:tcW w:w="15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7" w:lineRule="exact"/>
              <w:ind w:left="60"/>
              <w:rPr>
                <w:rFonts w:ascii="Times New Roman" w:hAnsi="Times New Roman" w:cs="Times New Roman"/>
                <w:sz w:val="24"/>
                <w:szCs w:val="24"/>
              </w:rPr>
            </w:pPr>
            <w:r>
              <w:rPr>
                <w:rFonts w:ascii="Times New Roman" w:hAnsi="Times New Roman" w:cs="Times New Roman"/>
                <w:sz w:val="19"/>
                <w:szCs w:val="19"/>
              </w:rPr>
              <w:t>Estimated</w:t>
            </w: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15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amortization</w:t>
            </w:r>
          </w:p>
        </w:tc>
        <w:tc>
          <w:tcPr>
            <w:tcW w:w="5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$ 432</w:t>
            </w:r>
          </w:p>
        </w:tc>
        <w:tc>
          <w:tcPr>
            <w:tcW w:w="66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New Roman" w:hAnsi="Times New Roman" w:cs="Times New Roman"/>
                <w:sz w:val="19"/>
                <w:szCs w:val="19"/>
              </w:rPr>
              <w:t>$ 393</w:t>
            </w:r>
          </w:p>
        </w:tc>
        <w:tc>
          <w:tcPr>
            <w:tcW w:w="68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New Roman" w:hAnsi="Times New Roman" w:cs="Times New Roman"/>
                <w:sz w:val="19"/>
                <w:szCs w:val="19"/>
              </w:rPr>
              <w:t>$ 360</w:t>
            </w:r>
          </w:p>
        </w:tc>
        <w:tc>
          <w:tcPr>
            <w:tcW w:w="64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New Roman" w:hAnsi="Times New Roman" w:cs="Times New Roman"/>
                <w:sz w:val="19"/>
                <w:szCs w:val="19"/>
              </w:rPr>
              <w:t>$ 332</w:t>
            </w:r>
          </w:p>
        </w:tc>
        <w:tc>
          <w:tcPr>
            <w:tcW w:w="64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New Roman" w:hAnsi="Times New Roman" w:cs="Times New Roman"/>
                <w:sz w:val="19"/>
                <w:szCs w:val="19"/>
              </w:rPr>
              <w:t>$ 309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15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expense</w:t>
            </w:r>
          </w:p>
        </w:tc>
        <w:tc>
          <w:tcPr>
            <w:tcW w:w="56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4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4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15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4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240"/>
        <w:rPr>
          <w:rFonts w:ascii="Times New Roman" w:hAnsi="Times New Roman" w:cs="Times New Roman"/>
          <w:sz w:val="24"/>
          <w:szCs w:val="24"/>
        </w:rPr>
      </w:pPr>
      <w:r>
        <w:rPr>
          <w:rFonts w:ascii="Times New Roman" w:hAnsi="Times New Roman" w:cs="Times New Roman"/>
          <w:sz w:val="19"/>
          <w:szCs w:val="19"/>
        </w:rPr>
        <w:t>These estimates do not reflect the impact of future foreign exchange rate changes.</w:t>
      </w:r>
    </w:p>
    <w:p w:rsidR="00000000" w:rsidRDefault="0057438D">
      <w:pPr>
        <w:pStyle w:val="DefaultParagraphFont"/>
        <w:widowControl w:val="0"/>
        <w:autoSpaceDE w:val="0"/>
        <w:autoSpaceDN w:val="0"/>
        <w:adjustRightInd w:val="0"/>
        <w:spacing w:after="0" w:line="10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NOTE 3</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SUPPLEMENTAL FINANCIAL INFORMATION</w:t>
      </w:r>
    </w:p>
    <w:p w:rsidR="00000000" w:rsidRDefault="0057438D">
      <w:pPr>
        <w:pStyle w:val="DefaultParagraphFont"/>
        <w:widowControl w:val="0"/>
        <w:autoSpaceDE w:val="0"/>
        <w:autoSpaceDN w:val="0"/>
        <w:adjustRightInd w:val="0"/>
        <w:spacing w:after="0" w:line="18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260"/>
        <w:rPr>
          <w:rFonts w:ascii="Times New Roman" w:hAnsi="Times New Roman" w:cs="Times New Roman"/>
          <w:sz w:val="24"/>
          <w:szCs w:val="24"/>
        </w:rPr>
      </w:pPr>
      <w:r>
        <w:rPr>
          <w:rFonts w:ascii="Times New Roman" w:hAnsi="Times New Roman" w:cs="Times New Roman"/>
          <w:sz w:val="19"/>
          <w:szCs w:val="19"/>
        </w:rPr>
        <w:t>The components of property, plant and equipment were as follows:</w:t>
      </w:r>
    </w:p>
    <w:p w:rsidR="00000000" w:rsidRDefault="0057438D">
      <w:pPr>
        <w:pStyle w:val="DefaultParagraphFont"/>
        <w:widowControl w:val="0"/>
        <w:autoSpaceDE w:val="0"/>
        <w:autoSpaceDN w:val="0"/>
        <w:adjustRightInd w:val="0"/>
        <w:spacing w:after="0" w:line="95"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firstRow="0" w:lastRow="0" w:firstColumn="0" w:lastColumn="0" w:noHBand="0" w:noVBand="0"/>
      </w:tblPr>
      <w:tblGrid>
        <w:gridCol w:w="2900"/>
        <w:gridCol w:w="860"/>
        <w:gridCol w:w="80"/>
        <w:gridCol w:w="840"/>
        <w:gridCol w:w="20"/>
      </w:tblGrid>
      <w:tr w:rsidR="00000000">
        <w:tblPrEx>
          <w:tblCellMar>
            <w:top w:w="0" w:type="dxa"/>
            <w:left w:w="0" w:type="dxa"/>
            <w:bottom w:w="0" w:type="dxa"/>
            <w:right w:w="0" w:type="dxa"/>
          </w:tblCellMar>
        </w:tblPrEx>
        <w:trPr>
          <w:trHeight w:val="203"/>
        </w:trPr>
        <w:tc>
          <w:tcPr>
            <w:tcW w:w="2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7"/>
              <w:jc w:val="right"/>
              <w:rPr>
                <w:rFonts w:ascii="Times New Roman" w:hAnsi="Times New Roman" w:cs="Times New Roman"/>
                <w:sz w:val="24"/>
                <w:szCs w:val="24"/>
              </w:rPr>
            </w:pPr>
            <w:r>
              <w:rPr>
                <w:rFonts w:ascii="Times New Roman" w:hAnsi="Times New Roman" w:cs="Times New Roman"/>
                <w:b/>
                <w:bCs/>
                <w:sz w:val="15"/>
                <w:szCs w:val="15"/>
              </w:rPr>
              <w:t>2014</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5"/>
              <w:jc w:val="right"/>
              <w:rPr>
                <w:rFonts w:ascii="Times New Roman" w:hAnsi="Times New Roman" w:cs="Times New Roman"/>
                <w:sz w:val="24"/>
                <w:szCs w:val="24"/>
              </w:rPr>
            </w:pPr>
            <w:r>
              <w:rPr>
                <w:rFonts w:ascii="Times New Roman" w:hAnsi="Times New Roman" w:cs="Times New Roman"/>
                <w:b/>
                <w:bCs/>
                <w:sz w:val="15"/>
                <w:szCs w:val="15"/>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29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7"/>
        </w:trPr>
        <w:tc>
          <w:tcPr>
            <w:tcW w:w="2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6" w:lineRule="exact"/>
              <w:ind w:left="40"/>
              <w:rPr>
                <w:rFonts w:ascii="Times New Roman" w:hAnsi="Times New Roman" w:cs="Times New Roman"/>
                <w:sz w:val="24"/>
                <w:szCs w:val="24"/>
              </w:rPr>
            </w:pPr>
            <w:r>
              <w:rPr>
                <w:rFonts w:ascii="Times New Roman" w:hAnsi="Times New Roman" w:cs="Times New Roman"/>
                <w:b/>
                <w:bCs/>
                <w:sz w:val="19"/>
                <w:szCs w:val="19"/>
              </w:rPr>
              <w:t>PROPERTY, PLANT AND</w:t>
            </w: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2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EQUIPMENT</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2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Buildings</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8,022</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7,829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2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Machinery and equipment</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32,398</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31,070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2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Land</w:t>
            </w: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893</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878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2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2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Construction in progress</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3,114</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3,235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5"/>
        </w:trPr>
        <w:tc>
          <w:tcPr>
            <w:tcW w:w="290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05" w:lineRule="exact"/>
              <w:ind w:left="40"/>
              <w:rPr>
                <w:rFonts w:ascii="Times New Roman" w:hAnsi="Times New Roman" w:cs="Times New Roman"/>
                <w:sz w:val="24"/>
                <w:szCs w:val="24"/>
              </w:rPr>
            </w:pPr>
            <w:r>
              <w:rPr>
                <w:rFonts w:ascii="Times New Roman" w:hAnsi="Times New Roman" w:cs="Times New Roman"/>
                <w:b/>
                <w:bCs/>
                <w:sz w:val="19"/>
                <w:szCs w:val="19"/>
              </w:rPr>
              <w:t>TOTAL PROPERTY, PLANT</w:t>
            </w:r>
          </w:p>
        </w:tc>
        <w:tc>
          <w:tcPr>
            <w:tcW w:w="86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44,427</w:t>
            </w:r>
          </w:p>
        </w:tc>
        <w:tc>
          <w:tcPr>
            <w:tcW w:w="80" w:type="dxa"/>
            <w:vMerge w:val="restart"/>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4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43,012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4"/>
        </w:trPr>
        <w:tc>
          <w:tcPr>
            <w:tcW w:w="2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AND EQUIPMENT</w:t>
            </w:r>
          </w:p>
        </w:tc>
        <w:tc>
          <w:tcPr>
            <w:tcW w:w="8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2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2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Accumulated depreciation</w:t>
            </w:r>
          </w:p>
        </w:tc>
        <w:tc>
          <w:tcPr>
            <w:tcW w:w="8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(22,123)</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(21,346)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5"/>
        </w:trPr>
        <w:tc>
          <w:tcPr>
            <w:tcW w:w="290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05" w:lineRule="exact"/>
              <w:ind w:left="40"/>
              <w:rPr>
                <w:rFonts w:ascii="Times New Roman" w:hAnsi="Times New Roman" w:cs="Times New Roman"/>
                <w:sz w:val="24"/>
                <w:szCs w:val="24"/>
              </w:rPr>
            </w:pPr>
            <w:r>
              <w:rPr>
                <w:rFonts w:ascii="Times New Roman" w:hAnsi="Times New Roman" w:cs="Times New Roman"/>
                <w:b/>
                <w:bCs/>
                <w:sz w:val="19"/>
                <w:szCs w:val="19"/>
              </w:rPr>
              <w:t>PROPERTY, PLANT AND</w:t>
            </w:r>
          </w:p>
        </w:tc>
        <w:tc>
          <w:tcPr>
            <w:tcW w:w="86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22,304</w:t>
            </w:r>
          </w:p>
        </w:tc>
        <w:tc>
          <w:tcPr>
            <w:tcW w:w="80" w:type="dxa"/>
            <w:vMerge w:val="restart"/>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4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21,666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2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EQUIPMENT, NET</w:t>
            </w:r>
          </w:p>
        </w:tc>
        <w:tc>
          <w:tcPr>
            <w:tcW w:w="86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2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1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320"/>
        <w:rPr>
          <w:rFonts w:ascii="Times New Roman" w:hAnsi="Times New Roman" w:cs="Times New Roman"/>
          <w:sz w:val="24"/>
          <w:szCs w:val="24"/>
        </w:rPr>
      </w:pPr>
      <w:r>
        <w:rPr>
          <w:rFonts w:ascii="Times New Roman" w:hAnsi="Times New Roman" w:cs="Times New Roman"/>
          <w:sz w:val="19"/>
          <w:szCs w:val="19"/>
        </w:rPr>
        <w:t>Selected components of current and noncurrent liabilities were as follows:</w:t>
      </w:r>
    </w:p>
    <w:p w:rsidR="00000000" w:rsidRDefault="0057438D">
      <w:pPr>
        <w:pStyle w:val="DefaultParagraphFont"/>
        <w:widowControl w:val="0"/>
        <w:autoSpaceDE w:val="0"/>
        <w:autoSpaceDN w:val="0"/>
        <w:adjustRightInd w:val="0"/>
        <w:spacing w:after="0" w:line="95"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880"/>
        <w:gridCol w:w="200"/>
        <w:gridCol w:w="660"/>
        <w:gridCol w:w="80"/>
        <w:gridCol w:w="200"/>
        <w:gridCol w:w="660"/>
      </w:tblGrid>
      <w:tr w:rsidR="00000000">
        <w:tblPrEx>
          <w:tblCellMar>
            <w:top w:w="0" w:type="dxa"/>
            <w:left w:w="0" w:type="dxa"/>
            <w:bottom w:w="0" w:type="dxa"/>
            <w:right w:w="0" w:type="dxa"/>
          </w:tblCellMar>
        </w:tblPrEx>
        <w:trPr>
          <w:trHeight w:val="203"/>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6"/>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6"/>
              <w:jc w:val="right"/>
              <w:rPr>
                <w:rFonts w:ascii="Times New Roman" w:hAnsi="Times New Roman" w:cs="Times New Roman"/>
                <w:sz w:val="24"/>
                <w:szCs w:val="24"/>
              </w:rPr>
            </w:pPr>
            <w:r>
              <w:rPr>
                <w:rFonts w:ascii="Times New Roman" w:hAnsi="Times New Roman" w:cs="Times New Roman"/>
                <w:b/>
                <w:bCs/>
                <w:sz w:val="15"/>
                <w:szCs w:val="15"/>
              </w:rPr>
              <w:t>2013</w:t>
            </w:r>
          </w:p>
        </w:tc>
      </w:tr>
      <w:tr w:rsidR="00000000">
        <w:tblPrEx>
          <w:tblCellMar>
            <w:top w:w="0" w:type="dxa"/>
            <w:left w:w="0" w:type="dxa"/>
            <w:bottom w:w="0" w:type="dxa"/>
            <w:right w:w="0" w:type="dxa"/>
          </w:tblCellMar>
        </w:tblPrEx>
        <w:trPr>
          <w:trHeight w:val="22"/>
        </w:trPr>
        <w:tc>
          <w:tcPr>
            <w:tcW w:w="28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7"/>
        </w:trPr>
        <w:tc>
          <w:tcPr>
            <w:tcW w:w="2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ind w:left="40"/>
              <w:rPr>
                <w:rFonts w:ascii="Times New Roman" w:hAnsi="Times New Roman" w:cs="Times New Roman"/>
                <w:sz w:val="24"/>
                <w:szCs w:val="24"/>
              </w:rPr>
            </w:pPr>
            <w:r>
              <w:rPr>
                <w:rFonts w:ascii="Times New Roman" w:hAnsi="Times New Roman" w:cs="Times New Roman"/>
                <w:b/>
                <w:bCs/>
                <w:sz w:val="19"/>
                <w:szCs w:val="19"/>
              </w:rPr>
              <w:t>ACCRUED AND OTHER</w:t>
            </w: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260"/>
        </w:trPr>
        <w:tc>
          <w:tcPr>
            <w:tcW w:w="2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LIABILITIES - CURRENT</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55"/>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Marketing and promotion</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3,290</w:t>
            </w:r>
          </w:p>
        </w:tc>
        <w:tc>
          <w:tcPr>
            <w:tcW w:w="2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New Roman" w:hAnsi="Times New Roman" w:cs="Times New Roman"/>
                <w:sz w:val="19"/>
                <w:szCs w:val="19"/>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3,122</w:t>
            </w:r>
          </w:p>
        </w:tc>
      </w:tr>
      <w:tr w:rsidR="00000000">
        <w:tblPrEx>
          <w:tblCellMar>
            <w:top w:w="0" w:type="dxa"/>
            <w:left w:w="0" w:type="dxa"/>
            <w:bottom w:w="0" w:type="dxa"/>
            <w:right w:w="0" w:type="dxa"/>
          </w:tblCellMar>
        </w:tblPrEx>
        <w:trPr>
          <w:trHeight w:val="31"/>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Compensation expenses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1,647</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1,665</w:t>
            </w:r>
          </w:p>
        </w:tc>
      </w:tr>
      <w:tr w:rsidR="00000000">
        <w:tblPrEx>
          <w:tblCellMar>
            <w:top w:w="0" w:type="dxa"/>
            <w:left w:w="0" w:type="dxa"/>
            <w:bottom w:w="0" w:type="dxa"/>
            <w:right w:w="0" w:type="dxa"/>
          </w:tblCellMar>
        </w:tblPrEx>
        <w:trPr>
          <w:trHeight w:val="255"/>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Restructuring reserves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381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323</w:t>
            </w:r>
          </w:p>
        </w:tc>
      </w:tr>
      <w:tr w:rsidR="00000000">
        <w:tblPrEx>
          <w:tblCellMar>
            <w:top w:w="0" w:type="dxa"/>
            <w:left w:w="0" w:type="dxa"/>
            <w:bottom w:w="0" w:type="dxa"/>
            <w:right w:w="0" w:type="dxa"/>
          </w:tblCellMar>
        </w:tblPrEx>
        <w:trPr>
          <w:trHeight w:val="31"/>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Taxes payable</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711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817</w:t>
            </w:r>
          </w:p>
        </w:tc>
      </w:tr>
      <w:tr w:rsidR="00000000">
        <w:tblPrEx>
          <w:tblCellMar>
            <w:top w:w="0" w:type="dxa"/>
            <w:left w:w="0" w:type="dxa"/>
            <w:bottom w:w="0" w:type="dxa"/>
            <w:right w:w="0" w:type="dxa"/>
          </w:tblCellMar>
        </w:tblPrEx>
        <w:trPr>
          <w:trHeight w:val="255"/>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Legal and environmental</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399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374</w:t>
            </w:r>
          </w:p>
        </w:tc>
      </w:tr>
      <w:tr w:rsidR="00000000">
        <w:tblPrEx>
          <w:tblCellMar>
            <w:top w:w="0" w:type="dxa"/>
            <w:left w:w="0" w:type="dxa"/>
            <w:bottom w:w="0" w:type="dxa"/>
            <w:right w:w="0" w:type="dxa"/>
          </w:tblCellMar>
        </w:tblPrEx>
        <w:trPr>
          <w:trHeight w:val="31"/>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2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Other</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2,571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2,527</w:t>
            </w:r>
          </w:p>
        </w:tc>
      </w:tr>
      <w:tr w:rsidR="00000000">
        <w:tblPrEx>
          <w:tblCellMar>
            <w:top w:w="0" w:type="dxa"/>
            <w:left w:w="0" w:type="dxa"/>
            <w:bottom w:w="0" w:type="dxa"/>
            <w:right w:w="0" w:type="dxa"/>
          </w:tblCellMar>
        </w:tblPrEx>
        <w:trPr>
          <w:trHeight w:val="265"/>
        </w:trPr>
        <w:tc>
          <w:tcPr>
            <w:tcW w:w="28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TOTAL</w:t>
            </w:r>
          </w:p>
        </w:tc>
        <w:tc>
          <w:tcPr>
            <w:tcW w:w="2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8,999</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8,828</w:t>
            </w:r>
          </w:p>
        </w:tc>
      </w:tr>
      <w:tr w:rsidR="00000000">
        <w:tblPrEx>
          <w:tblCellMar>
            <w:top w:w="0" w:type="dxa"/>
            <w:left w:w="0" w:type="dxa"/>
            <w:bottom w:w="0" w:type="dxa"/>
            <w:right w:w="0" w:type="dxa"/>
          </w:tblCellMar>
        </w:tblPrEx>
        <w:trPr>
          <w:trHeight w:val="296"/>
        </w:trPr>
        <w:tc>
          <w:tcPr>
            <w:tcW w:w="2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178"/>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8" w:lineRule="exact"/>
              <w:ind w:left="40"/>
              <w:rPr>
                <w:rFonts w:ascii="Times New Roman" w:hAnsi="Times New Roman" w:cs="Times New Roman"/>
                <w:sz w:val="24"/>
                <w:szCs w:val="24"/>
              </w:rPr>
            </w:pPr>
            <w:r>
              <w:rPr>
                <w:rFonts w:ascii="Times New Roman" w:hAnsi="Times New Roman" w:cs="Times New Roman"/>
                <w:b/>
                <w:bCs/>
                <w:sz w:val="19"/>
                <w:szCs w:val="19"/>
              </w:rPr>
              <w:t>OTHER NONCURRENT</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254"/>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LIABILITIES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6"/>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Pension benefits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5,984</w:t>
            </w:r>
          </w:p>
        </w:tc>
        <w:tc>
          <w:tcPr>
            <w:tcW w:w="2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New Roman" w:hAnsi="Times New Roman" w:cs="Times New Roman"/>
                <w:sz w:val="19"/>
                <w:szCs w:val="19"/>
              </w:rPr>
              <w:t>$</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6,027</w:t>
            </w:r>
          </w:p>
        </w:tc>
      </w:tr>
      <w:tr w:rsidR="00000000">
        <w:tblPrEx>
          <w:tblCellMar>
            <w:top w:w="0" w:type="dxa"/>
            <w:left w:w="0" w:type="dxa"/>
            <w:bottom w:w="0" w:type="dxa"/>
            <w:right w:w="0" w:type="dxa"/>
          </w:tblCellMar>
        </w:tblPrEx>
        <w:trPr>
          <w:trHeight w:val="256"/>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Other postretirement benefits</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1,906</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1,713</w:t>
            </w:r>
          </w:p>
        </w:tc>
      </w:tr>
      <w:tr w:rsidR="00000000">
        <w:tblPrEx>
          <w:tblCellMar>
            <w:top w:w="0" w:type="dxa"/>
            <w:left w:w="0" w:type="dxa"/>
            <w:bottom w:w="0" w:type="dxa"/>
            <w:right w:w="0" w:type="dxa"/>
          </w:tblCellMar>
        </w:tblPrEx>
        <w:trPr>
          <w:trHeight w:val="31"/>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Uncertain tax positions</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1,843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2,002</w:t>
            </w:r>
          </w:p>
        </w:tc>
      </w:tr>
      <w:tr w:rsidR="00000000">
        <w:tblPrEx>
          <w:tblCellMar>
            <w:top w:w="0" w:type="dxa"/>
            <w:left w:w="0" w:type="dxa"/>
            <w:bottom w:w="0" w:type="dxa"/>
            <w:right w:w="0" w:type="dxa"/>
          </w:tblCellMar>
        </w:tblPrEx>
        <w:trPr>
          <w:trHeight w:val="256"/>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Other</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802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837</w:t>
            </w:r>
          </w:p>
        </w:tc>
      </w:tr>
      <w:tr w:rsidR="00000000">
        <w:tblPrEx>
          <w:tblCellMar>
            <w:top w:w="0" w:type="dxa"/>
            <w:left w:w="0" w:type="dxa"/>
            <w:bottom w:w="0" w:type="dxa"/>
            <w:right w:w="0" w:type="dxa"/>
          </w:tblCellMar>
        </w:tblPrEx>
        <w:trPr>
          <w:trHeight w:val="21"/>
        </w:trPr>
        <w:tc>
          <w:tcPr>
            <w:tcW w:w="28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2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TOTAL</w:t>
            </w: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10,535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10,579</w:t>
            </w:r>
          </w:p>
        </w:tc>
      </w:tr>
    </w:tbl>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5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RESTRUCTURING PROGRAM</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40"/>
        <w:rPr>
          <w:rFonts w:ascii="Times New Roman" w:hAnsi="Times New Roman" w:cs="Times New Roman"/>
          <w:sz w:val="24"/>
          <w:szCs w:val="24"/>
        </w:rPr>
      </w:pPr>
      <w:r>
        <w:rPr>
          <w:rFonts w:ascii="Times New Roman" w:hAnsi="Times New Roman" w:cs="Times New Roman"/>
          <w:sz w:val="19"/>
          <w:szCs w:val="19"/>
        </w:rPr>
        <w:t>The Company has historically incurred an ongoing annua</w:t>
      </w:r>
      <w:r>
        <w:rPr>
          <w:rFonts w:ascii="Times New Roman" w:hAnsi="Times New Roman" w:cs="Times New Roman"/>
          <w:sz w:val="19"/>
          <w:szCs w:val="19"/>
        </w:rPr>
        <w:t>l level of restructuring-type activities to maintain a competitive cost structure, including manufacturing and workforce optimization. Before-tax costs incurred under the ongoing program have generally ranged from $250 to $500 annually. In 2012, the Compan</w:t>
      </w:r>
      <w:r>
        <w:rPr>
          <w:rFonts w:ascii="Times New Roman" w:hAnsi="Times New Roman" w:cs="Times New Roman"/>
          <w:sz w:val="19"/>
          <w:szCs w:val="19"/>
        </w:rPr>
        <w:t>y initiated an incremental restructuring program as part of a productivity and cost savings plan to reduce costs in the areas of supply chain, research and development, marketing and overheads. The productivity and cost savings plan was designed to acceler</w:t>
      </w:r>
      <w:r>
        <w:rPr>
          <w:rFonts w:ascii="Times New Roman" w:hAnsi="Times New Roman" w:cs="Times New Roman"/>
          <w:sz w:val="19"/>
          <w:szCs w:val="19"/>
        </w:rPr>
        <w:t>ate cost reductions by streamlining management decision making, manufacturing and other work processes in order to help fund the Company's growth strategy.</w:t>
      </w:r>
    </w:p>
    <w:p w:rsidR="00000000" w:rsidRDefault="0057438D">
      <w:pPr>
        <w:pStyle w:val="DefaultParagraphFont"/>
        <w:widowControl w:val="0"/>
        <w:autoSpaceDE w:val="0"/>
        <w:autoSpaceDN w:val="0"/>
        <w:adjustRightInd w:val="0"/>
        <w:spacing w:after="0" w:line="8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1" w:lineRule="auto"/>
        <w:ind w:right="100"/>
        <w:jc w:val="both"/>
        <w:rPr>
          <w:rFonts w:ascii="Times New Roman" w:hAnsi="Times New Roman" w:cs="Times New Roman"/>
          <w:sz w:val="24"/>
          <w:szCs w:val="24"/>
        </w:rPr>
      </w:pPr>
      <w:r>
        <w:rPr>
          <w:rFonts w:ascii="Times New Roman" w:hAnsi="Times New Roman" w:cs="Times New Roman"/>
          <w:sz w:val="19"/>
          <w:szCs w:val="19"/>
        </w:rPr>
        <w:t>The Company expects to incur in excess of $4.5 billion in before-tax restructuring costs over a fiv</w:t>
      </w:r>
      <w:r>
        <w:rPr>
          <w:rFonts w:ascii="Times New Roman" w:hAnsi="Times New Roman" w:cs="Times New Roman"/>
          <w:sz w:val="19"/>
          <w:szCs w:val="19"/>
        </w:rPr>
        <w:t>e year period (from fiscal 2012 through fiscal 2016), including costs incurred as part of the ongoing and incremental restructuring program.</w:t>
      </w:r>
    </w:p>
    <w:p w:rsidR="00000000" w:rsidRDefault="0057438D">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Through the end of fiscal 2014, we had incurred $2.8 billion of the total expected restructuring charges under the</w:t>
      </w:r>
      <w:r>
        <w:rPr>
          <w:rFonts w:ascii="Times New Roman" w:hAnsi="Times New Roman" w:cs="Times New Roman"/>
          <w:sz w:val="19"/>
          <w:szCs w:val="19"/>
        </w:rPr>
        <w:t xml:space="preserve"> program. The restructuring program plans included a targeted net reduction in non-manufacturing overhead enrollment of approximately 16% - 22% through fiscal 2016, which we expect to exceed. Through fiscal 2014, the Company has reduced non-manufacturing e</w:t>
      </w:r>
      <w:r>
        <w:rPr>
          <w:rFonts w:ascii="Times New Roman" w:hAnsi="Times New Roman" w:cs="Times New Roman"/>
          <w:sz w:val="19"/>
          <w:szCs w:val="19"/>
        </w:rPr>
        <w:t>nrollment by approximately 9,300, or approximately 15%. The reductions are enabled by the elimination of duplicate work, simplification through the use of technology, optimization of various functional and business organizations and the Company's global fo</w:t>
      </w:r>
      <w:r>
        <w:rPr>
          <w:rFonts w:ascii="Times New Roman" w:hAnsi="Times New Roman" w:cs="Times New Roman"/>
          <w:sz w:val="19"/>
          <w:szCs w:val="19"/>
        </w:rPr>
        <w:t>otprint. In addition, the plan includes integration of newly acquired companies and the optimization of the supply chain and other manufacturing processes.</w:t>
      </w:r>
    </w:p>
    <w:p w:rsidR="00000000" w:rsidRDefault="0057438D">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right="100"/>
        <w:rPr>
          <w:rFonts w:ascii="Times New Roman" w:hAnsi="Times New Roman" w:cs="Times New Roman"/>
          <w:sz w:val="24"/>
          <w:szCs w:val="24"/>
        </w:rPr>
      </w:pPr>
      <w:r>
        <w:rPr>
          <w:rFonts w:ascii="Times New Roman" w:hAnsi="Times New Roman" w:cs="Times New Roman"/>
          <w:sz w:val="19"/>
          <w:szCs w:val="19"/>
        </w:rPr>
        <w:t xml:space="preserve">Restructuring costs incurred consist primarily of costs to separate employees, asset-related costs </w:t>
      </w:r>
      <w:r>
        <w:rPr>
          <w:rFonts w:ascii="Times New Roman" w:hAnsi="Times New Roman" w:cs="Times New Roman"/>
          <w:sz w:val="19"/>
          <w:szCs w:val="19"/>
        </w:rPr>
        <w:t>to exit facilities and other costs as outlined below. The Company incurred total restructuring charges of approximately $806 and $956 for the years ended June 30, 2014 and 2013, respectively. Approximately $373 and $591 of these charges were recorded in SG</w:t>
      </w:r>
      <w:r>
        <w:rPr>
          <w:rFonts w:ascii="Times New Roman" w:hAnsi="Times New Roman" w:cs="Times New Roman"/>
          <w:sz w:val="19"/>
          <w:szCs w:val="19"/>
        </w:rPr>
        <w:t>&amp;A for the years ended June 30, 2014 and 2013, respectively. Approximately $399 and $354 of these charges were recorded in cost of products sold for the years ended June 30, 2014 and 2013, respectively. The remainder is included in discontinued operations.</w:t>
      </w:r>
      <w:r>
        <w:rPr>
          <w:rFonts w:ascii="Times New Roman" w:hAnsi="Times New Roman" w:cs="Times New Roman"/>
          <w:sz w:val="19"/>
          <w:szCs w:val="19"/>
        </w:rPr>
        <w:t xml:space="preserve"> Since the inception of this restructuring program, the Company has incurred charges of approximately $2.8 billion. Approximately $1.5 billion of these charges were related to separations, $666 were asset-related and $680 were related to other restructurin</w:t>
      </w:r>
      <w:r>
        <w:rPr>
          <w:rFonts w:ascii="Times New Roman" w:hAnsi="Times New Roman" w:cs="Times New Roman"/>
          <w:sz w:val="19"/>
          <w:szCs w:val="19"/>
        </w:rPr>
        <w:t>g-type costs. The following table presents restructuring activity for the years ended June 30, 2014 and 2013:</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80" w:bottom="346" w:left="840" w:header="720" w:footer="720" w:gutter="0"/>
          <w:cols w:num="2" w:space="420" w:equalWidth="0">
            <w:col w:w="4700" w:space="420"/>
            <w:col w:w="46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5620" w:bottom="346" w:left="860" w:header="720" w:footer="720" w:gutter="0"/>
          <w:cols w:space="420" w:equalWidth="0">
            <w:col w:w="5040" w:space="42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1"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firstRow="0" w:lastRow="0" w:firstColumn="0" w:lastColumn="0" w:noHBand="0" w:noVBand="0"/>
      </w:tblPr>
      <w:tblGrid>
        <w:gridCol w:w="1540"/>
        <w:gridCol w:w="300"/>
        <w:gridCol w:w="600"/>
        <w:gridCol w:w="80"/>
        <w:gridCol w:w="700"/>
        <w:gridCol w:w="80"/>
        <w:gridCol w:w="640"/>
        <w:gridCol w:w="80"/>
        <w:gridCol w:w="660"/>
        <w:gridCol w:w="20"/>
      </w:tblGrid>
      <w:tr w:rsidR="00000000">
        <w:tblPrEx>
          <w:tblCellMar>
            <w:top w:w="0" w:type="dxa"/>
            <w:left w:w="0" w:type="dxa"/>
            <w:bottom w:w="0" w:type="dxa"/>
            <w:right w:w="0" w:type="dxa"/>
          </w:tblCellMar>
        </w:tblPrEx>
        <w:trPr>
          <w:trHeight w:val="172"/>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Asset-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rPr>
              <w:t>Separations</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Related</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Times New Roman" w:hAnsi="Times New Roman" w:cs="Times New Roman"/>
                <w:b/>
                <w:bCs/>
                <w:sz w:val="15"/>
                <w:szCs w:val="15"/>
              </w:rPr>
              <w:t>Other</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Times New Roman" w:hAnsi="Times New Roman" w:cs="Times New Roman"/>
                <w:b/>
                <w:bCs/>
                <w:sz w:val="15"/>
                <w:szCs w:val="15"/>
              </w:rPr>
              <w:t>Total</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2"/>
        </w:trPr>
        <w:tc>
          <w:tcPr>
            <w:tcW w:w="15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00" w:type="dxa"/>
            <w:gridSpan w:val="2"/>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Costs</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6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1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9" w:lineRule="exact"/>
              <w:ind w:left="40"/>
              <w:rPr>
                <w:rFonts w:ascii="Times New Roman" w:hAnsi="Times New Roman" w:cs="Times New Roman"/>
                <w:sz w:val="24"/>
                <w:szCs w:val="24"/>
              </w:rPr>
            </w:pPr>
            <w:r>
              <w:rPr>
                <w:rFonts w:ascii="Times New Roman" w:hAnsi="Times New Roman" w:cs="Times New Roman"/>
                <w:b/>
                <w:bCs/>
                <w:sz w:val="19"/>
                <w:szCs w:val="19"/>
              </w:rPr>
              <w:t>RESERVE</w:t>
            </w:r>
          </w:p>
        </w:tc>
        <w:tc>
          <w:tcPr>
            <w:tcW w:w="3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w:t>
            </w:r>
          </w:p>
        </w:tc>
        <w:tc>
          <w:tcPr>
            <w:tcW w:w="6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316</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w:t>
            </w:r>
          </w:p>
        </w:tc>
        <w:tc>
          <w:tcPr>
            <w:tcW w:w="72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27</w:t>
            </w:r>
          </w:p>
        </w:tc>
        <w:tc>
          <w:tcPr>
            <w:tcW w:w="74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343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7"/>
        </w:trPr>
        <w:tc>
          <w:tcPr>
            <w:tcW w:w="1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JUNE 30, 2012</w:t>
            </w:r>
          </w:p>
        </w:tc>
        <w:tc>
          <w:tcPr>
            <w:tcW w:w="30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Charges</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595</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109</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252</w:t>
            </w:r>
          </w:p>
        </w:tc>
        <w:tc>
          <w:tcPr>
            <w:tcW w:w="7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956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Cash spent</w:t>
            </w:r>
          </w:p>
        </w:tc>
        <w:tc>
          <w:tcPr>
            <w:tcW w:w="3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(615)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(252)</w:t>
            </w:r>
          </w:p>
        </w:tc>
        <w:tc>
          <w:tcPr>
            <w:tcW w:w="7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(867)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17" w:lineRule="exact"/>
              <w:ind w:left="40"/>
              <w:rPr>
                <w:rFonts w:ascii="Times New Roman" w:hAnsi="Times New Roman" w:cs="Times New Roman"/>
                <w:sz w:val="24"/>
                <w:szCs w:val="24"/>
              </w:rPr>
            </w:pPr>
            <w:r>
              <w:rPr>
                <w:rFonts w:ascii="Times New Roman" w:hAnsi="Times New Roman" w:cs="Times New Roman"/>
                <w:sz w:val="19"/>
                <w:szCs w:val="19"/>
              </w:rPr>
              <w:t>Charges against</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15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assets</w:t>
            </w:r>
          </w:p>
        </w:tc>
        <w:tc>
          <w:tcPr>
            <w:tcW w:w="3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vMerge/>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vMerge/>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1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00" w:lineRule="exact"/>
              <w:ind w:left="40"/>
              <w:rPr>
                <w:rFonts w:ascii="Times New Roman" w:hAnsi="Times New Roman" w:cs="Times New Roman"/>
                <w:sz w:val="24"/>
                <w:szCs w:val="24"/>
              </w:rPr>
            </w:pPr>
            <w:r>
              <w:rPr>
                <w:rFonts w:ascii="Times New Roman" w:hAnsi="Times New Roman" w:cs="Times New Roman"/>
                <w:b/>
                <w:bCs/>
                <w:sz w:val="19"/>
                <w:szCs w:val="19"/>
              </w:rPr>
              <w:t>RESERVE</w:t>
            </w:r>
          </w:p>
        </w:tc>
        <w:tc>
          <w:tcPr>
            <w:tcW w:w="3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296</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2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27</w:t>
            </w:r>
          </w:p>
        </w:tc>
        <w:tc>
          <w:tcPr>
            <w:tcW w:w="74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323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7"/>
        </w:trPr>
        <w:tc>
          <w:tcPr>
            <w:tcW w:w="1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JUNE 30, 2013</w:t>
            </w:r>
          </w:p>
        </w:tc>
        <w:tc>
          <w:tcPr>
            <w:tcW w:w="3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Charges</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378</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179</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249</w:t>
            </w:r>
          </w:p>
        </w:tc>
        <w:tc>
          <w:tcPr>
            <w:tcW w:w="7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806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Cash spent</w:t>
            </w:r>
          </w:p>
        </w:tc>
        <w:tc>
          <w:tcPr>
            <w:tcW w:w="3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(321)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7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(248)</w:t>
            </w:r>
          </w:p>
        </w:tc>
        <w:tc>
          <w:tcPr>
            <w:tcW w:w="7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(569)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8" w:lineRule="exact"/>
              <w:ind w:left="40"/>
              <w:rPr>
                <w:rFonts w:ascii="Times New Roman" w:hAnsi="Times New Roman" w:cs="Times New Roman"/>
                <w:sz w:val="24"/>
                <w:szCs w:val="24"/>
              </w:rPr>
            </w:pPr>
            <w:r>
              <w:rPr>
                <w:rFonts w:ascii="Times New Roman" w:hAnsi="Times New Roman" w:cs="Times New Roman"/>
                <w:sz w:val="19"/>
                <w:szCs w:val="19"/>
              </w:rPr>
              <w:t>Charges against</w:t>
            </w: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(179)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(179)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9"/>
        </w:trPr>
        <w:tc>
          <w:tcPr>
            <w:tcW w:w="15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assets</w:t>
            </w:r>
          </w:p>
        </w:tc>
        <w:tc>
          <w:tcPr>
            <w:tcW w:w="3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vMerge/>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vMerge/>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2"/>
        </w:trPr>
        <w:tc>
          <w:tcPr>
            <w:tcW w:w="1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01" w:lineRule="exact"/>
              <w:ind w:left="40"/>
              <w:rPr>
                <w:rFonts w:ascii="Times New Roman" w:hAnsi="Times New Roman" w:cs="Times New Roman"/>
                <w:sz w:val="24"/>
                <w:szCs w:val="24"/>
              </w:rPr>
            </w:pPr>
            <w:r>
              <w:rPr>
                <w:rFonts w:ascii="Times New Roman" w:hAnsi="Times New Roman" w:cs="Times New Roman"/>
                <w:b/>
                <w:bCs/>
                <w:sz w:val="19"/>
                <w:szCs w:val="19"/>
              </w:rPr>
              <w:t>RESERVE</w:t>
            </w:r>
          </w:p>
        </w:tc>
        <w:tc>
          <w:tcPr>
            <w:tcW w:w="3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353</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28</w:t>
            </w:r>
          </w:p>
        </w:tc>
        <w:tc>
          <w:tcPr>
            <w:tcW w:w="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381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5"/>
        </w:trPr>
        <w:tc>
          <w:tcPr>
            <w:tcW w:w="1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JUNE 30, 2014</w:t>
            </w:r>
          </w:p>
        </w:tc>
        <w:tc>
          <w:tcPr>
            <w:tcW w:w="3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Separation Costs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sz w:val="19"/>
          <w:szCs w:val="19"/>
        </w:rPr>
        <w:t>Employee separation charges for the years ended June 30, 2014 and 2013 relate to severance packages for approximately 2,730 and 3,450 employees, respectively. For the years ended June</w:t>
      </w:r>
      <w:r>
        <w:rPr>
          <w:rFonts w:ascii="Times New Roman" w:hAnsi="Times New Roman" w:cs="Times New Roman"/>
          <w:sz w:val="19"/>
          <w:szCs w:val="19"/>
        </w:rPr>
        <w:t xml:space="preserve"> 30, 2014 and 2013, these severance packages include approximately 1,640 and 2,390 non-manufacturing employees, respectively. These separations are primarily in North America and Western Europe. The packages are predominantly voluntary and the amounts are </w:t>
      </w:r>
      <w:r>
        <w:rPr>
          <w:rFonts w:ascii="Times New Roman" w:hAnsi="Times New Roman" w:cs="Times New Roman"/>
          <w:sz w:val="19"/>
          <w:szCs w:val="19"/>
        </w:rPr>
        <w:t>calculated based on salary levels and past service periods. Severance costs related to voluntary separations are generally charged to earnings when the employee accepts the offer. Since its inception, the restructuring program has incurred separation charg</w:t>
      </w:r>
      <w:r>
        <w:rPr>
          <w:rFonts w:ascii="Times New Roman" w:hAnsi="Times New Roman" w:cs="Times New Roman"/>
          <w:sz w:val="19"/>
          <w:szCs w:val="19"/>
        </w:rPr>
        <w:t>es related to approximately 9,480 employees, of which approximately 6,280 are non-manufacturing overhead personnel.</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Asset-Related Costs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120"/>
        <w:rPr>
          <w:rFonts w:ascii="Times New Roman" w:hAnsi="Times New Roman" w:cs="Times New Roman"/>
          <w:sz w:val="24"/>
          <w:szCs w:val="24"/>
        </w:rPr>
      </w:pPr>
      <w:r>
        <w:rPr>
          <w:rFonts w:ascii="Times New Roman" w:hAnsi="Times New Roman" w:cs="Times New Roman"/>
          <w:sz w:val="19"/>
          <w:szCs w:val="19"/>
        </w:rPr>
        <w:t>Asset-related costs consist of both asset write-downs and accelerated depreciation. Asset write-downs relate to the establishment of a new fair value basis for assets held-for-sale or disposal. These assets were written down to the lower of their current c</w:t>
      </w:r>
      <w:r>
        <w:rPr>
          <w:rFonts w:ascii="Times New Roman" w:hAnsi="Times New Roman" w:cs="Times New Roman"/>
          <w:sz w:val="19"/>
          <w:szCs w:val="19"/>
        </w:rPr>
        <w:t>arrying basis or amounts expected to be realized upon disposal, less minor disposal costs. Charges for accelerated depreciation relate to long-lived assets that will be taken out of service prior to the end of their normal service period. These assets rela</w:t>
      </w:r>
      <w:r>
        <w:rPr>
          <w:rFonts w:ascii="Times New Roman" w:hAnsi="Times New Roman" w:cs="Times New Roman"/>
          <w:sz w:val="19"/>
          <w:szCs w:val="19"/>
        </w:rPr>
        <w:t>te primarily to manufacturing consolidations and technology standardization. The asset-related charges will not have a significant impact on future depreciation charges.</w:t>
      </w:r>
    </w:p>
    <w:p w:rsidR="00000000" w:rsidRDefault="0057438D">
      <w:pPr>
        <w:pStyle w:val="DefaultParagraphFont"/>
        <w:widowControl w:val="0"/>
        <w:autoSpaceDE w:val="0"/>
        <w:autoSpaceDN w:val="0"/>
        <w:adjustRightInd w:val="0"/>
        <w:spacing w:after="0" w:line="14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Other Costs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40"/>
        <w:rPr>
          <w:rFonts w:ascii="Times New Roman" w:hAnsi="Times New Roman" w:cs="Times New Roman"/>
          <w:sz w:val="24"/>
          <w:szCs w:val="24"/>
        </w:rPr>
      </w:pPr>
      <w:r>
        <w:rPr>
          <w:rFonts w:ascii="Times New Roman" w:hAnsi="Times New Roman" w:cs="Times New Roman"/>
          <w:sz w:val="19"/>
          <w:szCs w:val="19"/>
        </w:rPr>
        <w:t xml:space="preserve">Other restructuring-type charges are incurred as a direct result of the </w:t>
      </w:r>
      <w:r>
        <w:rPr>
          <w:rFonts w:ascii="Times New Roman" w:hAnsi="Times New Roman" w:cs="Times New Roman"/>
          <w:sz w:val="19"/>
          <w:szCs w:val="19"/>
        </w:rPr>
        <w:t>restructuring program. Such charges primarily include employee relocation related to separations and office consolidations, termination of contracts related to supply chain redesign and the cost to change internal systems and processes to support the under</w:t>
      </w:r>
      <w:r>
        <w:rPr>
          <w:rFonts w:ascii="Times New Roman" w:hAnsi="Times New Roman" w:cs="Times New Roman"/>
          <w:sz w:val="19"/>
          <w:szCs w:val="19"/>
        </w:rPr>
        <w:t>lying organizational changes.</w:t>
      </w: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 xml:space="preserve">The Procter &amp; Gamble Company  </w:t>
      </w:r>
      <w:r>
        <w:rPr>
          <w:rFonts w:ascii="Times New Roman" w:hAnsi="Times New Roman" w:cs="Times New Roman"/>
          <w:sz w:val="19"/>
          <w:szCs w:val="19"/>
        </w:rPr>
        <w:t>57</w:t>
      </w:r>
    </w:p>
    <w:p w:rsidR="00000000" w:rsidRDefault="0057438D">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left="3" w:right="20"/>
        <w:rPr>
          <w:rFonts w:ascii="Times New Roman" w:hAnsi="Times New Roman" w:cs="Times New Roman"/>
          <w:sz w:val="24"/>
          <w:szCs w:val="24"/>
        </w:rPr>
      </w:pPr>
      <w:r>
        <w:rPr>
          <w:rFonts w:ascii="Times New Roman" w:hAnsi="Times New Roman" w:cs="Times New Roman"/>
          <w:sz w:val="19"/>
          <w:szCs w:val="19"/>
        </w:rPr>
        <w:t>Consistent with our historical policies for ongoing restructuring-type activities, the restructuring program charges are funded by and included within Corporate for both management and segmen</w:t>
      </w:r>
      <w:r>
        <w:rPr>
          <w:rFonts w:ascii="Times New Roman" w:hAnsi="Times New Roman" w:cs="Times New Roman"/>
          <w:sz w:val="19"/>
          <w:szCs w:val="19"/>
        </w:rPr>
        <w:t>t reporting. Accordingly, all charges under the program are included within the Corporate reportable segment. However, for informative purposes, the following table summarizes the total restructuring costs related to our reportable segments:</w:t>
      </w:r>
    </w:p>
    <w:p w:rsidR="00000000" w:rsidRDefault="0057438D">
      <w:pPr>
        <w:pStyle w:val="DefaultParagraphFont"/>
        <w:widowControl w:val="0"/>
        <w:autoSpaceDE w:val="0"/>
        <w:autoSpaceDN w:val="0"/>
        <w:adjustRightInd w:val="0"/>
        <w:spacing w:after="0" w:line="197" w:lineRule="exact"/>
        <w:rPr>
          <w:rFonts w:ascii="Times New Roman" w:hAnsi="Times New Roman" w:cs="Times New Roman"/>
          <w:sz w:val="24"/>
          <w:szCs w:val="24"/>
        </w:rPr>
      </w:pPr>
    </w:p>
    <w:tbl>
      <w:tblPr>
        <w:tblW w:w="0" w:type="auto"/>
        <w:tblInd w:w="3" w:type="dxa"/>
        <w:tblLayout w:type="fixed"/>
        <w:tblCellMar>
          <w:left w:w="0" w:type="dxa"/>
          <w:right w:w="0" w:type="dxa"/>
        </w:tblCellMar>
        <w:tblLook w:val="0000" w:firstRow="0" w:lastRow="0" w:firstColumn="0" w:lastColumn="0" w:noHBand="0" w:noVBand="0"/>
      </w:tblPr>
      <w:tblGrid>
        <w:gridCol w:w="2660"/>
        <w:gridCol w:w="220"/>
        <w:gridCol w:w="720"/>
        <w:gridCol w:w="80"/>
        <w:gridCol w:w="240"/>
        <w:gridCol w:w="740"/>
        <w:gridCol w:w="20"/>
      </w:tblGrid>
      <w:tr w:rsidR="00000000">
        <w:tblPrEx>
          <w:tblCellMar>
            <w:top w:w="0" w:type="dxa"/>
            <w:left w:w="0" w:type="dxa"/>
            <w:bottom w:w="0" w:type="dxa"/>
            <w:right w:w="0" w:type="dxa"/>
          </w:tblCellMar>
        </w:tblPrEx>
        <w:trPr>
          <w:trHeight w:val="203"/>
        </w:trPr>
        <w:tc>
          <w:tcPr>
            <w:tcW w:w="2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rPr>
              <w:t>Years Ended J</w:t>
            </w:r>
            <w:r>
              <w:rPr>
                <w:rFonts w:ascii="Times New Roman" w:hAnsi="Times New Roman" w:cs="Times New Roman"/>
                <w:b/>
                <w:bCs/>
                <w:sz w:val="15"/>
                <w:szCs w:val="15"/>
              </w:rPr>
              <w:t>une 30</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7"/>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47"/>
              <w:jc w:val="right"/>
              <w:rPr>
                <w:rFonts w:ascii="Times New Roman" w:hAnsi="Times New Roman" w:cs="Times New Roman"/>
                <w:sz w:val="24"/>
                <w:szCs w:val="24"/>
              </w:rPr>
            </w:pPr>
            <w:r>
              <w:rPr>
                <w:rFonts w:ascii="Times New Roman" w:hAnsi="Times New Roman" w:cs="Times New Roman"/>
                <w:b/>
                <w:bCs/>
                <w:sz w:val="15"/>
                <w:szCs w:val="15"/>
              </w:rPr>
              <w:t>2013</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r>
      <w:tr w:rsidR="00000000">
        <w:tblPrEx>
          <w:tblCellMar>
            <w:top w:w="0" w:type="dxa"/>
            <w:left w:w="0" w:type="dxa"/>
            <w:bottom w:w="0" w:type="dxa"/>
            <w:right w:w="0" w:type="dxa"/>
          </w:tblCellMar>
        </w:tblPrEx>
        <w:trPr>
          <w:trHeight w:val="25"/>
        </w:trPr>
        <w:tc>
          <w:tcPr>
            <w:tcW w:w="26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2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Beauty</w:t>
            </w: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83</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132</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61"/>
        </w:trPr>
        <w:tc>
          <w:tcPr>
            <w:tcW w:w="2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Grooming</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50</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74"/>
        </w:trPr>
        <w:tc>
          <w:tcPr>
            <w:tcW w:w="2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Health Care</w:t>
            </w: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10</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61"/>
        </w:trPr>
        <w:tc>
          <w:tcPr>
            <w:tcW w:w="2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Fabric Care and Home Care</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121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140</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74"/>
        </w:trPr>
        <w:tc>
          <w:tcPr>
            <w:tcW w:w="2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Baby, Feminine and Family Care</w:t>
            </w: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155</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129</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58"/>
        </w:trPr>
        <w:tc>
          <w:tcPr>
            <w:tcW w:w="26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58" w:lineRule="exact"/>
              <w:ind w:left="40"/>
              <w:rPr>
                <w:rFonts w:ascii="Times New Roman" w:hAnsi="Times New Roman" w:cs="Times New Roman"/>
                <w:sz w:val="24"/>
                <w:szCs w:val="24"/>
              </w:rPr>
            </w:pPr>
            <w:r>
              <w:rPr>
                <w:rFonts w:ascii="Times New Roman" w:hAnsi="Times New Roman" w:cs="Times New Roman"/>
                <w:sz w:val="19"/>
                <w:szCs w:val="19"/>
              </w:rPr>
              <w:t xml:space="preserve">Corporate </w:t>
            </w:r>
            <w:r>
              <w:rPr>
                <w:rFonts w:ascii="Times New Roman" w:hAnsi="Times New Roman" w:cs="Times New Roman"/>
                <w:sz w:val="24"/>
                <w:szCs w:val="24"/>
                <w:vertAlign w:val="superscript"/>
              </w:rPr>
              <w:t>(1)</w:t>
            </w: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417</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491</w:t>
            </w: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37"/>
        </w:trPr>
        <w:tc>
          <w:tcPr>
            <w:tcW w:w="2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Total Company</w:t>
            </w: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806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956</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bl>
    <w:p w:rsidR="00000000" w:rsidRDefault="0057438D">
      <w:pPr>
        <w:pStyle w:val="DefaultParagraphFont"/>
        <w:widowControl w:val="0"/>
        <w:autoSpaceDE w:val="0"/>
        <w:autoSpaceDN w:val="0"/>
        <w:adjustRightInd w:val="0"/>
        <w:spacing w:after="0" w:line="24" w:lineRule="exact"/>
        <w:rPr>
          <w:rFonts w:ascii="Times New Roman" w:hAnsi="Times New Roman" w:cs="Times New Roman"/>
          <w:sz w:val="24"/>
          <w:szCs w:val="24"/>
        </w:rPr>
      </w:pPr>
    </w:p>
    <w:p w:rsidR="00000000" w:rsidRDefault="0057438D">
      <w:pPr>
        <w:pStyle w:val="DefaultParagraphFont"/>
        <w:widowControl w:val="0"/>
        <w:numPr>
          <w:ilvl w:val="0"/>
          <w:numId w:val="12"/>
        </w:numPr>
        <w:tabs>
          <w:tab w:val="clear" w:pos="720"/>
          <w:tab w:val="num" w:pos="165"/>
        </w:tabs>
        <w:overflowPunct w:val="0"/>
        <w:autoSpaceDE w:val="0"/>
        <w:autoSpaceDN w:val="0"/>
        <w:adjustRightInd w:val="0"/>
        <w:spacing w:after="0" w:line="259" w:lineRule="auto"/>
        <w:ind w:left="163" w:right="60" w:hanging="163"/>
        <w:rPr>
          <w:rFonts w:ascii="Times New Roman" w:hAnsi="Times New Roman" w:cs="Times New Roman"/>
          <w:sz w:val="21"/>
          <w:szCs w:val="21"/>
          <w:vertAlign w:val="superscript"/>
        </w:rPr>
      </w:pPr>
      <w:r>
        <w:rPr>
          <w:rFonts w:ascii="Times New Roman" w:hAnsi="Times New Roman" w:cs="Times New Roman"/>
          <w:sz w:val="16"/>
          <w:szCs w:val="16"/>
        </w:rPr>
        <w:t>Corporate includes costs related to allocated overheads, including charges related to our SMO, Global Business Services and Corporate Functions activities and costs related to discontinued operations from our divested Pet Care business.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346" w:left="840" w:header="720" w:footer="720" w:gutter="0"/>
          <w:cols w:num="2" w:space="417" w:equalWidth="0">
            <w:col w:w="4700" w:space="417"/>
            <w:col w:w="4663"/>
          </w:cols>
          <w:noEndnote/>
        </w:sectPr>
      </w:pPr>
      <w:r>
        <w:rPr>
          <w:noProof/>
        </w:rPr>
        <mc:AlternateContent>
          <mc:Choice Requires="wps">
            <w:drawing>
              <wp:anchor distT="0" distB="0" distL="114300" distR="114300" simplePos="0" relativeHeight="251694080" behindDoc="1" locked="0" layoutInCell="0" allowOverlap="1">
                <wp:simplePos x="0" y="0"/>
                <wp:positionH relativeFrom="column">
                  <wp:posOffset>1685925</wp:posOffset>
                </wp:positionH>
                <wp:positionV relativeFrom="paragraph">
                  <wp:posOffset>-546100</wp:posOffset>
                </wp:positionV>
                <wp:extent cx="605790" cy="0"/>
                <wp:effectExtent l="0" t="0" r="0" b="0"/>
                <wp:wrapNone/>
                <wp:docPr id="8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75pt,-43pt" to="180.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ikHgIAAEMEAAAOAAAAZHJzL2Uyb0RvYy54bWysU02P2jAQvVfqf7ByhyRs+IoIqyqBXmgX&#10;abc/wNgOserYlm0IqOp/79ghiG0vVVUOZpyZefNm3nj1fGkFOjNjuZJFlI6TCDFJFOXyWETf3raj&#10;RYSsw5JioSQroiuz0fP644dVp3M2UY0SlBkEINLmnS6ixjmdx7ElDWuxHSvNJDhrZVrs4GqOMTW4&#10;A/RWxJMkmcWdMlQbRZi18LXqndE64Nc1I+6lri1zSBQRcHPhNOE8+DNer3B+NFg3nNxo4H9g0WIu&#10;oegdqsIOo5Phf0C1nBhlVe3GRLWxqmtOWOgBukmT37p5bbBmoRcYjtX3Mdn/B0u+nvcGcVpEC1BK&#10;4hY02nHJ0NPcz6bTNoeQUu6N745c5KveKfLdIqnKBssjCxzfrhryUp8Rv0vxF6uhwqH7oijE4JNT&#10;YVCX2rQeEkaALkGP610PdnGIwMdZMp0vQTUyuGKcD3naWPeZqRZ5o4gEcA64+LyzzvPA+RDiy0i1&#10;5UIEtYVEHZCdpOk0ZFglOPVeH2fN8VAKg87YL0z4ha7A8xjmoStsmz4uuPpVMuokaSjTMEw3N9th&#10;LnobaAnpC0GPQPRm9avyY5ksN4vNIhtlk9lmlCVVNfq0LbPRbJvOp9VTVZZV+tNzTrO84ZQy6WkP&#10;a5tmf7cWtwfUL9x9ce8Dit+jh0kC2eE/kA4ie137DTkoet2bQXzY1BB8e1X+KTzewX58++tfAAAA&#10;//8DAFBLAwQUAAYACAAAACEAtbnQ2t0AAAALAQAADwAAAGRycy9kb3ducmV2LnhtbEyPQUvEMBCF&#10;74L/IYzgbTd1ly27tekiQsGruyJ4S5qxLSaT2qTd+u8dQdDjzLz35nvlcfFOzDjGPpCCu3UGAqkJ&#10;tqdWwcu5Xu1BxKTJahcIFXxhhGN1fVXqwoYLPeN8Sq3gEIqFVtClNBRSxqZDr+M6DEh8ew+j14nH&#10;sZV21BcO905usiyXXvfEHzo94GOHzcdp8oyxdfPBzJOp3z6lNM2TO9vXWqnbm+XhHkTCJf2J4Qef&#10;PVAxkwkT2Sicgk2+27FUwWqfcylWbPPsAML8bmRVyv8dqm8AAAD//wMAUEsBAi0AFAAGAAgAAAAh&#10;ALaDOJL+AAAA4QEAABMAAAAAAAAAAAAAAAAAAAAAAFtDb250ZW50X1R5cGVzXS54bWxQSwECLQAU&#10;AAYACAAAACEAOP0h/9YAAACUAQAACwAAAAAAAAAAAAAAAAAvAQAAX3JlbHMvLnJlbHNQSwECLQAU&#10;AAYACAAAACEArZoopB4CAABDBAAADgAAAAAAAAAAAAAAAAAuAgAAZHJzL2Uyb0RvYy54bWxQSwEC&#10;LQAUAAYACAAAACEAtbnQ2t0AAAALAQAADwAAAAAAAAAAAAAAAAB4BAAAZHJzL2Rvd25yZXYueG1s&#10;UEsFBgAAAAAEAAQA8wAAAIIFAAAAAA==&#10;" o:allowincell="f" strokeweight=".33653mm"/>
            </w:pict>
          </mc:Fallback>
        </mc:AlternateContent>
      </w:r>
      <w:r>
        <w:rPr>
          <w:noProof/>
        </w:rPr>
        <mc:AlternateContent>
          <mc:Choice Requires="wps">
            <w:drawing>
              <wp:anchor distT="0" distB="0" distL="114300" distR="114300" simplePos="0" relativeHeight="251695104" behindDoc="1" locked="0" layoutInCell="0" allowOverlap="1">
                <wp:simplePos x="0" y="0"/>
                <wp:positionH relativeFrom="column">
                  <wp:posOffset>2340610</wp:posOffset>
                </wp:positionH>
                <wp:positionV relativeFrom="paragraph">
                  <wp:posOffset>-546100</wp:posOffset>
                </wp:positionV>
                <wp:extent cx="617855" cy="0"/>
                <wp:effectExtent l="0" t="0" r="0" b="0"/>
                <wp:wrapNone/>
                <wp:docPr id="87"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85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3pt,-43pt" to="232.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YMwHgIAAEMEAAAOAAAAZHJzL2Uyb0RvYy54bWysU8GO2jAQvVfqP1i+Qwgb2GxEWFUJ9EK7&#10;SLv9AGM7xKpjW7YhoKr/3rEDiG0vVVUOZpyZefNm5nnxfOokOnLrhFYlTscTjLiimgm1L/G3t/Uo&#10;x8h5ohiRWvESn7nDz8uPHxa9KfhUt1oybhGAKFf0psSt96ZIEkdb3hE31oYrcDbadsTD1e4TZkkP&#10;6J1MppPJPOm1ZcZqyp2Dr/XgxMuI3zSc+pemcdwjWWLg5uNp47kLZ7JckGJviWkFvdAg/8CiI0JB&#10;0RtUTTxBByv+gOoEtdrpxo+p7hLdNILy2AN0k05+6+a1JYbHXmA4ztzG5P4fLP163FokWInzR4wU&#10;6WBHG6E4esjDbHrjCgip1NaG7uhJvZqNpt8dUrpqidrzyPHtbCAvDRnJu5RwcQYq7PovmkEMOXgd&#10;B3VqbBcgYQToFPdxvu2Dnzyi8HGePuazGUb06kpIcc0z1vnPXHcoGCWWwDnikuPG+cCDFNeQUEbp&#10;tZAyblsq1APZaZrOYobTUrDgDXHO7neVtOhIgmDiL3YFnvuwAF0T1w5x0TVIyeqDYrFMywlbXWxP&#10;hBxsoCVVKAQ9AtGLNUjlx9PkaZWv8myUTeerUTap69GndZWN5uv0cVY/1FVVpz8D5zQrWsEYV4H2&#10;VbZp9neyuDygQXA34d4GlLxHj5MEstf/SDouOex1UMhOs/PWXpcPSo3Bl1cVnsL9Hez7t7/8BQAA&#10;//8DAFBLAwQUAAYACAAAACEAy2zKI90AAAALAQAADwAAAGRycy9kb3ducmV2LnhtbEyPT0vDQBDF&#10;74LfYRnBW7vR6pKm2RQRAl5tRfC2mx2T0P0Ts5s0fntHEOxxZt5783vlfnGWzTjGPngJd+sMGPom&#10;mN63Et6O9SoHFpPyRtngUcI3RthX11elKkw4+1ecD6llFOJjoSR0KQ0F57Hp0Km4DgN6un2G0alE&#10;49hyM6ozhTvL77NMcKd6Tx86NeBzh83pMDnC2Nh5q+dJ1x9fnOvmxR7Ney3l7c3ytAOWcEn/YvjF&#10;Jw9UxKTD5E1kVsJG5IKkEla5oFKkeBCPW2D6b8Orkl92qH4AAAD//wMAUEsBAi0AFAAGAAgAAAAh&#10;ALaDOJL+AAAA4QEAABMAAAAAAAAAAAAAAAAAAAAAAFtDb250ZW50X1R5cGVzXS54bWxQSwECLQAU&#10;AAYACAAAACEAOP0h/9YAAACUAQAACwAAAAAAAAAAAAAAAAAvAQAAX3JlbHMvLnJlbHNQSwECLQAU&#10;AAYACAAAACEAgamDMB4CAABDBAAADgAAAAAAAAAAAAAAAAAuAgAAZHJzL2Uyb0RvYy54bWxQSwEC&#10;LQAUAAYACAAAACEAy2zKI90AAAALAQAADwAAAAAAAAAAAAAAAAB4BAAAZHJzL2Rvd25yZXYueG1s&#10;UEsFBgAAAAAEAAQA8wAAAIIFAAAAAA==&#10;" o:allowincell="f" strokeweight=".33653mm"/>
            </w:pict>
          </mc:Fallback>
        </mc:AlternateContent>
      </w:r>
    </w:p>
    <w:p w:rsidR="00000000" w:rsidRDefault="0057438D">
      <w:pPr>
        <w:pStyle w:val="DefaultParagraphFont"/>
        <w:widowControl w:val="0"/>
        <w:autoSpaceDE w:val="0"/>
        <w:autoSpaceDN w:val="0"/>
        <w:adjustRightInd w:val="0"/>
        <w:spacing w:after="0" w:line="28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5580" w:header="720" w:footer="720" w:gutter="0"/>
          <w:cols w:space="417" w:equalWidth="0">
            <w:col w:w="5060" w:space="417"/>
          </w:cols>
          <w:noEndnote/>
        </w:sectPr>
      </w:pPr>
    </w:p>
    <w:p w:rsidR="00000000" w:rsidRDefault="0057438D">
      <w:pPr>
        <w:pStyle w:val="DefaultParagraphFont"/>
        <w:widowControl w:val="0"/>
        <w:tabs>
          <w:tab w:val="left" w:pos="360"/>
        </w:tabs>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7"/>
          <w:szCs w:val="17"/>
        </w:rPr>
        <w:t>58</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NOTE 4</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SHORT-TERM AND LONG-TERM DEBT</w:t>
      </w:r>
    </w:p>
    <w:p w:rsidR="00000000" w:rsidRDefault="0057438D">
      <w:pPr>
        <w:pStyle w:val="DefaultParagraphFont"/>
        <w:widowControl w:val="0"/>
        <w:autoSpaceDE w:val="0"/>
        <w:autoSpaceDN w:val="0"/>
        <w:adjustRightInd w:val="0"/>
        <w:spacing w:after="0" w:line="17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120"/>
        <w:gridCol w:w="840"/>
        <w:gridCol w:w="80"/>
        <w:gridCol w:w="800"/>
        <w:gridCol w:w="20"/>
      </w:tblGrid>
      <w:tr w:rsidR="00000000">
        <w:tblPrEx>
          <w:tblCellMar>
            <w:top w:w="0" w:type="dxa"/>
            <w:left w:w="0" w:type="dxa"/>
            <w:bottom w:w="0" w:type="dxa"/>
            <w:right w:w="0" w:type="dxa"/>
          </w:tblCellMar>
        </w:tblPrEx>
        <w:trPr>
          <w:trHeight w:val="203"/>
        </w:trPr>
        <w:tc>
          <w:tcPr>
            <w:tcW w:w="3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8"/>
              <w:jc w:val="right"/>
              <w:rPr>
                <w:rFonts w:ascii="Times New Roman" w:hAnsi="Times New Roman" w:cs="Times New Roman"/>
                <w:sz w:val="24"/>
                <w:szCs w:val="24"/>
              </w:rPr>
            </w:pPr>
            <w:r>
              <w:rPr>
                <w:rFonts w:ascii="Times New Roman" w:hAnsi="Times New Roman" w:cs="Times New Roman"/>
                <w:b/>
                <w:bCs/>
                <w:sz w:val="15"/>
                <w:szCs w:val="15"/>
              </w:rPr>
              <w:t>2014</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b/>
                <w:bCs/>
                <w:sz w:val="15"/>
                <w:szCs w:val="15"/>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3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3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DEBT DUE WITHIN ONE YEAR</w:t>
            </w:r>
          </w:p>
        </w:tc>
        <w:tc>
          <w:tcPr>
            <w:tcW w:w="8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Current portion of long-term debt</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Times New Roman" w:hAnsi="Times New Roman" w:cs="Times New Roman"/>
                <w:b/>
                <w:bCs/>
                <w:sz w:val="19"/>
                <w:szCs w:val="19"/>
              </w:rPr>
              <w:t>$ 4,307</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$ 4,506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Commercial paper</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Times New Roman" w:hAnsi="Times New Roman" w:cs="Times New Roman"/>
                <w:b/>
                <w:bCs/>
                <w:sz w:val="19"/>
                <w:szCs w:val="19"/>
              </w:rPr>
              <w:t>10,818</w:t>
            </w:r>
          </w:p>
        </w:tc>
        <w:tc>
          <w:tcPr>
            <w:tcW w:w="8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7,642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Other</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Times New Roman" w:hAnsi="Times New Roman" w:cs="Times New Roman"/>
                <w:b/>
                <w:bCs/>
                <w:sz w:val="19"/>
                <w:szCs w:val="19"/>
              </w:rPr>
              <w:t>481</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284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3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3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TOTAL</w:t>
            </w:r>
          </w:p>
        </w:tc>
        <w:tc>
          <w:tcPr>
            <w:tcW w:w="8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Times New Roman" w:hAnsi="Times New Roman" w:cs="Times New Roman"/>
                <w:b/>
                <w:bCs/>
                <w:sz w:val="19"/>
                <w:szCs w:val="19"/>
              </w:rPr>
              <w:t>15,606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12,432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7"/>
        </w:trPr>
        <w:tc>
          <w:tcPr>
            <w:tcW w:w="3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3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7" w:lineRule="exact"/>
              <w:ind w:left="40"/>
              <w:rPr>
                <w:rFonts w:ascii="Times New Roman" w:hAnsi="Times New Roman" w:cs="Times New Roman"/>
                <w:sz w:val="24"/>
                <w:szCs w:val="24"/>
              </w:rPr>
            </w:pPr>
            <w:r>
              <w:rPr>
                <w:rFonts w:ascii="Times New Roman" w:hAnsi="Times New Roman" w:cs="Times New Roman"/>
                <w:sz w:val="19"/>
                <w:szCs w:val="19"/>
              </w:rPr>
              <w:t>Short-term weighted average interest</w:t>
            </w:r>
          </w:p>
        </w:tc>
        <w:tc>
          <w:tcPr>
            <w:tcW w:w="8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0.7%</w:t>
            </w:r>
          </w:p>
        </w:tc>
        <w:tc>
          <w:tcPr>
            <w:tcW w:w="88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0.5%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0"/>
        </w:trPr>
        <w:tc>
          <w:tcPr>
            <w:tcW w:w="3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rates</w:t>
            </w:r>
            <w:r>
              <w:rPr>
                <w:rFonts w:ascii="Times New Roman" w:hAnsi="Times New Roman" w:cs="Times New Roman"/>
                <w:sz w:val="14"/>
                <w:szCs w:val="14"/>
                <w:vertAlign w:val="superscript"/>
              </w:rPr>
              <w:t>(1)</w:t>
            </w:r>
          </w:p>
        </w:tc>
        <w:tc>
          <w:tcPr>
            <w:tcW w:w="84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8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9" w:lineRule="auto"/>
        <w:ind w:right="260"/>
        <w:rPr>
          <w:rFonts w:ascii="Times New Roman" w:hAnsi="Times New Roman" w:cs="Times New Roman"/>
          <w:sz w:val="24"/>
          <w:szCs w:val="24"/>
        </w:rPr>
      </w:pPr>
      <w:r>
        <w:rPr>
          <w:rFonts w:ascii="Times New Roman" w:hAnsi="Times New Roman" w:cs="Times New Roman"/>
          <w:vertAlign w:val="superscript"/>
        </w:rPr>
        <w:t>(1)</w:t>
      </w:r>
      <w:r>
        <w:rPr>
          <w:rFonts w:ascii="Times New Roman" w:hAnsi="Times New Roman" w:cs="Times New Roman"/>
          <w:sz w:val="17"/>
          <w:szCs w:val="17"/>
        </w:rPr>
        <w:t xml:space="preserve"> Weighted average short-term interest rates include the effects of interest rate swaps discussed in Note 5.</w:t>
      </w:r>
    </w:p>
    <w:p w:rsidR="00000000" w:rsidRDefault="0057438D">
      <w:pPr>
        <w:pStyle w:val="DefaultParagraphFont"/>
        <w:widowControl w:val="0"/>
        <w:autoSpaceDE w:val="0"/>
        <w:autoSpaceDN w:val="0"/>
        <w:adjustRightInd w:val="0"/>
        <w:spacing w:after="0" w:line="161"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60"/>
        <w:gridCol w:w="2520"/>
        <w:gridCol w:w="840"/>
        <w:gridCol w:w="80"/>
        <w:gridCol w:w="840"/>
        <w:gridCol w:w="20"/>
      </w:tblGrid>
      <w:tr w:rsidR="00000000">
        <w:tblPrEx>
          <w:tblCellMar>
            <w:top w:w="0" w:type="dxa"/>
            <w:left w:w="0" w:type="dxa"/>
            <w:bottom w:w="0" w:type="dxa"/>
            <w:right w:w="0" w:type="dxa"/>
          </w:tblCellMar>
        </w:tblPrEx>
        <w:trPr>
          <w:trHeight w:val="203"/>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b/>
                <w:bCs/>
                <w:sz w:val="15"/>
                <w:szCs w:val="15"/>
              </w:rPr>
              <w:t>2014</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5"/>
              <w:jc w:val="right"/>
              <w:rPr>
                <w:rFonts w:ascii="Times New Roman" w:hAnsi="Times New Roman" w:cs="Times New Roman"/>
                <w:sz w:val="24"/>
                <w:szCs w:val="24"/>
              </w:rPr>
            </w:pPr>
            <w:r>
              <w:rPr>
                <w:rFonts w:ascii="Times New Roman" w:hAnsi="Times New Roman" w:cs="Times New Roman"/>
                <w:b/>
                <w:bCs/>
                <w:sz w:val="15"/>
                <w:szCs w:val="15"/>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3080" w:type="dxa"/>
            <w:gridSpan w:val="2"/>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8"/>
        </w:trPr>
        <w:tc>
          <w:tcPr>
            <w:tcW w:w="308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LONG-TERM DEBT</w:t>
            </w:r>
          </w:p>
        </w:tc>
        <w:tc>
          <w:tcPr>
            <w:tcW w:w="8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4.95% USD note due August 2014</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  900</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   900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0.70%</w:t>
            </w:r>
          </w:p>
        </w:tc>
        <w:tc>
          <w:tcPr>
            <w:tcW w:w="2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USD note due August 2014</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1,000</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1,000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3.50%</w:t>
            </w: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USD note due February 2015</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750</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750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0.95%</w:t>
            </w:r>
          </w:p>
        </w:tc>
        <w:tc>
          <w:tcPr>
            <w:tcW w:w="2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JPY note due May 2015</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987</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1,012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3.15%</w:t>
            </w: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USD note due September 2015</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500</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500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0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1.80% USD note due November 2015</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1,000</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1,000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4.85% USD note due December 2015</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700</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700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1.45%</w:t>
            </w:r>
          </w:p>
        </w:tc>
        <w:tc>
          <w:tcPr>
            <w:tcW w:w="2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USD note due August 2016</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1,000</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1,000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0.75% USD note due November 2016</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500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308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0" w:lineRule="exact"/>
              <w:ind w:left="40"/>
              <w:rPr>
                <w:rFonts w:ascii="Times New Roman" w:hAnsi="Times New Roman" w:cs="Times New Roman"/>
                <w:sz w:val="24"/>
                <w:szCs w:val="24"/>
              </w:rPr>
            </w:pPr>
            <w:r>
              <w:rPr>
                <w:rFonts w:ascii="Times New Roman" w:hAnsi="Times New Roman" w:cs="Times New Roman"/>
                <w:sz w:val="19"/>
                <w:szCs w:val="19"/>
              </w:rPr>
              <w:t>Floating rate USD note due November</w:t>
            </w:r>
          </w:p>
        </w:tc>
        <w:tc>
          <w:tcPr>
            <w:tcW w:w="8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500</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9"/>
        </w:trPr>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2016</w:t>
            </w:r>
          </w:p>
        </w:tc>
        <w:tc>
          <w:tcPr>
            <w:tcW w:w="2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4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4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5.13%</w:t>
            </w: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EUR note due October 2017</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1,501</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1,437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0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1.60% USD note due November 2018</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1,000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4.70%</w:t>
            </w: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USD note due February 2019</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1,250</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1,250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0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4.13% EUR note due December 2020</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819</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784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8" w:lineRule="exact"/>
              <w:ind w:left="40"/>
              <w:rPr>
                <w:rFonts w:ascii="Times New Roman" w:hAnsi="Times New Roman" w:cs="Times New Roman"/>
                <w:sz w:val="24"/>
                <w:szCs w:val="24"/>
              </w:rPr>
            </w:pPr>
            <w:r>
              <w:rPr>
                <w:rFonts w:ascii="Times New Roman" w:hAnsi="Times New Roman" w:cs="Times New Roman"/>
                <w:sz w:val="19"/>
                <w:szCs w:val="19"/>
              </w:rPr>
              <w:t>9.36%</w:t>
            </w: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8" w:lineRule="exact"/>
              <w:ind w:left="20"/>
              <w:rPr>
                <w:rFonts w:ascii="Times New Roman" w:hAnsi="Times New Roman" w:cs="Times New Roman"/>
                <w:sz w:val="24"/>
                <w:szCs w:val="24"/>
              </w:rPr>
            </w:pPr>
            <w:r>
              <w:rPr>
                <w:rFonts w:ascii="Times New Roman" w:hAnsi="Times New Roman" w:cs="Times New Roman"/>
                <w:sz w:val="19"/>
                <w:szCs w:val="19"/>
              </w:rPr>
              <w:t>ESOP debentures due</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640</w:t>
            </w:r>
          </w:p>
        </w:tc>
        <w:tc>
          <w:tcPr>
            <w:tcW w:w="92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701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9"/>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2014-2021</w:t>
            </w:r>
            <w:r>
              <w:rPr>
                <w:rFonts w:ascii="Times New Roman" w:hAnsi="Times New Roman" w:cs="Times New Roman"/>
                <w:sz w:val="24"/>
                <w:szCs w:val="24"/>
                <w:vertAlign w:val="superscript"/>
              </w:rPr>
              <w:t>(1)</w:t>
            </w: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0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2.00% EUR note due November 2021</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1,023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2.30%</w:t>
            </w: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USD note due February 2022</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1,000</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1,000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2.00%</w:t>
            </w:r>
          </w:p>
        </w:tc>
        <w:tc>
          <w:tcPr>
            <w:tcW w:w="2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EUR note due August 2022</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1,365</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1,307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3.10% USD note due August 2023</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1,000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0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4.88% EUR note due May 2027</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1,365</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1,307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6.25%</w:t>
            </w: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GBP note due January 2030</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851</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764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5.50%</w:t>
            </w:r>
          </w:p>
        </w:tc>
        <w:tc>
          <w:tcPr>
            <w:tcW w:w="2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USD note due February 2034</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500</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500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5.80% USD note due August 2034</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600</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600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0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5.55% USD note due March 2037</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1,400</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1,400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Capital lease obligations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83</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31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0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All other long-term debt</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1,884</w:t>
            </w:r>
          </w:p>
        </w:tc>
        <w:tc>
          <w:tcPr>
            <w:tcW w:w="9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5,674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30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Current portion of long-term debt</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b/>
                <w:bCs/>
                <w:sz w:val="19"/>
                <w:szCs w:val="19"/>
              </w:rPr>
              <w:t>(4,307)</w:t>
            </w:r>
          </w:p>
        </w:tc>
        <w:tc>
          <w:tcPr>
            <w:tcW w:w="9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sz w:val="19"/>
                <w:szCs w:val="19"/>
              </w:rPr>
              <w:t>(4,506)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3080" w:type="dxa"/>
            <w:gridSpan w:val="2"/>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30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TOTAL</w:t>
            </w:r>
          </w:p>
        </w:tc>
        <w:tc>
          <w:tcPr>
            <w:tcW w:w="8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19,811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19,111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5"/>
        </w:trPr>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2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1"/>
        </w:trPr>
        <w:tc>
          <w:tcPr>
            <w:tcW w:w="308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0" w:lineRule="exact"/>
              <w:ind w:left="40"/>
              <w:rPr>
                <w:rFonts w:ascii="Times New Roman" w:hAnsi="Times New Roman" w:cs="Times New Roman"/>
                <w:sz w:val="24"/>
                <w:szCs w:val="24"/>
              </w:rPr>
            </w:pPr>
            <w:r>
              <w:rPr>
                <w:rFonts w:ascii="Times New Roman" w:hAnsi="Times New Roman" w:cs="Times New Roman"/>
                <w:sz w:val="19"/>
                <w:szCs w:val="19"/>
              </w:rPr>
              <w:t>Long-term weighted average interest</w:t>
            </w:r>
          </w:p>
        </w:tc>
        <w:tc>
          <w:tcPr>
            <w:tcW w:w="8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3.2%</w:t>
            </w:r>
          </w:p>
        </w:tc>
        <w:tc>
          <w:tcPr>
            <w:tcW w:w="92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9"/>
        </w:trPr>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58" w:lineRule="exact"/>
              <w:ind w:left="40"/>
              <w:rPr>
                <w:rFonts w:ascii="Times New Roman" w:hAnsi="Times New Roman" w:cs="Times New Roman"/>
                <w:sz w:val="24"/>
                <w:szCs w:val="24"/>
              </w:rPr>
            </w:pPr>
            <w:r>
              <w:rPr>
                <w:rFonts w:ascii="Times New Roman" w:hAnsi="Times New Roman" w:cs="Times New Roman"/>
                <w:w w:val="91"/>
                <w:sz w:val="19"/>
                <w:szCs w:val="19"/>
              </w:rPr>
              <w:t>rates</w:t>
            </w:r>
            <w:r>
              <w:rPr>
                <w:rFonts w:ascii="Times New Roman" w:hAnsi="Times New Roman" w:cs="Times New Roman"/>
                <w:w w:val="91"/>
                <w:sz w:val="24"/>
                <w:szCs w:val="24"/>
                <w:vertAlign w:val="superscript"/>
              </w:rPr>
              <w:t>(2)</w:t>
            </w:r>
          </w:p>
        </w:tc>
        <w:tc>
          <w:tcPr>
            <w:tcW w:w="2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4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2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9" w:lineRule="exact"/>
        <w:rPr>
          <w:rFonts w:ascii="Times New Roman" w:hAnsi="Times New Roman" w:cs="Times New Roman"/>
          <w:sz w:val="24"/>
          <w:szCs w:val="24"/>
        </w:rPr>
      </w:pPr>
    </w:p>
    <w:p w:rsidR="00000000" w:rsidRDefault="0057438D">
      <w:pPr>
        <w:pStyle w:val="DefaultParagraphFont"/>
        <w:widowControl w:val="0"/>
        <w:numPr>
          <w:ilvl w:val="0"/>
          <w:numId w:val="13"/>
        </w:numPr>
        <w:tabs>
          <w:tab w:val="clear" w:pos="720"/>
          <w:tab w:val="num" w:pos="500"/>
        </w:tabs>
        <w:overflowPunct w:val="0"/>
        <w:autoSpaceDE w:val="0"/>
        <w:autoSpaceDN w:val="0"/>
        <w:adjustRightInd w:val="0"/>
        <w:spacing w:after="0" w:line="214" w:lineRule="auto"/>
        <w:ind w:left="500" w:hanging="336"/>
        <w:rPr>
          <w:rFonts w:ascii="Times New Roman" w:hAnsi="Times New Roman" w:cs="Times New Roman"/>
          <w:sz w:val="25"/>
          <w:szCs w:val="25"/>
          <w:vertAlign w:val="superscript"/>
        </w:rPr>
      </w:pPr>
      <w:r>
        <w:rPr>
          <w:rFonts w:ascii="Times New Roman" w:hAnsi="Times New Roman" w:cs="Times New Roman"/>
          <w:sz w:val="17"/>
          <w:szCs w:val="17"/>
        </w:rPr>
        <w:t>Debt issued by the ESOP is guaranteed by the Company and must be recorded as debt of the Company, as discussed in Note 9.</w:t>
      </w:r>
    </w:p>
    <w:p w:rsidR="00000000" w:rsidRDefault="0057438D">
      <w:pPr>
        <w:pStyle w:val="DefaultParagraphFont"/>
        <w:widowControl w:val="0"/>
        <w:autoSpaceDE w:val="0"/>
        <w:autoSpaceDN w:val="0"/>
        <w:adjustRightInd w:val="0"/>
        <w:spacing w:after="0" w:line="4"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13"/>
        </w:numPr>
        <w:tabs>
          <w:tab w:val="clear" w:pos="720"/>
          <w:tab w:val="num" w:pos="500"/>
        </w:tabs>
        <w:overflowPunct w:val="0"/>
        <w:autoSpaceDE w:val="0"/>
        <w:autoSpaceDN w:val="0"/>
        <w:adjustRightInd w:val="0"/>
        <w:spacing w:after="0" w:line="214" w:lineRule="auto"/>
        <w:ind w:left="500" w:right="160" w:hanging="336"/>
        <w:jc w:val="both"/>
        <w:rPr>
          <w:rFonts w:ascii="Times New Roman" w:hAnsi="Times New Roman" w:cs="Times New Roman"/>
          <w:sz w:val="25"/>
          <w:szCs w:val="25"/>
          <w:vertAlign w:val="superscript"/>
        </w:rPr>
      </w:pPr>
      <w:r>
        <w:rPr>
          <w:rFonts w:ascii="Times New Roman" w:hAnsi="Times New Roman" w:cs="Times New Roman"/>
          <w:sz w:val="17"/>
          <w:szCs w:val="17"/>
        </w:rPr>
        <w:t>Weighted average long-term interest rates include the effects of interest rate swaps discussed in Note 5.</w:t>
      </w:r>
    </w:p>
    <w:p w:rsidR="00000000" w:rsidRDefault="0057438D">
      <w:pPr>
        <w:pStyle w:val="DefaultParagraphFont"/>
        <w:widowControl w:val="0"/>
        <w:autoSpaceDE w:val="0"/>
        <w:autoSpaceDN w:val="0"/>
        <w:adjustRightInd w:val="0"/>
        <w:spacing w:after="0" w:line="10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160" w:right="100"/>
        <w:rPr>
          <w:rFonts w:ascii="Times New Roman" w:hAnsi="Times New Roman" w:cs="Times New Roman"/>
          <w:sz w:val="24"/>
          <w:szCs w:val="24"/>
        </w:rPr>
      </w:pPr>
      <w:r>
        <w:rPr>
          <w:rFonts w:ascii="Times New Roman" w:hAnsi="Times New Roman" w:cs="Times New Roman"/>
          <w:sz w:val="19"/>
          <w:szCs w:val="19"/>
        </w:rPr>
        <w:t>Long-term debt maturities during the next five fiscal years are as follows:</w:t>
      </w:r>
    </w:p>
    <w:p w:rsidR="00000000" w:rsidRDefault="0057438D">
      <w:pPr>
        <w:pStyle w:val="DefaultParagraphFont"/>
        <w:widowControl w:val="0"/>
        <w:autoSpaceDE w:val="0"/>
        <w:autoSpaceDN w:val="0"/>
        <w:adjustRightInd w:val="0"/>
        <w:spacing w:after="0" w:line="112" w:lineRule="exact"/>
        <w:rPr>
          <w:rFonts w:ascii="Times New Roman" w:hAnsi="Times New Roman" w:cs="Times New Roman"/>
          <w:sz w:val="24"/>
          <w:szCs w:val="24"/>
        </w:rPr>
      </w:pPr>
    </w:p>
    <w:tbl>
      <w:tblPr>
        <w:tblW w:w="0" w:type="auto"/>
        <w:tblInd w:w="200" w:type="dxa"/>
        <w:tblLayout w:type="fixed"/>
        <w:tblCellMar>
          <w:left w:w="0" w:type="dxa"/>
          <w:right w:w="0" w:type="dxa"/>
        </w:tblCellMar>
        <w:tblLook w:val="0000" w:firstRow="0" w:lastRow="0" w:firstColumn="0" w:lastColumn="0" w:noHBand="0" w:noVBand="0"/>
      </w:tblPr>
      <w:tblGrid>
        <w:gridCol w:w="1300"/>
        <w:gridCol w:w="620"/>
        <w:gridCol w:w="80"/>
        <w:gridCol w:w="620"/>
        <w:gridCol w:w="80"/>
        <w:gridCol w:w="680"/>
        <w:gridCol w:w="60"/>
        <w:gridCol w:w="620"/>
        <w:gridCol w:w="80"/>
        <w:gridCol w:w="660"/>
      </w:tblGrid>
      <w:tr w:rsidR="00000000">
        <w:tblPrEx>
          <w:tblCellMar>
            <w:top w:w="0" w:type="dxa"/>
            <w:left w:w="0" w:type="dxa"/>
            <w:bottom w:w="0" w:type="dxa"/>
            <w:right w:w="0" w:type="dxa"/>
          </w:tblCellMar>
        </w:tblPrEx>
        <w:trPr>
          <w:trHeight w:val="203"/>
        </w:trPr>
        <w:tc>
          <w:tcPr>
            <w:tcW w:w="1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4"/>
              <w:jc w:val="right"/>
              <w:rPr>
                <w:rFonts w:ascii="Times New Roman" w:hAnsi="Times New Roman" w:cs="Times New Roman"/>
                <w:sz w:val="24"/>
                <w:szCs w:val="24"/>
              </w:rPr>
            </w:pPr>
            <w:r>
              <w:rPr>
                <w:rFonts w:ascii="Times New Roman" w:hAnsi="Times New Roman" w:cs="Times New Roman"/>
                <w:b/>
                <w:bCs/>
                <w:sz w:val="15"/>
                <w:szCs w:val="15"/>
              </w:rPr>
              <w:t>2015</w:t>
            </w:r>
          </w:p>
        </w:tc>
        <w:tc>
          <w:tcPr>
            <w:tcW w:w="7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0"/>
              <w:jc w:val="right"/>
              <w:rPr>
                <w:rFonts w:ascii="Times New Roman" w:hAnsi="Times New Roman" w:cs="Times New Roman"/>
                <w:sz w:val="24"/>
                <w:szCs w:val="24"/>
              </w:rPr>
            </w:pPr>
            <w:r>
              <w:rPr>
                <w:rFonts w:ascii="Times New Roman" w:hAnsi="Times New Roman" w:cs="Times New Roman"/>
                <w:b/>
                <w:bCs/>
                <w:sz w:val="15"/>
                <w:szCs w:val="15"/>
              </w:rPr>
              <w:t>2016</w:t>
            </w:r>
          </w:p>
        </w:tc>
        <w:tc>
          <w:tcPr>
            <w:tcW w:w="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New Roman" w:hAnsi="Times New Roman" w:cs="Times New Roman"/>
                <w:b/>
                <w:bCs/>
                <w:sz w:val="15"/>
                <w:szCs w:val="15"/>
              </w:rPr>
              <w:t>2017</w:t>
            </w:r>
          </w:p>
        </w:tc>
        <w:tc>
          <w:tcPr>
            <w:tcW w:w="6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0"/>
              <w:jc w:val="right"/>
              <w:rPr>
                <w:rFonts w:ascii="Times New Roman" w:hAnsi="Times New Roman" w:cs="Times New Roman"/>
                <w:sz w:val="24"/>
                <w:szCs w:val="24"/>
              </w:rPr>
            </w:pPr>
            <w:r>
              <w:rPr>
                <w:rFonts w:ascii="Times New Roman" w:hAnsi="Times New Roman" w:cs="Times New Roman"/>
                <w:b/>
                <w:bCs/>
                <w:sz w:val="15"/>
                <w:szCs w:val="15"/>
              </w:rPr>
              <w:t>2018</w:t>
            </w:r>
          </w:p>
        </w:tc>
        <w:tc>
          <w:tcPr>
            <w:tcW w:w="7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0"/>
              <w:jc w:val="right"/>
              <w:rPr>
                <w:rFonts w:ascii="Times New Roman" w:hAnsi="Times New Roman" w:cs="Times New Roman"/>
                <w:sz w:val="24"/>
                <w:szCs w:val="24"/>
              </w:rPr>
            </w:pPr>
            <w:r>
              <w:rPr>
                <w:rFonts w:ascii="Times New Roman" w:hAnsi="Times New Roman" w:cs="Times New Roman"/>
                <w:b/>
                <w:bCs/>
                <w:sz w:val="15"/>
                <w:szCs w:val="15"/>
              </w:rPr>
              <w:t>2019</w:t>
            </w:r>
          </w:p>
        </w:tc>
      </w:tr>
      <w:tr w:rsidR="00000000">
        <w:tblPrEx>
          <w:tblCellMar>
            <w:top w:w="0" w:type="dxa"/>
            <w:left w:w="0" w:type="dxa"/>
            <w:bottom w:w="0" w:type="dxa"/>
            <w:right w:w="0" w:type="dxa"/>
          </w:tblCellMar>
        </w:tblPrEx>
        <w:trPr>
          <w:trHeight w:val="25"/>
        </w:trPr>
        <w:tc>
          <w:tcPr>
            <w:tcW w:w="1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86" w:lineRule="exact"/>
        <w:rPr>
          <w:rFonts w:ascii="Times New Roman" w:hAnsi="Times New Roman" w:cs="Times New Roman"/>
          <w:sz w:val="24"/>
          <w:szCs w:val="24"/>
        </w:rPr>
      </w:pPr>
      <w:r>
        <w:rPr>
          <w:noProof/>
        </w:rPr>
        <mc:AlternateContent>
          <mc:Choice Requires="wps">
            <w:drawing>
              <wp:anchor distT="0" distB="0" distL="114300" distR="114300" simplePos="0" relativeHeight="251696128" behindDoc="1" locked="0" layoutInCell="0" allowOverlap="1">
                <wp:simplePos x="0" y="0"/>
                <wp:positionH relativeFrom="column">
                  <wp:posOffset>97790</wp:posOffset>
                </wp:positionH>
                <wp:positionV relativeFrom="paragraph">
                  <wp:posOffset>-5715</wp:posOffset>
                </wp:positionV>
                <wp:extent cx="1697355" cy="302895"/>
                <wp:effectExtent l="0" t="0" r="0" b="0"/>
                <wp:wrapNone/>
                <wp:docPr id="86"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30289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7.7pt;margin-top:-.45pt;width:133.65pt;height:23.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kcfwIAAP0EAAAOAAAAZHJzL2Uyb0RvYy54bWysVNuO2yAQfa/Uf0C8Z31ZO4mtdVZ7S1Vp&#10;26667QcQwDEqBgokzm7Vf++AkzTb9qGqmkgYmOFwZuYMF5e7XqItt05o1eDsLMWIK6qZUOsGf/60&#10;nMwxcp4oRqRWvMFP3OHLxetXF4Opea47LRm3CECUqwfT4M57UyeJox3viTvThiswttr2xMPSrhNm&#10;yQDovUzyNJ0mg7bMWE25c7B7OxrxIuK3Laf+Q9s67pFsMHDzcbRxXIUxWVyQem2J6QTd0yD/wKIn&#10;QsGlR6hb4gnaWPEbVC+o1U63/ozqPtFtKyiPMUA0WfpLNI8dMTzGAslx5pgm9/9g6fvtg0WCNXg+&#10;xUiRHmr0EbJG1FpydF6FBA3G1eD3aB5sCNGZe02/OKT0TQdu/MpaPXScMKCVBf/kxYGwcHAUrYZ3&#10;mgE82Xgdc7VrbR8AIQtoF0vydCwJ33lEYTObVrPzssSIgu08zedVGa8g9eG0sc6/4bpHYdJgC+Qj&#10;OtneOx/YkPrgEtlrKdhSSBkXdr26kRZtCcjjbhr+e3R36iZVcFY6HBsRxx0gCXcEW6Aby/2tyvIi&#10;vc6ryXI6n02KZVFOqlk6n6RZdV1N06IqbpffA8GsqDvBGFf3QvGD9LLi70q7b4JRNFF8aGhwVeZl&#10;jP0Fe3caZBp/fwqyFx46UYoepHB0InUo7J1iEDapPRFynCcv6ccsQw4O35iVKINQ+VFBK82eQAVW&#10;Q5GgE+HNgEmn7TNGA/Rfg93XDbEcI/lWgZKqrChCw8ZFUc5yWNhTy+rUQhQFqAZ7jMbpjR+bfGOs&#10;WHdwUxYTo/QVqK8VURhBmSOrvWahx2IE+/cgNPHpOnr9fLUWPwAAAP//AwBQSwMEFAAGAAgAAAAh&#10;AA/ReKPdAAAABwEAAA8AAABkcnMvZG93bnJldi54bWxMjsFOwzAQRO9I/IO1SNxahyiENI1TIVQk&#10;DkDVwge48dYJxOsQu234e5YTHEczevOq1eR6ccIxdJ4U3MwTEEiNNx1ZBe9vj7MCRIiajO49oYJv&#10;DLCqLy8qXRp/pi2edtEKhlAotYI2xqGUMjQtOh3mfkDi7uBHpyPH0Uoz6jPDXS/TJMml0x3xQ6sH&#10;fGix+dwdnYLJbrbrr/z5ZbMeOqtfP3y28E9KXV9N90sQEaf4N4ZffVaHmp32/kgmiJ7zbcZLBbMF&#10;CK7TIr0DsVeQ5QXIupL//esfAAAA//8DAFBLAQItABQABgAIAAAAIQC2gziS/gAAAOEBAAATAAAA&#10;AAAAAAAAAAAAAAAAAABbQ29udGVudF9UeXBlc10ueG1sUEsBAi0AFAAGAAgAAAAhADj9If/WAAAA&#10;lAEAAAsAAAAAAAAAAAAAAAAALwEAAF9yZWxzLy5yZWxzUEsBAi0AFAAGAAgAAAAhAEy1+Rx/AgAA&#10;/QQAAA4AAAAAAAAAAAAAAAAALgIAAGRycy9lMm9Eb2MueG1sUEsBAi0AFAAGAAgAAAAhAA/ReKPd&#10;AAAABwEAAA8AAAAAAAAAAAAAAAAA2QQAAGRycy9kb3ducmV2LnhtbFBLBQYAAAAABAAEAPMAAADj&#10;BQAAAAA=&#10;" o:allowincell="f" fillcolor="#e6e6e6" stroked="f"/>
            </w:pict>
          </mc:Fallback>
        </mc:AlternateContent>
      </w:r>
      <w:r>
        <w:rPr>
          <w:noProof/>
        </w:rPr>
        <mc:AlternateContent>
          <mc:Choice Requires="wps">
            <w:drawing>
              <wp:anchor distT="0" distB="0" distL="114300" distR="114300" simplePos="0" relativeHeight="251697152" behindDoc="1" locked="0" layoutInCell="0" allowOverlap="1">
                <wp:simplePos x="0" y="0"/>
                <wp:positionH relativeFrom="column">
                  <wp:posOffset>1795145</wp:posOffset>
                </wp:positionH>
                <wp:positionV relativeFrom="paragraph">
                  <wp:posOffset>-5715</wp:posOffset>
                </wp:positionV>
                <wp:extent cx="1381760" cy="302895"/>
                <wp:effectExtent l="0" t="0" r="0" b="0"/>
                <wp:wrapNone/>
                <wp:docPr id="8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760" cy="30289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26" style="position:absolute;margin-left:141.35pt;margin-top:-.45pt;width:108.8pt;height:23.8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DoxfQIAAP0EAAAOAAAAZHJzL2Uyb0RvYy54bWysVNtuGyEQfa/Uf0C8O3vJ+rKrrKPEjqtK&#10;aRs17QdgYL2oLFDAXqdV/70DaztO24eqqi2xwAyHMzNnuLredxLtuHVCqxpnFylGXFHNhNrU+POn&#10;1WiGkfNEMSK14jV+4g5fz1+/uupNxXPdasm4RQCiXNWbGrfemypJHG15R9yFNlyBsdG2Ix6WdpMw&#10;S3pA72SSp+kk6bVlxmrKnYPd5WDE84jfNJz6D03juEeyxsDNx9HGcR3GZH5Fqo0lphX0QIP8A4uO&#10;CAWXnqCWxBO0teI3qE5Qq51u/AXVXaKbRlAeY4BosvSXaB5bYniMBZLjzClN7v/B0ve7B4sEq/Fs&#10;jJEiHdToI2SNqI3kqIgJ6o2rwO/RPNgQojP3mn5xSOlFC278xlrdt5wwoJWFhCYvDoSFg6No3b/T&#10;DODJ1uuYq31juwAIWUD7WJKnU0n43iMKm9nlLJtOoHIUbJdpPivH8QpSHU8b6/wbrjsUJjW2QD6i&#10;k92984ENqY4ukb2Wgq2ElHFhN+uFtGhHQB53k/A/oLtzN6mCs9Lh2IA47ABJuCPYAt1Y7u9llhfp&#10;bV6OVpPZdFSsivGonKazUZqVt+UkLcpiufoRCGZF1QrGuLoXih+llxV/V9pDEwyiieJDfY3LcT6O&#10;sb9g786DTOPvT0F2wkMnStGBFE5OpAqFvVMs9oknQg7z5CX9mGXIwfEbsxJlECofmtFVa82eQAVW&#10;Q5GgnvBmwKTV9htGPfRfjd3XLbEcI/lWgZLKrAD1IR8XxXiaw8KeW9bnFqIoQNXYYzRMF35o8q2x&#10;YtPCTVlMjNI3oL5GRGE8szpoFnosRnB4D0ITn6+j1/OrNf8JAAD//wMAUEsDBBQABgAIAAAAIQBC&#10;bXfn3wAAAAgBAAAPAAAAZHJzL2Rvd25yZXYueG1sTI/NTsMwEITvSLyDtUjcWptQQhqyqRAqEgdK&#10;1Z8HcJPFCcTrELtteHvMCY6jGc18UyxG24kTDb51jHAzVSCIK1e3bBD2u+dJBsIHzbXuHBPCN3lY&#10;lJcXhc5rd+YNnbbBiFjCPtcITQh9LqWvGrLaT11PHL13N1gdohyMrAd9juW2k4lSqbS65bjQ6J6e&#10;Gqo+t0eLMJr1ZvmVvq7Wy741+u3DzebuBfH6anx8ABFoDH9h+MWP6FBGpoM7cu1Fh5BkyX2MIkzm&#10;IKJ/p9QtiAPCLM1AloX8f6D8AQAA//8DAFBLAQItABQABgAIAAAAIQC2gziS/gAAAOEBAAATAAAA&#10;AAAAAAAAAAAAAAAAAABbQ29udGVudF9UeXBlc10ueG1sUEsBAi0AFAAGAAgAAAAhADj9If/WAAAA&#10;lAEAAAsAAAAAAAAAAAAAAAAALwEAAF9yZWxzLy5yZWxzUEsBAi0AFAAGAAgAAAAhAGfQOjF9AgAA&#10;/QQAAA4AAAAAAAAAAAAAAAAALgIAAGRycy9lMm9Eb2MueG1sUEsBAi0AFAAGAAgAAAAhAEJtd+ff&#10;AAAACAEAAA8AAAAAAAAAAAAAAAAA1wQAAGRycy9kb3ducmV2LnhtbFBLBQYAAAAABAAEAPMAAADj&#10;BQAAAAA=&#10;" o:allowincell="f" fillcolor="#e6e6e6" stroked="f"/>
            </w:pict>
          </mc:Fallback>
        </mc:AlternateContent>
      </w:r>
    </w:p>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Debt maturities  $4,307  $2,356  $ 2,123  $1,605  $ 2,357</w:t>
      </w:r>
    </w:p>
    <w:p w:rsidR="00000000" w:rsidRDefault="0057438D">
      <w:pPr>
        <w:pStyle w:val="DefaultParagraphFont"/>
        <w:widowControl w:val="0"/>
        <w:autoSpaceDE w:val="0"/>
        <w:autoSpaceDN w:val="0"/>
        <w:adjustRightInd w:val="0"/>
        <w:spacing w:after="0" w:line="20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left="160" w:right="340"/>
        <w:rPr>
          <w:rFonts w:ascii="Times New Roman" w:hAnsi="Times New Roman" w:cs="Times New Roman"/>
          <w:sz w:val="24"/>
          <w:szCs w:val="24"/>
        </w:rPr>
      </w:pPr>
      <w:r>
        <w:rPr>
          <w:rFonts w:ascii="Times New Roman" w:hAnsi="Times New Roman" w:cs="Times New Roman"/>
          <w:sz w:val="19"/>
          <w:szCs w:val="19"/>
        </w:rPr>
        <w:t>The Procter &amp; Gamble Company fully and unconditionally guarantees the registered debt and securities issued by its 100% finance subsidiaries.</w:t>
      </w:r>
    </w:p>
    <w:p w:rsidR="00000000" w:rsidRDefault="0057438D">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NOTE 5</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960"/>
        <w:rPr>
          <w:rFonts w:ascii="Times New Roman" w:hAnsi="Times New Roman" w:cs="Times New Roman"/>
          <w:sz w:val="24"/>
          <w:szCs w:val="24"/>
        </w:rPr>
      </w:pPr>
      <w:r>
        <w:rPr>
          <w:rFonts w:ascii="Times New Roman" w:hAnsi="Times New Roman" w:cs="Times New Roman"/>
          <w:b/>
          <w:bCs/>
          <w:sz w:val="19"/>
          <w:szCs w:val="19"/>
        </w:rPr>
        <w:t>RISK MANAGEMENT ACTIVITIES AND FAIR VALUE MEASUREMENTS</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360"/>
        <w:rPr>
          <w:rFonts w:ascii="Times New Roman" w:hAnsi="Times New Roman" w:cs="Times New Roman"/>
          <w:sz w:val="24"/>
          <w:szCs w:val="24"/>
        </w:rPr>
      </w:pPr>
      <w:r>
        <w:rPr>
          <w:rFonts w:ascii="Times New Roman" w:hAnsi="Times New Roman" w:cs="Times New Roman"/>
          <w:sz w:val="19"/>
          <w:szCs w:val="19"/>
        </w:rPr>
        <w:t>As a multinational company with diverse product offerings, we are exposed to market risks, such as changes in interest rates, currency exchange rates and commodity prices. We evaluate exposures on a centralized basis to take advantage of natural exposure c</w:t>
      </w:r>
      <w:r>
        <w:rPr>
          <w:rFonts w:ascii="Times New Roman" w:hAnsi="Times New Roman" w:cs="Times New Roman"/>
          <w:sz w:val="19"/>
          <w:szCs w:val="19"/>
        </w:rPr>
        <w:t>orrelation and netting. To the extent we choose to manage volatility associated with the net exposures, we enter into various financial transactions that we account for using the applicable accounting guidance for derivative instruments and hedging activit</w:t>
      </w:r>
      <w:r>
        <w:rPr>
          <w:rFonts w:ascii="Times New Roman" w:hAnsi="Times New Roman" w:cs="Times New Roman"/>
          <w:sz w:val="19"/>
          <w:szCs w:val="19"/>
        </w:rPr>
        <w:t>ies. These financial transactions are governed by our policies covering acceptable counterparty exposure, instrument types and other hedging practices.</w:t>
      </w:r>
    </w:p>
    <w:p w:rsidR="00000000" w:rsidRDefault="0057438D">
      <w:pPr>
        <w:pStyle w:val="DefaultParagraphFont"/>
        <w:widowControl w:val="0"/>
        <w:autoSpaceDE w:val="0"/>
        <w:autoSpaceDN w:val="0"/>
        <w:adjustRightInd w:val="0"/>
        <w:spacing w:after="0" w:line="9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400"/>
        <w:rPr>
          <w:rFonts w:ascii="Times New Roman" w:hAnsi="Times New Roman" w:cs="Times New Roman"/>
          <w:sz w:val="24"/>
          <w:szCs w:val="24"/>
        </w:rPr>
      </w:pPr>
      <w:r>
        <w:rPr>
          <w:rFonts w:ascii="Times New Roman" w:hAnsi="Times New Roman" w:cs="Times New Roman"/>
          <w:sz w:val="19"/>
          <w:szCs w:val="19"/>
        </w:rPr>
        <w:t>At inception, we formally designate and document qualifying instruments as hedges of underlying exposures. We formally assess, at inception and at least quarterly thereafter, whether the financial instruments used in hedging transactions are effective at o</w:t>
      </w:r>
      <w:r>
        <w:rPr>
          <w:rFonts w:ascii="Times New Roman" w:hAnsi="Times New Roman" w:cs="Times New Roman"/>
          <w:sz w:val="19"/>
          <w:szCs w:val="19"/>
        </w:rPr>
        <w:t>ffsetting changes in either the fair value or cash flows of the related underlying exposures. Fluctuations in the value of these instruments generally are offset by changes in the fair value or cash flows of the underlying exposures being hedged. This is d</w:t>
      </w:r>
      <w:r>
        <w:rPr>
          <w:rFonts w:ascii="Times New Roman" w:hAnsi="Times New Roman" w:cs="Times New Roman"/>
          <w:sz w:val="19"/>
          <w:szCs w:val="19"/>
        </w:rPr>
        <w:t>riven by the high degree of effectiveness between the exposure being hedged and the hedging instrument. The ineffective portion of a change in the fair value of a qualifying instrument is immediately recognized in earnings. The amount of ineffectiveness re</w:t>
      </w:r>
      <w:r>
        <w:rPr>
          <w:rFonts w:ascii="Times New Roman" w:hAnsi="Times New Roman" w:cs="Times New Roman"/>
          <w:sz w:val="19"/>
          <w:szCs w:val="19"/>
        </w:rPr>
        <w:t>cognized was immaterial for all years presented.</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Credit Risk Management</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360"/>
        <w:rPr>
          <w:rFonts w:ascii="Times New Roman" w:hAnsi="Times New Roman" w:cs="Times New Roman"/>
          <w:sz w:val="24"/>
          <w:szCs w:val="24"/>
        </w:rPr>
      </w:pPr>
      <w:r>
        <w:rPr>
          <w:rFonts w:ascii="Times New Roman" w:hAnsi="Times New Roman" w:cs="Times New Roman"/>
          <w:sz w:val="19"/>
          <w:szCs w:val="19"/>
        </w:rPr>
        <w:t>We have counterparty credit guidelines and normally enter into transactions with investment grade financial institutions. Counterparty exposures are monitored daily and downgrades in</w:t>
      </w:r>
      <w:r>
        <w:rPr>
          <w:rFonts w:ascii="Times New Roman" w:hAnsi="Times New Roman" w:cs="Times New Roman"/>
          <w:sz w:val="19"/>
          <w:szCs w:val="19"/>
        </w:rPr>
        <w:t xml:space="preserve"> counterparty credit ratings are reviewed on a timely basis. We have not incurred, and do not expect to incur, material credit losses on our risk management or other financial instruments.</w:t>
      </w:r>
    </w:p>
    <w:p w:rsidR="00000000" w:rsidRDefault="0057438D">
      <w:pPr>
        <w:pStyle w:val="DefaultParagraphFont"/>
        <w:widowControl w:val="0"/>
        <w:autoSpaceDE w:val="0"/>
        <w:autoSpaceDN w:val="0"/>
        <w:adjustRightInd w:val="0"/>
        <w:spacing w:after="0" w:line="8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740"/>
        <w:rPr>
          <w:rFonts w:ascii="Times New Roman" w:hAnsi="Times New Roman" w:cs="Times New Roman"/>
          <w:sz w:val="24"/>
          <w:szCs w:val="24"/>
        </w:rPr>
      </w:pPr>
      <w:r>
        <w:rPr>
          <w:rFonts w:ascii="Times New Roman" w:hAnsi="Times New Roman" w:cs="Times New Roman"/>
          <w:sz w:val="19"/>
          <w:szCs w:val="19"/>
        </w:rPr>
        <w:t>Substantially all of the Company's financial instruments used in h</w:t>
      </w:r>
      <w:r>
        <w:rPr>
          <w:rFonts w:ascii="Times New Roman" w:hAnsi="Times New Roman" w:cs="Times New Roman"/>
          <w:sz w:val="19"/>
          <w:szCs w:val="19"/>
        </w:rPr>
        <w:t>edging transactions are governed by industry standard netting and collateral agreements with</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540" w:bottom="346" w:left="840" w:header="720" w:footer="720" w:gutter="0"/>
          <w:cols w:num="2" w:space="280" w:equalWidth="0">
            <w:col w:w="4840" w:space="280"/>
            <w:col w:w="5020"/>
          </w:cols>
          <w:noEndnote/>
        </w:sectPr>
      </w:pP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5620" w:bottom="346" w:left="860" w:header="720" w:footer="720" w:gutter="0"/>
          <w:cols w:space="280" w:equalWidth="0">
            <w:col w:w="5040" w:space="2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counterparties. If the Company's credit rating were to fall below the levels stipulated in the agreements, the counterparties could demand either collateralization or termination of the arrangements. The aggregate fair value of the instruments covered by t</w:t>
      </w:r>
      <w:r>
        <w:rPr>
          <w:rFonts w:ascii="Times New Roman" w:hAnsi="Times New Roman" w:cs="Times New Roman"/>
          <w:sz w:val="19"/>
          <w:szCs w:val="19"/>
        </w:rPr>
        <w:t>hese contractual features that are in a net liability position as of June 30, 2014, was not material. The Company has not been required to post collateral as a result of these contractual features.</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Interest Rate Risk Management</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20"/>
        <w:rPr>
          <w:rFonts w:ascii="Times New Roman" w:hAnsi="Times New Roman" w:cs="Times New Roman"/>
          <w:sz w:val="24"/>
          <w:szCs w:val="24"/>
        </w:rPr>
      </w:pPr>
      <w:r>
        <w:rPr>
          <w:rFonts w:ascii="Times New Roman" w:hAnsi="Times New Roman" w:cs="Times New Roman"/>
          <w:sz w:val="19"/>
          <w:szCs w:val="19"/>
        </w:rPr>
        <w:t>Our policy is to manage in</w:t>
      </w:r>
      <w:r>
        <w:rPr>
          <w:rFonts w:ascii="Times New Roman" w:hAnsi="Times New Roman" w:cs="Times New Roman"/>
          <w:sz w:val="19"/>
          <w:szCs w:val="19"/>
        </w:rPr>
        <w:t>terest cost using a mixture of fixed-rate and variable-rate debt. To manage this risk in a cost-efficient manner, we enter into interest rate swaps whereby we agree to exchange with the counterparty, at specified intervals, the difference between fixed and</w:t>
      </w:r>
      <w:r>
        <w:rPr>
          <w:rFonts w:ascii="Times New Roman" w:hAnsi="Times New Roman" w:cs="Times New Roman"/>
          <w:sz w:val="19"/>
          <w:szCs w:val="19"/>
        </w:rPr>
        <w:t xml:space="preserve"> variable interest amounts calculated by reference to a notional amount.</w:t>
      </w:r>
    </w:p>
    <w:p w:rsidR="00000000" w:rsidRDefault="0057438D">
      <w:pPr>
        <w:pStyle w:val="DefaultParagraphFont"/>
        <w:widowControl w:val="0"/>
        <w:autoSpaceDE w:val="0"/>
        <w:autoSpaceDN w:val="0"/>
        <w:adjustRightInd w:val="0"/>
        <w:spacing w:after="0" w:line="8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80"/>
        <w:rPr>
          <w:rFonts w:ascii="Times New Roman" w:hAnsi="Times New Roman" w:cs="Times New Roman"/>
          <w:sz w:val="24"/>
          <w:szCs w:val="24"/>
        </w:rPr>
      </w:pPr>
      <w:r>
        <w:rPr>
          <w:rFonts w:ascii="Times New Roman" w:hAnsi="Times New Roman" w:cs="Times New Roman"/>
          <w:sz w:val="19"/>
          <w:szCs w:val="19"/>
        </w:rPr>
        <w:t>Interest rate swaps that meet specific accounting criteria are accounted for as fair value or cash flow hedges. For fair value hedges, the changes in the fair value of both the hedgi</w:t>
      </w:r>
      <w:r>
        <w:rPr>
          <w:rFonts w:ascii="Times New Roman" w:hAnsi="Times New Roman" w:cs="Times New Roman"/>
          <w:sz w:val="19"/>
          <w:szCs w:val="19"/>
        </w:rPr>
        <w:t xml:space="preserve">ng instruments and the underlying debt obligations are immediately recognized in interest expense. For cash flow hedges, the effective portion of the changes in fair value of the hedging instrument is reported in OCI and reclassified into interest expense </w:t>
      </w:r>
      <w:r>
        <w:rPr>
          <w:rFonts w:ascii="Times New Roman" w:hAnsi="Times New Roman" w:cs="Times New Roman"/>
          <w:sz w:val="19"/>
          <w:szCs w:val="19"/>
        </w:rPr>
        <w:t>over the life of the underlying debt obligation. The ineffective portion for both cash flow and fair value hedges, which was not material for any year presented, was immediately recognized in interest expense.</w:t>
      </w:r>
    </w:p>
    <w:p w:rsidR="00000000" w:rsidRDefault="0057438D">
      <w:pPr>
        <w:pStyle w:val="DefaultParagraphFont"/>
        <w:widowControl w:val="0"/>
        <w:autoSpaceDE w:val="0"/>
        <w:autoSpaceDN w:val="0"/>
        <w:adjustRightInd w:val="0"/>
        <w:spacing w:after="0" w:line="13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Foreign Currency Risk Management</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rPr>
          <w:rFonts w:ascii="Times New Roman" w:hAnsi="Times New Roman" w:cs="Times New Roman"/>
          <w:sz w:val="24"/>
          <w:szCs w:val="24"/>
        </w:rPr>
      </w:pPr>
      <w:r>
        <w:rPr>
          <w:rFonts w:ascii="Times New Roman" w:hAnsi="Times New Roman" w:cs="Times New Roman"/>
          <w:sz w:val="19"/>
          <w:szCs w:val="19"/>
        </w:rPr>
        <w:t>We manufact</w:t>
      </w:r>
      <w:r>
        <w:rPr>
          <w:rFonts w:ascii="Times New Roman" w:hAnsi="Times New Roman" w:cs="Times New Roman"/>
          <w:sz w:val="19"/>
          <w:szCs w:val="19"/>
        </w:rPr>
        <w:t>ure and sell our products and finance operations in a number of countries throughout the world. As a result, we are exposed to movements in foreign currency exchange rates.</w:t>
      </w:r>
    </w:p>
    <w:p w:rsidR="00000000" w:rsidRDefault="0057438D">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100"/>
        <w:rPr>
          <w:rFonts w:ascii="Times New Roman" w:hAnsi="Times New Roman" w:cs="Times New Roman"/>
          <w:sz w:val="24"/>
          <w:szCs w:val="24"/>
        </w:rPr>
      </w:pPr>
      <w:r>
        <w:rPr>
          <w:rFonts w:ascii="Times New Roman" w:hAnsi="Times New Roman" w:cs="Times New Roman"/>
          <w:sz w:val="19"/>
          <w:szCs w:val="19"/>
        </w:rPr>
        <w:t>To manage the exchange rate risk primarily associated with our financing operations, we have historically used a combination of forward contracts, options and currency swaps. As of June 30, 2014, we had currency swaps with maturities up to five years, whic</w:t>
      </w:r>
      <w:r>
        <w:rPr>
          <w:rFonts w:ascii="Times New Roman" w:hAnsi="Times New Roman" w:cs="Times New Roman"/>
          <w:sz w:val="19"/>
          <w:szCs w:val="19"/>
        </w:rPr>
        <w:t>h are intended to offset the effect of exchange rate fluctuations on intercompany loans denominated in foreign currencies. These swaps are accounted for as cash flow hedges. The effective portion of the changes in fair value of these instruments is reporte</w:t>
      </w:r>
      <w:r>
        <w:rPr>
          <w:rFonts w:ascii="Times New Roman" w:hAnsi="Times New Roman" w:cs="Times New Roman"/>
          <w:sz w:val="19"/>
          <w:szCs w:val="19"/>
        </w:rPr>
        <w:t>d in OCI and reclassified into SG&amp;A and interest expense in the same period or periods during which the related hedged transactions affect earnings. The ineffective portion, which was not material for any year presented, was immediately recognized in SG&amp;A.</w:t>
      </w:r>
    </w:p>
    <w:p w:rsidR="00000000" w:rsidRDefault="0057438D">
      <w:pPr>
        <w:pStyle w:val="DefaultParagraphFont"/>
        <w:widowControl w:val="0"/>
        <w:autoSpaceDE w:val="0"/>
        <w:autoSpaceDN w:val="0"/>
        <w:adjustRightInd w:val="0"/>
        <w:spacing w:after="0" w:line="8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220"/>
        <w:rPr>
          <w:rFonts w:ascii="Times New Roman" w:hAnsi="Times New Roman" w:cs="Times New Roman"/>
          <w:sz w:val="24"/>
          <w:szCs w:val="24"/>
        </w:rPr>
      </w:pPr>
      <w:r>
        <w:rPr>
          <w:rFonts w:ascii="Times New Roman" w:hAnsi="Times New Roman" w:cs="Times New Roman"/>
          <w:sz w:val="19"/>
          <w:szCs w:val="19"/>
        </w:rPr>
        <w:t>The change in fair values of certain non-qualifying instruments used to manage foreign exchange exposure of intercompany financing transactions and certain balance sheet items subject to revaluation are immediately recognized in earnings, substantially o</w:t>
      </w:r>
      <w:r>
        <w:rPr>
          <w:rFonts w:ascii="Times New Roman" w:hAnsi="Times New Roman" w:cs="Times New Roman"/>
          <w:sz w:val="19"/>
          <w:szCs w:val="19"/>
        </w:rPr>
        <w:t>ffsetting the foreign currency mark-to-market impact of the related exposures.</w:t>
      </w: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 xml:space="preserve">The Procter &amp; Gamble Company  </w:t>
      </w:r>
      <w:r>
        <w:rPr>
          <w:rFonts w:ascii="Times New Roman" w:hAnsi="Times New Roman" w:cs="Times New Roman"/>
          <w:sz w:val="19"/>
          <w:szCs w:val="19"/>
        </w:rPr>
        <w:t>59</w:t>
      </w:r>
    </w:p>
    <w:p w:rsidR="00000000" w:rsidRDefault="0057438D">
      <w:pPr>
        <w:pStyle w:val="DefaultParagraphFont"/>
        <w:widowControl w:val="0"/>
        <w:autoSpaceDE w:val="0"/>
        <w:autoSpaceDN w:val="0"/>
        <w:adjustRightInd w:val="0"/>
        <w:spacing w:after="0" w:line="36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Net Investment Hedging</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rPr>
          <w:rFonts w:ascii="Times New Roman" w:hAnsi="Times New Roman" w:cs="Times New Roman"/>
          <w:sz w:val="24"/>
          <w:szCs w:val="24"/>
        </w:rPr>
      </w:pPr>
      <w:r>
        <w:rPr>
          <w:rFonts w:ascii="Times New Roman" w:hAnsi="Times New Roman" w:cs="Times New Roman"/>
          <w:sz w:val="19"/>
          <w:szCs w:val="19"/>
        </w:rPr>
        <w:t>We hedge certain net investment positions in foreign subsidiaries. To accomplish this, we either borrow directly in fo</w:t>
      </w:r>
      <w:r>
        <w:rPr>
          <w:rFonts w:ascii="Times New Roman" w:hAnsi="Times New Roman" w:cs="Times New Roman"/>
          <w:sz w:val="19"/>
          <w:szCs w:val="19"/>
        </w:rPr>
        <w:t>reign currencies and designate all or a portion of the foreign currency debt as a hedge of the applicable net investment position or we enter into foreign currency swaps that are designated as hedges of net investments. Changes in the fair value of these i</w:t>
      </w:r>
      <w:r>
        <w:rPr>
          <w:rFonts w:ascii="Times New Roman" w:hAnsi="Times New Roman" w:cs="Times New Roman"/>
          <w:sz w:val="19"/>
          <w:szCs w:val="19"/>
        </w:rPr>
        <w:t>nstruments are recognized in OCI to offset the change in the value of the net investment being hedged. The ineffective portion of these hedges, which was not material in any year presented, was immediately recognized in interest expense.</w:t>
      </w:r>
    </w:p>
    <w:p w:rsidR="00000000" w:rsidRDefault="0057438D">
      <w:pPr>
        <w:pStyle w:val="DefaultParagraphFont"/>
        <w:widowControl w:val="0"/>
        <w:autoSpaceDE w:val="0"/>
        <w:autoSpaceDN w:val="0"/>
        <w:adjustRightInd w:val="0"/>
        <w:spacing w:after="0" w:line="13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Commodity Risk Ma</w:t>
      </w:r>
      <w:r>
        <w:rPr>
          <w:rFonts w:ascii="Times New Roman" w:hAnsi="Times New Roman" w:cs="Times New Roman"/>
          <w:b/>
          <w:bCs/>
          <w:sz w:val="19"/>
          <w:szCs w:val="19"/>
        </w:rPr>
        <w:t>nagement</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20"/>
        <w:rPr>
          <w:rFonts w:ascii="Times New Roman" w:hAnsi="Times New Roman" w:cs="Times New Roman"/>
          <w:sz w:val="24"/>
          <w:szCs w:val="24"/>
        </w:rPr>
      </w:pPr>
      <w:r>
        <w:rPr>
          <w:rFonts w:ascii="Times New Roman" w:hAnsi="Times New Roman" w:cs="Times New Roman"/>
          <w:sz w:val="19"/>
          <w:szCs w:val="19"/>
        </w:rPr>
        <w:t>Certain raw materials used in our products or production processes are subject to price volatility caused by weather, supply conditions, political and economic variables and other unpredictable factors. To manage the volatility related to anticipated purch</w:t>
      </w:r>
      <w:r>
        <w:rPr>
          <w:rFonts w:ascii="Times New Roman" w:hAnsi="Times New Roman" w:cs="Times New Roman"/>
          <w:sz w:val="19"/>
          <w:szCs w:val="19"/>
        </w:rPr>
        <w:t>ases of certain of these materials, we have historically, on a limited basis, used futures and options with maturities generally less than one year and swap contracts with maturities up to five years. As of and during the years ended June 30, 2014 and 2013</w:t>
      </w:r>
      <w:r>
        <w:rPr>
          <w:rFonts w:ascii="Times New Roman" w:hAnsi="Times New Roman" w:cs="Times New Roman"/>
          <w:sz w:val="19"/>
          <w:szCs w:val="19"/>
        </w:rPr>
        <w:t>, we did not have any commodity hedging activity.</w:t>
      </w:r>
    </w:p>
    <w:p w:rsidR="00000000" w:rsidRDefault="0057438D">
      <w:pPr>
        <w:pStyle w:val="DefaultParagraphFont"/>
        <w:widowControl w:val="0"/>
        <w:autoSpaceDE w:val="0"/>
        <w:autoSpaceDN w:val="0"/>
        <w:adjustRightInd w:val="0"/>
        <w:spacing w:after="0" w:line="13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Insurance</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20"/>
        <w:rPr>
          <w:rFonts w:ascii="Times New Roman" w:hAnsi="Times New Roman" w:cs="Times New Roman"/>
          <w:sz w:val="24"/>
          <w:szCs w:val="24"/>
        </w:rPr>
      </w:pPr>
      <w:r>
        <w:rPr>
          <w:rFonts w:ascii="Times New Roman" w:hAnsi="Times New Roman" w:cs="Times New Roman"/>
          <w:sz w:val="19"/>
          <w:szCs w:val="19"/>
        </w:rPr>
        <w:t>We self-insure for most insurable risks. However, we purchase insurance for Directors and Officers Liability and certain other coverage where it is required by law, by contract or deemed to be i</w:t>
      </w:r>
      <w:r>
        <w:rPr>
          <w:rFonts w:ascii="Times New Roman" w:hAnsi="Times New Roman" w:cs="Times New Roman"/>
          <w:sz w:val="19"/>
          <w:szCs w:val="19"/>
        </w:rPr>
        <w:t>n the best interest of the Company.</w:t>
      </w:r>
    </w:p>
    <w:p w:rsidR="00000000" w:rsidRDefault="0057438D">
      <w:pPr>
        <w:pStyle w:val="DefaultParagraphFont"/>
        <w:widowControl w:val="0"/>
        <w:autoSpaceDE w:val="0"/>
        <w:autoSpaceDN w:val="0"/>
        <w:adjustRightInd w:val="0"/>
        <w:spacing w:after="0" w:line="12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Fair Value Hierarchy</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20"/>
        <w:rPr>
          <w:rFonts w:ascii="Times New Roman" w:hAnsi="Times New Roman" w:cs="Times New Roman"/>
          <w:sz w:val="24"/>
          <w:szCs w:val="24"/>
        </w:rPr>
      </w:pPr>
      <w:r>
        <w:rPr>
          <w:rFonts w:ascii="Times New Roman" w:hAnsi="Times New Roman" w:cs="Times New Roman"/>
          <w:sz w:val="19"/>
          <w:szCs w:val="19"/>
        </w:rPr>
        <w:t>Accounting guidance on fair value measurements for certain financial assets and liabilities requires that financial assets and liabilities carried at fair value be classified and disclosed in one o</w:t>
      </w:r>
      <w:r>
        <w:rPr>
          <w:rFonts w:ascii="Times New Roman" w:hAnsi="Times New Roman" w:cs="Times New Roman"/>
          <w:sz w:val="19"/>
          <w:szCs w:val="19"/>
        </w:rPr>
        <w:t>f the following categories:</w:t>
      </w:r>
    </w:p>
    <w:p w:rsidR="00000000" w:rsidRDefault="0057438D">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660"/>
        <w:rPr>
          <w:rFonts w:ascii="Times New Roman" w:hAnsi="Times New Roman" w:cs="Times New Roman"/>
          <w:sz w:val="24"/>
          <w:szCs w:val="24"/>
        </w:rPr>
      </w:pPr>
      <w:r>
        <w:rPr>
          <w:rFonts w:ascii="Times New Roman" w:hAnsi="Times New Roman" w:cs="Times New Roman"/>
          <w:sz w:val="19"/>
          <w:szCs w:val="19"/>
        </w:rPr>
        <w:t>Level 1: Quoted market prices in active markets for identical assets or liabilities.</w:t>
      </w:r>
    </w:p>
    <w:p w:rsidR="00000000" w:rsidRDefault="0057438D">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200"/>
        <w:rPr>
          <w:rFonts w:ascii="Times New Roman" w:hAnsi="Times New Roman" w:cs="Times New Roman"/>
          <w:sz w:val="24"/>
          <w:szCs w:val="24"/>
        </w:rPr>
      </w:pPr>
      <w:r>
        <w:rPr>
          <w:rFonts w:ascii="Times New Roman" w:hAnsi="Times New Roman" w:cs="Times New Roman"/>
          <w:sz w:val="19"/>
          <w:szCs w:val="19"/>
        </w:rPr>
        <w:t>Level 2: Observable market-based inputs or unobservable inputs that are corroborated by market data.</w:t>
      </w:r>
    </w:p>
    <w:p w:rsidR="00000000" w:rsidRDefault="0057438D">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300"/>
        <w:rPr>
          <w:rFonts w:ascii="Times New Roman" w:hAnsi="Times New Roman" w:cs="Times New Roman"/>
          <w:sz w:val="24"/>
          <w:szCs w:val="24"/>
        </w:rPr>
      </w:pPr>
      <w:r>
        <w:rPr>
          <w:rFonts w:ascii="Times New Roman" w:hAnsi="Times New Roman" w:cs="Times New Roman"/>
          <w:sz w:val="19"/>
          <w:szCs w:val="19"/>
        </w:rPr>
        <w:t>Level 3: Unobservable inputs reflecting the reporting entity's own assumptions or external inputs from inactive markets.</w:t>
      </w:r>
    </w:p>
    <w:p w:rsidR="00000000" w:rsidRDefault="0057438D">
      <w:pPr>
        <w:pStyle w:val="DefaultParagraphFont"/>
        <w:widowControl w:val="0"/>
        <w:autoSpaceDE w:val="0"/>
        <w:autoSpaceDN w:val="0"/>
        <w:adjustRightInd w:val="0"/>
        <w:spacing w:after="0" w:line="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60"/>
        <w:rPr>
          <w:rFonts w:ascii="Times New Roman" w:hAnsi="Times New Roman" w:cs="Times New Roman"/>
          <w:sz w:val="24"/>
          <w:szCs w:val="24"/>
        </w:rPr>
      </w:pPr>
      <w:r>
        <w:rPr>
          <w:rFonts w:ascii="Times New Roman" w:hAnsi="Times New Roman" w:cs="Times New Roman"/>
          <w:sz w:val="19"/>
          <w:szCs w:val="19"/>
        </w:rPr>
        <w:t>When applying fair value principles in the valuation of assets and liabilities, we are required to maximize the use of quoted market p</w:t>
      </w:r>
      <w:r>
        <w:rPr>
          <w:rFonts w:ascii="Times New Roman" w:hAnsi="Times New Roman" w:cs="Times New Roman"/>
          <w:sz w:val="19"/>
          <w:szCs w:val="19"/>
        </w:rPr>
        <w:t>rices and minimize the use of unobservable inputs. The Company has not changed its valuation techniques used in measuring the fair value of any financial assets or liabilities during the year. Our fair value estimates take into consideration the credit ris</w:t>
      </w:r>
      <w:r>
        <w:rPr>
          <w:rFonts w:ascii="Times New Roman" w:hAnsi="Times New Roman" w:cs="Times New Roman"/>
          <w:sz w:val="19"/>
          <w:szCs w:val="19"/>
        </w:rPr>
        <w:t>k of both the Company and our counterparties.</w:t>
      </w:r>
    </w:p>
    <w:p w:rsidR="00000000" w:rsidRDefault="0057438D">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80"/>
        <w:rPr>
          <w:rFonts w:ascii="Times New Roman" w:hAnsi="Times New Roman" w:cs="Times New Roman"/>
          <w:sz w:val="24"/>
          <w:szCs w:val="24"/>
        </w:rPr>
      </w:pPr>
      <w:r>
        <w:rPr>
          <w:rFonts w:ascii="Times New Roman" w:hAnsi="Times New Roman" w:cs="Times New Roman"/>
          <w:sz w:val="19"/>
          <w:szCs w:val="19"/>
        </w:rPr>
        <w:t>When active market quotes are not available for financial assets and liabilities, we use industry standard valuation models. Where applicable, these models project future cash flows and discount the future amo</w:t>
      </w:r>
      <w:r>
        <w:rPr>
          <w:rFonts w:ascii="Times New Roman" w:hAnsi="Times New Roman" w:cs="Times New Roman"/>
          <w:sz w:val="19"/>
          <w:szCs w:val="19"/>
        </w:rPr>
        <w:t>unts to a present value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346" w:left="860" w:header="720" w:footer="720" w:gutter="0"/>
          <w:cols w:num="2" w:space="440" w:equalWidth="0">
            <w:col w:w="4660" w:space="440"/>
            <w:col w:w="4660"/>
          </w:cols>
          <w:noEndnote/>
        </w:sectPr>
      </w:pPr>
    </w:p>
    <w:p w:rsidR="00000000" w:rsidRDefault="0057438D">
      <w:pPr>
        <w:pStyle w:val="DefaultParagraphFont"/>
        <w:widowControl w:val="0"/>
        <w:autoSpaceDE w:val="0"/>
        <w:autoSpaceDN w:val="0"/>
        <w:adjustRightInd w:val="0"/>
        <w:spacing w:after="0" w:line="7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5580" w:header="720" w:footer="720" w:gutter="0"/>
          <w:cols w:space="440" w:equalWidth="0">
            <w:col w:w="5060" w:space="44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60</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280" w:bottom="346" w:left="860" w:header="720" w:footer="720" w:gutter="0"/>
          <w:cols w:space="720" w:equalWidth="0">
            <w:col w:w="2380"/>
          </w:cols>
          <w:noEndnote/>
        </w:sectPr>
      </w:pP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using market-based observable inputs including credit risk, interest rate curves, foreign currency rates and forward and spot prices for currencies. In circumstances where market-based observable inputs are not available, management</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overflowPunct w:val="0"/>
        <w:autoSpaceDE w:val="0"/>
        <w:autoSpaceDN w:val="0"/>
        <w:adjustRightInd w:val="0"/>
        <w:spacing w:after="0" w:line="263" w:lineRule="auto"/>
        <w:rPr>
          <w:rFonts w:ascii="Times New Roman" w:hAnsi="Times New Roman" w:cs="Times New Roman"/>
          <w:sz w:val="24"/>
          <w:szCs w:val="24"/>
        </w:rPr>
      </w:pPr>
      <w:r>
        <w:rPr>
          <w:rFonts w:ascii="Times New Roman" w:hAnsi="Times New Roman" w:cs="Times New Roman"/>
          <w:sz w:val="19"/>
          <w:szCs w:val="19"/>
        </w:rPr>
        <w:t>judgment is used to d</w:t>
      </w:r>
      <w:r>
        <w:rPr>
          <w:rFonts w:ascii="Times New Roman" w:hAnsi="Times New Roman" w:cs="Times New Roman"/>
          <w:sz w:val="19"/>
          <w:szCs w:val="19"/>
        </w:rPr>
        <w:t>evelop assumptions to estimate fair value. Generally, the fair value of our Level 3 instruments is estimated as the net present value of expected future cash flows based on external inputs.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960" w:bottom="346" w:left="860" w:header="720" w:footer="720" w:gutter="0"/>
          <w:cols w:num="2" w:space="600" w:equalWidth="0">
            <w:col w:w="4500" w:space="600"/>
            <w:col w:w="4600"/>
          </w:cols>
          <w:noEndnote/>
        </w:sectPr>
      </w:pPr>
    </w:p>
    <w:p w:rsidR="00000000" w:rsidRDefault="0057438D">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40"/>
        <w:rPr>
          <w:rFonts w:ascii="Times New Roman" w:hAnsi="Times New Roman" w:cs="Times New Roman"/>
          <w:sz w:val="24"/>
          <w:szCs w:val="24"/>
        </w:rPr>
      </w:pPr>
      <w:r>
        <w:rPr>
          <w:rFonts w:ascii="Times New Roman" w:hAnsi="Times New Roman" w:cs="Times New Roman"/>
          <w:sz w:val="19"/>
          <w:szCs w:val="19"/>
        </w:rPr>
        <w:t>The following table sets forth</w:t>
      </w:r>
      <w:r>
        <w:rPr>
          <w:rFonts w:ascii="Times New Roman" w:hAnsi="Times New Roman" w:cs="Times New Roman"/>
          <w:sz w:val="19"/>
          <w:szCs w:val="19"/>
        </w:rPr>
        <w:t xml:space="preserve"> the Company's financial assets and liabilities as of June 30, 2014 and 2013 that were measured at fair value on a recurring basis during the period, segregated by level within the fair value hierarchy:</w:t>
      </w:r>
    </w:p>
    <w:p w:rsidR="00000000" w:rsidRDefault="0057438D">
      <w:pPr>
        <w:pStyle w:val="DefaultParagraphFont"/>
        <w:widowControl w:val="0"/>
        <w:autoSpaceDE w:val="0"/>
        <w:autoSpaceDN w:val="0"/>
        <w:adjustRightInd w:val="0"/>
        <w:spacing w:after="0" w:line="14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220"/>
        <w:gridCol w:w="760"/>
        <w:gridCol w:w="80"/>
        <w:gridCol w:w="140"/>
        <w:gridCol w:w="600"/>
        <w:gridCol w:w="80"/>
        <w:gridCol w:w="760"/>
        <w:gridCol w:w="80"/>
        <w:gridCol w:w="740"/>
        <w:gridCol w:w="80"/>
        <w:gridCol w:w="760"/>
        <w:gridCol w:w="80"/>
        <w:gridCol w:w="180"/>
        <w:gridCol w:w="560"/>
        <w:gridCol w:w="80"/>
        <w:gridCol w:w="760"/>
        <w:gridCol w:w="80"/>
        <w:gridCol w:w="740"/>
        <w:gridCol w:w="20"/>
      </w:tblGrid>
      <w:tr w:rsidR="00000000">
        <w:tblPrEx>
          <w:tblCellMar>
            <w:top w:w="0" w:type="dxa"/>
            <w:left w:w="0" w:type="dxa"/>
            <w:bottom w:w="0" w:type="dxa"/>
            <w:right w:w="0" w:type="dxa"/>
          </w:tblCellMar>
        </w:tblPrEx>
        <w:trPr>
          <w:trHeight w:val="203"/>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58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66"/>
              <w:jc w:val="right"/>
              <w:rPr>
                <w:rFonts w:ascii="Times New Roman" w:hAnsi="Times New Roman" w:cs="Times New Roman"/>
                <w:sz w:val="24"/>
                <w:szCs w:val="24"/>
              </w:rPr>
            </w:pPr>
            <w:r>
              <w:rPr>
                <w:rFonts w:ascii="Times New Roman" w:hAnsi="Times New Roman" w:cs="Times New Roman"/>
                <w:b/>
                <w:bCs/>
                <w:sz w:val="15"/>
                <w:szCs w:val="15"/>
              </w:rPr>
              <w:t>Level 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5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65"/>
              <w:jc w:val="right"/>
              <w:rPr>
                <w:rFonts w:ascii="Times New Roman" w:hAnsi="Times New Roman" w:cs="Times New Roman"/>
                <w:sz w:val="24"/>
                <w:szCs w:val="24"/>
              </w:rPr>
            </w:pPr>
            <w:r>
              <w:rPr>
                <w:rFonts w:ascii="Times New Roman" w:hAnsi="Times New Roman" w:cs="Times New Roman"/>
                <w:b/>
                <w:bCs/>
                <w:sz w:val="15"/>
                <w:szCs w:val="15"/>
              </w:rPr>
              <w:t>Level 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2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40"/>
              <w:rPr>
                <w:rFonts w:ascii="Times New Roman" w:hAnsi="Times New Roman" w:cs="Times New Roman"/>
                <w:sz w:val="24"/>
                <w:szCs w:val="24"/>
              </w:rPr>
            </w:pPr>
            <w:r>
              <w:rPr>
                <w:rFonts w:ascii="Times New Roman" w:hAnsi="Times New Roman" w:cs="Times New Roman"/>
                <w:b/>
                <w:bCs/>
                <w:w w:val="99"/>
                <w:sz w:val="15"/>
                <w:szCs w:val="15"/>
              </w:rPr>
              <w:t>Level 3</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5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25"/>
              <w:jc w:val="right"/>
              <w:rPr>
                <w:rFonts w:ascii="Times New Roman" w:hAnsi="Times New Roman" w:cs="Times New Roman"/>
                <w:sz w:val="24"/>
                <w:szCs w:val="24"/>
              </w:rPr>
            </w:pPr>
            <w:r>
              <w:rPr>
                <w:rFonts w:ascii="Times New Roman" w:hAnsi="Times New Roman" w:cs="Times New Roman"/>
                <w:b/>
                <w:bCs/>
                <w:sz w:val="15"/>
                <w:szCs w:val="15"/>
              </w:rPr>
              <w:t>Total</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32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32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7"/>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6"/>
              <w:jc w:val="right"/>
              <w:rPr>
                <w:rFonts w:ascii="Times New Roman" w:hAnsi="Times New Roman" w:cs="Times New Roman"/>
                <w:sz w:val="24"/>
                <w:szCs w:val="24"/>
              </w:rPr>
            </w:pPr>
            <w:r>
              <w:rPr>
                <w:rFonts w:ascii="Times New Roman" w:hAnsi="Times New Roman" w:cs="Times New Roman"/>
                <w:b/>
                <w:bCs/>
                <w:sz w:val="15"/>
                <w:szCs w:val="15"/>
              </w:rPr>
              <w:t>2013</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Times New Roman" w:hAnsi="Times New Roman" w:cs="Times New Roman"/>
                <w:b/>
                <w:bCs/>
                <w:sz w:val="15"/>
                <w:szCs w:val="15"/>
              </w:rPr>
              <w:t>2014</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b/>
                <w:bCs/>
                <w:sz w:val="15"/>
                <w:szCs w:val="15"/>
              </w:rPr>
              <w:t>2013</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6"/>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5"/>
                <w:szCs w:val="15"/>
              </w:rPr>
              <w:t>2013</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Times New Roman" w:hAnsi="Times New Roman" w:cs="Times New Roman"/>
                <w:b/>
                <w:bCs/>
                <w:sz w:val="15"/>
                <w:szCs w:val="15"/>
              </w:rPr>
              <w:t>2014</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b/>
                <w:bCs/>
                <w:sz w:val="15"/>
                <w:szCs w:val="15"/>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32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7"/>
        </w:trPr>
        <w:tc>
          <w:tcPr>
            <w:tcW w:w="3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ind w:left="60"/>
              <w:rPr>
                <w:rFonts w:ascii="Times New Roman" w:hAnsi="Times New Roman" w:cs="Times New Roman"/>
                <w:sz w:val="24"/>
                <w:szCs w:val="24"/>
              </w:rPr>
            </w:pPr>
            <w:r>
              <w:rPr>
                <w:rFonts w:ascii="Times New Roman" w:hAnsi="Times New Roman" w:cs="Times New Roman"/>
                <w:b/>
                <w:bCs/>
                <w:sz w:val="19"/>
                <w:szCs w:val="19"/>
              </w:rPr>
              <w:t>ASSETS RECORDED AT FAIR</w:t>
            </w: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3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VALUE</w:t>
            </w: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Investments:</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U.S. government securities</w:t>
            </w:r>
          </w:p>
        </w:tc>
        <w:tc>
          <w:tcPr>
            <w:tcW w:w="98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 xml:space="preserve">$    —  </w:t>
            </w:r>
            <w:r>
              <w:rPr>
                <w:rFonts w:ascii="Times New Roman" w:hAnsi="Times New Roman" w:cs="Times New Roman"/>
                <w:sz w:val="19"/>
                <w:szCs w:val="19"/>
              </w:rPr>
              <w:t>$</w:t>
            </w:r>
          </w:p>
        </w:tc>
        <w:tc>
          <w:tcPr>
            <w:tcW w:w="6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$ 1,631</w:t>
            </w:r>
          </w:p>
        </w:tc>
        <w:tc>
          <w:tcPr>
            <w:tcW w:w="8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$ 1,571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2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    —</w:t>
            </w:r>
            <w:r>
              <w:rPr>
                <w:rFonts w:ascii="Times New Roman" w:hAnsi="Times New Roman" w:cs="Times New Roman"/>
                <w:b/>
                <w:bCs/>
                <w:sz w:val="19"/>
                <w:szCs w:val="19"/>
              </w:rPr>
              <w:t xml:space="preserve">  </w:t>
            </w:r>
            <w:r>
              <w:rPr>
                <w:rFonts w:ascii="Times New Roman" w:hAnsi="Times New Roman" w:cs="Times New Roman"/>
                <w:sz w:val="19"/>
                <w:szCs w:val="19"/>
              </w:rPr>
              <w:t>$</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$ 1,631</w:t>
            </w:r>
          </w:p>
        </w:tc>
        <w:tc>
          <w:tcPr>
            <w:tcW w:w="8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$ 1,571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Corporate bond securities</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Times New Roman" w:hAnsi="Times New Roman" w:cs="Times New Roman"/>
                <w:b/>
                <w:bCs/>
                <w:sz w:val="19"/>
                <w:szCs w:val="19"/>
              </w:rPr>
              <w:t>—</w:t>
            </w: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497</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2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b/>
                <w:bCs/>
                <w:sz w:val="19"/>
                <w:szCs w:val="19"/>
              </w:rPr>
              <w:t>—</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497</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Other investments</w:t>
            </w: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24</w:t>
            </w:r>
          </w:p>
        </w:tc>
        <w:tc>
          <w:tcPr>
            <w:tcW w:w="8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30</w:t>
            </w:r>
          </w:p>
        </w:tc>
        <w:tc>
          <w:tcPr>
            <w:tcW w:w="8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Derivatives relating to:</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9"/>
                <w:szCs w:val="19"/>
              </w:rPr>
              <w:t>Foreign currency hedges</w:t>
            </w:r>
          </w:p>
        </w:tc>
        <w:tc>
          <w:tcPr>
            <w:tcW w:w="98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Times New Roman" w:hAnsi="Times New Roman" w:cs="Times New Roman"/>
                <w:b/>
                <w:bCs/>
                <w:sz w:val="19"/>
                <w:szCs w:val="19"/>
              </w:rPr>
              <w:t>—</w:t>
            </w:r>
          </w:p>
        </w:tc>
        <w:tc>
          <w:tcPr>
            <w:tcW w:w="6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187</w:t>
            </w:r>
          </w:p>
        </w:tc>
        <w:tc>
          <w:tcPr>
            <w:tcW w:w="8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168</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2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b/>
                <w:bCs/>
                <w:sz w:val="19"/>
                <w:szCs w:val="19"/>
              </w:rPr>
              <w:t>—</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187</w:t>
            </w:r>
          </w:p>
        </w:tc>
        <w:tc>
          <w:tcPr>
            <w:tcW w:w="8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Oth</w:t>
            </w:r>
            <w:r>
              <w:rPr>
                <w:rFonts w:ascii="Times New Roman" w:hAnsi="Times New Roman" w:cs="Times New Roman"/>
                <w:sz w:val="19"/>
                <w:szCs w:val="19"/>
              </w:rPr>
              <w:t>er foreign currency instruments</w:t>
            </w:r>
            <w:r>
              <w:rPr>
                <w:rFonts w:ascii="Times New Roman" w:hAnsi="Times New Roman" w:cs="Times New Roman"/>
                <w:sz w:val="24"/>
                <w:szCs w:val="24"/>
                <w:vertAlign w:val="superscript"/>
              </w:rPr>
              <w:t>(1)</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Times New Roman" w:hAnsi="Times New Roman" w:cs="Times New Roman"/>
                <w:b/>
                <w:bCs/>
                <w:sz w:val="19"/>
                <w:szCs w:val="19"/>
              </w:rPr>
              <w:t>—</w:t>
            </w: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24</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2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b/>
                <w:bCs/>
                <w:sz w:val="19"/>
                <w:szCs w:val="19"/>
              </w:rPr>
              <w:t>—</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24</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Interest rates</w:t>
            </w:r>
          </w:p>
        </w:tc>
        <w:tc>
          <w:tcPr>
            <w:tcW w:w="98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Times New Roman" w:hAnsi="Times New Roman" w:cs="Times New Roman"/>
                <w:b/>
                <w:bCs/>
                <w:sz w:val="19"/>
                <w:szCs w:val="19"/>
              </w:rPr>
              <w:t>—</w:t>
            </w:r>
          </w:p>
        </w:tc>
        <w:tc>
          <w:tcPr>
            <w:tcW w:w="6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197</w:t>
            </w:r>
          </w:p>
        </w:tc>
        <w:tc>
          <w:tcPr>
            <w:tcW w:w="8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2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b/>
                <w:bCs/>
                <w:sz w:val="19"/>
                <w:szCs w:val="19"/>
              </w:rPr>
              <w:t>—</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197</w:t>
            </w:r>
          </w:p>
        </w:tc>
        <w:tc>
          <w:tcPr>
            <w:tcW w:w="8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Net investment hedges</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Times New Roman" w:hAnsi="Times New Roman" w:cs="Times New Roman"/>
                <w:b/>
                <w:bCs/>
                <w:sz w:val="19"/>
                <w:szCs w:val="19"/>
              </w:rPr>
              <w:t>—</w:t>
            </w: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49</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2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b/>
                <w:bCs/>
                <w:sz w:val="19"/>
                <w:szCs w:val="19"/>
              </w:rPr>
              <w:t>—</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49</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32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8"/>
        </w:trPr>
        <w:tc>
          <w:tcPr>
            <w:tcW w:w="3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ind w:left="60"/>
              <w:rPr>
                <w:rFonts w:ascii="Times New Roman" w:hAnsi="Times New Roman" w:cs="Times New Roman"/>
                <w:sz w:val="24"/>
                <w:szCs w:val="24"/>
              </w:rPr>
            </w:pPr>
            <w:r>
              <w:rPr>
                <w:rFonts w:ascii="Times New Roman" w:hAnsi="Times New Roman" w:cs="Times New Roman"/>
                <w:b/>
                <w:bCs/>
                <w:sz w:val="19"/>
                <w:szCs w:val="19"/>
              </w:rPr>
              <w:t>TOTAL ASSETS RECORDED AT</w:t>
            </w:r>
          </w:p>
        </w:tc>
        <w:tc>
          <w:tcPr>
            <w:tcW w:w="7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w:t>
            </w:r>
          </w:p>
        </w:tc>
        <w:tc>
          <w:tcPr>
            <w:tcW w:w="84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2,585</w:t>
            </w:r>
          </w:p>
        </w:tc>
        <w:tc>
          <w:tcPr>
            <w:tcW w:w="82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2,182</w:t>
            </w:r>
          </w:p>
        </w:tc>
        <w:tc>
          <w:tcPr>
            <w:tcW w:w="84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24</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24</w:t>
            </w:r>
          </w:p>
        </w:tc>
        <w:tc>
          <w:tcPr>
            <w:tcW w:w="84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2,615</w:t>
            </w:r>
          </w:p>
        </w:tc>
        <w:tc>
          <w:tcPr>
            <w:tcW w:w="82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2,229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9"/>
        </w:trPr>
        <w:tc>
          <w:tcPr>
            <w:tcW w:w="3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51" w:lineRule="exact"/>
              <w:ind w:left="60"/>
              <w:rPr>
                <w:rFonts w:ascii="Times New Roman" w:hAnsi="Times New Roman" w:cs="Times New Roman"/>
                <w:sz w:val="24"/>
                <w:szCs w:val="24"/>
              </w:rPr>
            </w:pPr>
            <w:r>
              <w:rPr>
                <w:rFonts w:ascii="Times New Roman" w:hAnsi="Times New Roman" w:cs="Times New Roman"/>
                <w:b/>
                <w:bCs/>
                <w:sz w:val="19"/>
                <w:szCs w:val="19"/>
              </w:rPr>
              <w:t>FAIR VALUE</w:t>
            </w:r>
            <w:r>
              <w:rPr>
                <w:rFonts w:ascii="Times New Roman" w:hAnsi="Times New Roman" w:cs="Times New Roman"/>
                <w:b/>
                <w:bCs/>
                <w:sz w:val="24"/>
                <w:szCs w:val="24"/>
                <w:vertAlign w:val="superscript"/>
              </w:rPr>
              <w:t>(2)</w:t>
            </w:r>
          </w:p>
        </w:tc>
        <w:tc>
          <w:tcPr>
            <w:tcW w:w="76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2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2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2"/>
        </w:trPr>
        <w:tc>
          <w:tcPr>
            <w:tcW w:w="32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8"/>
        </w:trPr>
        <w:tc>
          <w:tcPr>
            <w:tcW w:w="3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78" w:lineRule="exact"/>
              <w:ind w:left="60"/>
              <w:rPr>
                <w:rFonts w:ascii="Times New Roman" w:hAnsi="Times New Roman" w:cs="Times New Roman"/>
                <w:sz w:val="24"/>
                <w:szCs w:val="24"/>
              </w:rPr>
            </w:pPr>
            <w:r>
              <w:rPr>
                <w:rFonts w:ascii="Times New Roman" w:hAnsi="Times New Roman" w:cs="Times New Roman"/>
                <w:b/>
                <w:bCs/>
                <w:sz w:val="19"/>
                <w:szCs w:val="19"/>
              </w:rPr>
              <w:t>LIABILITIES RECORDED AT</w:t>
            </w: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3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FAIR VALUE</w:t>
            </w: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Derivatives relating to:</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3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9"/>
                <w:szCs w:val="19"/>
              </w:rPr>
              <w:t>Other foreign currency instruments</w:t>
            </w:r>
            <w:r>
              <w:rPr>
                <w:rFonts w:ascii="Times New Roman" w:hAnsi="Times New Roman" w:cs="Times New Roman"/>
                <w:sz w:val="24"/>
                <w:szCs w:val="24"/>
                <w:vertAlign w:val="superscript"/>
              </w:rPr>
              <w:t>(1)</w:t>
            </w:r>
          </w:p>
        </w:tc>
        <w:tc>
          <w:tcPr>
            <w:tcW w:w="980" w:type="dxa"/>
            <w:gridSpan w:val="3"/>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Times New Roman" w:hAnsi="Times New Roman" w:cs="Times New Roman"/>
                <w:b/>
                <w:bCs/>
                <w:sz w:val="19"/>
                <w:szCs w:val="19"/>
              </w:rPr>
              <w:t>—</w:t>
            </w: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66</w:t>
            </w:r>
          </w:p>
        </w:tc>
        <w:tc>
          <w:tcPr>
            <w:tcW w:w="82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90</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20" w:type="dxa"/>
            <w:gridSpan w:val="3"/>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b/>
                <w:bCs/>
                <w:sz w:val="19"/>
                <w:szCs w:val="19"/>
              </w:rPr>
              <w:t>—</w:t>
            </w: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66</w:t>
            </w:r>
          </w:p>
        </w:tc>
        <w:tc>
          <w:tcPr>
            <w:tcW w:w="82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Interest rates</w:t>
            </w:r>
          </w:p>
        </w:tc>
        <w:tc>
          <w:tcPr>
            <w:tcW w:w="9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Times New Roman" w:hAnsi="Times New Roman" w:cs="Times New Roman"/>
                <w:b/>
                <w:bCs/>
                <w:sz w:val="19"/>
                <w:szCs w:val="19"/>
              </w:rPr>
              <w:t>—</w:t>
            </w: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29</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2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b/>
                <w:bCs/>
                <w:sz w:val="19"/>
                <w:szCs w:val="19"/>
              </w:rPr>
              <w:t>—</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29</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3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Net investment hedges</w:t>
            </w:r>
          </w:p>
        </w:tc>
        <w:tc>
          <w:tcPr>
            <w:tcW w:w="98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Times New Roman" w:hAnsi="Times New Roman" w:cs="Times New Roman"/>
                <w:b/>
                <w:bCs/>
                <w:sz w:val="19"/>
                <w:szCs w:val="19"/>
              </w:rPr>
              <w:t>—</w:t>
            </w:r>
          </w:p>
        </w:tc>
        <w:tc>
          <w:tcPr>
            <w:tcW w:w="6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2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b/>
                <w:bCs/>
                <w:sz w:val="19"/>
                <w:szCs w:val="19"/>
              </w:rPr>
              <w:t>—</w:t>
            </w: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8"/>
        </w:trPr>
        <w:tc>
          <w:tcPr>
            <w:tcW w:w="32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147" w:lineRule="exact"/>
              <w:ind w:left="60"/>
              <w:rPr>
                <w:rFonts w:ascii="Times New Roman" w:hAnsi="Times New Roman" w:cs="Times New Roman"/>
                <w:sz w:val="24"/>
                <w:szCs w:val="24"/>
              </w:rPr>
            </w:pPr>
            <w:r>
              <w:rPr>
                <w:rFonts w:ascii="Times New Roman" w:hAnsi="Times New Roman" w:cs="Times New Roman"/>
                <w:b/>
                <w:bCs/>
                <w:sz w:val="17"/>
                <w:szCs w:val="17"/>
              </w:rPr>
              <w:t>TOTAL LIABILITIES AT FAIR</w:t>
            </w:r>
          </w:p>
        </w:tc>
        <w:tc>
          <w:tcPr>
            <w:tcW w:w="76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vMerge w:val="restart"/>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4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0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0" w:type="dxa"/>
            <w:vMerge w:val="restart"/>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6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96</w:t>
            </w:r>
          </w:p>
        </w:tc>
        <w:tc>
          <w:tcPr>
            <w:tcW w:w="80" w:type="dxa"/>
            <w:vMerge w:val="restart"/>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4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149</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6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vMerge w:val="restart"/>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56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w:t>
            </w:r>
          </w:p>
        </w:tc>
        <w:tc>
          <w:tcPr>
            <w:tcW w:w="80" w:type="dxa"/>
            <w:vMerge w:val="restart"/>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6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96</w:t>
            </w:r>
          </w:p>
        </w:tc>
        <w:tc>
          <w:tcPr>
            <w:tcW w:w="80" w:type="dxa"/>
            <w:vMerge w:val="restart"/>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4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1"/>
        </w:trPr>
        <w:tc>
          <w:tcPr>
            <w:tcW w:w="32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70" w:lineRule="exact"/>
              <w:ind w:left="60"/>
              <w:rPr>
                <w:rFonts w:ascii="Times New Roman" w:hAnsi="Times New Roman" w:cs="Times New Roman"/>
                <w:sz w:val="24"/>
                <w:szCs w:val="24"/>
              </w:rPr>
            </w:pPr>
            <w:r>
              <w:rPr>
                <w:rFonts w:ascii="Times New Roman" w:hAnsi="Times New Roman" w:cs="Times New Roman"/>
                <w:b/>
                <w:bCs/>
                <w:sz w:val="19"/>
                <w:szCs w:val="19"/>
              </w:rPr>
              <w:t>VALUE</w:t>
            </w:r>
            <w:r>
              <w:rPr>
                <w:rFonts w:ascii="Times New Roman" w:hAnsi="Times New Roman" w:cs="Times New Roman"/>
                <w:b/>
                <w:bCs/>
                <w:sz w:val="24"/>
                <w:szCs w:val="24"/>
                <w:vertAlign w:val="superscript"/>
              </w:rPr>
              <w:t>(3)</w:t>
            </w:r>
          </w:p>
        </w:tc>
        <w:tc>
          <w:tcPr>
            <w:tcW w:w="76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vMerge/>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vMerge/>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vMerge/>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vMerge/>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vMerge/>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vMerge/>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8"/>
        </w:trPr>
        <w:tc>
          <w:tcPr>
            <w:tcW w:w="3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ind w:left="60"/>
              <w:rPr>
                <w:rFonts w:ascii="Times New Roman" w:hAnsi="Times New Roman" w:cs="Times New Roman"/>
                <w:sz w:val="24"/>
                <w:szCs w:val="24"/>
              </w:rPr>
            </w:pPr>
            <w:r>
              <w:rPr>
                <w:rFonts w:ascii="Times New Roman" w:hAnsi="Times New Roman" w:cs="Times New Roman"/>
                <w:b/>
                <w:bCs/>
                <w:sz w:val="19"/>
                <w:szCs w:val="19"/>
              </w:rPr>
              <w:t>LIABILITIES NOT RECORDED AT</w:t>
            </w: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3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FAIR VALUE</w:t>
            </w: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7"/>
        </w:trPr>
        <w:tc>
          <w:tcPr>
            <w:tcW w:w="3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9"/>
                <w:szCs w:val="19"/>
              </w:rPr>
              <w:t xml:space="preserve">Long-term debt </w:t>
            </w:r>
            <w:r>
              <w:rPr>
                <w:rFonts w:ascii="Times New Roman" w:hAnsi="Times New Roman" w:cs="Times New Roman"/>
                <w:sz w:val="24"/>
                <w:szCs w:val="24"/>
                <w:vertAlign w:val="superscript"/>
              </w:rPr>
              <w:t>(4)</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24,747</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95"/>
                <w:sz w:val="19"/>
                <w:szCs w:val="19"/>
              </w:rPr>
              <w:t>22,671</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1,682</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3,022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2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New Roman" w:hAnsi="Times New Roman" w:cs="Times New Roman"/>
                <w:b/>
                <w:bCs/>
                <w:sz w:val="19"/>
                <w:szCs w:val="19"/>
              </w:rPr>
              <w:t>—</w:t>
            </w: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26,429</w:t>
            </w: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25,693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8"/>
        </w:trPr>
        <w:tc>
          <w:tcPr>
            <w:tcW w:w="322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ind w:left="60"/>
              <w:rPr>
                <w:rFonts w:ascii="Times New Roman" w:hAnsi="Times New Roman" w:cs="Times New Roman"/>
                <w:sz w:val="24"/>
                <w:szCs w:val="24"/>
              </w:rPr>
            </w:pPr>
            <w:r>
              <w:rPr>
                <w:rFonts w:ascii="Times New Roman" w:hAnsi="Times New Roman" w:cs="Times New Roman"/>
                <w:b/>
                <w:bCs/>
                <w:sz w:val="19"/>
                <w:szCs w:val="19"/>
              </w:rPr>
              <w:t>TOTAL LIABILITIES RECORDED</w:t>
            </w:r>
          </w:p>
        </w:tc>
        <w:tc>
          <w:tcPr>
            <w:tcW w:w="76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4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4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6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4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3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b/>
                <w:bCs/>
                <w:sz w:val="19"/>
                <w:szCs w:val="19"/>
              </w:rPr>
              <w:t>AND NOT RE</w:t>
            </w:r>
            <w:r>
              <w:rPr>
                <w:rFonts w:ascii="Times New Roman" w:hAnsi="Times New Roman" w:cs="Times New Roman"/>
                <w:b/>
                <w:bCs/>
                <w:sz w:val="19"/>
                <w:szCs w:val="19"/>
              </w:rPr>
              <w:t>CORDED AT FAIR</w:t>
            </w:r>
          </w:p>
        </w:tc>
        <w:tc>
          <w:tcPr>
            <w:tcW w:w="7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24,747</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95"/>
                <w:sz w:val="19"/>
                <w:szCs w:val="19"/>
              </w:rPr>
              <w:t>22,671</w:t>
            </w:r>
          </w:p>
        </w:tc>
        <w:tc>
          <w:tcPr>
            <w:tcW w:w="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1,778</w:t>
            </w:r>
          </w:p>
        </w:tc>
        <w:tc>
          <w:tcPr>
            <w:tcW w:w="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3,171</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19"/>
                <w:szCs w:val="19"/>
              </w:rPr>
              <w:t>—</w:t>
            </w:r>
          </w:p>
        </w:tc>
        <w:tc>
          <w:tcPr>
            <w:tcW w:w="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26,525</w:t>
            </w:r>
          </w:p>
        </w:tc>
        <w:tc>
          <w:tcPr>
            <w:tcW w:w="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25,842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9"/>
        </w:trPr>
        <w:tc>
          <w:tcPr>
            <w:tcW w:w="3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VALUE</w:t>
            </w:r>
          </w:p>
        </w:tc>
        <w:tc>
          <w:tcPr>
            <w:tcW w:w="76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70" w:lineRule="exact"/>
        <w:rPr>
          <w:rFonts w:ascii="Times New Roman" w:hAnsi="Times New Roman" w:cs="Times New Roman"/>
          <w:sz w:val="24"/>
          <w:szCs w:val="24"/>
        </w:rPr>
      </w:pPr>
    </w:p>
    <w:p w:rsidR="00000000" w:rsidRDefault="0057438D">
      <w:pPr>
        <w:pStyle w:val="DefaultParagraphFont"/>
        <w:widowControl w:val="0"/>
        <w:numPr>
          <w:ilvl w:val="0"/>
          <w:numId w:val="14"/>
        </w:numPr>
        <w:tabs>
          <w:tab w:val="clear" w:pos="720"/>
          <w:tab w:val="num" w:pos="360"/>
        </w:tabs>
        <w:overflowPunct w:val="0"/>
        <w:autoSpaceDE w:val="0"/>
        <w:autoSpaceDN w:val="0"/>
        <w:adjustRightInd w:val="0"/>
        <w:spacing w:after="0" w:line="240" w:lineRule="auto"/>
        <w:ind w:left="360" w:hanging="345"/>
        <w:jc w:val="both"/>
        <w:rPr>
          <w:rFonts w:ascii="Times New Roman" w:hAnsi="Times New Roman" w:cs="Times New Roman"/>
          <w:sz w:val="25"/>
          <w:szCs w:val="25"/>
          <w:vertAlign w:val="superscript"/>
        </w:rPr>
      </w:pPr>
      <w:r>
        <w:rPr>
          <w:rFonts w:ascii="Times New Roman" w:hAnsi="Times New Roman" w:cs="Times New Roman"/>
          <w:sz w:val="17"/>
          <w:szCs w:val="17"/>
        </w:rPr>
        <w:t>Other foreign currency instruments are comprised of foreign currency financial instruments that do not qualify as hedges.</w:t>
      </w:r>
    </w:p>
    <w:p w:rsidR="00000000" w:rsidRDefault="0057438D">
      <w:pPr>
        <w:pStyle w:val="DefaultParagraphFont"/>
        <w:widowControl w:val="0"/>
        <w:autoSpaceDE w:val="0"/>
        <w:autoSpaceDN w:val="0"/>
        <w:adjustRightInd w:val="0"/>
        <w:spacing w:after="0" w:line="4"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14"/>
        </w:numPr>
        <w:tabs>
          <w:tab w:val="clear" w:pos="720"/>
          <w:tab w:val="num" w:pos="360"/>
        </w:tabs>
        <w:overflowPunct w:val="0"/>
        <w:autoSpaceDE w:val="0"/>
        <w:autoSpaceDN w:val="0"/>
        <w:adjustRightInd w:val="0"/>
        <w:spacing w:after="0" w:line="241" w:lineRule="auto"/>
        <w:ind w:left="360" w:right="40" w:hanging="345"/>
        <w:rPr>
          <w:rFonts w:ascii="Times New Roman" w:hAnsi="Times New Roman" w:cs="Times New Roman"/>
          <w:sz w:val="25"/>
          <w:szCs w:val="25"/>
          <w:vertAlign w:val="superscript"/>
        </w:rPr>
      </w:pPr>
      <w:r>
        <w:rPr>
          <w:rFonts w:ascii="Times New Roman" w:hAnsi="Times New Roman" w:cs="Times New Roman"/>
          <w:sz w:val="17"/>
          <w:szCs w:val="17"/>
        </w:rPr>
        <w:t>All derivative assets are presented in Prepaid expenses and other current assets and Other noncurrent assets. Investment securities are presented in Available-for-sale investment securities and Other noncurrent assets, except the U.S. government securities</w:t>
      </w:r>
      <w:r>
        <w:rPr>
          <w:rFonts w:ascii="Times New Roman" w:hAnsi="Times New Roman" w:cs="Times New Roman"/>
          <w:sz w:val="17"/>
          <w:szCs w:val="17"/>
        </w:rPr>
        <w:t xml:space="preserve"> are included in Other noncurrent assets in our Consolidated Balance Sheets at June 30, 2013. The amortized cost of the U.S. government securities was $1,649 and $1,604 as of June 30, 2014 and 2013, respectively. All U.S. government securities have contrac</w:t>
      </w:r>
      <w:r>
        <w:rPr>
          <w:rFonts w:ascii="Times New Roman" w:hAnsi="Times New Roman" w:cs="Times New Roman"/>
          <w:sz w:val="17"/>
          <w:szCs w:val="17"/>
        </w:rPr>
        <w:t>tual maturities between one and five years. The amortized cost of the corporate bond securities was $497 as of June 30, 2014. The amortized cost and fair value of corporate bond securities with maturities of less than a year was $39 as of June 30, 2014. Th</w:t>
      </w:r>
      <w:r>
        <w:rPr>
          <w:rFonts w:ascii="Times New Roman" w:hAnsi="Times New Roman" w:cs="Times New Roman"/>
          <w:sz w:val="17"/>
          <w:szCs w:val="17"/>
        </w:rPr>
        <w:t>e amortized cost and fair value of corporate bond securities with maturities between one and five years was $458 as of June 30, 2014. Fair values are generally estimated based upon quoted market prices for similar instruments.</w:t>
      </w:r>
    </w:p>
    <w:p w:rsidR="00000000" w:rsidRDefault="0057438D">
      <w:pPr>
        <w:pStyle w:val="DefaultParagraphFont"/>
        <w:widowControl w:val="0"/>
        <w:autoSpaceDE w:val="0"/>
        <w:autoSpaceDN w:val="0"/>
        <w:adjustRightInd w:val="0"/>
        <w:spacing w:after="0" w:line="5"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14"/>
        </w:numPr>
        <w:tabs>
          <w:tab w:val="clear" w:pos="720"/>
          <w:tab w:val="num" w:pos="360"/>
        </w:tabs>
        <w:overflowPunct w:val="0"/>
        <w:autoSpaceDE w:val="0"/>
        <w:autoSpaceDN w:val="0"/>
        <w:adjustRightInd w:val="0"/>
        <w:spacing w:after="0" w:line="191" w:lineRule="auto"/>
        <w:ind w:left="360" w:hanging="345"/>
        <w:jc w:val="both"/>
        <w:rPr>
          <w:rFonts w:ascii="Times New Roman" w:hAnsi="Times New Roman" w:cs="Times New Roman"/>
          <w:sz w:val="25"/>
          <w:szCs w:val="25"/>
          <w:vertAlign w:val="superscript"/>
        </w:rPr>
      </w:pPr>
      <w:r>
        <w:rPr>
          <w:rFonts w:ascii="Times New Roman" w:hAnsi="Times New Roman" w:cs="Times New Roman"/>
          <w:sz w:val="17"/>
          <w:szCs w:val="17"/>
        </w:rPr>
        <w:t>All liabilities are presented in accrued and other liabilities or other noncurrent liabilities.</w:t>
      </w:r>
    </w:p>
    <w:p w:rsidR="00000000" w:rsidRDefault="0057438D">
      <w:pPr>
        <w:pStyle w:val="DefaultParagraphFont"/>
        <w:widowControl w:val="0"/>
        <w:autoSpaceDE w:val="0"/>
        <w:autoSpaceDN w:val="0"/>
        <w:adjustRightInd w:val="0"/>
        <w:spacing w:after="0" w:line="4"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14"/>
        </w:numPr>
        <w:tabs>
          <w:tab w:val="clear" w:pos="720"/>
          <w:tab w:val="num" w:pos="360"/>
        </w:tabs>
        <w:overflowPunct w:val="0"/>
        <w:autoSpaceDE w:val="0"/>
        <w:autoSpaceDN w:val="0"/>
        <w:adjustRightInd w:val="0"/>
        <w:spacing w:after="0" w:line="225" w:lineRule="auto"/>
        <w:ind w:left="360" w:right="80" w:hanging="345"/>
        <w:rPr>
          <w:rFonts w:ascii="Times New Roman" w:hAnsi="Times New Roman" w:cs="Times New Roman"/>
          <w:sz w:val="25"/>
          <w:szCs w:val="25"/>
          <w:vertAlign w:val="superscript"/>
        </w:rPr>
      </w:pPr>
      <w:r>
        <w:rPr>
          <w:rFonts w:ascii="Times New Roman" w:hAnsi="Times New Roman" w:cs="Times New Roman"/>
          <w:sz w:val="17"/>
          <w:szCs w:val="17"/>
        </w:rPr>
        <w:t>Long-term debt includes the current portion ($4,400 and $4,540 as of June 30, 2014 and 2013, respectively) of debt instruments. Long-term debt is not recor</w:t>
      </w:r>
      <w:r>
        <w:rPr>
          <w:rFonts w:ascii="Times New Roman" w:hAnsi="Times New Roman" w:cs="Times New Roman"/>
          <w:sz w:val="17"/>
          <w:szCs w:val="17"/>
        </w:rPr>
        <w:t>ded at fair value on a recurring basis, but is measured at fair value for disclosure purposes. Fair values are generally estimated based on quoted market prices for identical or similar instruments.</w:t>
      </w:r>
    </w:p>
    <w:p w:rsidR="00000000" w:rsidRDefault="0057438D">
      <w:pPr>
        <w:pStyle w:val="DefaultParagraphFont"/>
        <w:widowControl w:val="0"/>
        <w:autoSpaceDE w:val="0"/>
        <w:autoSpaceDN w:val="0"/>
        <w:adjustRightInd w:val="0"/>
        <w:spacing w:after="0" w:line="10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left="20" w:right="100"/>
        <w:rPr>
          <w:rFonts w:ascii="Times New Roman" w:hAnsi="Times New Roman" w:cs="Times New Roman"/>
          <w:sz w:val="24"/>
          <w:szCs w:val="24"/>
        </w:rPr>
      </w:pPr>
      <w:r>
        <w:rPr>
          <w:rFonts w:ascii="Times New Roman" w:hAnsi="Times New Roman" w:cs="Times New Roman"/>
          <w:sz w:val="19"/>
          <w:szCs w:val="19"/>
        </w:rPr>
        <w:t>The Company recognizes transfers between levels within t</w:t>
      </w:r>
      <w:r>
        <w:rPr>
          <w:rFonts w:ascii="Times New Roman" w:hAnsi="Times New Roman" w:cs="Times New Roman"/>
          <w:sz w:val="19"/>
          <w:szCs w:val="19"/>
        </w:rPr>
        <w:t>he fair value hierarchy, if any, at the end of each quarter. During fiscal 2013, the Company transferred long-term debt with a fair value of $455 from Level 1 to Level 2. The transferred instruments represent the Company's outstanding industrial developmen</w:t>
      </w:r>
      <w:r>
        <w:rPr>
          <w:rFonts w:ascii="Times New Roman" w:hAnsi="Times New Roman" w:cs="Times New Roman"/>
          <w:sz w:val="19"/>
          <w:szCs w:val="19"/>
        </w:rPr>
        <w:t>t bonds which are infrequently traded in an observable market. There were no additional transfers between levels during the periods presented. In addition, there was no significant activity within the Level 3 assets and liabilities during the periods prese</w:t>
      </w:r>
      <w:r>
        <w:rPr>
          <w:rFonts w:ascii="Times New Roman" w:hAnsi="Times New Roman" w:cs="Times New Roman"/>
          <w:sz w:val="19"/>
          <w:szCs w:val="19"/>
        </w:rPr>
        <w:t>nted.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900" w:bottom="346" w:left="840" w:header="720" w:footer="720" w:gutter="0"/>
          <w:cols w:space="600" w:equalWidth="0">
            <w:col w:w="9780" w:space="600"/>
          </w:cols>
          <w:noEndnote/>
        </w:sectPr>
      </w:pPr>
    </w:p>
    <w:p w:rsidR="00000000" w:rsidRDefault="0057438D">
      <w:pPr>
        <w:pStyle w:val="DefaultParagraphFont"/>
        <w:widowControl w:val="0"/>
        <w:autoSpaceDE w:val="0"/>
        <w:autoSpaceDN w:val="0"/>
        <w:adjustRightInd w:val="0"/>
        <w:spacing w:after="0" w:line="3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5620" w:bottom="346" w:left="860" w:header="720" w:footer="720" w:gutter="0"/>
          <w:cols w:space="600" w:equalWidth="0">
            <w:col w:w="5040" w:space="60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61</w:t>
      </w: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80"/>
        <w:rPr>
          <w:rFonts w:ascii="Times New Roman" w:hAnsi="Times New Roman" w:cs="Times New Roman"/>
          <w:sz w:val="24"/>
          <w:szCs w:val="24"/>
        </w:rPr>
      </w:pPr>
      <w:r>
        <w:rPr>
          <w:rFonts w:ascii="Times New Roman" w:hAnsi="Times New Roman" w:cs="Times New Roman"/>
          <w:sz w:val="19"/>
          <w:szCs w:val="19"/>
        </w:rPr>
        <w:t>During fiscal 2013, we recorded impairm</w:t>
      </w:r>
      <w:r>
        <w:rPr>
          <w:rFonts w:ascii="Times New Roman" w:hAnsi="Times New Roman" w:cs="Times New Roman"/>
          <w:sz w:val="19"/>
          <w:szCs w:val="19"/>
        </w:rPr>
        <w:t>ents of certain goodwill and intangible assets. Also, during fiscal 2013, we applied purchase accounting and re-measured assets and liabilities at fair value related to the purchase of the balance of a joint venture in Iberia (see Note 2 for additional det</w:t>
      </w:r>
      <w:r>
        <w:rPr>
          <w:rFonts w:ascii="Times New Roman" w:hAnsi="Times New Roman" w:cs="Times New Roman"/>
          <w:sz w:val="19"/>
          <w:szCs w:val="19"/>
        </w:rPr>
        <w:t>ails on these items). Except for these items, there were no significant assets or liabilities that were re-measured at fair value on a non-recurring basis during fiscal 2013 or 2014.</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346" w:left="860" w:header="720" w:footer="720" w:gutter="0"/>
          <w:cols w:space="720" w:equalWidth="0">
            <w:col w:w="9760"/>
          </w:cols>
          <w:noEndnote/>
        </w:sectPr>
      </w:pPr>
    </w:p>
    <w:p w:rsidR="00000000" w:rsidRDefault="0057438D">
      <w:pPr>
        <w:pStyle w:val="DefaultParagraphFont"/>
        <w:widowControl w:val="0"/>
        <w:autoSpaceDE w:val="0"/>
        <w:autoSpaceDN w:val="0"/>
        <w:adjustRightInd w:val="0"/>
        <w:spacing w:after="0" w:line="12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Disclosures about Derivative Instruments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left="20" w:right="20"/>
        <w:jc w:val="both"/>
        <w:rPr>
          <w:rFonts w:ascii="Times New Roman" w:hAnsi="Times New Roman" w:cs="Times New Roman"/>
          <w:sz w:val="24"/>
          <w:szCs w:val="24"/>
        </w:rPr>
      </w:pPr>
      <w:r>
        <w:rPr>
          <w:rFonts w:ascii="Times New Roman" w:hAnsi="Times New Roman" w:cs="Times New Roman"/>
          <w:sz w:val="19"/>
          <w:szCs w:val="19"/>
        </w:rPr>
        <w:t>The n</w:t>
      </w:r>
      <w:r>
        <w:rPr>
          <w:rFonts w:ascii="Times New Roman" w:hAnsi="Times New Roman" w:cs="Times New Roman"/>
          <w:sz w:val="19"/>
          <w:szCs w:val="19"/>
        </w:rPr>
        <w:t>otional amounts and fair values of qualifying and non-qualifying financial instruments used in hedging transactions as of June 30, 2014 and 2013 are as follows:</w:t>
      </w:r>
    </w:p>
    <w:p w:rsidR="00000000" w:rsidRDefault="0057438D">
      <w:pPr>
        <w:pStyle w:val="DefaultParagraphFont"/>
        <w:widowControl w:val="0"/>
        <w:autoSpaceDE w:val="0"/>
        <w:autoSpaceDN w:val="0"/>
        <w:adjustRightInd w:val="0"/>
        <w:spacing w:after="0" w:line="127"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firstRow="0" w:lastRow="0" w:firstColumn="0" w:lastColumn="0" w:noHBand="0" w:noVBand="0"/>
      </w:tblPr>
      <w:tblGrid>
        <w:gridCol w:w="1040"/>
        <w:gridCol w:w="180"/>
        <w:gridCol w:w="620"/>
        <w:gridCol w:w="80"/>
        <w:gridCol w:w="180"/>
        <w:gridCol w:w="620"/>
        <w:gridCol w:w="80"/>
        <w:gridCol w:w="200"/>
        <w:gridCol w:w="680"/>
        <w:gridCol w:w="30"/>
        <w:gridCol w:w="280"/>
        <w:gridCol w:w="700"/>
        <w:gridCol w:w="20"/>
      </w:tblGrid>
      <w:tr w:rsidR="00000000">
        <w:tblPrEx>
          <w:tblCellMar>
            <w:top w:w="0" w:type="dxa"/>
            <w:left w:w="0" w:type="dxa"/>
            <w:bottom w:w="0" w:type="dxa"/>
            <w:right w:w="0" w:type="dxa"/>
          </w:tblCellMar>
        </w:tblPrEx>
        <w:trPr>
          <w:trHeight w:val="203"/>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50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91"/>
              <w:jc w:val="right"/>
              <w:rPr>
                <w:rFonts w:ascii="Times New Roman" w:hAnsi="Times New Roman" w:cs="Times New Roman"/>
                <w:sz w:val="24"/>
                <w:szCs w:val="24"/>
              </w:rPr>
            </w:pPr>
            <w:r>
              <w:rPr>
                <w:rFonts w:ascii="Times New Roman" w:hAnsi="Times New Roman" w:cs="Times New Roman"/>
                <w:b/>
                <w:bCs/>
                <w:sz w:val="15"/>
                <w:szCs w:val="15"/>
              </w:rPr>
              <w:t>Notional Amount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8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rPr>
              <w:t>Fair Value Asset/(Liability)</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10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0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74"/>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71"/>
              <w:jc w:val="right"/>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11"/>
              <w:jc w:val="right"/>
              <w:rPr>
                <w:rFonts w:ascii="Times New Roman" w:hAnsi="Times New Roman" w:cs="Times New Roman"/>
                <w:sz w:val="24"/>
                <w:szCs w:val="24"/>
              </w:rPr>
            </w:pPr>
            <w:r>
              <w:rPr>
                <w:rFonts w:ascii="Times New Roman" w:hAnsi="Times New Roman" w:cs="Times New Roman"/>
                <w:b/>
                <w:bCs/>
                <w:sz w:val="15"/>
                <w:szCs w:val="15"/>
              </w:rPr>
              <w:t>2014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31"/>
              <w:jc w:val="right"/>
              <w:rPr>
                <w:rFonts w:ascii="Times New Roman" w:hAnsi="Times New Roman" w:cs="Times New Roman"/>
                <w:sz w:val="24"/>
                <w:szCs w:val="24"/>
              </w:rPr>
            </w:pPr>
            <w:r>
              <w:rPr>
                <w:rFonts w:ascii="Times New Roman" w:hAnsi="Times New Roman" w:cs="Times New Roman"/>
                <w:b/>
                <w:bCs/>
                <w:sz w:val="15"/>
                <w:szCs w:val="15"/>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10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gridSpan w:val="3"/>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7"/>
        </w:trPr>
        <w:tc>
          <w:tcPr>
            <w:tcW w:w="3980" w:type="dxa"/>
            <w:gridSpan w:val="11"/>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ind w:left="60"/>
              <w:rPr>
                <w:rFonts w:ascii="Times New Roman" w:hAnsi="Times New Roman" w:cs="Times New Roman"/>
                <w:sz w:val="24"/>
                <w:szCs w:val="24"/>
              </w:rPr>
            </w:pPr>
            <w:r>
              <w:rPr>
                <w:rFonts w:ascii="Times New Roman" w:hAnsi="Times New Roman" w:cs="Times New Roman"/>
                <w:b/>
                <w:bCs/>
                <w:sz w:val="19"/>
                <w:szCs w:val="19"/>
              </w:rPr>
              <w:t>DERIVATIVES IN CASH FLOW HEDGING</w:t>
            </w: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184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RELATIONSHIPS</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nil"/>
              <w:left w:val="single" w:sz="8" w:space="0" w:color="E6E6E6"/>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Foreign</w:t>
            </w: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sz w:val="19"/>
                <w:szCs w:val="19"/>
              </w:rPr>
              <w:t>currency</w:t>
            </w:r>
          </w:p>
        </w:tc>
        <w:tc>
          <w:tcPr>
            <w:tcW w:w="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951</w:t>
            </w:r>
          </w:p>
        </w:tc>
        <w:tc>
          <w:tcPr>
            <w:tcW w:w="26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951</w:t>
            </w:r>
          </w:p>
        </w:tc>
        <w:tc>
          <w:tcPr>
            <w:tcW w:w="2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19"/>
                <w:szCs w:val="19"/>
              </w:rPr>
              <w:t>$</w:t>
            </w:r>
          </w:p>
        </w:tc>
        <w:tc>
          <w:tcPr>
            <w:tcW w:w="6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187</w:t>
            </w:r>
          </w:p>
        </w:tc>
        <w:tc>
          <w:tcPr>
            <w:tcW w:w="3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8"/>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contracts</w:t>
            </w:r>
          </w:p>
        </w:tc>
        <w:tc>
          <w:tcPr>
            <w:tcW w:w="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6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2"/>
        </w:trPr>
        <w:tc>
          <w:tcPr>
            <w:tcW w:w="104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2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2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8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 w:type="dxa"/>
            <w:vMerge w:val="restart"/>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single" w:sz="8" w:space="0" w:color="auto"/>
              <w:left w:val="single" w:sz="8" w:space="0" w:color="E6E6E6"/>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8"/>
        </w:trPr>
        <w:tc>
          <w:tcPr>
            <w:tcW w:w="3680" w:type="dxa"/>
            <w:gridSpan w:val="9"/>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8" w:lineRule="exact"/>
              <w:ind w:left="60"/>
              <w:rPr>
                <w:rFonts w:ascii="Times New Roman" w:hAnsi="Times New Roman" w:cs="Times New Roman"/>
                <w:sz w:val="24"/>
                <w:szCs w:val="24"/>
              </w:rPr>
            </w:pPr>
            <w:r>
              <w:rPr>
                <w:rFonts w:ascii="Times New Roman" w:hAnsi="Times New Roman" w:cs="Times New Roman"/>
                <w:b/>
                <w:bCs/>
                <w:w w:val="95"/>
                <w:sz w:val="19"/>
                <w:szCs w:val="19"/>
              </w:rPr>
              <w:t>DERIVATIVES IN FAIR VALUE HEDGING</w:t>
            </w:r>
          </w:p>
        </w:tc>
        <w:tc>
          <w:tcPr>
            <w:tcW w:w="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4"/>
        </w:trPr>
        <w:tc>
          <w:tcPr>
            <w:tcW w:w="184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RELATIONSHIPS</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10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8" w:lineRule="exact"/>
              <w:ind w:left="60"/>
              <w:rPr>
                <w:rFonts w:ascii="Times New Roman" w:hAnsi="Times New Roman" w:cs="Times New Roman"/>
                <w:sz w:val="24"/>
                <w:szCs w:val="24"/>
              </w:rPr>
            </w:pPr>
            <w:r>
              <w:rPr>
                <w:rFonts w:ascii="Times New Roman" w:hAnsi="Times New Roman" w:cs="Times New Roman"/>
                <w:sz w:val="19"/>
                <w:szCs w:val="19"/>
              </w:rPr>
              <w:t>Interest rate</w:t>
            </w:r>
          </w:p>
        </w:tc>
        <w:tc>
          <w:tcPr>
            <w:tcW w:w="1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9,738</w:t>
            </w:r>
          </w:p>
        </w:tc>
        <w:tc>
          <w:tcPr>
            <w:tcW w:w="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9,117</w:t>
            </w:r>
          </w:p>
        </w:tc>
        <w:tc>
          <w:tcPr>
            <w:tcW w:w="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w:t>
            </w:r>
          </w:p>
        </w:tc>
        <w:tc>
          <w:tcPr>
            <w:tcW w:w="6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168</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80" w:type="dxa"/>
            <w:vMerge w:val="restart"/>
            <w:tcBorders>
              <w:top w:val="nil"/>
              <w:left w:val="single" w:sz="8" w:space="0" w:color="E6E6E6"/>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7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8"/>
        </w:trPr>
        <w:tc>
          <w:tcPr>
            <w:tcW w:w="1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contracts</w:t>
            </w:r>
          </w:p>
        </w:tc>
        <w:tc>
          <w:tcPr>
            <w:tcW w:w="18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vMerge/>
            <w:tcBorders>
              <w:top w:val="nil"/>
              <w:left w:val="single" w:sz="8" w:space="0" w:color="E6E6E6"/>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4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48" w:lineRule="auto"/>
        <w:ind w:left="80" w:right="300"/>
        <w:rPr>
          <w:rFonts w:ascii="Times New Roman" w:hAnsi="Times New Roman" w:cs="Times New Roman"/>
          <w:sz w:val="24"/>
          <w:szCs w:val="24"/>
        </w:rPr>
      </w:pPr>
      <w:r>
        <w:rPr>
          <w:rFonts w:ascii="Times New Roman" w:hAnsi="Times New Roman" w:cs="Times New Roman"/>
          <w:b/>
          <w:bCs/>
          <w:sz w:val="19"/>
          <w:szCs w:val="19"/>
        </w:rPr>
        <w:t>DERIVATIVES IN NET INVESTMENT HEDGING RELATIONSHIPS</w:t>
      </w:r>
    </w:p>
    <w:p w:rsidR="00000000" w:rsidRDefault="0057438D">
      <w:pPr>
        <w:pStyle w:val="DefaultParagraphFont"/>
        <w:widowControl w:val="0"/>
        <w:autoSpaceDE w:val="0"/>
        <w:autoSpaceDN w:val="0"/>
        <w:adjustRightInd w:val="0"/>
        <w:spacing w:after="0" w:line="3" w:lineRule="exact"/>
        <w:rPr>
          <w:rFonts w:ascii="Times New Roman" w:hAnsi="Times New Roman" w:cs="Times New Roman"/>
          <w:sz w:val="24"/>
          <w:szCs w:val="24"/>
        </w:rPr>
      </w:pPr>
      <w:r>
        <w:rPr>
          <w:noProof/>
        </w:rPr>
        <mc:AlternateContent>
          <mc:Choice Requires="wps">
            <w:drawing>
              <wp:anchor distT="0" distB="0" distL="114300" distR="114300" simplePos="0" relativeHeight="251698176" behindDoc="1" locked="0" layoutInCell="0" allowOverlap="1">
                <wp:simplePos x="0" y="0"/>
                <wp:positionH relativeFrom="column">
                  <wp:posOffset>15240</wp:posOffset>
                </wp:positionH>
                <wp:positionV relativeFrom="paragraph">
                  <wp:posOffset>-274955</wp:posOffset>
                </wp:positionV>
                <wp:extent cx="2969895" cy="290195"/>
                <wp:effectExtent l="0" t="0" r="0" b="0"/>
                <wp:wrapNone/>
                <wp:docPr id="8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9895" cy="29019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6" style="position:absolute;margin-left:1.2pt;margin-top:-21.65pt;width:233.85pt;height:22.8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tewIAAP0EAAAOAAAAZHJzL2Uyb0RvYy54bWysVNuO2yAQfa/Uf0C8J77IudhaZ7W3VJXS&#10;dtVtP4AAjlExUCBx0lX/vQNO0mzbh6pqImEGhsOZmTNcXe87iXbcOqFVjbNxihFXVDOhNjX+/Gk5&#10;mmPkPFGMSK14jQ/c4evF61dXval4rlstGbcIQJSrelPj1ntTJYmjLe+IG2vDFWw22nbEg2k3CbOk&#10;B/ROJnmaTpNeW2asptw5WL0fNvEi4jcNp/5D0zjukawxcPNxtHFchzFZXJFqY4lpBT3SIP/AoiNC&#10;waVnqHviCdpa8RtUJ6jVTjd+THWX6KYRlMcYIJos/SWap5YYHmOB5DhzTpP7f7D0/e7RIsFqPC8w&#10;UqSDGn2ErBG1kRwVWUhQb1wFfk/m0YYQnVlp+sUhpe9acOM31uq+5YQBreifvDgQDAdH0bp/pxnA&#10;k63XMVf7xnYBELKA9rEkh3NJ+N4jCot5OS3n5QQjCnt5mWYwB0oJqU6njXX+DdcdCpMaWyAf0clu&#10;5fzgenKJ7LUUbCmkjIbdrO+kRTsC8niYhv8R3V26SRWclQ7HBsRhBUjCHWEv0I3lfi6zvEhv83K0&#10;nM5no2JZTEblLJ2PgPltOU2Lsrhffg8Es6JqBWNcrYTiJ+llxd+V9tgEg2ii+FBf43KST2LsL9i7&#10;yyDT+PtTkJ3w0IlSdCCFsxOpQmEfFIOwSeWJkMM8eUk/FgRycPrGrEQZhMoPClprdgAVWA1Fgk6E&#10;NwMmrbbfMOqh/2rsvm6J5RjJtwqUVGZFERo2GsVkloNhL3fWlztEUYCqscdomN75ocm3xopNCzdl&#10;MTFK34D6GhGFEZQ5sALewYAeixEc34PQxJd29Pr5ai1+AAAA//8DAFBLAwQUAAYACAAAACEAdvQ/&#10;yt0AAAAHAQAADwAAAGRycy9kb3ducmV2LnhtbEyOzU7CQBSF9ya8w+SSuIMp0KDWTgkxmLhQCD8P&#10;cOlcp5XOndoZoL69oxtdnnwn53z5oreNuFDna8cKJuMEBHHpdM1GwWH/PLoH4QOyxsYxKfgiD4ti&#10;cJNjpt2Vt3TZBSPiCPsMFVQhtJmUvqzIoh+7ljiyd9dZDDF2RuoOr3HcNnKaJHNpseb4UGFLTxWV&#10;p93ZKujNZrv6nL++bVZtbXD94dIH96LU7bBfPoII1Ie/MvzoR3UootPRnVl70SiYprGoYJTOZiAi&#10;T++SCYjjL5BFLv/7F98AAAD//wMAUEsBAi0AFAAGAAgAAAAhALaDOJL+AAAA4QEAABMAAAAAAAAA&#10;AAAAAAAAAAAAAFtDb250ZW50X1R5cGVzXS54bWxQSwECLQAUAAYACAAAACEAOP0h/9YAAACUAQAA&#10;CwAAAAAAAAAAAAAAAAAvAQAAX3JlbHMvLnJlbHNQSwECLQAUAAYACAAAACEASl/8bXsCAAD9BAAA&#10;DgAAAAAAAAAAAAAAAAAuAgAAZHJzL2Uyb0RvYy54bWxQSwECLQAUAAYACAAAACEAdvQ/yt0AAAAH&#10;AQAADwAAAAAAAAAAAAAAAADVBAAAZHJzL2Rvd25yZXYueG1sUEsFBgAAAAAEAAQA8wAAAN8FAAAA&#10;AA==&#10;" o:allowincell="f" fillcolor="#e6e6e6" stroked="f"/>
            </w:pict>
          </mc:Fallback>
        </mc:AlternateContent>
      </w:r>
    </w:p>
    <w:tbl>
      <w:tblPr>
        <w:tblW w:w="0" w:type="auto"/>
        <w:tblInd w:w="80" w:type="dxa"/>
        <w:tblLayout w:type="fixed"/>
        <w:tblCellMar>
          <w:left w:w="0" w:type="dxa"/>
          <w:right w:w="0" w:type="dxa"/>
        </w:tblCellMar>
        <w:tblLook w:val="0000" w:firstRow="0" w:lastRow="0" w:firstColumn="0" w:lastColumn="0" w:noHBand="0" w:noVBand="0"/>
      </w:tblPr>
      <w:tblGrid>
        <w:gridCol w:w="920"/>
        <w:gridCol w:w="340"/>
        <w:gridCol w:w="540"/>
        <w:gridCol w:w="880"/>
        <w:gridCol w:w="440"/>
        <w:gridCol w:w="540"/>
        <w:gridCol w:w="400"/>
        <w:gridCol w:w="480"/>
        <w:gridCol w:w="20"/>
      </w:tblGrid>
      <w:tr w:rsidR="00000000">
        <w:tblPrEx>
          <w:tblCellMar>
            <w:top w:w="0" w:type="dxa"/>
            <w:left w:w="0" w:type="dxa"/>
            <w:bottom w:w="0" w:type="dxa"/>
            <w:right w:w="0" w:type="dxa"/>
          </w:tblCellMar>
        </w:tblPrEx>
        <w:trPr>
          <w:trHeight w:val="218"/>
        </w:trPr>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Net</w:t>
            </w: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rPr>
                <w:rFonts w:ascii="Times New Roman" w:hAnsi="Times New Roman" w:cs="Times New Roman"/>
                <w:sz w:val="24"/>
                <w:szCs w:val="24"/>
              </w:rPr>
            </w:pPr>
            <w:r>
              <w:rPr>
                <w:rFonts w:ascii="Times New Roman" w:hAnsi="Times New Roman" w:cs="Times New Roman"/>
                <w:sz w:val="19"/>
                <w:szCs w:val="19"/>
              </w:rPr>
              <w:t>investment</w:t>
            </w:r>
          </w:p>
        </w:tc>
        <w:tc>
          <w:tcPr>
            <w:tcW w:w="3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9"/>
                <w:szCs w:val="19"/>
              </w:rPr>
              <w:t>$</w:t>
            </w:r>
          </w:p>
        </w:tc>
        <w:tc>
          <w:tcPr>
            <w:tcW w:w="5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9"/>
                <w:szCs w:val="19"/>
              </w:rPr>
              <w:t>831</w:t>
            </w:r>
          </w:p>
        </w:tc>
        <w:tc>
          <w:tcPr>
            <w:tcW w:w="8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sz w:val="19"/>
                <w:szCs w:val="19"/>
              </w:rPr>
              <w:t>$  1,303</w:t>
            </w:r>
          </w:p>
        </w:tc>
        <w:tc>
          <w:tcPr>
            <w:tcW w:w="4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b/>
                <w:bCs/>
                <w:sz w:val="19"/>
                <w:szCs w:val="19"/>
              </w:rPr>
              <w:t>$</w:t>
            </w:r>
          </w:p>
        </w:tc>
        <w:tc>
          <w:tcPr>
            <w:tcW w:w="5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9"/>
                <w:szCs w:val="19"/>
              </w:rPr>
              <w:t>48</w:t>
            </w:r>
          </w:p>
        </w:tc>
        <w:tc>
          <w:tcPr>
            <w:tcW w:w="4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w:t>
            </w:r>
          </w:p>
        </w:tc>
        <w:tc>
          <w:tcPr>
            <w:tcW w:w="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hedges</w:t>
            </w:r>
          </w:p>
        </w:tc>
        <w:tc>
          <w:tcPr>
            <w:tcW w:w="3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03" w:lineRule="exact"/>
        <w:rPr>
          <w:rFonts w:ascii="Times New Roman" w:hAnsi="Times New Roman" w:cs="Times New Roman"/>
          <w:sz w:val="24"/>
          <w:szCs w:val="24"/>
        </w:rPr>
      </w:pPr>
      <w:r>
        <w:rPr>
          <w:noProof/>
        </w:rPr>
        <mc:AlternateContent>
          <mc:Choice Requires="wps">
            <w:drawing>
              <wp:anchor distT="0" distB="0" distL="114300" distR="114300" simplePos="0" relativeHeight="251699200" behindDoc="1" locked="0" layoutInCell="0" allowOverlap="1">
                <wp:simplePos x="0" y="0"/>
                <wp:positionH relativeFrom="column">
                  <wp:posOffset>15240</wp:posOffset>
                </wp:positionH>
                <wp:positionV relativeFrom="paragraph">
                  <wp:posOffset>18415</wp:posOffset>
                </wp:positionV>
                <wp:extent cx="2339340" cy="121285"/>
                <wp:effectExtent l="0" t="0" r="0" b="0"/>
                <wp:wrapNone/>
                <wp:docPr id="8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12128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margin-left:1.2pt;margin-top:1.45pt;width:184.2pt;height:9.5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WfwIAAP0EAAAOAAAAZHJzL2Uyb0RvYy54bWysVG1v2yAQ/j5p/wHxPfVLnDS26lRt0kyT&#10;uq1atx9AAMdoGBiQOO20/74DJ1m67cM0LZEwcMfDc3fPcXW97yTaceuEVjXOLlKMuKKaCbWp8edP&#10;q9EMI+eJYkRqxWv8xB2+nr9+ddWbiue61ZJxiwBEuao3NW69N1WSONryjrgLbbgCY6NtRzws7SZh&#10;lvSA3skkT9Np0mvLjNWUOwe7y8GI5xG/aTj1H5rGcY9kjYGbj6ON4zqMyfyKVBtLTCvogQb5BxYd&#10;EQouPUEtiSdoa8VvUJ2gVjvd+Auqu0Q3jaA8xgDRZOkv0Ty2xPAYCyTHmVOa3P+Dpe93DxYJVuPZ&#10;GCNFOqjRR8gaURvJUZGHBPXGVeD3aB5sCNGZe02/OKT0ogU3fmOt7ltOGNDKgn/y4kBYODiK1v07&#10;zQCebL2Oudo3tguAkAW0jyV5OpWE7z2isJmPx+W4gMpRsGV5ls8m8QpSHU8b6/wbrjsUJjW2QD6i&#10;k92984ENqY4ukb2Wgq2ElHFhN+uFtGhHQB530/A/oLtzN6mCs9Lh2IA47ABJuCPYAt1Y7m9llhfp&#10;bV6OVtPZ5ahYFZNReZnORmlW3pbTtCiL5ep7IJgVVSsY4+peKH6UXlb8XWkPTTCIJooP9TUuJ/kk&#10;xv6CvTsPMo2/PwXZCQ+dKEUHUjg5kSoU9k4xCJtUngg5zJOX9GOWIQfHb8xKlEGo/KCgtWZPoAKr&#10;oUhQT3gzYNJq+4xRD/1XY/d1SyzHSL5VoKQyK0LZfVwUk8scFvbcsj63EEUBqsYeo2G68EOTb40V&#10;mxZuymJilL4B9TUiCiMoc2B10Cz0WIzg8B6EJj5fR6+fr9b8BwAAAP//AwBQSwMEFAAGAAgAAAAh&#10;ABbnqZfcAAAABgEAAA8AAABkcnMvZG93bnJldi54bWxMj8FOwzAQRO9I/IO1SNyoTagKTeNUCBWJ&#10;A1C18AHbeJsE4nWI3Tb8PcsJTqvRjGbfFMvRd+pIQ2wDW7ieGFDEVXAt1xbe3x6v7kDFhOywC0wW&#10;vinCsjw/KzB34cQbOm5TraSEY44WmpT6XOtYNeQxTkJPLN4+DB6TyKHWbsCTlPtOZ8bMtMeW5UOD&#10;PT00VH1uD97CWK83q6/Z88t61bc1vn6E6Tw8WXt5Md4vQCUa018YfvEFHUph2oUDu6g6C9lUgnLm&#10;oMS9uTUyZCc6M6DLQv/HL38AAAD//wMAUEsBAi0AFAAGAAgAAAAhALaDOJL+AAAA4QEAABMAAAAA&#10;AAAAAAAAAAAAAAAAAFtDb250ZW50X1R5cGVzXS54bWxQSwECLQAUAAYACAAAACEAOP0h/9YAAACU&#10;AQAACwAAAAAAAAAAAAAAAAAvAQAAX3JlbHMvLnJlbHNQSwECLQAUAAYACAAAACEAsWmIFn8CAAD9&#10;BAAADgAAAAAAAAAAAAAAAAAuAgAAZHJzL2Uyb0RvYy54bWxQSwECLQAUAAYACAAAACEAFuepl9wA&#10;AAAGAQAADwAAAAAAAAAAAAAAAADZBAAAZHJzL2Rvd25yZXYueG1sUEsFBgAAAAAEAAQA8wAAAOIF&#10;AAAAAA==&#10;" o:allowincell="f" fillcolor="#e6e6e6" stroked="f"/>
            </w:pict>
          </mc:Fallback>
        </mc:AlternateContent>
      </w:r>
      <w:r>
        <w:rPr>
          <w:noProof/>
        </w:rPr>
        <mc:AlternateContent>
          <mc:Choice Requires="wps">
            <w:drawing>
              <wp:anchor distT="0" distB="0" distL="114300" distR="114300" simplePos="0" relativeHeight="251700224" behindDoc="1" locked="0" layoutInCell="0" allowOverlap="1">
                <wp:simplePos x="0" y="0"/>
                <wp:positionH relativeFrom="column">
                  <wp:posOffset>669925</wp:posOffset>
                </wp:positionH>
                <wp:positionV relativeFrom="paragraph">
                  <wp:posOffset>6350</wp:posOffset>
                </wp:positionV>
                <wp:extent cx="509270" cy="0"/>
                <wp:effectExtent l="0" t="0" r="0" b="0"/>
                <wp:wrapNone/>
                <wp:docPr id="82"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75pt,.5pt" to="92.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dxCHgIAAEMEAAAOAAAAZHJzL2Uyb0RvYy54bWysU02P2jAQvVfqf7Byh3xsYCEirKoEetl2&#10;kXb7A4ztEKuObdmGgKr+944dgtj2UlXlYMaZmTdvZp5XT+dOoBMzlitZRuk0iRCTRFEuD2X07W07&#10;WUTIOiwpFkqyMrowGz2tP35Y9bpgmWqVoMwgAJG26HUZtc7pIo4taVmH7VRpJsHZKNNhB1dziKnB&#10;PaB3Is6SZB73ylBtFGHWwtd6cEbrgN80jLiXprHMIVFGwM2F04Rz7894vcLFwWDdcnKlgf+BRYe5&#10;hKI3qBo7jI6G/wHVcWKUVY2bEtXFqmk4YaEH6CZNfuvmtcWahV5gOFbfxmT/Hyz5etoZxGkZLbII&#10;SdzBjp65ZCh/8LPptS0gpJI747sjZ/mqnxX5bpFUVYvlgQWObxcNeanPiN+l+IvVUGHff1EUYvDR&#10;qTCoc2M6DwkjQOewj8ttH+zsEIGPs2SZPcLWyOiKcTHmaWPdZ6Y65I0yEsA54OLTs3WeBy7GEF9G&#10;qi0XImxbSNQD2SxNZyHDKsGp9/o4aw77Shh0wl4w4Re6As99mIeusW2HuOAapGTUUdJQpmWYbq62&#10;w1wMNtAS0heCHoHo1Rqk8mOZLDeLzSKf5Nl8M8mTup582lb5ZL5NH2f1Q11VdfrTc07zouWUMulp&#10;j7JN87+TxfUBDYK7Cfc2oPg9epgkkB3/A+mwZL/XQSF7RS87My4flBqCr6/KP4X7O9j3b3/9CwAA&#10;//8DAFBLAwQUAAYACAAAACEAAKfVTtYAAAAHAQAADwAAAGRycy9kb3ducmV2LnhtbEyOTUvEMBCG&#10;74L/IYzgzU1VqmttuohQ8OruInhLmrEtJpPapN3675160du8vB/zlLvFOzHjGPtACq43GQikJtie&#10;WgXHQ321BRGTJqtdIFTwjRF21flZqQsbTvSK8z61gkcoFlpBl9JQSBmbDr2OmzAgsfcRRq8Ty7GV&#10;dtQnHvdO3mTZnfS6J/7Q6QGfO2w+95NnjFs3P5h5MvX7l5SmeXEH+1YrdXmxPD2CSLikvzCs+NyB&#10;iplMmMhG4Vhnec7R9QCx+tv8HoT51bIq5X/+6gcAAP//AwBQSwECLQAUAAYACAAAACEAtoM4kv4A&#10;AADhAQAAEwAAAAAAAAAAAAAAAAAAAAAAW0NvbnRlbnRfVHlwZXNdLnhtbFBLAQItABQABgAIAAAA&#10;IQA4/SH/1gAAAJQBAAALAAAAAAAAAAAAAAAAAC8BAABfcmVscy8ucmVsc1BLAQItABQABgAIAAAA&#10;IQDVYdxCHgIAAEMEAAAOAAAAAAAAAAAAAAAAAC4CAABkcnMvZTJvRG9jLnhtbFBLAQItABQABgAI&#10;AAAAIQAAp9VO1gAAAAcBAAAPAAAAAAAAAAAAAAAAAHgEAABkcnMvZG93bnJldi54bWxQSwUGAAAA&#10;AAQABADzAAAAewUAAAAA&#10;" o:allowincell="f" strokeweight=".33653mm"/>
            </w:pict>
          </mc:Fallback>
        </mc:AlternateContent>
      </w:r>
      <w:r>
        <w:rPr>
          <w:noProof/>
        </w:rPr>
        <mc:AlternateContent>
          <mc:Choice Requires="wps">
            <w:drawing>
              <wp:anchor distT="0" distB="0" distL="114300" distR="114300" simplePos="0" relativeHeight="251701248" behindDoc="1" locked="0" layoutInCell="0" allowOverlap="1">
                <wp:simplePos x="0" y="0"/>
                <wp:positionH relativeFrom="column">
                  <wp:posOffset>669925</wp:posOffset>
                </wp:positionH>
                <wp:positionV relativeFrom="paragraph">
                  <wp:posOffset>30480</wp:posOffset>
                </wp:positionV>
                <wp:extent cx="509270" cy="0"/>
                <wp:effectExtent l="0" t="0" r="0" b="0"/>
                <wp:wrapNone/>
                <wp:docPr id="8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75pt,2.4pt" to="92.8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rGHQIAAEM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nGCnS&#10;wo52QnGU52E2nXEFhKzV3obu6EW9mJ2m3x1Set0QdeSR4+vVQF4WMpI3KeHiDFQ4dJ81gxhy8joO&#10;6lLbNkDCCNAl7uN63we/eETh4zRdTJ5ga3RwJaQY8ox1/hPXLQpGiSVwjrjkvHM+8CDFEBLKKL0V&#10;UsZtS4U6IDvJsmnMcFoKFrwhztnjYS0tOpMgmPiLXYHnMSxAV8Q1fVx09VKy+qRYLNNwwjY32xMh&#10;extoSRUKQY9A9Gb1UvmxSBeb+Waej/LJbDPK06oafdyu89Fsmz1Nqw/Vel1lPwPnLC8awRhXgfYg&#10;2yz/O1ncHlAvuLtw7wNK3qLHSQLZ4T+SjksOe+0VctDsurfD8kGpMfj2qsJTeLyD/fj2V78AAAD/&#10;/wMAUEsDBBQABgAIAAAAIQCdR5sL2QAAAAcBAAAPAAAAZHJzL2Rvd25yZXYueG1sTI/NTsMwEITv&#10;SLyDtUjcqMNPoA1xKoQUiSstQuJmx9skwl6H2EnD27PlAsfRzM5+U24X78SMY+wDKbheZSCQmmB7&#10;ahW87eurNYiYNFntAqGCb4ywrc7PSl3YcKRXnHepFVxCsdAKupSGQsrYdOh1XIUBib1DGL1OLMdW&#10;2lEfudw7eZNl99LrnvhDpwd87rD53E2eMW7dvDHzZOqPLylN8+L29r1W6vJieXoEkXBJf2E44fMN&#10;VMxkwkQ2Csc6y3OOKrjjBSd/nT+AML9aVqX8z1/9AAAA//8DAFBLAQItABQABgAIAAAAIQC2gziS&#10;/gAAAOEBAAATAAAAAAAAAAAAAAAAAAAAAABbQ29udGVudF9UeXBlc10ueG1sUEsBAi0AFAAGAAgA&#10;AAAhADj9If/WAAAAlAEAAAsAAAAAAAAAAAAAAAAALwEAAF9yZWxzLy5yZWxzUEsBAi0AFAAGAAgA&#10;AAAhANA/KsYdAgAAQwQAAA4AAAAAAAAAAAAAAAAALgIAAGRycy9lMm9Eb2MueG1sUEsBAi0AFAAG&#10;AAgAAAAhAJ1HmwvZAAAABwEAAA8AAAAAAAAAAAAAAAAAdwQAAGRycy9kb3ducmV2LnhtbFBLBQYA&#10;AAAABAAEAPMAAAB9BQAAAAA=&#10;" o:allowincell="f" strokeweight=".33653mm"/>
            </w:pict>
          </mc:Fallback>
        </mc:AlternateContent>
      </w:r>
      <w:r>
        <w:rPr>
          <w:noProof/>
        </w:rPr>
        <mc:AlternateContent>
          <mc:Choice Requires="wps">
            <w:drawing>
              <wp:anchor distT="0" distB="0" distL="114300" distR="114300" simplePos="0" relativeHeight="251702272" behindDoc="1" locked="0" layoutInCell="0" allowOverlap="1">
                <wp:simplePos x="0" y="0"/>
                <wp:positionH relativeFrom="column">
                  <wp:posOffset>1227455</wp:posOffset>
                </wp:positionH>
                <wp:positionV relativeFrom="paragraph">
                  <wp:posOffset>6350</wp:posOffset>
                </wp:positionV>
                <wp:extent cx="509270" cy="0"/>
                <wp:effectExtent l="0" t="0" r="0" b="0"/>
                <wp:wrapNone/>
                <wp:docPr id="80"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5pt,.5pt" to="136.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9YFHQIAAEMEAAAOAAAAZHJzL2Uyb0RvYy54bWysU8GO2jAQvVfqP1i5QxIaWIgIqyqBXmiL&#10;tNsPMLZDrDq2ZRsCqvrvHTsJYttLVZWDGWdm3ryZeV4/X1uBLsxYrmQRpdMkQkwSRbk8FdG3191k&#10;GSHrsKRYKMmK6MZs9Lx5/27d6ZzNVKMEZQYBiLR5p4uocU7ncWxJw1psp0ozCc5amRY7uJpTTA3u&#10;AL0V8SxJFnGnDNVGEWYtfK16Z7QJ+HXNiPta15Y5JIoIuLlwmnAe/Rlv1jg/GawbTgYa+B9YtJhL&#10;KHqHqrDD6Gz4H1AtJ0ZZVbspUW2s6poTFnqAbtLkt25eGqxZ6AWGY/V9TPb/wZIvl4NBnBbREsYj&#10;cQs72nPJUDb3s+m0zSGklAfjuyNX+aL3iny3SKqywfLEAsfXm4a81GfEb1L8xWqocOw+Kwox+OxU&#10;GNS1Nq2HhBGga9jH7b4PdnWIwMd5spo9AS0yumKcj3naWPeJqRZ5o4gEcA64+LK3zvPA+Rjiy0i1&#10;40KEbQuJOiA7S9N5yLBKcOq9Ps6a07EUBl2wF0z4ha7A8xjmoStsmz4uuHopGXWWNJRpGKbbwXaY&#10;i94GWkL6QtAjEB2sXio/Vslqu9wus0k2W2wnWVJVk4+7MpssdunTvPpQlWWV/vSc0yxvOKVMetqj&#10;bNPs72QxPKBecHfh3gcUv0UPkwSy438gHZbs99or5Kjo7WDG5YNSQ/DwqvxTeLyD/fj2N78AAAD/&#10;/wMAUEsDBBQABgAIAAAAIQDxGh7S2QAAAAcBAAAPAAAAZHJzL2Rvd25yZXYueG1sTI/NTsMwEITv&#10;SLyDtUjcqEMjfprGqRBSJK60FRI3O94mEfY6xE4a3p6FC9x2NLOz35a7xTsx4xj7QApuVxkIpCbY&#10;nloFx0N98wgiJk1Wu0Co4Asj7KrLi1IXNpzpFed9agWXUCy0gi6loZAyNh16HVdhQGLvFEavE8ux&#10;lXbUZy73Tq6z7F563RNf6PSAzx02H/vJM0bu5o2ZJ1O/f0ppmhd3sG+1UtdXy9MWRMIl/YXhB593&#10;oGImEyayUTjWmzznKA/8Evvrh/wOhPnVsirlf/7qGwAA//8DAFBLAQItABQABgAIAAAAIQC2gziS&#10;/gAAAOEBAAATAAAAAAAAAAAAAAAAAAAAAABbQ29udGVudF9UeXBlc10ueG1sUEsBAi0AFAAGAAgA&#10;AAAhADj9If/WAAAAlAEAAAsAAAAAAAAAAAAAAAAALwEAAF9yZWxzLy5yZWxzUEsBAi0AFAAGAAgA&#10;AAAhAK1r1gUdAgAAQwQAAA4AAAAAAAAAAAAAAAAALgIAAGRycy9lMm9Eb2MueG1sUEsBAi0AFAAG&#10;AAgAAAAhAPEaHtLZAAAABwEAAA8AAAAAAAAAAAAAAAAAdwQAAGRycy9kb3ducmV2LnhtbFBLBQYA&#10;AAAABAAEAPMAAAB9BQAAAAA=&#10;" o:allowincell="f" strokeweight=".33653mm"/>
            </w:pict>
          </mc:Fallback>
        </mc:AlternateContent>
      </w:r>
      <w:r>
        <w:rPr>
          <w:noProof/>
        </w:rPr>
        <mc:AlternateContent>
          <mc:Choice Requires="wps">
            <w:drawing>
              <wp:anchor distT="0" distB="0" distL="114300" distR="114300" simplePos="0" relativeHeight="251703296" behindDoc="1" locked="0" layoutInCell="0" allowOverlap="1">
                <wp:simplePos x="0" y="0"/>
                <wp:positionH relativeFrom="column">
                  <wp:posOffset>1227455</wp:posOffset>
                </wp:positionH>
                <wp:positionV relativeFrom="paragraph">
                  <wp:posOffset>30480</wp:posOffset>
                </wp:positionV>
                <wp:extent cx="509270" cy="0"/>
                <wp:effectExtent l="0" t="0" r="0" b="0"/>
                <wp:wrapNone/>
                <wp:docPr id="7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5pt,2.4pt" to="136.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4xHQIAAEM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X5aYKRI&#10;CzvaCcVRPguz6YwrIGSt9jZ0Ry/qxew0/e6Q0uuGqCOPHF+vBvKykJG8SQkXZ6DCofusGcSQk9dx&#10;UJfatgESRoAucR/X+z74xSMKH6fpYvIEW6ODKyHFkGes85+4blEwSiyBc8Ql553zgQcphpBQRumt&#10;kDJuWyrUAdlJlk1jhtNSsOANcc4eD2tp0ZkEwcRf7Ao8j2EBuiKu6eOiq5eS1SfFYpmGE7a52Z4I&#10;2dtAS6pQCHoEojerl8qPRbrYzDfzfJRPZptRnlbV6ON2nY9m2+xpWn2o1usq+xk4Z3nRCMa4CrQH&#10;2Wb538ni9oB6wd2Fex9Q8hY9ThLIDv+RdFxy2GuvkINm170dlg9KjcG3VxWewuMd7Me3v/oFAAD/&#10;/wMAUEsDBBQABgAIAAAAIQBs+lCX2gAAAAcBAAAPAAAAZHJzL2Rvd25yZXYueG1sTI/NTsMwEITv&#10;SLyDtUjcqEPDTxviVAgpEldahMTNjrdJhL0OsZOGt2fhAsfRzM5+U+4W78SMY+wDKbheZSCQmmB7&#10;ahW8HuqrDYiYNFntAqGCL4ywq87PSl3YcKIXnPepFVxCsdAKupSGQsrYdOh1XIUBib1jGL1OLMdW&#10;2lGfuNw7uc6yO+l1T/yh0wM+ddh87CfPGLmbt2aeTP3+KaVpnt3BvtVKXV4sjw8gEi7pLww/+HwD&#10;FTOZMJGNwrHe5jlHFdzwAvbX9/ktCPOrZVXK//zVNwAAAP//AwBQSwECLQAUAAYACAAAACEAtoM4&#10;kv4AAADhAQAAEwAAAAAAAAAAAAAAAAAAAAAAW0NvbnRlbnRfVHlwZXNdLnhtbFBLAQItABQABgAI&#10;AAAAIQA4/SH/1gAAAJQBAAALAAAAAAAAAAAAAAAAAC8BAABfcmVscy8ucmVsc1BLAQItABQABgAI&#10;AAAAIQDW+A4xHQIAAEMEAAAOAAAAAAAAAAAAAAAAAC4CAABkcnMvZTJvRG9jLnhtbFBLAQItABQA&#10;BgAIAAAAIQBs+lCX2gAAAAcBAAAPAAAAAAAAAAAAAAAAAHcEAABkcnMvZG93bnJldi54bWxQSwUG&#10;AAAAAAQABADzAAAAfgUAAAAA&#10;" o:allowincell="f" strokeweight=".33653mm"/>
            </w:pict>
          </mc:Fallback>
        </mc:AlternateContent>
      </w:r>
      <w:r>
        <w:rPr>
          <w:noProof/>
        </w:rPr>
        <mc:AlternateContent>
          <mc:Choice Requires="wps">
            <w:drawing>
              <wp:anchor distT="0" distB="0" distL="114300" distR="114300" simplePos="0" relativeHeight="251704320" behindDoc="1" locked="0" layoutInCell="0" allowOverlap="1">
                <wp:simplePos x="0" y="0"/>
                <wp:positionH relativeFrom="column">
                  <wp:posOffset>1784985</wp:posOffset>
                </wp:positionH>
                <wp:positionV relativeFrom="paragraph">
                  <wp:posOffset>6350</wp:posOffset>
                </wp:positionV>
                <wp:extent cx="569595" cy="0"/>
                <wp:effectExtent l="0" t="0" r="0" b="0"/>
                <wp:wrapNone/>
                <wp:docPr id="7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59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55pt,.5pt" to="185.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o7HQIAAEM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X6CTSnS&#10;wo52QnGUP4XZdMYVELJWexu6oxf1YnaafndI6XVD1JFHjq9XA3lZyEjepISLM1Dh0H3WDGLIyes4&#10;qEtt2wAJI0CXuI/rfR/84hGFj9PZYrqYYkQHV0KKIc9Y5z9x3aJglFgC54hLzjvnAw9SDCGhjNJb&#10;IWXctlSoA7KTLJvGDKelYMEb4pw9HtbSojMJgom/2BV4HsMCdEVc08dFVy8lq0+KxTINJ2xzsz0R&#10;sreBllShEPQIRG9WL5Ufi3SxmW/m+SifzDajPK2q0cftOh/NttnTtPpQrddV9jNwzvKiEYxxFWgP&#10;ss3yv5PF7QH1grsL9z6g5C16nCSQHf4j6bjksNdeIQfNrns7LB+UGoNvryo8hcc72I9vf/ULAAD/&#10;/wMAUEsDBBQABgAIAAAAIQB/V+uY2QAAAAcBAAAPAAAAZHJzL2Rvd25yZXYueG1sTI/BTsMwEETv&#10;SPyDtZW4USetBCXEqRBSJK60qBI3O16SqPY6xE4a/p6FCxxHMzv7ptwv3okZx9gHUpCvMxBITbA9&#10;tQrejvXtDkRMmqx2gVDBF0bYV9dXpS5suNArzofUCi6hWGgFXUpDIWVsOvQ6rsOAxN5HGL1OLMdW&#10;2lFfuNw7ucmyO+l1T/yh0wM+d9icD5NnjK2bH8w8mfr9U0rTvLijPdVK3ayWp0cQCZf0F4YffL6B&#10;iplMmMhG4RRsdnnOUTZ4Evvb+4ynmF8tq1L+56++AQAA//8DAFBLAQItABQABgAIAAAAIQC2gziS&#10;/gAAAOEBAAATAAAAAAAAAAAAAAAAAAAAAABbQ29udGVudF9UeXBlc10ueG1sUEsBAi0AFAAGAAgA&#10;AAAhADj9If/WAAAAlAEAAAsAAAAAAAAAAAAAAAAALwEAAF9yZWxzLy5yZWxzUEsBAi0AFAAGAAgA&#10;AAAhAHCnejsdAgAAQwQAAA4AAAAAAAAAAAAAAAAALgIAAGRycy9lMm9Eb2MueG1sUEsBAi0AFAAG&#10;AAgAAAAhAH9X65jZAAAABwEAAA8AAAAAAAAAAAAAAAAAdwQAAGRycy9kb3ducmV2LnhtbFBLBQYA&#10;AAAABAAEAPMAAAB9BQAAAAA=&#10;" o:allowincell="f" strokeweight=".33653mm"/>
            </w:pict>
          </mc:Fallback>
        </mc:AlternateContent>
      </w:r>
      <w:r>
        <w:rPr>
          <w:noProof/>
        </w:rPr>
        <mc:AlternateContent>
          <mc:Choice Requires="wps">
            <w:drawing>
              <wp:anchor distT="0" distB="0" distL="114300" distR="114300" simplePos="0" relativeHeight="251705344" behindDoc="1" locked="0" layoutInCell="0" allowOverlap="1">
                <wp:simplePos x="0" y="0"/>
                <wp:positionH relativeFrom="column">
                  <wp:posOffset>2403475</wp:posOffset>
                </wp:positionH>
                <wp:positionV relativeFrom="paragraph">
                  <wp:posOffset>6350</wp:posOffset>
                </wp:positionV>
                <wp:extent cx="581660" cy="0"/>
                <wp:effectExtent l="0" t="0" r="0" b="0"/>
                <wp:wrapNone/>
                <wp:docPr id="7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66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25pt,.5pt" to="235.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w3HgIAAEMEAAAOAAAAZHJzL2Uyb0RvYy54bWysU02P2jAQvVfqf7B8hyQ0fGxEWFUEeqEt&#10;0m5/gLEdYtWxLdsQUNX/3rFDENteqqoczDgz8+bNzPPy+dJKdObWCa1KnI1TjLiimgl1LPG31+1o&#10;gZHzRDEiteIlvnKHn1fv3y07U/CJbrRk3CIAUa7oTIkb702RJI42vCVurA1X4Ky1bYmHqz0mzJIO&#10;0FuZTNJ0lnTaMmM15c7B16p34lXEr2tO/de6dtwjWWLg5uNp43kIZ7JakuJoiWkEvdEg/8CiJUJB&#10;0TtURTxBJyv+gGoFtdrp2o+pbhNd14Ly2AN0k6W/dfPSEMNjLzAcZ+5jcv8Pln457y0SrMTzOUaK&#10;tLCjnVAc5Yswm864AkLWam9Dd/SiXsxO0+8OKb1uiDryyPH1aiAvCxnJm5RwcQYqHLrPmkEMOXkd&#10;B3WpbRsgYQToEvdxve+DXzyi8HG6yGYz2BodXAkphjxjnf/EdYuCUWIJnCMuOe+cDzxIMYSEMkpv&#10;hZRx21KhDshOsmwaM5yWggVviHP2eFhLi84kCCb+YlfgeQwL0BVxTR8XXb2UrD4pFss0nLDNzfZE&#10;yN4GWlKFQtAjEL1ZvVR+PKVPm8VmkY/yyWwzytOqGn3crvPRbJvNp9WHar2usp+Bc5YXjWCMq0B7&#10;kG2W/50sbg+oF9xduPcBJW/R4ySB7PAfScclh732Cjlodt3bYfmg1Bh8e1XhKTzewX58+6tfAAAA&#10;//8DAFBLAwQUAAYACAAAACEAQcOt3NoAAAAHAQAADwAAAGRycy9kb3ducmV2LnhtbEyPwU7DMBBE&#10;70j8g7VI3KhTCrQNcSqEFIkrLULiZsfbJMJeh9hJw9+zcKHH0czOvil2s3diwiF2gRQsFxkIpDrY&#10;jhoFb4fqZgMiJk1Wu0Co4Bsj7MrLi0LnNpzoFad9agSXUMy1gjalPpcy1i16HRehR2LvGAavE8uh&#10;kXbQJy73Tt5m2YP0uiP+0Ooen1usP/ejZ4yVm7ZmGk318SWlqV/cwb5XSl1fzU+PIBLO6T8Mv/h8&#10;AyUzmTCSjcIpWK039xxlgyexf7fOliDMn5ZlIc/5yx8AAAD//wMAUEsBAi0AFAAGAAgAAAAhALaD&#10;OJL+AAAA4QEAABMAAAAAAAAAAAAAAAAAAAAAAFtDb250ZW50X1R5cGVzXS54bWxQSwECLQAUAAYA&#10;CAAAACEAOP0h/9YAAACUAQAACwAAAAAAAAAAAAAAAAAvAQAAX3JlbHMvLnJlbHNQSwECLQAUAAYA&#10;CAAAACEAxjpMNx4CAABDBAAADgAAAAAAAAAAAAAAAAAuAgAAZHJzL2Uyb0RvYy54bWxQSwECLQAU&#10;AAYACAAAACEAQcOt3NoAAAAHAQAADwAAAAAAAAAAAAAAAAB4BAAAZHJzL2Rvd25yZXYueG1sUEsF&#10;BgAAAAAEAAQA8wAAAH8FAAAAAA==&#10;" o:allowincell="f" strokeweight=".33653mm"/>
            </w:pict>
          </mc:Fallback>
        </mc:AlternateContent>
      </w:r>
      <w:r>
        <w:rPr>
          <w:noProof/>
        </w:rPr>
        <mc:AlternateContent>
          <mc:Choice Requires="wps">
            <w:drawing>
              <wp:anchor distT="0" distB="0" distL="114300" distR="114300" simplePos="0" relativeHeight="251706368" behindDoc="1" locked="0" layoutInCell="0" allowOverlap="1">
                <wp:simplePos x="0" y="0"/>
                <wp:positionH relativeFrom="column">
                  <wp:posOffset>2354580</wp:posOffset>
                </wp:positionH>
                <wp:positionV relativeFrom="paragraph">
                  <wp:posOffset>18415</wp:posOffset>
                </wp:positionV>
                <wp:extent cx="630555" cy="121285"/>
                <wp:effectExtent l="0" t="0" r="0" b="0"/>
                <wp:wrapNone/>
                <wp:docPr id="76"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555" cy="12128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185.4pt;margin-top:1.45pt;width:49.65pt;height:9.5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8xmfQIAAPwEAAAOAAAAZHJzL2Uyb0RvYy54bWysVNuO0zAQfUfiHyy/d3MhaZto09XeipAW&#10;WLHwAa7tNBaObWy36YL4d8ZOW1rgASFaybE94+MzM2d8ebXrJdpy64RWDc4uUoy4opoJtW7wp4/L&#10;yRwj54liRGrFG/zMHb5avHxxOZia57rTknGLAES5ejAN7rw3dZI42vGeuAttuAJjq21PPCztOmGW&#10;DIDeyyRP02kyaMuM1ZQ7B7t3oxEvIn7bcurft63jHskGAzcfRxvHVRiTxSWp15aYTtA9DfIPLHoi&#10;FFx6hLojnqCNFb9B9YJa7XTrL6juE922gvIYA0STpb9E89QRw2MskBxnjmly/w+Wvts+WiRYg2dT&#10;jBTpoUYfIGtErSVHRRUSNBhXg9+TebQhRGceNP3skNK3Hbjxa2v10HHCgFYW/JOzA2Hh4ChaDW81&#10;A3iy8TrmatfaPgBCFtAuluT5WBK+84jC5vRVWpYlRhRMWZ7l8zLeQOrDYWOdf811j8KkwRa4R3Cy&#10;fXA+kCH1wSWS11KwpZAyLux6dSst2hJQx/00/Pfo7tRNquCsdDg2Io47wBHuCLbANlb7W5XlRXqT&#10;V5PldD6bFMuinFSzdD5Js+qmmqZFVdwtvweCWVF3gjGuHoTiB+Vlxd9Vdt8Do2ai9tDQ4KrMyxj7&#10;GXt3GmQaf38KshceGlGKvsHzoxOpQ13vFYOwSe2JkOM8Oacfsww5OHxjVqIKQuFHAa00ewYRWA1F&#10;gkaEJwMmnbZfMRqg/RrsvmyI5RjJNwqEVGVFEfo1LopylsPCnlpWpxaiKEA12GM0Tm/92OMbY8W6&#10;g5uymBilr0F8rYjCCMIcWe0lCy0WI9g/B6GHT9fR6+ejtfgBAAD//wMAUEsDBBQABgAIAAAAIQBe&#10;zsl/3gAAAAgBAAAPAAAAZHJzL2Rvd25yZXYueG1sTI/BTsMwEETvSPyDtUjcqN1QtTTEqRAqEgeg&#10;auEDtvGSBOJ1iN02/D3LCY6jGc28KVaj79SRhtgGtjCdGFDEVXAt1xbeXh+ubkDFhOywC0wWvinC&#10;qjw/KzB34cRbOu5SraSEY44WmpT6XOtYNeQxTkJPLN57GDwmkUOt3YAnKfedzoyZa48ty0KDPd03&#10;VH3uDt7CWG+266/50/Nm3bc1vnyE2TI8Wnt5Md7dgko0pr8w/OILOpTCtA8HdlF1Fq4XRtCThWwJ&#10;SvzZwkxB7UVnBnRZ6P8Hyh8AAAD//wMAUEsBAi0AFAAGAAgAAAAhALaDOJL+AAAA4QEAABMAAAAA&#10;AAAAAAAAAAAAAAAAAFtDb250ZW50X1R5cGVzXS54bWxQSwECLQAUAAYACAAAACEAOP0h/9YAAACU&#10;AQAACwAAAAAAAAAAAAAAAAAvAQAAX3JlbHMvLnJlbHNQSwECLQAUAAYACAAAACEA29fMZn0CAAD8&#10;BAAADgAAAAAAAAAAAAAAAAAuAgAAZHJzL2Uyb0RvYy54bWxQSwECLQAUAAYACAAAACEAXs7Jf94A&#10;AAAIAQAADwAAAAAAAAAAAAAAAADXBAAAZHJzL2Rvd25yZXYueG1sUEsFBgAAAAAEAAQA8wAAAOIF&#10;AAAAAA==&#10;" o:allowincell="f" fillcolor="#e6e6e6" stroked="f"/>
            </w:pict>
          </mc:Fallback>
        </mc:AlternateContent>
      </w:r>
      <w:r>
        <w:rPr>
          <w:noProof/>
        </w:rPr>
        <mc:AlternateContent>
          <mc:Choice Requires="wps">
            <w:drawing>
              <wp:anchor distT="0" distB="0" distL="114300" distR="114300" simplePos="0" relativeHeight="251707392" behindDoc="1" locked="0" layoutInCell="0" allowOverlap="1">
                <wp:simplePos x="0" y="0"/>
                <wp:positionH relativeFrom="column">
                  <wp:posOffset>1784985</wp:posOffset>
                </wp:positionH>
                <wp:positionV relativeFrom="paragraph">
                  <wp:posOffset>30480</wp:posOffset>
                </wp:positionV>
                <wp:extent cx="569595" cy="0"/>
                <wp:effectExtent l="0" t="0" r="0" b="0"/>
                <wp:wrapNone/>
                <wp:docPr id="7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59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55pt,2.4pt" to="185.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nSHgIAAEMEAAAOAAAAZHJzL2Uyb0RvYy54bWysU82O2jAQvlfqO1i5QxKasBARVlUCvdAW&#10;abcPYGyHWHVsyzYEVPXdO3YIYttLVTUHZ+yZ+eabv9XzpRPozIzlSpZROk0ixCRRlMtjGX173U4W&#10;EbIOS4qFkqyMrsxGz+v371a9LthMtUpQZhCASFv0uoxa53QRx5a0rMN2qjSToGyU6bCDqznG1OAe&#10;0DsRz5JkHvfKUG0UYdbCaz0oo3XAbxpG3NemscwhUUbAzYXThPPgz3i9wsXRYN1ycqOB/4FFh7mE&#10;oHeoGjuMTob/AdVxYpRVjZsS1cWqaThhIQfIJk1+y+alxZqFXKA4Vt/LZP8fLPly3hvEaRk95RGS&#10;uIMe7bhkKA+16bUtwKSSe+OzIxf5oneKfLdIqqrF8sgCx9erBr/UVzN+4+IvVkOEQ/9ZUbDBJ6dC&#10;oS6N6TwklABdQj+u936wi0MEHvP5Ml8CLTKqYlyMftpY94mpDnmhjARwDrj4vLPO88DFaOLDSLXl&#10;QoRuC4l6IDtL0zx4WCU49VpvZ83xUAmDztgPTPhCVqB5NPPQNbbtYBdUwygZdZI0hGkZppub7DAX&#10;gwy0hPSBIEcgepOGUfmxTJabxWaRTbLZfDPJkrqefNxW2WS+TZ/y+kNdVXX603NOs6LllDLpaY9j&#10;m2Z/Nxa3BRoG7j649wLFb9FDJYHs+A+kQ5N9X/2e2eKg6HVvxubDpAbj21b5VXi8g/y4++tfAAAA&#10;//8DAFBLAwQUAAYACAAAACEA4rel3doAAAAHAQAADwAAAGRycy9kb3ducmV2LnhtbEyPQU/DMAyF&#10;70j8h8hI3FjaDcHomk4IqRJXNoTELWlMWy1xSpN25d9juMDNT+/5+XO5X7wTM46xD6QgX2UgkJpg&#10;e2oVvB7rmy2ImDRZ7QKhgi+MsK8uL0pd2HCmF5wPqRVcQrHQCrqUhkLK2HTodVyFAYm9jzB6nViO&#10;rbSjPnO5d3KdZXfS6574QqcHfOqwOR0mzxgbNz+YeTL1+6eUpnl2R/tWK3V9tTzuQCRc0l8YfvB5&#10;BypmMmEiG4VTsN7mOUcV3PIH7G/uMx7Mr5ZVKf/zV98AAAD//wMAUEsBAi0AFAAGAAgAAAAhALaD&#10;OJL+AAAA4QEAABMAAAAAAAAAAAAAAAAAAAAAAFtDb250ZW50X1R5cGVzXS54bWxQSwECLQAUAAYA&#10;CAAAACEAOP0h/9YAAACUAQAACwAAAAAAAAAAAAAAAAAvAQAAX3JlbHMvLnJlbHNQSwECLQAUAAYA&#10;CAAAACEAGg2Z0h4CAABDBAAADgAAAAAAAAAAAAAAAAAuAgAAZHJzL2Uyb0RvYy54bWxQSwECLQAU&#10;AAYACAAAACEA4rel3doAAAAHAQAADwAAAAAAAAAAAAAAAAB4BAAAZHJzL2Rvd25yZXYueG1sUEsF&#10;BgAAAAAEAAQA8wAAAH8FAAAAAA==&#10;" o:allowincell="f" strokeweight=".33653mm"/>
            </w:pict>
          </mc:Fallback>
        </mc:AlternateContent>
      </w:r>
      <w:r>
        <w:rPr>
          <w:noProof/>
        </w:rPr>
        <mc:AlternateContent>
          <mc:Choice Requires="wps">
            <w:drawing>
              <wp:anchor distT="0" distB="0" distL="114300" distR="114300" simplePos="0" relativeHeight="251708416" behindDoc="1" locked="0" layoutInCell="0" allowOverlap="1">
                <wp:simplePos x="0" y="0"/>
                <wp:positionH relativeFrom="column">
                  <wp:posOffset>2403475</wp:posOffset>
                </wp:positionH>
                <wp:positionV relativeFrom="paragraph">
                  <wp:posOffset>30480</wp:posOffset>
                </wp:positionV>
                <wp:extent cx="581660" cy="0"/>
                <wp:effectExtent l="0" t="0" r="0" b="0"/>
                <wp:wrapNone/>
                <wp:docPr id="7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66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25pt,2.4pt" to="235.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2KSHwIAAEMEAAAOAAAAZHJzL2Uyb0RvYy54bWysU8GO2jAQvVfqP1i+QxIaWDYirKoEeqEt&#10;0m4/wNgOserYlm0IqOq/d+wALd3LqmoOju2ZefNm5nnxdOokOnLrhFYlzsYpRlxRzYTal/jby3o0&#10;x8h5ohiRWvESn7nDT8v37xa9KfhEt1oybhGAKFf0psSt96ZIEkdb3hE31oYrMDbadsTD0e4TZkkP&#10;6J1MJmk6S3ptmbGacufgth6MeBnxm4ZT/7VpHPdIlhi4+bjauO7CmiwXpNhbYlpBLzTIP7DoiFCQ&#10;9AZVE0/QwYpXUJ2gVjvd+DHVXaKbRlAea4BqsvSvap5bYnisBZrjzK1N7v/B0i/HrUWClfghx0iR&#10;Dma0EYqjaRZ60xtXgEultjZUR0/q2Ww0/e6Q0lVL1J5Hji9nA3ExIrkLCQdnIMOu/6wZ+JCD17FR&#10;p8Z2ARJagE5xHufbPPjJIwqX03k2m8HU6NWUkOIaZ6zzn7juUNiUWALniEuOG+eBObheXUIapddC&#10;yjhtqVAPZCdZNo0RTkvBgjX4ObvfVdKiIwmCiV/oA6DduQXomrh28IumQUpWHxSLaVpO2Oqy90TI&#10;YQ9AUoVEUCMQvewGqfx4TB9X89U8H+WT2WqUp3U9+riu8tFsnT1M6w91VdXZz8A5y4tWMMZVoH2V&#10;bZa/TRaXBzQI7ibcW4OSe/RYO5C9/iPpOOQw10EhO83OWxvaFOYNSo3Ol1cVnsKf5+j1++0vfwEA&#10;AP//AwBQSwMEFAAGAAgAAAAhANwj45naAAAABwEAAA8AAABkcnMvZG93bnJldi54bWxMj8FOwzAQ&#10;RO9I/IO1SNyoU1poSeNUCCkSV1qExM2Ot0mEvQ6xk4a/Z+ECx9HMzr4p9rN3YsIhdoEULBcZCKQ6&#10;2I4aBa/H6mYLIiZNVrtAqOALI+zLy4tC5zac6QWnQ2oEl1DMtYI2pT6XMtYteh0XoUdi7xQGrxPL&#10;oZF20Gcu907eZtm99Loj/tDqHp9arD8Oo2eMlZsezDSa6v1TSlM/u6N9q5S6vpofdyASzukvDD/4&#10;fAMlM5kwko3CKVhttnccVbDmBeyvN9kShPnVsizkf/7yGwAA//8DAFBLAQItABQABgAIAAAAIQC2&#10;gziS/gAAAOEBAAATAAAAAAAAAAAAAAAAAAAAAABbQ29udGVudF9UeXBlc10ueG1sUEsBAi0AFAAG&#10;AAgAAAAhADj9If/WAAAAlAEAAAsAAAAAAAAAAAAAAAAALwEAAF9yZWxzLy5yZWxzUEsBAi0AFAAG&#10;AAgAAAAhAMzfYpIfAgAAQwQAAA4AAAAAAAAAAAAAAAAALgIAAGRycy9lMm9Eb2MueG1sUEsBAi0A&#10;FAAGAAgAAAAhANwj45naAAAABwEAAA8AAAAAAAAAAAAAAAAAeQQAAGRycy9kb3ducmV2LnhtbFBL&#10;BQYAAAAABAAEAPMAAACABQAAAAA=&#10;" o:allowincell="f" strokeweight=".33653mm"/>
            </w:pict>
          </mc:Fallback>
        </mc:AlternateContent>
      </w:r>
    </w:p>
    <w:p w:rsidR="00000000" w:rsidRDefault="0057438D">
      <w:pPr>
        <w:pStyle w:val="DefaultParagraphFont"/>
        <w:widowControl w:val="0"/>
        <w:overflowPunct w:val="0"/>
        <w:autoSpaceDE w:val="0"/>
        <w:autoSpaceDN w:val="0"/>
        <w:adjustRightInd w:val="0"/>
        <w:spacing w:after="0" w:line="248" w:lineRule="auto"/>
        <w:ind w:left="80" w:right="280"/>
        <w:rPr>
          <w:rFonts w:ascii="Times New Roman" w:hAnsi="Times New Roman" w:cs="Times New Roman"/>
          <w:sz w:val="24"/>
          <w:szCs w:val="24"/>
        </w:rPr>
      </w:pPr>
      <w:r>
        <w:rPr>
          <w:rFonts w:ascii="Times New Roman" w:hAnsi="Times New Roman" w:cs="Times New Roman"/>
          <w:b/>
          <w:bCs/>
          <w:sz w:val="19"/>
          <w:szCs w:val="19"/>
        </w:rPr>
        <w:t>DERIVATIVES NOT DESIGNATED AS HEDGING INSTRUMENTS</w:t>
      </w:r>
    </w:p>
    <w:p w:rsidR="00000000" w:rsidRDefault="0057438D">
      <w:pPr>
        <w:pStyle w:val="DefaultParagraphFont"/>
        <w:widowControl w:val="0"/>
        <w:autoSpaceDE w:val="0"/>
        <w:autoSpaceDN w:val="0"/>
        <w:adjustRightInd w:val="0"/>
        <w:spacing w:after="0" w:line="3" w:lineRule="exact"/>
        <w:rPr>
          <w:rFonts w:ascii="Times New Roman" w:hAnsi="Times New Roman" w:cs="Times New Roman"/>
          <w:sz w:val="24"/>
          <w:szCs w:val="24"/>
        </w:rPr>
      </w:pPr>
      <w:r>
        <w:rPr>
          <w:noProof/>
        </w:rPr>
        <mc:AlternateContent>
          <mc:Choice Requires="wps">
            <w:drawing>
              <wp:anchor distT="0" distB="0" distL="114300" distR="114300" simplePos="0" relativeHeight="251709440" behindDoc="1" locked="0" layoutInCell="0" allowOverlap="1">
                <wp:simplePos x="0" y="0"/>
                <wp:positionH relativeFrom="column">
                  <wp:posOffset>15240</wp:posOffset>
                </wp:positionH>
                <wp:positionV relativeFrom="paragraph">
                  <wp:posOffset>15240</wp:posOffset>
                </wp:positionV>
                <wp:extent cx="2339975" cy="424180"/>
                <wp:effectExtent l="0" t="0" r="0" b="0"/>
                <wp:wrapNone/>
                <wp:docPr id="7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975" cy="424180"/>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1.2pt;margin-top:1.2pt;width:184.25pt;height:33.4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OVgQIAAP0EAAAOAAAAZHJzL2Uyb0RvYy54bWysVNtuGyEQfa/Uf0C8O3vx+rKrrKPEiatK&#10;aRs17QdgYL2oLFDAXidV/70Da7tO24eqqi2xwAzDOTNnuLzadxLtuHVCqxpnFylGXFHNhNrU+POn&#10;1WiOkfNEMSK14jV+4g5fLV6/uuxNxXPdasm4RRBEuao3NW69N1WSONryjrgLbbgCY6NtRzws7SZh&#10;lvQQvZNJnqbTpNeWGaspdw52bwcjXsT4TcOp/9A0jnskawzYfBxtHNdhTBaXpNpYYlpBDzDIP6Do&#10;iFBw6SnULfEEba34LVQnqNVON/6C6i7RTSMojxyATZb+wuaxJYZHLpAcZ05pcv8vLH2/e7BIsBrP&#10;xhgp0kGNPkLWiNpIjiZ5SFBvXAV+j+bBBorO3Gv6xSGlly248Wtrdd9ywgBWFvyTFwfCwsFRtO7f&#10;aQbhydbrmKt9Y7sQELKA9rEkT6eS8L1HFDbz8bgsZxOMKNiKvMjmsWYJqY6njXX+DdcdCpMaWwAf&#10;o5PdvfMBDamOLhG9loKthJRxYTfrpbRoR0Aed9PwjwSA5LmbVMFZ6XBsiDjsAEi4I9gC3Fjub2WW&#10;F+lNXo5W0/lsVKyKyaicpfNRmpU35TQtyuJ29T0AzIqqFYxxdS8UP0ovK/6utIcmGEQTxYf6GpeT&#10;fBK5v0Dvzkmm8fcnkp3w0IlSdDWen5xIFQp7pxjQJpUnQg7z5CX8mGXIwfEbsxJlECo/KGit2ROo&#10;wGooEnQivBkwabV9xqiH/qux+7ollmMk3ypQUpkVRWjYuCgmsxwW9tyyPrcQRSFUjT1Gw3Tphybf&#10;Gis2LdyUxcQofQ3qa0QURlDmgOqgWeixyODwHoQmPl9Hr5+v1uIHAAAA//8DAFBLAwQUAAYACAAA&#10;ACEASViacNwAAAAGAQAADwAAAGRycy9kb3ducmV2LnhtbEyOwU7DMBBE70j9B2srcaMOoQokxKkQ&#10;KhIHaNXCB2zjxQnE6xC7bfr3GPUAp9FoRjOvXIy2EwcafOtYwfUsAUFcO92yUfD+9nR1B8IHZI2d&#10;Y1JwIg+LanJRYqHdkTd02AYj4gj7AhU0IfSFlL5uyKKfuZ44Zh9usBiiHYzUAx7juO1kmiSZtNhy&#10;fGiwp8eG6q/t3ioYzXqz/M5eXtfLvjW4+nTz3D0rdTkdH+5BBBrDXxl+8SM6VJFp5/asvegUpPNY&#10;PEtMb26THMROQZanIKtS/sevfgAAAP//AwBQSwECLQAUAAYACAAAACEAtoM4kv4AAADhAQAAEwAA&#10;AAAAAAAAAAAAAAAAAAAAW0NvbnRlbnRfVHlwZXNdLnhtbFBLAQItABQABgAIAAAAIQA4/SH/1gAA&#10;AJQBAAALAAAAAAAAAAAAAAAAAC8BAABfcmVscy8ucmVsc1BLAQItABQABgAIAAAAIQCekAOVgQIA&#10;AP0EAAAOAAAAAAAAAAAAAAAAAC4CAABkcnMvZTJvRG9jLnhtbFBLAQItABQABgAIAAAAIQBJWJpw&#10;3AAAAAYBAAAPAAAAAAAAAAAAAAAAANsEAABkcnMvZG93bnJldi54bWxQSwUGAAAAAAQABADzAAAA&#10;5AUAAAAA&#10;" o:allowincell="f" fillcolor="#e6e6e6" stroked="f"/>
            </w:pict>
          </mc:Fallback>
        </mc:AlternateContent>
      </w:r>
      <w:r>
        <w:rPr>
          <w:noProof/>
        </w:rPr>
        <mc:AlternateContent>
          <mc:Choice Requires="wps">
            <w:drawing>
              <wp:anchor distT="0" distB="0" distL="114300" distR="114300" simplePos="0" relativeHeight="251710464" behindDoc="1" locked="0" layoutInCell="0" allowOverlap="1">
                <wp:simplePos x="0" y="0"/>
                <wp:positionH relativeFrom="column">
                  <wp:posOffset>2355215</wp:posOffset>
                </wp:positionH>
                <wp:positionV relativeFrom="paragraph">
                  <wp:posOffset>15240</wp:posOffset>
                </wp:positionV>
                <wp:extent cx="629920" cy="424180"/>
                <wp:effectExtent l="0" t="0" r="0" b="0"/>
                <wp:wrapNone/>
                <wp:docPr id="72"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20" cy="424180"/>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margin-left:185.45pt;margin-top:1.2pt;width:49.6pt;height:33.4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T+nfgIAAPwEAAAOAAAAZHJzL2Uyb0RvYy54bWysVG2PEyEQ/m7ifyB8b/fF7ctubnu5u16N&#10;yakXT38ABbZLZAGBdnsa/7sD29ZW/WCMbcICMzw8M/MMV9f7TqIdt05oVeNsnGLEFdVMqE2NP31c&#10;jeYYOU8UI1IrXuNn7vD14uWLq95UPNetloxbBCDKVb2pceu9qZLE0ZZ3xI214QqMjbYd8bC0m4RZ&#10;0gN6J5M8TadJry0zVlPuHOwuByNeRPym4dS/bxrHPZI1Bm4+jjaO6zAmiytSbSwxraAHGuQfWHRE&#10;KLj0BLUknqCtFb9BdYJa7XTjx1R3iW4aQXmMAaLJ0l+ieWqJ4TEWSI4zpzS5/wdL3+0eLRKsxrMc&#10;I0U6qNEHyBpRG8nR5FVIUG9cBX5P5tGGEJ150PSzQ0rfteDGb6zVfcsJA1pZ8E8uDoSFg6No3b/V&#10;DODJ1uuYq31juwAIWUD7WJLnU0n43iMKm9O8LHMoHAVTkRfZPJYsIdXxsLHOv+a6Q2FSYwvcIzjZ&#10;PTgfyJDq6BLJaynYSkgZF3azvpMW7Qio434a/pE/xHjuJlVwVjocGxCHHeAIdwRbYBur/a3M8iK9&#10;zcvRajqfjYpVMRmVs3Q+SrPytpymRVksV98DwayoWsEYVw9C8aPysuLvKnvogUEzUXuor3E5yScx&#10;9gv27jzINP7+FGQnPDSiFF2N5ycnUoW63isGYZPKEyGHeXJJP2YZcnD8xqxEFYTCDwJaa/YMIrAa&#10;igT1hCcDJq22XzHqof1q7L5sieUYyTcKhFRmRRH6NS6KySxowJ5b1ucWoihA1dhjNEzv/NDjW2PF&#10;poWbspgYpW9AfI2IwgjCHFgdJAstFiM4PAehh8/X0evno7X4AQAA//8DAFBLAwQUAAYACAAAACEA&#10;u5xlsd8AAAAIAQAADwAAAGRycy9kb3ducmV2LnhtbEyPwU7DMBBE70j8g7VI3KjdEKUkzaZCqEgc&#10;gKqFD3CTrROI1yF22/D3mBMcRzOaeVOuJtuLE42+c4wwnykQxLVrOjYI72+PN3cgfNDc6N4xIXyT&#10;h1V1eVHqonFn3tJpF4yIJewLjdCGMBRS+rolq/3MDcTRO7jR6hDlaGQz6nMst71MlMqk1R3HhVYP&#10;9NBS/bk7WoTJbLbrr+z5ZbMeOqNfP1yauyfE66vpfgki0BT+wvCLH9Ghikx7d+TGix7hdqHyGEVI&#10;UhDRTxdqDmKPkOUJyKqU/w9UPwAAAP//AwBQSwECLQAUAAYACAAAACEAtoM4kv4AAADhAQAAEwAA&#10;AAAAAAAAAAAAAAAAAAAAW0NvbnRlbnRfVHlwZXNdLnhtbFBLAQItABQABgAIAAAAIQA4/SH/1gAA&#10;AJQBAAALAAAAAAAAAAAAAAAAAC8BAABfcmVscy8ucmVsc1BLAQItABQABgAIAAAAIQC8wT+nfgIA&#10;APwEAAAOAAAAAAAAAAAAAAAAAC4CAABkcnMvZTJvRG9jLnhtbFBLAQItABQABgAIAAAAIQC7nGWx&#10;3wAAAAgBAAAPAAAAAAAAAAAAAAAAANgEAABkcnMvZG93bnJldi54bWxQSwUGAAAAAAQABADzAAAA&#10;5AUAAAAA&#10;" o:allowincell="f" fillcolor="#e6e6e6" stroked="f"/>
            </w:pict>
          </mc:Fallback>
        </mc:AlternateContent>
      </w:r>
      <w:r>
        <w:rPr>
          <w:noProof/>
        </w:rPr>
        <mc:AlternateContent>
          <mc:Choice Requires="wps">
            <w:drawing>
              <wp:anchor distT="0" distB="0" distL="114300" distR="114300" simplePos="0" relativeHeight="251711488" behindDoc="1" locked="0" layoutInCell="0" allowOverlap="1">
                <wp:simplePos x="0" y="0"/>
                <wp:positionH relativeFrom="column">
                  <wp:posOffset>1784985</wp:posOffset>
                </wp:positionH>
                <wp:positionV relativeFrom="paragraph">
                  <wp:posOffset>426720</wp:posOffset>
                </wp:positionV>
                <wp:extent cx="569595" cy="0"/>
                <wp:effectExtent l="0" t="0" r="0" b="0"/>
                <wp:wrapNone/>
                <wp:docPr id="71"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59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55pt,33.6pt" to="185.4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prHQIAAEMEAAAOAAAAZHJzL2Uyb0RvYy54bWysU8GO2jAQvVfqP1i+QwhNWIgIqyqBXmiL&#10;tNsPMLZDrDq2ZRsCqvrvHTuA2PZSVeVgxpmZN29mnpfP506iE7dOaFXidDzBiCuqmVCHEn973Yzm&#10;GDlPFCNSK17iC3f4efX+3bI3BZ/qVkvGLQIQ5YrelLj13hRJ4mjLO+LG2nAFzkbbjni42kPCLOkB&#10;vZPJdDKZJb22zFhNuXPwtR6ceBXxm4ZT/7VpHPdIlhi4+XjaeO7DmayWpDhYYlpBrzTIP7DoiFBQ&#10;9A5VE0/Q0Yo/oDpBrXa68WOqu0Q3jaA89gDdpJPfunlpieGxFxiOM/cxuf8HS7+cdhYJVuKnFCNF&#10;OtjRViiO8izMpjeugJBK7Wzojp7Vi9lq+t0hpauWqAOPHF8vBvLSkJG8SQkXZ6DCvv+sGcSQo9dx&#10;UOfGdgESRoDOcR+X+z742SMKH/PZIl/kGNGbKyHFLc9Y5z9x3aFglFgC54hLTlvnAw9S3EJCGaU3&#10;Qsq4balQD2SnaZrHDKelYMEb4pw97Ctp0YkEwcRf7Ao8j2EBuiauHeKia5CS1UfFYpmWE7a+2p4I&#10;OdhAS6pQCHoEoldrkMqPxWSxnq/n2SibztajbFLXo4+bKhvNNulTXn+oq6pOfwbOaVa0gjGuAu2b&#10;bNPs72RxfUCD4O7CvQ8oeYseJwlkb/+RdFxy2OugkL1ml529LR+UGoOvryo8hcc72I9vf/ULAAD/&#10;/wMAUEsDBBQABgAIAAAAIQCkadXv3AAAAAkBAAAPAAAAZHJzL2Rvd25yZXYueG1sTI9BT8MwDIXv&#10;SPyHyJO4sbSdtI3SdEJIlbiyoUnc0sa01RKnNGlX/j1GHOBo+73n7xWHxVkx4xh6TwrSdQICqfGm&#10;p1bB26m634MIUZPR1hMq+MIAh/L2ptC58Vd6xfkYW8EhFHKtoItxyKUMTYdOh7UfkPj24UenI49j&#10;K82orxzurMySZCud7ok/dHrA5w6by3FyjLGx80M9T3X1/ill3bzYkzlXSt2tlqdHEBGX+CeGH3z2&#10;QMlMtZ/IBGEVZPs0ZamC7S4DwYLNLuEu9e9CloX836D8BgAA//8DAFBLAQItABQABgAIAAAAIQC2&#10;gziS/gAAAOEBAAATAAAAAAAAAAAAAAAAAAAAAABbQ29udGVudF9UeXBlc10ueG1sUEsBAi0AFAAG&#10;AAgAAAAhADj9If/WAAAAlAEAAAsAAAAAAAAAAAAAAAAALwEAAF9yZWxzLy5yZWxzUEsBAi0AFAAG&#10;AAgAAAAhAGxQimsdAgAAQwQAAA4AAAAAAAAAAAAAAAAALgIAAGRycy9lMm9Eb2MueG1sUEsBAi0A&#10;FAAGAAgAAAAhAKRp1e/cAAAACQEAAA8AAAAAAAAAAAAAAAAAdwQAAGRycy9kb3ducmV2LnhtbFBL&#10;BQYAAAAABAAEAPMAAACABQAAAAA=&#10;" o:allowincell="f" strokeweight=".33653mm"/>
            </w:pict>
          </mc:Fallback>
        </mc:AlternateContent>
      </w:r>
      <w:r>
        <w:rPr>
          <w:noProof/>
        </w:rPr>
        <mc:AlternateContent>
          <mc:Choice Requires="wps">
            <w:drawing>
              <wp:anchor distT="0" distB="0" distL="114300" distR="114300" simplePos="0" relativeHeight="251712512" behindDoc="1" locked="0" layoutInCell="0" allowOverlap="1">
                <wp:simplePos x="0" y="0"/>
                <wp:positionH relativeFrom="column">
                  <wp:posOffset>2403475</wp:posOffset>
                </wp:positionH>
                <wp:positionV relativeFrom="paragraph">
                  <wp:posOffset>426720</wp:posOffset>
                </wp:positionV>
                <wp:extent cx="581660" cy="0"/>
                <wp:effectExtent l="0" t="0" r="0" b="0"/>
                <wp:wrapNone/>
                <wp:docPr id="70"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66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25pt,33.6pt" to="235.0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nErHQIAAEMEAAAOAAAAZHJzL2Uyb0RvYy54bWysU8GO2jAQvVfqP1i+QxIaW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QPMB5F&#10;OtjRs1AczedhNr1xBYRUamdDd/SsXsyzpt8dUrpqiTrwyPH1YiAvCxnJm5RwcQYq7PvPmkEMOXod&#10;B3VubBcgYQToHPdxue2Dnz2i8HG+zBYLoEVHV0KKMc9Y5z9x3aFglFgC54hLTs/OBx6kGENCGaW3&#10;Qsq4balQD2RnWTaPGU5LwYI3xDl72FfSohMJgom/2BV47sMCdE1cO8RF1yAlq4+KxTItJ2xztT0R&#10;crCBllShEPQIRK/WIJUfj+njZrlZ5pN8tthM8rSuJx+3VT5ZbLOHef2hrqo6+xk4Z3nRCsa4CrRH&#10;2Wb538ni+oAGwd2EextQ8hY9ThLIjv+RdFxy2OugkL1ml50dlw9KjcHXVxWewv0d7Pu3v/4FAAD/&#10;/wMAUEsDBBQABgAIAAAAIQDzivNk3AAAAAkBAAAPAAAAZHJzL2Rvd25yZXYueG1sTI/BTsMwDIbv&#10;SLxDZCRuLN0G6+iaTgipElc2hMQtbby2InFKk3bl7THiwI62P//+nO9nZ8WEQ+g8KVguEhBItTcd&#10;NQrejuXdFkSImoy2nlDBNwbYF9dXuc6MP9MrTofYCA6hkGkFbYx9JmWoW3Q6LHyPxLOTH5yOXA6N&#10;NIM+c7izcpUkG+l0R3yh1T0+t1h/HkbHGms7PVbTWJUfX1JW9Ys9mvdSqdub+WkHIuIc/2H41ecd&#10;KNip8iOZIKyCdbp9YFTBJl2BYOA+TZYgqr+GLHJ5+UHxAwAA//8DAFBLAQItABQABgAIAAAAIQC2&#10;gziS/gAAAOEBAAATAAAAAAAAAAAAAAAAAAAAAABbQ29udGVudF9UeXBlc10ueG1sUEsBAi0AFAAG&#10;AAgAAAAhADj9If/WAAAAlAEAAAsAAAAAAAAAAAAAAAAALwEAAF9yZWxzLy5yZWxzUEsBAi0AFAAG&#10;AAgAAAAhALqCcSsdAgAAQwQAAA4AAAAAAAAAAAAAAAAALgIAAGRycy9lMm9Eb2MueG1sUEsBAi0A&#10;FAAGAAgAAAAhAPOK82TcAAAACQEAAA8AAAAAAAAAAAAAAAAAdwQAAGRycy9kb3ducmV2LnhtbFBL&#10;BQYAAAAABAAEAPMAAACABQAAAAA=&#10;" o:allowincell="f" strokeweight=".33653mm"/>
            </w:pict>
          </mc:Fallback>
        </mc:AlternateContent>
      </w:r>
    </w:p>
    <w:tbl>
      <w:tblPr>
        <w:tblW w:w="0" w:type="auto"/>
        <w:tblInd w:w="80" w:type="dxa"/>
        <w:tblLayout w:type="fixed"/>
        <w:tblCellMar>
          <w:left w:w="0" w:type="dxa"/>
          <w:right w:w="0" w:type="dxa"/>
        </w:tblCellMar>
        <w:tblLook w:val="0000" w:firstRow="0" w:lastRow="0" w:firstColumn="0" w:lastColumn="0" w:noHBand="0" w:noVBand="0"/>
      </w:tblPr>
      <w:tblGrid>
        <w:gridCol w:w="860"/>
        <w:gridCol w:w="940"/>
        <w:gridCol w:w="880"/>
        <w:gridCol w:w="400"/>
        <w:gridCol w:w="600"/>
        <w:gridCol w:w="400"/>
        <w:gridCol w:w="540"/>
        <w:gridCol w:w="20"/>
      </w:tblGrid>
      <w:tr w:rsidR="00000000">
        <w:tblPrEx>
          <w:tblCellMar>
            <w:top w:w="0" w:type="dxa"/>
            <w:left w:w="0" w:type="dxa"/>
            <w:bottom w:w="0" w:type="dxa"/>
            <w:right w:w="0" w:type="dxa"/>
          </w:tblCellMar>
        </w:tblPrEx>
        <w:trPr>
          <w:trHeight w:val="218"/>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Foreign</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rPr>
                <w:rFonts w:ascii="Times New Roman" w:hAnsi="Times New Roman" w:cs="Times New Roman"/>
                <w:sz w:val="24"/>
                <w:szCs w:val="24"/>
              </w:rPr>
            </w:pPr>
            <w:r>
              <w:rPr>
                <w:rFonts w:ascii="Times New Roman" w:hAnsi="Times New Roman" w:cs="Times New Roman"/>
                <w:sz w:val="19"/>
                <w:szCs w:val="19"/>
              </w:rPr>
              <w:t>currency</w:t>
            </w:r>
          </w:p>
        </w:tc>
        <w:tc>
          <w:tcPr>
            <w:tcW w:w="9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9"/>
                <w:szCs w:val="19"/>
              </w:rPr>
              <w:t>$ 12,111</w:t>
            </w:r>
          </w:p>
        </w:tc>
        <w:tc>
          <w:tcPr>
            <w:tcW w:w="8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sz w:val="19"/>
                <w:szCs w:val="19"/>
              </w:rPr>
              <w:t>$  7,080</w:t>
            </w:r>
          </w:p>
        </w:tc>
        <w:tc>
          <w:tcPr>
            <w:tcW w:w="4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w:t>
            </w:r>
          </w:p>
        </w:tc>
        <w:tc>
          <w:tcPr>
            <w:tcW w:w="6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(42)</w:t>
            </w:r>
          </w:p>
        </w:tc>
        <w:tc>
          <w:tcPr>
            <w:tcW w:w="4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sz w:val="19"/>
                <w:szCs w:val="19"/>
              </w:rPr>
              <w:t>$</w:t>
            </w:r>
          </w:p>
        </w:tc>
        <w:tc>
          <w:tcPr>
            <w:tcW w:w="5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contracts</w:t>
            </w:r>
          </w:p>
        </w:tc>
        <w:tc>
          <w:tcPr>
            <w:tcW w:w="9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72" w:lineRule="exact"/>
        <w:rPr>
          <w:rFonts w:ascii="Times New Roman" w:hAnsi="Times New Roman" w:cs="Times New Roman"/>
          <w:sz w:val="24"/>
          <w:szCs w:val="24"/>
        </w:rPr>
      </w:pPr>
      <w:r>
        <w:rPr>
          <w:noProof/>
        </w:rPr>
        <mc:AlternateContent>
          <mc:Choice Requires="wps">
            <w:drawing>
              <wp:anchor distT="0" distB="0" distL="114300" distR="114300" simplePos="0" relativeHeight="251713536" behindDoc="1" locked="0" layoutInCell="0" allowOverlap="1">
                <wp:simplePos x="0" y="0"/>
                <wp:positionH relativeFrom="column">
                  <wp:posOffset>669925</wp:posOffset>
                </wp:positionH>
                <wp:positionV relativeFrom="paragraph">
                  <wp:posOffset>5715</wp:posOffset>
                </wp:positionV>
                <wp:extent cx="509270" cy="0"/>
                <wp:effectExtent l="0" t="0" r="0" b="0"/>
                <wp:wrapNone/>
                <wp:docPr id="6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75pt,.45pt" to="92.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XkfHQIAAEM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4vMVKk&#10;hR3thOJoNg+z6YzLIaRUexu6oxf1YnaafndI6bIh6sgjx9ergbwsZCRvUsLFGahw6D5rBjHk5HUc&#10;1KW2bYCEEaBL3Mf1vg9+8YjCx1m6nDzB1ujgSkg+5Bnr/CeuWxSMAkvgHHHJeed84EHyISSUUXor&#10;pIzblgp1QHaSZbOY4bQULHhDnLPHQyktOpMgmPiLXYHnMSxAV8Q1fVx09VKy+qRYLNNwwjY32xMh&#10;extoSRUKQY9A9Gb1UvmxTJebxWYxHU0n881omlbV6OO2nI7m2+xpVn2oyrLKfgbO2TRvBGNcBdqD&#10;bLPp38ni9oB6wd2Fex9Q8hY9ThLIDv+RdFxy2GuvkINm170dlg9KjcG3VxWewuMd7Me3v/4FAAD/&#10;/wMAUEsDBBQABgAIAAAAIQARRkag1gAAAAUBAAAPAAAAZHJzL2Rvd25yZXYueG1sTI5BS8QwEIXv&#10;gv8hjODNTVWqu7XpIkLBq7uL4C1pxraYTGqTduu/d3rS48d78+Yr94t3YsYx9oEU3G4yEEhNsD21&#10;Ck7H+mYLIiZNVrtAqOAHI+yry4tSFzac6Q3nQ2oFj1AstIIupaGQMjYdeh03YUDi7DOMXifGsZV2&#10;1Gce907eZdmD9Lon/tDpAV86bL4Ok2eNezfvzDyZ+uNbStO8uqN9r5W6vlqen0AkXNJfGVZ9voGK&#10;nUyYyEbhmLM856qCHYg13uaPIMyKsirlf/vqFwAA//8DAFBLAQItABQABgAIAAAAIQC2gziS/gAA&#10;AOEBAAATAAAAAAAAAAAAAAAAAAAAAABbQ29udGVudF9UeXBlc10ueG1sUEsBAi0AFAAGAAgAAAAh&#10;ADj9If/WAAAAlAEAAAsAAAAAAAAAAAAAAAAALwEAAF9yZWxzLy5yZWxzUEsBAi0AFAAGAAgAAAAh&#10;AAMJeR8dAgAAQwQAAA4AAAAAAAAAAAAAAAAALgIAAGRycy9lMm9Eb2MueG1sUEsBAi0AFAAGAAgA&#10;AAAhABFGRqDWAAAABQEAAA8AAAAAAAAAAAAAAAAAdwQAAGRycy9kb3ducmV2LnhtbFBLBQYAAAAA&#10;BAAEAPMAAAB6BQAAAAA=&#10;" o:allowincell="f" strokeweight=".33653mm"/>
            </w:pict>
          </mc:Fallback>
        </mc:AlternateContent>
      </w:r>
      <w:r>
        <w:rPr>
          <w:noProof/>
        </w:rPr>
        <mc:AlternateContent>
          <mc:Choice Requires="wps">
            <w:drawing>
              <wp:anchor distT="0" distB="0" distL="114300" distR="114300" simplePos="0" relativeHeight="251714560" behindDoc="1" locked="0" layoutInCell="0" allowOverlap="1">
                <wp:simplePos x="0" y="0"/>
                <wp:positionH relativeFrom="column">
                  <wp:posOffset>669925</wp:posOffset>
                </wp:positionH>
                <wp:positionV relativeFrom="paragraph">
                  <wp:posOffset>30480</wp:posOffset>
                </wp:positionV>
                <wp:extent cx="509270" cy="0"/>
                <wp:effectExtent l="0" t="0" r="0" b="0"/>
                <wp:wrapNone/>
                <wp:docPr id="6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75pt,2.4pt" to="92.8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cHgIAAEMEAAAOAAAAZHJzL2Uyb0RvYy54bWysU02P2jAQvVfqf7ByhyQ0fEWEVZVAL7RF&#10;2u0PMLZDrDq2ZRsCqvrfO3YIYtvLalUOZpyZefNm3nj1dGkFOjNjuZJFlI6TCDFJFOXyWEQ/Xraj&#10;RYSsw5JioSQroiuz0dP644dVp3M2UY0SlBkEINLmnS6ixjmdx7ElDWuxHSvNJDhrZVrs4GqOMTW4&#10;A/RWxJMkmcWdMlQbRZi18LXqndE64Nc1I+57XVvmkCgi4ObCacJ58Ge8XuH8aLBuOLnRwO9g0WIu&#10;oegdqsIOo5Ph/0C1nBhlVe3GRLWxqmtOWOgBukmTv7p5brBmoRcYjtX3Mdn/B0u+nfcGcVpEM1BK&#10;4hY02nHJ0HTuZ9Npm0NIKffGd0cu8lnvFPlpkVRlg+WRBY4vVw15qc+IX6X4i9VQ4dB9VRRi8Mmp&#10;MKhLbVoPCSNAl6DH9a4HuzhE4OM0WU7moBoZXDHOhzxtrPvCVIu8UUQCOAdcfN5Z53ngfAjxZaTa&#10;ciGC2kKiDshO0nQaMqwSnHqvj7PmeCiFQWfsFyb8QlfgeQzz0BW2TR8XXP0qGXWSNJRpGKabm+0w&#10;F70NtIT0haBHIHqz+lX5tUyWm8VmkY2yyWwzypKqGn3eltlotk3n0+pTVZZV+ttzTrO84ZQy6WkP&#10;a5tmb1uL2wPqF+6+uPcBxa/RwySB7PAfSAeRva79hhwUve7NID5sagi+vSr/FB7vYD++/fUfAAAA&#10;//8DAFBLAwQUAAYACAAAACEAnUebC9kAAAAHAQAADwAAAGRycy9kb3ducmV2LnhtbEyPzU7DMBCE&#10;70i8g7VI3KjDT6ANcSqEFIkrLULiZsfbJMJeh9hJw9uz5QLH0czOflNuF+/EjGPsAym4XmUgkJpg&#10;e2oVvO3rqzWImDRZ7QKhgm+MsK3Oz0pd2HCkV5x3qRVcQrHQCrqUhkLK2HTodVyFAYm9Qxi9TizH&#10;VtpRH7ncO3mTZffS6574Q6cHfO6w+dxNnjFu3bwx82Tqjy8pTfPi9va9VuryYnl6BJFwSX9hOOHz&#10;DVTMZMJENgrHOstzjiq44wUnf50/gDC/Wlal/M9f/QAAAP//AwBQSwECLQAUAAYACAAAACEAtoM4&#10;kv4AAADhAQAAEwAAAAAAAAAAAAAAAAAAAAAAW0NvbnRlbnRfVHlwZXNdLnhtbFBLAQItABQABgAI&#10;AAAAIQA4/SH/1gAAAJQBAAALAAAAAAAAAAAAAAAAAC8BAABfcmVscy8ucmVsc1BLAQItABQABgAI&#10;AAAAIQB+XYXcHgIAAEMEAAAOAAAAAAAAAAAAAAAAAC4CAABkcnMvZTJvRG9jLnhtbFBLAQItABQA&#10;BgAIAAAAIQCdR5sL2QAAAAcBAAAPAAAAAAAAAAAAAAAAAHgEAABkcnMvZG93bnJldi54bWxQSwUG&#10;AAAAAAQABADzAAAAfgUAAAAA&#10;" o:allowincell="f" strokeweight=".33653mm"/>
            </w:pict>
          </mc:Fallback>
        </mc:AlternateContent>
      </w:r>
      <w:r>
        <w:rPr>
          <w:noProof/>
        </w:rPr>
        <mc:AlternateContent>
          <mc:Choice Requires="wps">
            <w:drawing>
              <wp:anchor distT="0" distB="0" distL="114300" distR="114300" simplePos="0" relativeHeight="251715584" behindDoc="1" locked="0" layoutInCell="0" allowOverlap="1">
                <wp:simplePos x="0" y="0"/>
                <wp:positionH relativeFrom="column">
                  <wp:posOffset>1227455</wp:posOffset>
                </wp:positionH>
                <wp:positionV relativeFrom="paragraph">
                  <wp:posOffset>5715</wp:posOffset>
                </wp:positionV>
                <wp:extent cx="509270" cy="0"/>
                <wp:effectExtent l="0" t="0" r="0" b="0"/>
                <wp:wrapNone/>
                <wp:docPr id="67"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5pt,.45pt" to="136.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rRTHQIAAEM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4/YaRI&#10;CzvaCcXRbBFm0xmXQ0ip9jZ0Ry/qxew0/e6Q0mVD1JFHjq9XA3lZyEjepISLM1Dh0H3WDGLIyes4&#10;qEtt2wAJI0CXuI/rfR/84hGFj7N0OXmCrdHBlZB8yDPW+U9ctygYBZbAOeKS8875wIPkQ0goo/RW&#10;SBm3LRXqgOwky2Yxw2kpWPCGOGePh1JadCZBMPEXuwLPY1iArohr+rjo6qVk9UmxWKbhhG1utidC&#10;9jbQkioUgh6B6M3qpfJjmS43i81iOppO5pvRNK2q0cdtOR3Nt9nTrPpQlWWV/Qycs2neCMa4CrQH&#10;2WbTv5PF7QH1grsL9z6g5C16nCSQHf4j6bjksNdeIQfNrns7LB+UGoNvryo8hcc72I9vf/0LAAD/&#10;/wMAUEsDBBQABgAIAAAAIQCakk792AAAAAUBAAAPAAAAZHJzL2Rvd25yZXYueG1sTI5NS8QwEIbv&#10;gv8hjODNTd3iR2vTRYSCV3cXwVvSjG0xmdQm7dZ/7+xJjw/vO+881W71Tiw4xSGQgttNBgKpDXag&#10;TsHx0Nw8gohJk9UuECr4wQi7+vKi0qUNJ3rDZZ86wSMUS62gT2kspYxtj17HTRiROPsMk9eJceqk&#10;nfSJx72T2yy7l14PxB96PeJLj+3XfvaskbulMMtsmo9vKU376g72vVHq+mp9fgKRcE1/ZTjr8w3U&#10;7GTCTDYKx1zkOVcVFCA43j7kdyDMGWVdyf/29S8AAAD//wMAUEsBAi0AFAAGAAgAAAAhALaDOJL+&#10;AAAA4QEAABMAAAAAAAAAAAAAAAAAAAAAAFtDb250ZW50X1R5cGVzXS54bWxQSwECLQAUAAYACAAA&#10;ACEAOP0h/9YAAACUAQAACwAAAAAAAAAAAAAAAAAvAQAAX3JlbHMvLnJlbHNQSwECLQAUAAYACAAA&#10;ACEAY0a0Ux0CAABDBAAADgAAAAAAAAAAAAAAAAAuAgAAZHJzL2Uyb0RvYy54bWxQSwECLQAUAAYA&#10;CAAAACEAmpJO/dgAAAAFAQAADwAAAAAAAAAAAAAAAAB3BAAAZHJzL2Rvd25yZXYueG1sUEsFBgAA&#10;AAAEAAQA8wAAAHwFAAAAAA==&#10;" o:allowincell="f" strokeweight=".33653mm"/>
            </w:pict>
          </mc:Fallback>
        </mc:AlternateContent>
      </w:r>
      <w:r>
        <w:rPr>
          <w:noProof/>
        </w:rPr>
        <mc:AlternateContent>
          <mc:Choice Requires="wps">
            <w:drawing>
              <wp:anchor distT="0" distB="0" distL="114300" distR="114300" simplePos="0" relativeHeight="251716608" behindDoc="1" locked="0" layoutInCell="0" allowOverlap="1">
                <wp:simplePos x="0" y="0"/>
                <wp:positionH relativeFrom="column">
                  <wp:posOffset>1227455</wp:posOffset>
                </wp:positionH>
                <wp:positionV relativeFrom="paragraph">
                  <wp:posOffset>30480</wp:posOffset>
                </wp:positionV>
                <wp:extent cx="509270" cy="0"/>
                <wp:effectExtent l="0" t="0" r="0" b="0"/>
                <wp:wrapNone/>
                <wp:docPr id="6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5pt,2.4pt" to="136.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iQHQIAAEM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7PMVKk&#10;hR3thOJotgyz6YzLIaRUexu6oxf1YnaafndI6bIh6sgjx9ergbwsZCRvUsLFGahw6D5rBjHk5HUc&#10;1KW2bYCEEaBL3Mf1vg9+8YjCx1m6nDzB1ujgSkg+5Bnr/CeuWxSMAkvgHHHJeed84EHyISSUUXor&#10;pIzblgp1QHaSZbOY4bQULHhDnLPHQyktOpMgmPiLXYHnMSxAV8Q1fVx09VKy+qRYLNNwwjY32xMh&#10;extoSRUKQY9A9Gb1UvmxTJebxWYxHU0n881omlbV6OO2nI7m2+xpVn2oyrLKfgbO2TRvBGNcBdqD&#10;bLPp38ni9oB6wd2Fex9Q8hY9ThLIDv+RdFxy2GuvkINm170dlg9KjcG3VxWewuMd7Me3v/4FAAD/&#10;/wMAUEsDBBQABgAIAAAAIQBs+lCX2gAAAAcBAAAPAAAAZHJzL2Rvd25yZXYueG1sTI/NTsMwEITv&#10;SLyDtUjcqEPDTxviVAgpEldahMTNjrdJhL0OsZOGt2fhAsfRzM5+U+4W78SMY+wDKbheZSCQmmB7&#10;ahW8HuqrDYiYNFntAqGCL4ywq87PSl3YcKIXnPepFVxCsdAKupSGQsrYdOh1XIUBib1jGL1OLMdW&#10;2lGfuNw7uc6yO+l1T/yh0wM+ddh87CfPGLmbt2aeTP3+KaVpnt3BvtVKXV4sjw8gEi7pLww/+HwD&#10;FTOZMJGNwrHe5jlHFdzwAvbX9/ktCPOrZVXK//zVNwAAAP//AwBQSwECLQAUAAYACAAAACEAtoM4&#10;kv4AAADhAQAAEwAAAAAAAAAAAAAAAAAAAAAAW0NvbnRlbnRfVHlwZXNdLnhtbFBLAQItABQABgAI&#10;AAAAIQA4/SH/1gAAAJQBAAALAAAAAAAAAAAAAAAAAC8BAABfcmVscy8ucmVsc1BLAQItABQABgAI&#10;AAAAIQAeEkiQHQIAAEMEAAAOAAAAAAAAAAAAAAAAAC4CAABkcnMvZTJvRG9jLnhtbFBLAQItABQA&#10;BgAIAAAAIQBs+lCX2gAAAAcBAAAPAAAAAAAAAAAAAAAAAHcEAABkcnMvZG93bnJldi54bWxQSwUG&#10;AAAAAAQABADzAAAAfgUAAAAA&#10;" o:allowincell="f" strokeweight=".33653mm"/>
            </w:pict>
          </mc:Fallback>
        </mc:AlternateContent>
      </w:r>
      <w:r>
        <w:rPr>
          <w:noProof/>
        </w:rPr>
        <mc:AlternateContent>
          <mc:Choice Requires="wps">
            <w:drawing>
              <wp:anchor distT="0" distB="0" distL="114300" distR="114300" simplePos="0" relativeHeight="251717632" behindDoc="1" locked="0" layoutInCell="0" allowOverlap="1">
                <wp:simplePos x="0" y="0"/>
                <wp:positionH relativeFrom="column">
                  <wp:posOffset>1784985</wp:posOffset>
                </wp:positionH>
                <wp:positionV relativeFrom="paragraph">
                  <wp:posOffset>30480</wp:posOffset>
                </wp:positionV>
                <wp:extent cx="569595" cy="0"/>
                <wp:effectExtent l="0" t="0" r="0" b="0"/>
                <wp:wrapNone/>
                <wp:docPr id="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59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55pt,2.4pt" to="185.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X9HgIAAEMEAAAOAAAAZHJzL2Uyb0RvYy54bWysU82O2jAQvlfqO1i5QxIaUogIqyqBXmgX&#10;abcPYGyHWHVsyzYEVPXdO3YIYttLVTUHZ+yZ+eabv9XTpRPozIzlSpZROk0ixCRRlMtjGX173U4W&#10;EbIOS4qFkqyMrsxGT+v371a9LthMtUpQZhCASFv0uoxa53QRx5a0rMN2qjSToGyU6bCDqznG1OAe&#10;0DsRz5Ikj3tlqDaKMGvhtR6U0TrgNw0j7rlpLHNIlBFwc+E04Tz4M16vcHE0WLec3Gjgf2DRYS4h&#10;6B2qxg6jk+F/QHWcGGVV46ZEdbFqGk5YyAGySZPfsnlpsWYhFyiO1fcy2f8HS76e9wZxWkb5PEIS&#10;d9CjHZcM5aE2vbYFmFRyb3x25CJf9E6R7xZJVbVYHlng+HrV4Jf6asZvXPzFaohw6L8oCjb45FQo&#10;1KUxnYeEEqBL6Mf13g92cYjA4zxfzpdAi4yqGBejnzbWfWaqQ14oIwGcAy4+76zzPHAxmvgwUm25&#10;EKHbQqIeyM7SdB48rBKceq23s+Z4qIRBZ+wHJnwhK9A8mnnoGtt2sAuqYZSMOkkawrQM081NdpiL&#10;QQZaQvpAkCMQvUnDqPxYJsvNYrPIJtks30yypK4nn7ZVNsm36cd5/aGuqjr96TmnWdFySpn0tMex&#10;TbO/G4vbAg0Ddx/ce4Hit+ihkkB2/AfSocm+r37PbHFQ9Lo3Y/NhUoPxbav8KjzeQX7c/fUvAAAA&#10;//8DAFBLAwQUAAYACAAAACEA4rel3doAAAAHAQAADwAAAGRycy9kb3ducmV2LnhtbEyPQU/DMAyF&#10;70j8h8hI3FjaDcHomk4IqRJXNoTELWlMWy1xSpN25d9juMDNT+/5+XO5X7wTM46xD6QgX2UgkJpg&#10;e2oVvB7rmy2ImDRZ7QKhgi+MsK8uL0pd2HCmF5wPqRVcQrHQCrqUhkLK2HTodVyFAYm9jzB6nViO&#10;rbSjPnO5d3KdZXfS6574QqcHfOqwOR0mzxgbNz+YeTL1+6eUpnl2R/tWK3V9tTzuQCRc0l8YfvB5&#10;BypmMmEiG4VTsN7mOUcV3PIH7G/uMx7Mr5ZVKf/zV98AAAD//wMAUEsBAi0AFAAGAAgAAAAhALaD&#10;OJL+AAAA4QEAABMAAAAAAAAAAAAAAAAAAAAAAFtDb250ZW50X1R5cGVzXS54bWxQSwECLQAUAAYA&#10;CAAAACEAOP0h/9YAAACUAQAACwAAAAAAAAAAAAAAAAAvAQAAX3JlbHMvLnJlbHNQSwECLQAUAAYA&#10;CAAAACEAmPTV/R4CAABDBAAADgAAAAAAAAAAAAAAAAAuAgAAZHJzL2Uyb0RvYy54bWxQSwECLQAU&#10;AAYACAAAACEA4rel3doAAAAHAQAADwAAAAAAAAAAAAAAAAB4BAAAZHJzL2Rvd25yZXYueG1sUEsF&#10;BgAAAAAEAAQA8wAAAH8FAAAAAA==&#10;" o:allowincell="f" strokeweight=".33653mm"/>
            </w:pict>
          </mc:Fallback>
        </mc:AlternateContent>
      </w:r>
      <w:r>
        <w:rPr>
          <w:noProof/>
        </w:rPr>
        <mc:AlternateContent>
          <mc:Choice Requires="wps">
            <w:drawing>
              <wp:anchor distT="0" distB="0" distL="114300" distR="114300" simplePos="0" relativeHeight="251718656" behindDoc="1" locked="0" layoutInCell="0" allowOverlap="1">
                <wp:simplePos x="0" y="0"/>
                <wp:positionH relativeFrom="column">
                  <wp:posOffset>2403475</wp:posOffset>
                </wp:positionH>
                <wp:positionV relativeFrom="paragraph">
                  <wp:posOffset>30480</wp:posOffset>
                </wp:positionV>
                <wp:extent cx="581660" cy="0"/>
                <wp:effectExtent l="0" t="0" r="0" b="0"/>
                <wp:wrapNone/>
                <wp:docPr id="64"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66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25pt,2.4pt" to="235.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69HwIAAEMEAAAOAAAAZHJzL2Uyb0RvYy54bWysU8GO2yAQvVfqPyDuie3UcbNWnFVlJ71s&#10;u5F2+wEEcIyKAQGJE1X99w44SZv2UlX1AQMz8+bNzGP5eOolOnLrhFYVzqYpRlxRzYTaV/jL62ay&#10;wMh5ohiRWvEKn7nDj6u3b5aDKflMd1oybhGAKFcOpsKd96ZMEkc73hM31YYrMLba9sTD0e4TZskA&#10;6L1MZmlaJIO2zFhNuXNw24xGvIr4bcupf25bxz2SFQZuPq42rruwJqslKfeWmE7QCw3yDyx6IhQk&#10;vUE1xBN0sOIPqF5Qq51u/ZTqPtFtKyiPNUA1WfpbNS8dMTzWAs1x5tYm9/9g6efj1iLBKlzkGCnS&#10;w4yehOKoyEJvBuNKcKnV1obq6Em9mCdNvzqkdN0RteeR4+vZQFyMSO5CwsEZyLAbPmkGPuTgdWzU&#10;qbV9gIQWoFOcx/k2D37yiMLlfJEVBUyNXk0JKa9xxjr/kesehU2FJXCOuOT45DwwB9erS0ij9EZI&#10;GactFRqA7CzL5jHCaSlYsAY/Z/e7Wlp0JEEw8Qt9ALQ7twDdENeNftE0Ssnqg2IxTccJW1/2ngg5&#10;7gFIqpAIagSil90olW8P6cN6sV7kk3xWrCd52jSTD5s6nxSb7P28edfUdZN9D5yzvOwEY1wF2lfZ&#10;ZvnfyeLygEbB3YR7a1Byjx5rB7LXfyQdhxzmOipkp9l5a0ObwrxBqdH58qrCU/j1HL1+vv3VDwAA&#10;AP//AwBQSwMEFAAGAAgAAAAhANwj45naAAAABwEAAA8AAABkcnMvZG93bnJldi54bWxMj8FOwzAQ&#10;RO9I/IO1SNyoU1poSeNUCCkSV1qExM2Ot0mEvQ6xk4a/Z+ECx9HMzr4p9rN3YsIhdoEULBcZCKQ6&#10;2I4aBa/H6mYLIiZNVrtAqOALI+zLy4tC5zac6QWnQ2oEl1DMtYI2pT6XMtYteh0XoUdi7xQGrxPL&#10;oZF20Gcu907eZtm99Loj/tDqHp9arD8Oo2eMlZsezDSa6v1TSlM/u6N9q5S6vpofdyASzukvDD/4&#10;fAMlM5kwko3CKVhttnccVbDmBeyvN9kShPnVsizkf/7yGwAA//8DAFBLAQItABQABgAIAAAAIQC2&#10;gziS/gAAAOEBAAATAAAAAAAAAAAAAAAAAAAAAABbQ29udGVudF9UeXBlc10ueG1sUEsBAi0AFAAG&#10;AAgAAAAhADj9If/WAAAAlAEAAAsAAAAAAAAAAAAAAAAALwEAAF9yZWxzLy5yZWxzUEsBAi0AFAAG&#10;AAgAAAAhAE4mLr0fAgAAQwQAAA4AAAAAAAAAAAAAAAAALgIAAGRycy9lMm9Eb2MueG1sUEsBAi0A&#10;FAAGAAgAAAAhANwj45naAAAABwEAAA8AAAAAAAAAAAAAAAAAeQQAAGRycy9kb3ducmV2LnhtbFBL&#10;BQYAAAAABAAEAPMAAACABQAAAAA=&#10;" o:allowincell="f" strokeweight=".33653mm"/>
            </w:pict>
          </mc:Fallback>
        </mc:AlternateContent>
      </w:r>
    </w:p>
    <w:p w:rsidR="00000000" w:rsidRDefault="0057438D">
      <w:pPr>
        <w:pStyle w:val="DefaultParagraphFont"/>
        <w:widowControl w:val="0"/>
        <w:overflowPunct w:val="0"/>
        <w:autoSpaceDE w:val="0"/>
        <w:autoSpaceDN w:val="0"/>
        <w:adjustRightInd w:val="0"/>
        <w:spacing w:after="0" w:line="259" w:lineRule="auto"/>
        <w:ind w:left="20" w:right="40"/>
        <w:rPr>
          <w:rFonts w:ascii="Times New Roman" w:hAnsi="Times New Roman" w:cs="Times New Roman"/>
          <w:sz w:val="24"/>
          <w:szCs w:val="24"/>
        </w:rPr>
      </w:pPr>
      <w:r>
        <w:rPr>
          <w:rFonts w:ascii="Times New Roman" w:hAnsi="Times New Roman" w:cs="Times New Roman"/>
          <w:sz w:val="19"/>
          <w:szCs w:val="19"/>
        </w:rPr>
        <w:t xml:space="preserve">The total notional amount of contracts outstanding at the end of the period is indicative of the level of the Company's derivative activity during the period. The notional balance of foreign currency contracts changes during the period reflects changes in </w:t>
      </w:r>
      <w:r>
        <w:rPr>
          <w:rFonts w:ascii="Times New Roman" w:hAnsi="Times New Roman" w:cs="Times New Roman"/>
          <w:sz w:val="19"/>
          <w:szCs w:val="19"/>
        </w:rPr>
        <w:t>the level of intercompany financing activity.</w:t>
      </w:r>
    </w:p>
    <w:p w:rsidR="00000000" w:rsidRDefault="0057438D">
      <w:pPr>
        <w:pStyle w:val="DefaultParagraphFont"/>
        <w:widowControl w:val="0"/>
        <w:autoSpaceDE w:val="0"/>
        <w:autoSpaceDN w:val="0"/>
        <w:adjustRightInd w:val="0"/>
        <w:spacing w:after="0" w:line="35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880"/>
        <w:gridCol w:w="220"/>
        <w:gridCol w:w="640"/>
        <w:gridCol w:w="80"/>
        <w:gridCol w:w="200"/>
        <w:gridCol w:w="660"/>
        <w:gridCol w:w="20"/>
      </w:tblGrid>
      <w:tr w:rsidR="00000000">
        <w:tblPrEx>
          <w:tblCellMar>
            <w:top w:w="0" w:type="dxa"/>
            <w:left w:w="0" w:type="dxa"/>
            <w:bottom w:w="0" w:type="dxa"/>
            <w:right w:w="0" w:type="dxa"/>
          </w:tblCellMar>
        </w:tblPrEx>
        <w:trPr>
          <w:trHeight w:val="172"/>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80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Amount of Gain/(Loss)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58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149"/>
              <w:jc w:val="center"/>
              <w:rPr>
                <w:rFonts w:ascii="Times New Roman" w:hAnsi="Times New Roman" w:cs="Times New Roman"/>
                <w:sz w:val="24"/>
                <w:szCs w:val="24"/>
              </w:rPr>
            </w:pPr>
            <w:r>
              <w:rPr>
                <w:rFonts w:ascii="Times New Roman" w:hAnsi="Times New Roman" w:cs="Times New Roman"/>
                <w:b/>
                <w:bCs/>
                <w:sz w:val="15"/>
                <w:szCs w:val="15"/>
              </w:rPr>
              <w:t>Recognized in</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2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left="356"/>
              <w:jc w:val="center"/>
              <w:rPr>
                <w:rFonts w:ascii="Times New Roman" w:hAnsi="Times New Roman" w:cs="Times New Roman"/>
                <w:sz w:val="24"/>
                <w:szCs w:val="24"/>
              </w:rPr>
            </w:pPr>
            <w:r>
              <w:rPr>
                <w:rFonts w:ascii="Times New Roman" w:hAnsi="Times New Roman" w:cs="Times New Roman"/>
                <w:b/>
                <w:bCs/>
                <w:sz w:val="15"/>
                <w:szCs w:val="15"/>
              </w:rPr>
              <w:t>AOCI</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58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149"/>
              <w:jc w:val="center"/>
              <w:rPr>
                <w:rFonts w:ascii="Times New Roman" w:hAnsi="Times New Roman" w:cs="Times New Roman"/>
                <w:sz w:val="24"/>
                <w:szCs w:val="24"/>
              </w:rPr>
            </w:pPr>
            <w:r>
              <w:rPr>
                <w:rFonts w:ascii="Times New Roman" w:hAnsi="Times New Roman" w:cs="Times New Roman"/>
                <w:b/>
                <w:bCs/>
                <w:sz w:val="15"/>
                <w:szCs w:val="15"/>
              </w:rPr>
              <w:t>on Derivatives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58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9"/>
              <w:jc w:val="center"/>
              <w:rPr>
                <w:rFonts w:ascii="Times New Roman" w:hAnsi="Times New Roman" w:cs="Times New Roman"/>
                <w:sz w:val="24"/>
                <w:szCs w:val="24"/>
              </w:rPr>
            </w:pPr>
            <w:r>
              <w:rPr>
                <w:rFonts w:ascii="Times New Roman" w:hAnsi="Times New Roman" w:cs="Times New Roman"/>
                <w:b/>
                <w:bCs/>
                <w:sz w:val="15"/>
                <w:szCs w:val="15"/>
              </w:rPr>
              <w:t>(Effective Portion)</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28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28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96"/>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9"/>
              <w:jc w:val="right"/>
              <w:rPr>
                <w:rFonts w:ascii="Times New Roman" w:hAnsi="Times New Roman" w:cs="Times New Roman"/>
                <w:sz w:val="24"/>
                <w:szCs w:val="24"/>
              </w:rPr>
            </w:pPr>
            <w:r>
              <w:rPr>
                <w:rFonts w:ascii="Times New Roman" w:hAnsi="Times New Roman" w:cs="Times New Roman"/>
                <w:b/>
                <w:bCs/>
                <w:sz w:val="15"/>
                <w:szCs w:val="15"/>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28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7"/>
        </w:trPr>
        <w:tc>
          <w:tcPr>
            <w:tcW w:w="2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ind w:left="60"/>
              <w:rPr>
                <w:rFonts w:ascii="Times New Roman" w:hAnsi="Times New Roman" w:cs="Times New Roman"/>
                <w:sz w:val="24"/>
                <w:szCs w:val="24"/>
              </w:rPr>
            </w:pPr>
            <w:r>
              <w:rPr>
                <w:rFonts w:ascii="Times New Roman" w:hAnsi="Times New Roman" w:cs="Times New Roman"/>
                <w:b/>
                <w:bCs/>
                <w:sz w:val="19"/>
                <w:szCs w:val="19"/>
              </w:rPr>
              <w:t>DERIVATIVES IN CASH FLOW</w:t>
            </w:r>
          </w:p>
        </w:tc>
        <w:tc>
          <w:tcPr>
            <w:tcW w:w="86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jc w:val="right"/>
              <w:rPr>
                <w:rFonts w:ascii="Times New Roman" w:hAnsi="Times New Roman" w:cs="Times New Roman"/>
                <w:sz w:val="24"/>
                <w:szCs w:val="24"/>
              </w:rPr>
            </w:pPr>
            <w:r>
              <w:rPr>
                <w:rFonts w:ascii="Times New Roman" w:hAnsi="Times New Roman" w:cs="Times New Roman"/>
                <w:b/>
                <w:bCs/>
                <w:w w:val="91"/>
                <w:sz w:val="19"/>
                <w:szCs w:val="19"/>
              </w:rPr>
              <w:t>HEDGING</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2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RELATIONSHIPS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Interest rate contracts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92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36"/>
              <w:jc w:val="center"/>
              <w:rPr>
                <w:rFonts w:ascii="Times New Roman" w:hAnsi="Times New Roman" w:cs="Times New Roman"/>
                <w:sz w:val="24"/>
                <w:szCs w:val="24"/>
              </w:rPr>
            </w:pPr>
            <w:r>
              <w:rPr>
                <w:rFonts w:ascii="Times New Roman" w:hAnsi="Times New Roman" w:cs="Times New Roman"/>
                <w:b/>
                <w:bCs/>
                <w:sz w:val="19"/>
                <w:szCs w:val="19"/>
              </w:rPr>
              <w:t xml:space="preserve">3  </w:t>
            </w:r>
            <w:r>
              <w:rPr>
                <w:rFonts w:ascii="Times New Roman" w:hAnsi="Times New Roman" w:cs="Times New Roman"/>
                <w:sz w:val="19"/>
                <w:szCs w:val="19"/>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2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Foreign currency contracts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7"/>
        </w:trPr>
        <w:tc>
          <w:tcPr>
            <w:tcW w:w="28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w:t>
            </w:r>
          </w:p>
        </w:tc>
        <w:tc>
          <w:tcPr>
            <w:tcW w:w="2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17</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4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48" w:lineRule="auto"/>
        <w:ind w:left="60" w:right="320"/>
        <w:rPr>
          <w:rFonts w:ascii="Times New Roman" w:hAnsi="Times New Roman" w:cs="Times New Roman"/>
          <w:sz w:val="24"/>
          <w:szCs w:val="24"/>
        </w:rPr>
      </w:pPr>
      <w:r>
        <w:rPr>
          <w:rFonts w:ascii="Times New Roman" w:hAnsi="Times New Roman" w:cs="Times New Roman"/>
          <w:b/>
          <w:bCs/>
          <w:sz w:val="19"/>
          <w:szCs w:val="19"/>
        </w:rPr>
        <w:t>DERIVATIVES IN NET INVESTMENT HEDGING RELATIONSHIPS</w:t>
      </w:r>
    </w:p>
    <w:p w:rsidR="00000000" w:rsidRDefault="0057438D">
      <w:pPr>
        <w:pStyle w:val="DefaultParagraphFont"/>
        <w:widowControl w:val="0"/>
        <w:autoSpaceDE w:val="0"/>
        <w:autoSpaceDN w:val="0"/>
        <w:adjustRightInd w:val="0"/>
        <w:spacing w:after="0" w:line="26" w:lineRule="exact"/>
        <w:rPr>
          <w:rFonts w:ascii="Times New Roman" w:hAnsi="Times New Roman" w:cs="Times New Roman"/>
          <w:sz w:val="24"/>
          <w:szCs w:val="24"/>
        </w:rPr>
      </w:pPr>
      <w:r>
        <w:rPr>
          <w:noProof/>
        </w:rPr>
        <mc:AlternateContent>
          <mc:Choice Requires="wps">
            <w:drawing>
              <wp:anchor distT="0" distB="0" distL="114300" distR="114300" simplePos="0" relativeHeight="251719680" behindDoc="1" locked="0" layoutInCell="0" allowOverlap="1">
                <wp:simplePos x="0" y="0"/>
                <wp:positionH relativeFrom="column">
                  <wp:posOffset>1270</wp:posOffset>
                </wp:positionH>
                <wp:positionV relativeFrom="paragraph">
                  <wp:posOffset>-274955</wp:posOffset>
                </wp:positionV>
                <wp:extent cx="2969895" cy="290195"/>
                <wp:effectExtent l="0" t="0" r="0" b="0"/>
                <wp:wrapNone/>
                <wp:docPr id="63"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9895" cy="29019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26" style="position:absolute;margin-left:.1pt;margin-top:-21.65pt;width:233.85pt;height:22.8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6iPfQIAAP0EAAAOAAAAZHJzL2Uyb0RvYy54bWysVG1v0zAQ/o7Ef7D8vcsLadZES6etXRHS&#10;gInBD3Btp7FwbGO7TQfiv3N22tIBHxCilRzbd3783N1zvrre9xLtuHVCqwZnFylGXFHNhNo0+NPH&#10;1WSGkfNEMSK14g1+4g5fz1++uBpMzXPdacm4RQCiXD2YBnfemzpJHO14T9yFNlyBsdW2Jx6WdpMw&#10;SwZA72WSp2mZDNoyYzXlzsHucjTiecRvW079+7Z13CPZYODm42jjuA5jMr8i9cYS0wl6oEH+gUVP&#10;hIJLT1BL4gnaWvEbVC+o1U63/oLqPtFtKyiPMUA0WfpLNI8dMTzGAslx5pQm9/9g6bvdg0WCNbh8&#10;hZEiPdToA2SNqI3kqMxDggbjavB7NA82hOjMvaafHVJ60YEbv7FWDx0nDGhlwT95diAsHBxF6+Gt&#10;ZgBPtl7HXO1b2wdAyALax5I8nUrC9x5R2MyrsppVU4wo2PIqzWAeriD18bSxzr/mukdh0mAL5CM6&#10;2d07P7oeXSJ7LQVbCSnjwm7WC2nRjoA87srwP6C7czepgrPS4diIOO4ASbgj2ALdWO5vVZYX6W1e&#10;TVbl7HJSrIrppLpMZxNgfluVaVEVy9X3QDAr6k4wxtW9UPwovaz4u9IemmAUTRQfGhpcTfNpjP0Z&#10;e3ceZBp/fwqyFx46UYq+wbOTE6lDYe8Ug7BJ7YmQ4zx5Tj8WBHJw/MasRBmEyo8KWmv2BCqwGooE&#10;nQhvBkw6bb9iNED/Ndh92RLLMZJvFCipyooiNGxcFNPLHBb23LI+txBFAarBHqNxuvBjk2+NFZsO&#10;bspiYpS+AfW1IgojKHNkddAs9FiM4PAehCY+X0evn6/W/AcAAAD//wMAUEsDBBQABgAIAAAAIQCY&#10;PHsl3AAAAAYBAAAPAAAAZHJzL2Rvd25yZXYueG1sTI5NTsMwEIX3SNzBGiR2rUMbBZrGqRAqEgug&#10;auEA02TqBOJxiN023J5hBcv3o/e+YjW6Tp1oCK1nAzfTBBRx5euWrYH3t8fJHagQkWvsPJOBbwqw&#10;Ki8vCsxrf+YtnXbRKhnhkKOBJsY+1zpUDTkMU98TS3bwg8MocrC6HvAs467TsyTJtMOW5aHBnh4a&#10;qj53R2dgtJvt+it7ftms+9bi64dPF/7JmOur8X4JKtIY/8rwiy/oUArT3h+5DqozMJOegUk6n4OS&#10;OM1uF6D24qegy0L/xy9/AAAA//8DAFBLAQItABQABgAIAAAAIQC2gziS/gAAAOEBAAATAAAAAAAA&#10;AAAAAAAAAAAAAABbQ29udGVudF9UeXBlc10ueG1sUEsBAi0AFAAGAAgAAAAhADj9If/WAAAAlAEA&#10;AAsAAAAAAAAAAAAAAAAALwEAAF9yZWxzLy5yZWxzUEsBAi0AFAAGAAgAAAAhAEDDqI99AgAA/QQA&#10;AA4AAAAAAAAAAAAAAAAALgIAAGRycy9lMm9Eb2MueG1sUEsBAi0AFAAGAAgAAAAhAJg8eyXcAAAA&#10;BgEAAA8AAAAAAAAAAAAAAAAA1wQAAGRycy9kb3ducmV2LnhtbFBLBQYAAAAABAAEAPMAAADgBQAA&#10;AAA=&#10;" o:allowincell="f" fillcolor="#e6e6e6" stroked="f"/>
            </w:pict>
          </mc:Fallback>
        </mc:AlternateContent>
      </w:r>
    </w:p>
    <w:p w:rsidR="00000000" w:rsidRDefault="0057438D">
      <w:pPr>
        <w:pStyle w:val="DefaultParagraphFont"/>
        <w:widowControl w:val="0"/>
        <w:tabs>
          <w:tab w:val="left" w:pos="2920"/>
        </w:tabs>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investment hedges</w:t>
      </w:r>
      <w:r>
        <w:rPr>
          <w:rFonts w:ascii="Times New Roman" w:hAnsi="Times New Roman" w:cs="Times New Roman"/>
          <w:sz w:val="24"/>
          <w:szCs w:val="24"/>
        </w:rPr>
        <w:tab/>
      </w:r>
      <w:r>
        <w:rPr>
          <w:rFonts w:ascii="Times New Roman" w:hAnsi="Times New Roman" w:cs="Times New Roman"/>
          <w:b/>
          <w:bCs/>
          <w:sz w:val="19"/>
          <w:szCs w:val="19"/>
        </w:rPr>
        <w:t xml:space="preserve">$     30  </w:t>
      </w:r>
      <w:r>
        <w:rPr>
          <w:rFonts w:ascii="Times New Roman" w:hAnsi="Times New Roman" w:cs="Times New Roman"/>
          <w:sz w:val="19"/>
          <w:szCs w:val="19"/>
        </w:rPr>
        <w:t>$    145</w:t>
      </w:r>
    </w:p>
    <w:p w:rsidR="00000000" w:rsidRDefault="0057438D">
      <w:pPr>
        <w:pStyle w:val="DefaultParagraphFont"/>
        <w:widowControl w:val="0"/>
        <w:autoSpaceDE w:val="0"/>
        <w:autoSpaceDN w:val="0"/>
        <w:adjustRightInd w:val="0"/>
        <w:spacing w:after="0" w:line="131" w:lineRule="exact"/>
        <w:rPr>
          <w:rFonts w:ascii="Times New Roman" w:hAnsi="Times New Roman" w:cs="Times New Roman"/>
          <w:sz w:val="24"/>
          <w:szCs w:val="24"/>
        </w:rPr>
      </w:pPr>
      <w:r>
        <w:rPr>
          <w:noProof/>
        </w:rPr>
        <mc:AlternateContent>
          <mc:Choice Requires="wps">
            <w:drawing>
              <wp:anchor distT="0" distB="0" distL="114300" distR="114300" simplePos="0" relativeHeight="251720704" behindDoc="1" locked="0" layoutInCell="0" allowOverlap="1">
                <wp:simplePos x="0" y="0"/>
                <wp:positionH relativeFrom="column">
                  <wp:posOffset>1831975</wp:posOffset>
                </wp:positionH>
                <wp:positionV relativeFrom="paragraph">
                  <wp:posOffset>29845</wp:posOffset>
                </wp:positionV>
                <wp:extent cx="545465" cy="0"/>
                <wp:effectExtent l="0" t="0" r="0" b="0"/>
                <wp:wrapNone/>
                <wp:docPr id="6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25pt,2.35pt" to="187.2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GtuHgIAAEMEAAAOAAAAZHJzL2Uyb0RvYy54bWysU8GO2jAQvVfqP1i+QxI2U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SLGUaK&#10;dLCjZ6E4WjyE2fTGFRBSqZ0N3dGzejHPmn53SOmqJerAI8fXi4G8LGQkb1LCxRmosO8/awYx5Oh1&#10;HNS5sV2AhBGgc9zH5bYPfvaIwsd5Ps8Xc4zo6EpIMeYZ6/wnrjsUjBJL4BxxyenZ+cCDFGNIKKP0&#10;VkgZty0V6oHsLMvmMcNpKVjwhjhnD/tKWnQiQTDxF7sCz31YgK6Ja4e46BqkZPVRsVim5YRtrrYn&#10;Qg420JIqFIIegejVGqTy4zF93Cw3y3ySzxabSZ7W9eTjtsoni232YV4/1FVVZz8D5ywvWsEYV4H2&#10;KNss/ztZXB/QILibcG8DSt6ix0kC2fE/ko5LDnsdFLLX7LKz4/JBqTH4+qrCU7i/g33/9te/AAAA&#10;//8DAFBLAwQUAAYACAAAACEALm+gstkAAAAHAQAADwAAAGRycy9kb3ducmV2LnhtbEyOzU6EMBSF&#10;9ya+Q3NN3DnFGXSQoUyMCYlbZ4yJu0LvALG9RVoYfHuvbnR5cv6+Yr84K2YcQ+9Jwe0qAYHUeNNT&#10;q+D1WN1kIELUZLT1hAq+MMC+vLwodG78mV5wPsRW8AiFXCvoYhxyKUPTodNh5Qck9k5+dDqyHFtp&#10;Rn3mcWflOknupdM98UOnB3zqsPk4TI4xNnZ+qOeprt4/paybZ3s0b5VS11fL4w5ExCX+heEHnztQ&#10;MlPtJzJBWAXrLLvjqIJ0C4L9zTZNQdS/WpaF/M9ffgMAAP//AwBQSwECLQAUAAYACAAAACEAtoM4&#10;kv4AAADhAQAAEwAAAAAAAAAAAAAAAAAAAAAAW0NvbnRlbnRfVHlwZXNdLnhtbFBLAQItABQABgAI&#10;AAAAIQA4/SH/1gAAAJQBAAALAAAAAAAAAAAAAAAAAC8BAABfcmVscy8ucmVsc1BLAQItABQABgAI&#10;AAAAIQB0MGtuHgIAAEMEAAAOAAAAAAAAAAAAAAAAAC4CAABkcnMvZTJvRG9jLnhtbFBLAQItABQA&#10;BgAIAAAAIQAub6Cy2QAAAAcBAAAPAAAAAAAAAAAAAAAAAHgEAABkcnMvZG93bnJldi54bWxQSwUG&#10;AAAAAAQABADzAAAAfgUAAAAA&#10;" o:allowincell="f" strokeweight=".33653mm"/>
            </w:pict>
          </mc:Fallback>
        </mc:AlternateContent>
      </w:r>
      <w:r>
        <w:rPr>
          <w:noProof/>
        </w:rPr>
        <mc:AlternateContent>
          <mc:Choice Requires="wps">
            <w:drawing>
              <wp:anchor distT="0" distB="0" distL="114300" distR="114300" simplePos="0" relativeHeight="251721728" behindDoc="1" locked="0" layoutInCell="0" allowOverlap="1">
                <wp:simplePos x="0" y="0"/>
                <wp:positionH relativeFrom="column">
                  <wp:posOffset>1831975</wp:posOffset>
                </wp:positionH>
                <wp:positionV relativeFrom="paragraph">
                  <wp:posOffset>53975</wp:posOffset>
                </wp:positionV>
                <wp:extent cx="545465" cy="0"/>
                <wp:effectExtent l="0" t="0" r="0" b="0"/>
                <wp:wrapNone/>
                <wp:docPr id="61"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25pt,4.25pt" to="187.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p3qHgIAAEMEAAAOAAAAZHJzL2Uyb0RvYy54bWysU8GO2jAQvVfqP1i+QxIaKBsRVlUCvWy7&#10;SLv9AGM7xKpjW7YhoKr/3rFDENteqqoczDgz8+bNzPPq8dxJdOLWCa1KnE1TjLiimgl1KPG31+1k&#10;iZHzRDEiteIlvnCHH9fv3616U/CZbrVk3CIAUa7oTYlb702RJI62vCNuqg1X4Gy07YiHqz0kzJIe&#10;0DuZzNJ0kfTaMmM15c7B13pw4nXEbxpO/XPTOO6RLDFw8/G08dyHM1mvSHGwxLSCXmmQf2DREaGg&#10;6A2qJp6goxV/QHWCWu1046dUd4luGkF57AG6ydLfunlpieGxFxiOM7cxuf8HS7+edhYJVuJFhpEi&#10;HezoSSiOFnmYTW9cASGV2tnQHT2rF/Ok6XeHlK5aog48cny9GMjLQkbyJiVcnIEK+/6LZhBDjl7H&#10;QZ0b2wVIGAE6x31cbvvgZ48ofJzn83wxx4iOroQUY56xzn/mukPBKLEEzhGXnJ6cDzxIMYaEMkpv&#10;hZRx21KhHsjOsmweM5yWggVviHP2sK+kRScSBBN/sSvw3IcF6Jq4doiLrkFKVh8Vi2VaTtjmansi&#10;5GADLalCIegRiF6tQSo/HtKHzXKzzCf5bLGZ5GldTz5tq3yy2GYf5/WHuqrq7GfgnOVFKxjjKtAe&#10;ZZvlfyeL6wMaBHcT7m1AyVv0OEkgO/5H0nHJYa+DQvaaXXZ2XD4oNQZfX1V4Cvd3sO/f/voXAAAA&#10;//8DAFBLAwQUAAYACAAAACEAXJSfGdkAAAAHAQAADwAAAGRycy9kb3ducmV2LnhtbEyOTUvEMBCG&#10;74L/IYzgzU3dXbXWposIBa/uiuAtaca2mExqk3brv3fWi56Gl/djnnK3eCdmHGMfSMH1KgOB1ATb&#10;U6vg9VBf5SBi0mS1C4QKvjHCrjo/K3Vhw5FecN6nVvAIxUIr6FIaCilj06HXcRUGJPY+wuh1Yjm2&#10;0o76yOPeyXWW3Uqve+IPnR7wqcPmcz95xti4+d7Mk6nfv6Q0zbM72LdaqcuL5fEBRMIl/YXhhM8d&#10;qJjJhIlsFE7BOs9vOKrgdNjf3G23IMyvllUp//NXPwAAAP//AwBQSwECLQAUAAYACAAAACEAtoM4&#10;kv4AAADhAQAAEwAAAAAAAAAAAAAAAAAAAAAAW0NvbnRlbnRfVHlwZXNdLnhtbFBLAQItABQABgAI&#10;AAAAIQA4/SH/1gAAAJQBAAALAAAAAAAAAAAAAAAAAC8BAABfcmVscy8ucmVsc1BLAQItABQABgAI&#10;AAAAIQBxbp3qHgIAAEMEAAAOAAAAAAAAAAAAAAAAAC4CAABkcnMvZTJvRG9jLnhtbFBLAQItABQA&#10;BgAIAAAAIQBclJ8Z2QAAAAcBAAAPAAAAAAAAAAAAAAAAAHgEAABkcnMvZG93bnJldi54bWxQSwUG&#10;AAAAAAQABADzAAAAfgUAAAAA&#10;" o:allowincell="f" strokeweight=".33653mm"/>
            </w:pict>
          </mc:Fallback>
        </mc:AlternateContent>
      </w:r>
      <w:r>
        <w:rPr>
          <w:noProof/>
        </w:rPr>
        <mc:AlternateContent>
          <mc:Choice Requires="wps">
            <w:drawing>
              <wp:anchor distT="0" distB="0" distL="114300" distR="114300" simplePos="0" relativeHeight="251722752" behindDoc="1" locked="0" layoutInCell="0" allowOverlap="1">
                <wp:simplePos x="0" y="0"/>
                <wp:positionH relativeFrom="column">
                  <wp:posOffset>2425700</wp:posOffset>
                </wp:positionH>
                <wp:positionV relativeFrom="paragraph">
                  <wp:posOffset>29845</wp:posOffset>
                </wp:positionV>
                <wp:extent cx="545465" cy="0"/>
                <wp:effectExtent l="0" t="0" r="0" b="0"/>
                <wp:wrapNone/>
                <wp:docPr id="6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pt,2.35pt" to="233.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EpHQIAAEMEAAAOAAAAZHJzL2Uyb0RvYy54bWysU8GO2jAQvVfqP1i+QxIaKBsRVlUCvWy7&#10;SLv9AGM7xKpjW7YhoKr/3rFDENteqqoczDgz8+bNzPPq8dxJdOLWCa1KnE1TjLiimgl1KPG31+1k&#10;iZHzRDEiteIlvnCHH9fv3616U/CZbrVk3CIAUa7oTYlb702RJI62vCNuqg1X4Gy07YiHqz0kzJIe&#10;0DuZzNJ0kfTaMmM15c7B13pw4nXEbxpO/XPTOO6RLDFw8/G08dyHM1mvSHGwxLSCXmmQf2DREaGg&#10;6A2qJp6goxV/QHWCWu1046dUd4luGkF57AG6ydLfunlpieGxFxiOM7cxuf8HS7+edhYJVuIFjEeR&#10;Dnb0JBRHi3mYTW9cASGV2tnQHT2rF/Ok6XeHlK5aog48cny9GMjLQkbyJiVcnIEK+/6LZhBDjl7H&#10;QZ0b2wVIGAE6x31cbvvgZ48ofJzn8xx4IDq6ElKMecY6/5nrDgWjxBI4R1xyenI+8CDFGBLKKL0V&#10;UsZtS4V6IDvLsnnMcFoKFrwhztnDvpIWnUgQTPzFrsBzHxaga+LaIS66BilZfVQslmk5YZur7YmQ&#10;gw20pAqFoEcgerUGqfx4SB82y80yn+SzxWaSp3U9+bSt8slim32c1x/qqqqzn4FzlhetYIyrQHuU&#10;bZb/nSyuD2gQ3E24twElb9HjJIHs+B9JxyWHvQ4K2Wt22dlx+aDUGHx9VeEp3N/Bvn/7618AAAD/&#10;/wMAUEsDBBQABgAIAAAAIQCMTrZa2wAAAAcBAAAPAAAAZHJzL2Rvd25yZXYueG1sTI/NTsMwEITv&#10;SLyDtUjcqENb9SfEqRBSJK60CImbHS9JhL0OsZOGt2fhQo+jmZ35tjjM3okJh9gFUnC/yEAg1cF2&#10;1Ch4PVV3OxAxabLaBUIF3xjhUF5fFTq34UwvOB1TI7iEYq4VtCn1uZSxbtHruAg9EnsfYfA6sRwa&#10;aQd95nLv5DLLNtLrjnih1T0+tVh/HkfPGCs37c00mur9S0pTP7uTfauUur2ZHx9AJJzTfxh+8fkG&#10;SmYyYSQbhVOw2i35l6RgvQXB/nqz3YMwf1qWhbzkL38AAAD//wMAUEsBAi0AFAAGAAgAAAAhALaD&#10;OJL+AAAA4QEAABMAAAAAAAAAAAAAAAAAAAAAAFtDb250ZW50X1R5cGVzXS54bWxQSwECLQAUAAYA&#10;CAAAACEAOP0h/9YAAACUAQAACwAAAAAAAAAAAAAAAAAvAQAAX3JlbHMvLnJlbHNQSwECLQAUAAYA&#10;CAAAACEADDphKR0CAABDBAAADgAAAAAAAAAAAAAAAAAuAgAAZHJzL2Uyb0RvYy54bWxQSwECLQAU&#10;AAYACAAAACEAjE62WtsAAAAHAQAADwAAAAAAAAAAAAAAAAB3BAAAZHJzL2Rvd25yZXYueG1sUEsF&#10;BgAAAAAEAAQA8wAAAH8FAAAAAA==&#10;" o:allowincell="f" strokeweight=".33653mm"/>
            </w:pict>
          </mc:Fallback>
        </mc:AlternateContent>
      </w:r>
      <w:r>
        <w:rPr>
          <w:noProof/>
        </w:rPr>
        <mc:AlternateContent>
          <mc:Choice Requires="wps">
            <w:drawing>
              <wp:anchor distT="0" distB="0" distL="114300" distR="114300" simplePos="0" relativeHeight="251723776" behindDoc="1" locked="0" layoutInCell="0" allowOverlap="1">
                <wp:simplePos x="0" y="0"/>
                <wp:positionH relativeFrom="column">
                  <wp:posOffset>2425700</wp:posOffset>
                </wp:positionH>
                <wp:positionV relativeFrom="paragraph">
                  <wp:posOffset>53975</wp:posOffset>
                </wp:positionV>
                <wp:extent cx="545465" cy="0"/>
                <wp:effectExtent l="0" t="0" r="0" b="0"/>
                <wp:wrapNone/>
                <wp:docPr id="59"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pt,4.25pt" to="233.9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zIKHQIAAEMEAAAOAAAAZHJzL2Uyb0RvYy54bWysU8GO2jAQvVfqP1i+QwhNKESEVZVAL7SL&#10;tNsPMLZDrDq2ZRsCqvrvHTuA2PZSVeVgxpmZN29mnpdP506iE7dOaFXidDzBiCuqmVCHEn973Yzm&#10;GDlPFCNSK17iC3f4afX+3bI3BZ/qVkvGLQIQ5YrelLj13hRJ4mjLO+LG2nAFzkbbjni42kPCLOkB&#10;vZPJdDKZJb22zFhNuXPwtR6ceBXxm4ZT/9w0jnskSwzcfDxtPPfhTFZLUhwsMa2gVxrkH1h0RCgo&#10;eoeqiSfoaMUfUJ2gVjvd+DHVXaKbRlAee4Bu0slv3by0xPDYCwzHmfuY3P+DpV9PO4sEK3G+wEiR&#10;Dna0FYqj2SzMpjeugJBK7Wzojp7Vi9lq+t0hpauWqAOPHF8vBvLSkJG8SQkXZ6DCvv+iGcSQo9dx&#10;UOfGdgESRoDOcR+X+z742SMKH/Msz2Y5RvTmSkhxyzPW+c9cdygYJZbAOeKS09b5wIMUt5BQRumN&#10;kDJuWyrUA9lpmuYxw2kpWPCGOGcP+0padCJBMPEXuwLPY1iArolrh7joGqRk9VGxWKblhK2vtidC&#10;DjbQkioUgh6B6NUapPJjMVms5+t5Nsqms/Uom9T16NOmykazTfoxrz/UVVWnPwPnNCtawRhXgfZN&#10;tmn2d7K4PqBBcHfh3geUvEWPkwSyt/9IOi457HVQyF6zy87elg9KjcHXVxWewuMd7Me3v/oFAAD/&#10;/wMAUEsDBBQABgAIAAAAIQD+tYnx2wAAAAcBAAAPAAAAZHJzL2Rvd25yZXYueG1sTI/BTsMwEETv&#10;SPyDtUjcqEMLJQ1xKoQUiSstQuJmx0sSYa9D7KTh71m4wHE0szNvy/3inZhxjH0gBderDARSE2xP&#10;rYKXY32Vg4hJk9UuECr4wgj76vys1IUNJ3rG+ZBawSUUC62gS2kopIxNh17HVRiQ2HsPo9eJ5dhK&#10;O+oTl3sn11m2lV73xAudHvCxw+bjMHnG2Lh5Z+bJ1G+fUprmyR3ta63U5cXycA8i4ZL+wvCDzzdQ&#10;MZMJE9konIJNvuZfkoL8FgT7N9u7HQjzq2VVyv/81TcAAAD//wMAUEsBAi0AFAAGAAgAAAAhALaD&#10;OJL+AAAA4QEAABMAAAAAAAAAAAAAAAAAAAAAAFtDb250ZW50X1R5cGVzXS54bWxQSwECLQAUAAYA&#10;CAAAACEAOP0h/9YAAACUAQAACwAAAAAAAAAAAAAAAAAvAQAAX3JlbHMvLnJlbHNQSwECLQAUAAYA&#10;CAAAACEAONcyCh0CAABDBAAADgAAAAAAAAAAAAAAAAAuAgAAZHJzL2Uyb0RvYy54bWxQSwECLQAU&#10;AAYACAAAACEA/rWJ8dsAAAAHAQAADwAAAAAAAAAAAAAAAAB3BAAAZHJzL2Rvd25yZXYueG1sUEsF&#10;BgAAAAAEAAQA8wAAAH8FAAAAAA==&#10;" o:allowincell="f" strokeweight=".33653mm"/>
            </w:pict>
          </mc:Fallback>
        </mc:AlternateContent>
      </w:r>
      <w:r>
        <w:rPr>
          <w:rFonts w:ascii="Times New Roman" w:hAnsi="Times New Roman" w:cs="Times New Roman"/>
          <w:sz w:val="24"/>
          <w:szCs w:val="24"/>
        </w:rPr>
        <w:br w:type="column"/>
      </w:r>
    </w:p>
    <w:p w:rsidR="00000000" w:rsidRDefault="0057438D">
      <w:pPr>
        <w:pStyle w:val="DefaultParagraphFont"/>
        <w:widowControl w:val="0"/>
        <w:overflowPunct w:val="0"/>
        <w:autoSpaceDE w:val="0"/>
        <w:autoSpaceDN w:val="0"/>
        <w:adjustRightInd w:val="0"/>
        <w:spacing w:after="0" w:line="269" w:lineRule="auto"/>
        <w:ind w:left="20" w:right="20"/>
        <w:rPr>
          <w:rFonts w:ascii="Times New Roman" w:hAnsi="Times New Roman" w:cs="Times New Roman"/>
          <w:sz w:val="24"/>
          <w:szCs w:val="24"/>
        </w:rPr>
      </w:pPr>
      <w:r>
        <w:rPr>
          <w:rFonts w:ascii="Times New Roman" w:hAnsi="Times New Roman" w:cs="Times New Roman"/>
          <w:sz w:val="19"/>
          <w:szCs w:val="19"/>
        </w:rPr>
        <w:t>During the next 12 months, the amount of the June 30, 2014, accumulated OCI balance that will be reclassified to earnings is expected to be immaterial.</w:t>
      </w:r>
    </w:p>
    <w:p w:rsidR="00000000" w:rsidRDefault="0057438D">
      <w:pPr>
        <w:pStyle w:val="DefaultParagraphFont"/>
        <w:widowControl w:val="0"/>
        <w:autoSpaceDE w:val="0"/>
        <w:autoSpaceDN w:val="0"/>
        <w:adjustRightInd w:val="0"/>
        <w:spacing w:after="0" w:line="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left="20" w:right="120"/>
        <w:jc w:val="both"/>
        <w:rPr>
          <w:rFonts w:ascii="Times New Roman" w:hAnsi="Times New Roman" w:cs="Times New Roman"/>
          <w:sz w:val="24"/>
          <w:szCs w:val="24"/>
        </w:rPr>
      </w:pPr>
      <w:r>
        <w:rPr>
          <w:rFonts w:ascii="Times New Roman" w:hAnsi="Times New Roman" w:cs="Times New Roman"/>
          <w:sz w:val="19"/>
          <w:szCs w:val="19"/>
        </w:rPr>
        <w:t>The amounts of gains and losses included in earnings from qualifying and non-qualifying financial instr</w:t>
      </w:r>
      <w:r>
        <w:rPr>
          <w:rFonts w:ascii="Times New Roman" w:hAnsi="Times New Roman" w:cs="Times New Roman"/>
          <w:sz w:val="19"/>
          <w:szCs w:val="19"/>
        </w:rPr>
        <w:t>uments used in hedging transactions for the years ended June 30, 2014 and 2013 were as follows:</w:t>
      </w:r>
    </w:p>
    <w:p w:rsidR="00000000" w:rsidRDefault="0057438D">
      <w:pPr>
        <w:pStyle w:val="DefaultParagraphFont"/>
        <w:widowControl w:val="0"/>
        <w:autoSpaceDE w:val="0"/>
        <w:autoSpaceDN w:val="0"/>
        <w:adjustRightInd w:val="0"/>
        <w:spacing w:after="0" w:line="13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0"/>
        <w:gridCol w:w="2800"/>
        <w:gridCol w:w="60"/>
        <w:gridCol w:w="180"/>
        <w:gridCol w:w="680"/>
        <w:gridCol w:w="20"/>
        <w:gridCol w:w="60"/>
        <w:gridCol w:w="20"/>
        <w:gridCol w:w="200"/>
        <w:gridCol w:w="640"/>
        <w:gridCol w:w="20"/>
      </w:tblGrid>
      <w:tr w:rsidR="00000000">
        <w:tblPrEx>
          <w:tblCellMar>
            <w:top w:w="0" w:type="dxa"/>
            <w:left w:w="0" w:type="dxa"/>
            <w:bottom w:w="0" w:type="dxa"/>
            <w:right w:w="0" w:type="dxa"/>
          </w:tblCellMar>
        </w:tblPrEx>
        <w:trPr>
          <w:trHeight w:val="172"/>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800" w:type="dxa"/>
            <w:gridSpan w:val="7"/>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right="109"/>
              <w:jc w:val="right"/>
              <w:rPr>
                <w:rFonts w:ascii="Times New Roman" w:hAnsi="Times New Roman" w:cs="Times New Roman"/>
                <w:sz w:val="24"/>
                <w:szCs w:val="24"/>
              </w:rPr>
            </w:pPr>
            <w:r>
              <w:rPr>
                <w:rFonts w:ascii="Times New Roman" w:hAnsi="Times New Roman" w:cs="Times New Roman"/>
                <w:b/>
                <w:bCs/>
                <w:sz w:val="15"/>
                <w:szCs w:val="15"/>
              </w:rPr>
              <w:t>Amount of Gain/(Loss)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620" w:type="dxa"/>
            <w:gridSpan w:val="6"/>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289"/>
              <w:jc w:val="right"/>
              <w:rPr>
                <w:rFonts w:ascii="Times New Roman" w:hAnsi="Times New Roman" w:cs="Times New Roman"/>
                <w:sz w:val="24"/>
                <w:szCs w:val="24"/>
              </w:rPr>
            </w:pPr>
            <w:r>
              <w:rPr>
                <w:rFonts w:ascii="Times New Roman" w:hAnsi="Times New Roman" w:cs="Times New Roman"/>
                <w:b/>
                <w:bCs/>
                <w:sz w:val="15"/>
                <w:szCs w:val="15"/>
              </w:rPr>
              <w:t>Reclassified from</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20" w:type="dxa"/>
            <w:gridSpan w:val="6"/>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9"/>
              <w:jc w:val="right"/>
              <w:rPr>
                <w:rFonts w:ascii="Times New Roman" w:hAnsi="Times New Roman" w:cs="Times New Roman"/>
                <w:sz w:val="24"/>
                <w:szCs w:val="24"/>
              </w:rPr>
            </w:pPr>
            <w:r>
              <w:rPr>
                <w:rFonts w:ascii="Times New Roman" w:hAnsi="Times New Roman" w:cs="Times New Roman"/>
                <w:b/>
                <w:bCs/>
                <w:sz w:val="15"/>
                <w:szCs w:val="15"/>
              </w:rPr>
              <w:t>AOCI into Earnings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1"/>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12"/>
              <w:jc w:val="right"/>
              <w:rPr>
                <w:rFonts w:ascii="Times New Roman" w:hAnsi="Times New Roman" w:cs="Times New Roman"/>
                <w:sz w:val="24"/>
                <w:szCs w:val="24"/>
              </w:rPr>
            </w:pPr>
            <w:r>
              <w:rPr>
                <w:rFonts w:ascii="Times New Roman" w:hAnsi="Times New Roman" w:cs="Times New Roman"/>
                <w:b/>
                <w:bCs/>
                <w:sz w:val="15"/>
                <w:szCs w:val="15"/>
              </w:rPr>
              <w:t>2014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9"/>
              <w:jc w:val="right"/>
              <w:rPr>
                <w:rFonts w:ascii="Times New Roman" w:hAnsi="Times New Roman" w:cs="Times New Roman"/>
                <w:sz w:val="24"/>
                <w:szCs w:val="24"/>
              </w:rPr>
            </w:pPr>
            <w:r>
              <w:rPr>
                <w:rFonts w:ascii="Times New Roman" w:hAnsi="Times New Roman" w:cs="Times New Roman"/>
                <w:b/>
                <w:bCs/>
                <w:sz w:val="15"/>
                <w:szCs w:val="15"/>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7"/>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80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6" w:lineRule="exact"/>
              <w:ind w:left="40"/>
              <w:rPr>
                <w:rFonts w:ascii="Times New Roman" w:hAnsi="Times New Roman" w:cs="Times New Roman"/>
                <w:sz w:val="24"/>
                <w:szCs w:val="24"/>
              </w:rPr>
            </w:pPr>
            <w:r>
              <w:rPr>
                <w:rFonts w:ascii="Times New Roman" w:hAnsi="Times New Roman" w:cs="Times New Roman"/>
                <w:b/>
                <w:bCs/>
                <w:w w:val="98"/>
                <w:sz w:val="19"/>
                <w:szCs w:val="19"/>
              </w:rPr>
              <w:t>DERIVATIVES IN CASH FLOW</w:t>
            </w:r>
          </w:p>
        </w:tc>
        <w:tc>
          <w:tcPr>
            <w:tcW w:w="6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80" w:type="dxa"/>
            <w:gridSpan w:val="3"/>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6" w:lineRule="exact"/>
              <w:ind w:left="20"/>
              <w:rPr>
                <w:rFonts w:ascii="Times New Roman" w:hAnsi="Times New Roman" w:cs="Times New Roman"/>
                <w:sz w:val="24"/>
                <w:szCs w:val="24"/>
              </w:rPr>
            </w:pPr>
            <w:r>
              <w:rPr>
                <w:rFonts w:ascii="Times New Roman" w:hAnsi="Times New Roman" w:cs="Times New Roman"/>
                <w:b/>
                <w:bCs/>
                <w:w w:val="91"/>
                <w:sz w:val="19"/>
                <w:szCs w:val="19"/>
              </w:rPr>
              <w:t>HEDGING</w:t>
            </w:r>
          </w:p>
        </w:tc>
        <w:tc>
          <w:tcPr>
            <w:tcW w:w="6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4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2"/>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RELATIONSH</w:t>
            </w:r>
            <w:r>
              <w:rPr>
                <w:rFonts w:ascii="Times New Roman" w:hAnsi="Times New Roman" w:cs="Times New Roman"/>
                <w:b/>
                <w:bCs/>
                <w:sz w:val="19"/>
                <w:szCs w:val="19"/>
              </w:rPr>
              <w:t>IPS</w:t>
            </w: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Interest rate contracts</w:t>
            </w:r>
          </w:p>
        </w:tc>
        <w:tc>
          <w:tcPr>
            <w:tcW w:w="2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
              <w:jc w:val="right"/>
              <w:rPr>
                <w:rFonts w:ascii="Times New Roman" w:hAnsi="Times New Roman" w:cs="Times New Roman"/>
                <w:sz w:val="24"/>
                <w:szCs w:val="24"/>
              </w:rPr>
            </w:pPr>
            <w:r>
              <w:rPr>
                <w:rFonts w:ascii="Times New Roman" w:hAnsi="Times New Roman" w:cs="Times New Roman"/>
                <w:b/>
                <w:bCs/>
                <w:sz w:val="19"/>
                <w:szCs w:val="19"/>
              </w:rPr>
              <w:t>$</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Foreign currency contracts</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38</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7"/>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80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TOTAL</w:t>
            </w:r>
          </w:p>
        </w:tc>
        <w:tc>
          <w:tcPr>
            <w:tcW w:w="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44</w:t>
            </w:r>
          </w:p>
        </w:tc>
        <w:tc>
          <w:tcPr>
            <w:tcW w:w="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221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6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7"/>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7"/>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9"/>
              <w:jc w:val="right"/>
              <w:rPr>
                <w:rFonts w:ascii="Times New Roman" w:hAnsi="Times New Roman" w:cs="Times New Roman"/>
                <w:sz w:val="24"/>
                <w:szCs w:val="24"/>
              </w:rPr>
            </w:pPr>
            <w:r>
              <w:rPr>
                <w:rFonts w:ascii="Times New Roman" w:hAnsi="Times New Roman" w:cs="Times New Roman"/>
                <w:b/>
                <w:bCs/>
                <w:sz w:val="15"/>
                <w:szCs w:val="15"/>
              </w:rPr>
              <w:t>Amount of Gain/(Loss)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0" w:type="dxa"/>
            <w:gridSpan w:val="7"/>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9"/>
              <w:jc w:val="right"/>
              <w:rPr>
                <w:rFonts w:ascii="Times New Roman" w:hAnsi="Times New Roman" w:cs="Times New Roman"/>
                <w:sz w:val="24"/>
                <w:szCs w:val="24"/>
              </w:rPr>
            </w:pPr>
            <w:r>
              <w:rPr>
                <w:rFonts w:ascii="Times New Roman" w:hAnsi="Times New Roman" w:cs="Times New Roman"/>
                <w:b/>
                <w:bCs/>
                <w:sz w:val="15"/>
                <w:szCs w:val="15"/>
              </w:rPr>
              <w:t>Recognized in Earnings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8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8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92"/>
              <w:jc w:val="right"/>
              <w:rPr>
                <w:rFonts w:ascii="Times New Roman" w:hAnsi="Times New Roman" w:cs="Times New Roman"/>
                <w:sz w:val="24"/>
                <w:szCs w:val="24"/>
              </w:rPr>
            </w:pPr>
            <w:r>
              <w:rPr>
                <w:rFonts w:ascii="Times New Roman" w:hAnsi="Times New Roman" w:cs="Times New Roman"/>
                <w:b/>
                <w:bCs/>
                <w:sz w:val="15"/>
                <w:szCs w:val="15"/>
              </w:rPr>
              <w:t>2014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9"/>
              <w:jc w:val="right"/>
              <w:rPr>
                <w:rFonts w:ascii="Times New Roman" w:hAnsi="Times New Roman" w:cs="Times New Roman"/>
                <w:sz w:val="24"/>
                <w:szCs w:val="24"/>
              </w:rPr>
            </w:pPr>
            <w:r>
              <w:rPr>
                <w:rFonts w:ascii="Times New Roman" w:hAnsi="Times New Roman" w:cs="Times New Roman"/>
                <w:b/>
                <w:bCs/>
                <w:sz w:val="15"/>
                <w:szCs w:val="15"/>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60" w:type="dxa"/>
            <w:gridSpan w:val="2"/>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gridSpan w:val="2"/>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7"/>
        </w:trPr>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86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6" w:lineRule="exact"/>
              <w:ind w:left="40"/>
              <w:rPr>
                <w:rFonts w:ascii="Times New Roman" w:hAnsi="Times New Roman" w:cs="Times New Roman"/>
                <w:sz w:val="24"/>
                <w:szCs w:val="24"/>
              </w:rPr>
            </w:pPr>
            <w:r>
              <w:rPr>
                <w:rFonts w:ascii="Times New Roman" w:hAnsi="Times New Roman" w:cs="Times New Roman"/>
                <w:b/>
                <w:bCs/>
                <w:w w:val="99"/>
                <w:sz w:val="19"/>
                <w:szCs w:val="19"/>
              </w:rPr>
              <w:t>DERIVATIVES IN FAIR VALUE</w:t>
            </w:r>
          </w:p>
        </w:tc>
        <w:tc>
          <w:tcPr>
            <w:tcW w:w="86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6" w:lineRule="exact"/>
              <w:ind w:left="40"/>
              <w:rPr>
                <w:rFonts w:ascii="Times New Roman" w:hAnsi="Times New Roman" w:cs="Times New Roman"/>
                <w:sz w:val="24"/>
                <w:szCs w:val="24"/>
              </w:rPr>
            </w:pPr>
            <w:r>
              <w:rPr>
                <w:rFonts w:ascii="Times New Roman" w:hAnsi="Times New Roman" w:cs="Times New Roman"/>
                <w:b/>
                <w:bCs/>
                <w:w w:val="87"/>
                <w:sz w:val="19"/>
                <w:szCs w:val="19"/>
              </w:rPr>
              <w:t>HEDGING</w:t>
            </w:r>
          </w:p>
        </w:tc>
        <w:tc>
          <w:tcPr>
            <w:tcW w:w="8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2"/>
        </w:trPr>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RELATIONSHIPS</w:t>
            </w: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Interest rate contracts</w:t>
            </w:r>
          </w:p>
        </w:tc>
        <w:tc>
          <w:tcPr>
            <w:tcW w:w="2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19"/>
                <w:szCs w:val="19"/>
              </w:rPr>
              <w:t>$</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36</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Debt</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(37)</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7"/>
        </w:trPr>
        <w:tc>
          <w:tcPr>
            <w:tcW w:w="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80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TO</w:t>
            </w:r>
            <w:r>
              <w:rPr>
                <w:rFonts w:ascii="Times New Roman" w:hAnsi="Times New Roman" w:cs="Times New Roman"/>
                <w:b/>
                <w:bCs/>
                <w:sz w:val="19"/>
                <w:szCs w:val="19"/>
              </w:rPr>
              <w:t>TAL</w:t>
            </w: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w:t>
            </w:r>
          </w:p>
        </w:tc>
        <w:tc>
          <w:tcPr>
            <w:tcW w:w="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6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48" w:lineRule="auto"/>
        <w:ind w:left="60" w:right="300"/>
        <w:rPr>
          <w:rFonts w:ascii="Times New Roman" w:hAnsi="Times New Roman" w:cs="Times New Roman"/>
          <w:sz w:val="24"/>
          <w:szCs w:val="24"/>
        </w:rPr>
      </w:pPr>
      <w:r>
        <w:rPr>
          <w:rFonts w:ascii="Times New Roman" w:hAnsi="Times New Roman" w:cs="Times New Roman"/>
          <w:b/>
          <w:bCs/>
          <w:sz w:val="19"/>
          <w:szCs w:val="19"/>
        </w:rPr>
        <w:t>DERIVATIVES IN NET INVESTMENT HEDGING RELATIONSHIPS</w:t>
      </w:r>
    </w:p>
    <w:p w:rsidR="00000000" w:rsidRDefault="0057438D">
      <w:pPr>
        <w:pStyle w:val="DefaultParagraphFont"/>
        <w:widowControl w:val="0"/>
        <w:autoSpaceDE w:val="0"/>
        <w:autoSpaceDN w:val="0"/>
        <w:adjustRightInd w:val="0"/>
        <w:spacing w:after="0" w:line="8" w:lineRule="exact"/>
        <w:rPr>
          <w:rFonts w:ascii="Times New Roman" w:hAnsi="Times New Roman" w:cs="Times New Roman"/>
          <w:sz w:val="24"/>
          <w:szCs w:val="24"/>
        </w:rPr>
      </w:pPr>
      <w:r>
        <w:rPr>
          <w:noProof/>
        </w:rPr>
        <mc:AlternateContent>
          <mc:Choice Requires="wps">
            <w:drawing>
              <wp:anchor distT="0" distB="0" distL="114300" distR="114300" simplePos="0" relativeHeight="251724800" behindDoc="1" locked="0" layoutInCell="0" allowOverlap="1">
                <wp:simplePos x="0" y="0"/>
                <wp:positionH relativeFrom="column">
                  <wp:posOffset>2540</wp:posOffset>
                </wp:positionH>
                <wp:positionV relativeFrom="paragraph">
                  <wp:posOffset>-274320</wp:posOffset>
                </wp:positionV>
                <wp:extent cx="2969895" cy="278130"/>
                <wp:effectExtent l="0" t="0" r="0" b="0"/>
                <wp:wrapNone/>
                <wp:docPr id="58"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9895" cy="278130"/>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26" style="position:absolute;margin-left:.2pt;margin-top:-21.6pt;width:233.85pt;height:21.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GgAIAAP0EAAAOAAAAZHJzL2Uyb0RvYy54bWysVG2PEyEQ/m7ifyB87+2L25fddHu5612N&#10;yakXT38ABbZLZAGBdnsa/7sD29ZW/WCMbcICMwzPM/MM8+t9J9GOWye0qnF2lWLEFdVMqE2NP31c&#10;jWYYOU8UI1IrXuNn7vD14uWLeW8qnutWS8YtgiDKVb2pceu9qZLE0ZZ3xF1pwxUYG2074mFpNwmz&#10;pIfonUzyNJ0kvbbMWE25c7B7NxjxIsZvGk79+6Zx3CNZY8Dm42jjuA5jspiTamOJaQU9wCD/gKIj&#10;QsGlp1B3xBO0teK3UJ2gVjvd+Cuqu0Q3jaA8cgA2WfoLm6eWGB65QHKcOaXJ/b+w9N3u0SLBajyG&#10;SinSQY0+QNaI2kiOJtOQoN64CvyezKMNFJ150PSzQ0ovW3DjN9bqvuWEAaws+CcXB8LCwVG07t9q&#10;BuHJ1uuYq31juxAQsoD2sSTPp5LwvUcUNvNyUs7KMUYUbPl0lr2KNUtIdTxtrPOvue5QmNTYAvgY&#10;newenA9oSHV0iei1FGwlpIwLu1kvpUU7AvK4n4R/JAAkz92kCs5Kh2NDxGEHQMIdwRbgxnJ/K7O8&#10;SG/zcrSazKajYlWMR+U0nY3SrLwtJ2lRFner7wFgVlStYIyrB6H4UXpZ8XelPTTBIJooPtTXuBzn&#10;48j9Ar07J5nG359IdsJDJ0rR1Xh2ciJVKOy9YkCbVJ4IOcyTS/gxy5CD4zdmJcogVH5Q0FqzZ1CB&#10;1VAk6ER4M2DSavsVox76r8buy5ZYjpF8o0BJZVYUoWHjohhPc1jYc8v63EIUhVA19hgN06Ufmnxr&#10;rNi0cFMWE6P0DaivEVEYQZkDqoNmoccig8N7EJr4fB29fr5aix8AAAD//wMAUEsDBBQABgAIAAAA&#10;IQDBs+HS3AAAAAUBAAAPAAAAZHJzL2Rvd25yZXYueG1sTI7BTsMwEETvSPyDtUjcWqclikqaTYVQ&#10;kTgAVQsfsE22TiBeh9htw99jTuU4mtGbV6xG26kTD751gjCbJqBYKle3YhA+3p8mC1A+kNTUOWGE&#10;H/awKq+vCsprd5Ytn3bBqAgRnxNCE0Kfa+2rhi35qetZYndwg6UQ42B0PdA5wm2n50mSaUutxIeG&#10;en5suPraHS3CaDbb9Xf28rpZ962ht0+X3rtnxNub8WEJKvAYLmP404/qUEanvTtK7VWHkMYdwiS9&#10;m4OKdZotZqD2CBnostD/7ctfAAAA//8DAFBLAQItABQABgAIAAAAIQC2gziS/gAAAOEBAAATAAAA&#10;AAAAAAAAAAAAAAAAAABbQ29udGVudF9UeXBlc10ueG1sUEsBAi0AFAAGAAgAAAAhADj9If/WAAAA&#10;lAEAAAsAAAAAAAAAAAAAAAAALwEAAF9yZWxzLy5yZWxzUEsBAi0AFAAGAAgAAAAhAIXDP8aAAgAA&#10;/QQAAA4AAAAAAAAAAAAAAAAALgIAAGRycy9lMm9Eb2MueG1sUEsBAi0AFAAGAAgAAAAhAMGz4dLc&#10;AAAABQEAAA8AAAAAAAAAAAAAAAAA2gQAAGRycy9kb3ducmV2LnhtbFBLBQYAAAAABAAEAPMAAADj&#10;BQAAAAA=&#10;" o:allowincell="f" fillcolor="#e6e6e6" stroked="f"/>
            </w:pict>
          </mc:Fallback>
        </mc:AlternateContent>
      </w:r>
    </w:p>
    <w:p w:rsidR="00000000" w:rsidRDefault="0057438D">
      <w:pPr>
        <w:pStyle w:val="DefaultParagraphFont"/>
        <w:widowControl w:val="0"/>
        <w:tabs>
          <w:tab w:val="left" w:pos="2920"/>
        </w:tabs>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investment hedges</w:t>
      </w:r>
      <w:r>
        <w:rPr>
          <w:rFonts w:ascii="Times New Roman" w:hAnsi="Times New Roman" w:cs="Times New Roman"/>
          <w:sz w:val="24"/>
          <w:szCs w:val="24"/>
        </w:rPr>
        <w:tab/>
      </w:r>
      <w:r>
        <w:rPr>
          <w:rFonts w:ascii="Times New Roman" w:hAnsi="Times New Roman" w:cs="Times New Roman"/>
          <w:b/>
          <w:bCs/>
          <w:sz w:val="19"/>
          <w:szCs w:val="19"/>
        </w:rPr>
        <w:t xml:space="preserve">$     —  </w:t>
      </w:r>
      <w:r>
        <w:rPr>
          <w:rFonts w:ascii="Times New Roman" w:hAnsi="Times New Roman" w:cs="Times New Roman"/>
          <w:sz w:val="19"/>
          <w:szCs w:val="19"/>
        </w:rPr>
        <w:t>$     (2)</w:t>
      </w:r>
    </w:p>
    <w:p w:rsidR="00000000" w:rsidRDefault="0057438D">
      <w:pPr>
        <w:pStyle w:val="DefaultParagraphFont"/>
        <w:widowControl w:val="0"/>
        <w:autoSpaceDE w:val="0"/>
        <w:autoSpaceDN w:val="0"/>
        <w:adjustRightInd w:val="0"/>
        <w:spacing w:after="0" w:line="162" w:lineRule="exact"/>
        <w:rPr>
          <w:rFonts w:ascii="Times New Roman" w:hAnsi="Times New Roman" w:cs="Times New Roman"/>
          <w:sz w:val="24"/>
          <w:szCs w:val="24"/>
        </w:rPr>
      </w:pPr>
      <w:r>
        <w:rPr>
          <w:noProof/>
        </w:rPr>
        <mc:AlternateContent>
          <mc:Choice Requires="wps">
            <w:drawing>
              <wp:anchor distT="0" distB="0" distL="114300" distR="114300" simplePos="0" relativeHeight="251725824" behindDoc="1" locked="0" layoutInCell="0" allowOverlap="1">
                <wp:simplePos x="0" y="0"/>
                <wp:positionH relativeFrom="column">
                  <wp:posOffset>1832610</wp:posOffset>
                </wp:positionH>
                <wp:positionV relativeFrom="paragraph">
                  <wp:posOffset>29845</wp:posOffset>
                </wp:positionV>
                <wp:extent cx="545465" cy="0"/>
                <wp:effectExtent l="0" t="0" r="0" b="0"/>
                <wp:wrapNone/>
                <wp:docPr id="57"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3pt,2.35pt" to="187.2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9GHgIAAEMEAAAOAAAAZHJzL2Uyb0RvYy54bWysU8GO2jAQvVfqP1i+QxIaW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TzB4wU&#10;6WBHz0JxtFiG2fTGFRBSqZ0N3dGzejHPmn53SOmqJerAI8fXi4G8LGQkb1LCxRmosO8/awYx5Oh1&#10;HNS5sV2AhBGgc9zH5bYPfvaIwsd5Ps8Xc4zo6EpIMeYZ6/wnrjsUjBJL4BxxyenZ+cCDFGNIKKP0&#10;VkgZty0V6oHsLMvmMcNpKVjwhjhnD/tKWnQiQTDxF7sCz31YgK6Ja4e46BqkZPVRsVim5YRtrrYn&#10;Qg420JIqFIIegejVGqTy4zF93Cw3y3ySzxabSZ7W9eTjtsoni232MK8/1FVVZz8D5ywvWsEYV4H2&#10;KNss/ztZXB/QILibcG8DSt6ix0kC2fE/ko5LDnsdFLLX7LKz4/JBqTH4+qrCU7i/g33/9te/AAAA&#10;//8DAFBLAwQUAAYACAAAACEAykKGbdoAAAAHAQAADwAAAGRycy9kb3ducmV2LnhtbEyOy07DMBBF&#10;90j8gzVI7KhDW9qQxqkQUiS2tAiJnRNPkwh7HGInDX/PwIYur+7r5PvZWTHhEDpPCu4XCQik2puO&#10;GgVvx/IuBRGiJqOtJ1TwjQH2xfVVrjPjz/SK0yE2gkcoZFpBG2OfSRnqFp0OC98jsXfyg9OR5dBI&#10;M+gzjzsrl0mykU53xA+t7vG5xfrzMDrGWNnpsZrGqvz4krKqX+zRvJdK3d7MTzsQEef4H4ZffO5A&#10;wUyVH8kEYRUs03TDUQXrLQj2V9v1A4jqT8sil5f8xQ8AAAD//wMAUEsBAi0AFAAGAAgAAAAhALaD&#10;OJL+AAAA4QEAABMAAAAAAAAAAAAAAAAAAAAAAFtDb250ZW50X1R5cGVzXS54bWxQSwECLQAUAAYA&#10;CAAAACEAOP0h/9YAAACUAQAACwAAAAAAAAAAAAAAAAAvAQAAX3JlbHMvLnJlbHNQSwECLQAUAAYA&#10;CAAAACEAWJj/Rh4CAABDBAAADgAAAAAAAAAAAAAAAAAuAgAAZHJzL2Uyb0RvYy54bWxQSwECLQAU&#10;AAYACAAAACEAykKGbdoAAAAHAQAADwAAAAAAAAAAAAAAAAB4BAAAZHJzL2Rvd25yZXYueG1sUEsF&#10;BgAAAAAEAAQA8wAAAH8FAAAAAA==&#10;" o:allowincell="f" strokeweight=".33653mm"/>
            </w:pict>
          </mc:Fallback>
        </mc:AlternateContent>
      </w:r>
      <w:r>
        <w:rPr>
          <w:noProof/>
        </w:rPr>
        <mc:AlternateContent>
          <mc:Choice Requires="wps">
            <w:drawing>
              <wp:anchor distT="0" distB="0" distL="114300" distR="114300" simplePos="0" relativeHeight="251726848" behindDoc="1" locked="0" layoutInCell="0" allowOverlap="1">
                <wp:simplePos x="0" y="0"/>
                <wp:positionH relativeFrom="column">
                  <wp:posOffset>1832610</wp:posOffset>
                </wp:positionH>
                <wp:positionV relativeFrom="paragraph">
                  <wp:posOffset>53975</wp:posOffset>
                </wp:positionV>
                <wp:extent cx="545465" cy="0"/>
                <wp:effectExtent l="0" t="0" r="0" b="0"/>
                <wp:wrapNone/>
                <wp:docPr id="56"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3pt,4.25pt" to="187.2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OFHQIAAEMEAAAOAAAAZHJzL2Uyb0RvYy54bWysU8GO2jAQvVfqP1i+QwhNKESEVZVAL7SL&#10;tNsPMLZDrDq2ZRsCqvrvHTuA2PZSVeVgxpmZN29mnpdP506iE7dOaFXidDzBiCuqmVCHEn973Yzm&#10;GDlPFCNSK17iC3f4afX+3bI3BZ/qVkvGLQIQ5YrelLj13hRJ4mjLO+LG2nAFzkbbjni42kPCLOkB&#10;vZPJdDKZJb22zFhNuXPwtR6ceBXxm4ZT/9w0jnskSwzcfDxtPPfhTFZLUhwsMa2gVxrkH1h0RCgo&#10;eoeqiSfoaMUfUJ2gVjvd+DHVXaKbRlAee4Bu0slv3by0xPDYCwzHmfuY3P+DpV9PO4sEK3E+w0iR&#10;Dna0FYqj2SLMpjeugJBK7Wzojp7Vi9lq+t0hpauWqAOPHF8vBvLSkJG8SQkXZ6DCvv+iGcSQo9dx&#10;UOfGdgESRoDOcR+X+z742SMKH/Msz2Y5RvTmSkhxyzPW+c9cdygYJZbAOeKS09b5wIMUt5BQRumN&#10;kDJuWyrUA9lpmuYxw2kpWPCGOGcP+0padCJBMPEXuwLPY1iArolrh7joGqRk9VGxWKblhK2vtidC&#10;DjbQkioUgh6B6NUapPJjMVms5+t5Nsqms/Uom9T16NOmykazTfoxrz/UVVWnPwPnNCtawRhXgfZN&#10;tmn2d7K4PqBBcHfh3geUvEWPkwSyt/9IOi457HVQyF6zy87elg9KjcHXVxWewuMd7Me3v/oFAAD/&#10;/wMAUEsDBBQABgAIAAAAIQC4ubnG2QAAAAcBAAAPAAAAZHJzL2Rvd25yZXYueG1sTI5NS8QwEIbv&#10;gv8hjODNTd3VtdamiwgFr+6K4C1pxraYTGqTduu/d/Ti3ubl/Zin3C3eiRnH2AdScL3KQCA1wfbU&#10;Kng91Fc5iJg0We0CoYJvjLCrzs9KXdhwpBec96kVPEKx0Aq6lIZCyth06HVchQGJvY8wep1Yjq20&#10;oz7yuHdynWVb6XVP/KHTAz512HzuJ88YGzffm3ky9fuXlKZ5dgf7Vit1ebE8PoBIuKT/MPzicwcq&#10;ZjJhIhuFU7DO8y1HFeS3INjf3N3wYf60rEp5yl/9AAAA//8DAFBLAQItABQABgAIAAAAIQC2gziS&#10;/gAAAOEBAAATAAAAAAAAAAAAAAAAAAAAAABbQ29udGVudF9UeXBlc10ueG1sUEsBAi0AFAAGAAgA&#10;AAAhADj9If/WAAAAlAEAAAsAAAAAAAAAAAAAAAAALwEAAF9yZWxzLy5yZWxzUEsBAi0AFAAGAAgA&#10;AAAhACXMA4UdAgAAQwQAAA4AAAAAAAAAAAAAAAAALgIAAGRycy9lMm9Eb2MueG1sUEsBAi0AFAAG&#10;AAgAAAAhALi5ucbZAAAABwEAAA8AAAAAAAAAAAAAAAAAdwQAAGRycy9kb3ducmV2LnhtbFBLBQYA&#10;AAAABAAEAPMAAAB9BQAAAAA=&#10;" o:allowincell="f" strokeweight=".33653mm"/>
            </w:pict>
          </mc:Fallback>
        </mc:AlternateContent>
      </w:r>
      <w:r>
        <w:rPr>
          <w:noProof/>
        </w:rPr>
        <mc:AlternateContent>
          <mc:Choice Requires="wps">
            <w:drawing>
              <wp:anchor distT="0" distB="0" distL="114300" distR="114300" simplePos="0" relativeHeight="251727872" behindDoc="1" locked="0" layoutInCell="0" allowOverlap="1">
                <wp:simplePos x="0" y="0"/>
                <wp:positionH relativeFrom="column">
                  <wp:posOffset>2426970</wp:posOffset>
                </wp:positionH>
                <wp:positionV relativeFrom="paragraph">
                  <wp:posOffset>29845</wp:posOffset>
                </wp:positionV>
                <wp:extent cx="545465" cy="0"/>
                <wp:effectExtent l="0" t="0" r="0" b="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1pt,2.35pt" to="234.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0gHgIAAEMEAAAOAAAAZHJzL2Uyb0RvYy54bWysU82O2jAQvlfqO1i+QxIaWDYirKoEetm2&#10;SLt9AGM7xKpjW7YhoKrv3rFDENteqqo5OGPPzDff/K2ezp1EJ26d0KrE2TTFiCuqmVCHEn973U6W&#10;GDlPFCNSK17iC3f4af3+3ao3BZ/pVkvGLQIQ5YrelLj13hRJ4mjLO+Km2nAFykbbjni42kPCLOkB&#10;vZPJLE0XSa8tM1ZT7hy81oMSryN+03DqvzaN4x7JEgM3H08bz304k/WKFAdLTCvolQb5BxYdEQqC&#10;3qBq4gk6WvEHVCeo1U43fkp1l+imEZTHHCCbLP0tm5eWGB5zgeI4cyuT+3+w9MtpZ5FgJZ7PMVKk&#10;gx49C8XRQ6xNb1wBJpXa2ZAdPasX86zpd4eUrlqiDjxyfL0Y8MtCNZM3LuHiDETY9581Axty9DoW&#10;6tzYLkBCCdA59uNy6wc/e0ThcZ7P8wXQoqMqIcXoZ6zzn7juUBBKLIFzxCWnZ+cDD1KMJiGM0lsh&#10;Zey2VKgHsrMsm0cPp6VgQRvsnD3sK2nRiYSBiV/MCjT3ZgG6Jq4d7KJqGCWrj4rFMC0nbHOVPRFy&#10;kIGWVCEQ5AhEr9IwKj8e08fNcrPMJ/lssZnkaV1PPm6rfLLYZg/z+kNdVXX2M3DO8qIVjHEVaI9j&#10;m+V/NxbXBRoG7ja4twIlb9FjJYHs+I+kY5NDX8OeuWKv2WVnx+bDpEbj61aFVbi/g3y/++tfAAAA&#10;//8DAFBLAwQUAAYACAAAACEAofzKhtkAAAAHAQAADwAAAGRycy9kb3ducmV2LnhtbEyOzU6DQBSF&#10;9ya+w+SauLNDaVORMjTGhMStrTFxNzBXIJ25g8xA8e29utHlyfn7isPirJhxDL0nBetVAgKp8aan&#10;VsHrqbrLQISoyWjrCRV8YYBDeX1V6Nz4C73gfIyt4BEKuVbQxTjkUoamQ6fDyg9I7H340enIcmyl&#10;GfWFx52VaZLspNM98UOnB3zqsDkfJ8cYGzs/1PNUV++fUtbNsz2Zt0qp25vlcQ8i4hL/wvCDzx0o&#10;man2E5kgrIJNlqYcVbC9B8H+dpetQdS/WpaF/M9ffgMAAP//AwBQSwECLQAUAAYACAAAACEAtoM4&#10;kv4AAADhAQAAEwAAAAAAAAAAAAAAAAAAAAAAW0NvbnRlbnRfVHlwZXNdLnhtbFBLAQItABQABgAI&#10;AAAAIQA4/SH/1gAAAJQBAAALAAAAAAAAAAAAAAAAAC8BAABfcmVscy8ucmVsc1BLAQItABQABgAI&#10;AAAAIQAvKS0gHgIAAEMEAAAOAAAAAAAAAAAAAAAAAC4CAABkcnMvZTJvRG9jLnhtbFBLAQItABQA&#10;BgAIAAAAIQCh/MqG2QAAAAcBAAAPAAAAAAAAAAAAAAAAAHgEAABkcnMvZG93bnJldi54bWxQSwUG&#10;AAAAAAQABADzAAAAfgUAAAAA&#10;" o:allowincell="f" strokeweight=".33653mm"/>
            </w:pict>
          </mc:Fallback>
        </mc:AlternateContent>
      </w:r>
      <w:r>
        <w:rPr>
          <w:noProof/>
        </w:rPr>
        <mc:AlternateContent>
          <mc:Choice Requires="wps">
            <w:drawing>
              <wp:anchor distT="0" distB="0" distL="114300" distR="114300" simplePos="0" relativeHeight="251728896" behindDoc="1" locked="0" layoutInCell="0" allowOverlap="1">
                <wp:simplePos x="0" y="0"/>
                <wp:positionH relativeFrom="column">
                  <wp:posOffset>2426970</wp:posOffset>
                </wp:positionH>
                <wp:positionV relativeFrom="paragraph">
                  <wp:posOffset>53975</wp:posOffset>
                </wp:positionV>
                <wp:extent cx="545465" cy="0"/>
                <wp:effectExtent l="0" t="0" r="0" b="0"/>
                <wp:wrapNone/>
                <wp:docPr id="54"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1pt,4.25pt" to="234.0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HjHwIAAEMEAAAOAAAAZHJzL2Uyb0RvYy54bWysU8GO2yAQvVfqPyDuie3UzmatOKvKTnrZ&#10;tpF2+wEEcIyKAQGJE1X99w44SZv2UlX1AQMz8+bNzGP5dOolOnLrhFYVzqYpRlxRzYTaV/jL62ay&#10;wMh5ohiRWvEKn7nDT6u3b5aDKflMd1oybhGAKFcOpsKd96ZMEkc73hM31YYrMLba9sTD0e4TZskA&#10;6L1MZmk6TwZtmbGacufgthmNeBXx25ZT/7ltHfdIVhi4+bjauO7CmqyWpNxbYjpBLzTIP7DoiVCQ&#10;9AbVEE/QwYo/oHpBrXa69VOq+0S3raA81gDVZOlv1bx0xPBYCzTHmVub3P+DpZ+OW4sEq3CRY6RI&#10;DzN6Foqjhyz0ZjCuBJdabW2ojp7Ui3nW9KtDStcdUXseOb6eDcTFiOQuJBycgQy74aNm4EMOXsdG&#10;nVrbB0hoATrFeZxv8+AnjyhcFnmRzwuM6NWUkPIaZ6zzH7juUdhUWALniEuOz84Dc3C9uoQ0Sm+E&#10;lHHaUqEByM6yrIgRTkvBgjX4Obvf1dKiIwmCiV/oA6DduQXohrhu9IumUUpWHxSLaTpO2Pqy90TI&#10;cQ9AUoVEUCMQvexGqXx7TB/Xi/Uin+Sz+XqSp00zeb+p88l8kz0Uzbumrpvse+Cc5WUnGOMq0L7K&#10;Nsv/ThaXBzQK7ibcW4OSe/RYO5C9/iPpOOQw11EhO83OWxvaFOYNSo3Ol1cVnsKv5+j18+2vfgAA&#10;AP//AwBQSwMEFAAGAAgAAAAhANMH9S3ZAAAABwEAAA8AAABkcnMvZG93bnJldi54bWxMjs1Og0AU&#10;hfcmvsPkmrizQ6k2SBkaY0Li1rYxcTcwVyCduYPMQPHtvbrR5cn5+4r94qyYcQy9JwXrVQICqfGm&#10;p1bB6VjdZSBC1GS09YQKvjDAvry+KnRu/IVecT7EVvAIhVwr6GIccilD06HTYeUHJPY+/Oh0ZDm2&#10;0oz6wuPOyjRJttLpnvih0wM+d9icD5NjjI2dH+t5qqv3Tynr5sUezVul1O3N8rQDEXGJf2H4wecO&#10;lMxU+4lMEFbBJktTjirIHkCwf7/N1iDqXy3LQv7nL78BAAD//wMAUEsBAi0AFAAGAAgAAAAhALaD&#10;OJL+AAAA4QEAABMAAAAAAAAAAAAAAAAAAAAAAFtDb250ZW50X1R5cGVzXS54bWxQSwECLQAUAAYA&#10;CAAAACEAOP0h/9YAAACUAQAACwAAAAAAAAAAAAAAAAAvAQAAX3JlbHMvLnJlbHNQSwECLQAUAAYA&#10;CAAAACEAUn3R4x8CAABDBAAADgAAAAAAAAAAAAAAAAAuAgAAZHJzL2Uyb0RvYy54bWxQSwECLQAU&#10;AAYACAAAACEA0wf1LdkAAAAHAQAADwAAAAAAAAAAAAAAAAB5BAAAZHJzL2Rvd25yZXYueG1sUEsF&#10;BgAAAAAEAAQA8wAAAH8FAAAAAA==&#10;" o:allowincell="f" strokeweight=".33653mm"/>
            </w:pict>
          </mc:Fallback>
        </mc:AlternateContent>
      </w:r>
    </w:p>
    <w:p w:rsidR="00000000" w:rsidRDefault="0057438D">
      <w:pPr>
        <w:pStyle w:val="DefaultParagraphFont"/>
        <w:widowControl w:val="0"/>
        <w:overflowPunct w:val="0"/>
        <w:autoSpaceDE w:val="0"/>
        <w:autoSpaceDN w:val="0"/>
        <w:adjustRightInd w:val="0"/>
        <w:spacing w:after="0" w:line="243" w:lineRule="auto"/>
        <w:ind w:left="60" w:right="280"/>
        <w:rPr>
          <w:rFonts w:ascii="Times New Roman" w:hAnsi="Times New Roman" w:cs="Times New Roman"/>
          <w:sz w:val="24"/>
          <w:szCs w:val="24"/>
        </w:rPr>
      </w:pPr>
      <w:r>
        <w:rPr>
          <w:rFonts w:ascii="Times New Roman" w:hAnsi="Times New Roman" w:cs="Times New Roman"/>
          <w:b/>
          <w:bCs/>
          <w:sz w:val="19"/>
          <w:szCs w:val="19"/>
        </w:rPr>
        <w:t>DERIVATIVES NOT DESIGNATED AS HEDGING INSTRUMENTS</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r>
        <w:rPr>
          <w:noProof/>
        </w:rPr>
        <mc:AlternateContent>
          <mc:Choice Requires="wps">
            <w:drawing>
              <wp:anchor distT="0" distB="0" distL="114300" distR="114300" simplePos="0" relativeHeight="251729920" behindDoc="1" locked="0" layoutInCell="0" allowOverlap="1">
                <wp:simplePos x="0" y="0"/>
                <wp:positionH relativeFrom="column">
                  <wp:posOffset>2540</wp:posOffset>
                </wp:positionH>
                <wp:positionV relativeFrom="paragraph">
                  <wp:posOffset>-268605</wp:posOffset>
                </wp:positionV>
                <wp:extent cx="2969895" cy="278130"/>
                <wp:effectExtent l="0" t="0" r="0" b="0"/>
                <wp:wrapNone/>
                <wp:docPr id="53"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9895" cy="278130"/>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2pt;margin-top:-21.15pt;width:233.85pt;height:21.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Q5gQIAAP0EAAAOAAAAZHJzL2Uyb0RvYy54bWysVNtuGyEQfa/Uf0C8O3vJ+rKrrKPEjqtK&#10;aRs17QdgYL2oLFDAXidV/70Da7tO24eqqi2xwAzDOTNnuLredxLtuHVCqxpnFylGXFHNhNrU+POn&#10;1WiGkfNEMSK14jV+4g5fz1+/uupNxXPdasm4RRBEuao3NW69N1WSONryjrgLbbgCY6NtRzws7SZh&#10;lvQQvZNJnqaTpNeWGaspdw52l4MRz2P8puHUf2gaxz2SNQZsPo42juswJvMrUm0sMa2gBxjkH1B0&#10;RCi49BRqSTxBWyt+C9UJarXTjb+gukt00wjKIwdgk6W/sHlsieGRCyTHmVOa3P8LS9/vHiwSrMbj&#10;S4wU6aBGHyFrRG0kR9M8JKg3rgK/R/NgA0Vn7jX94pDSixbc+I21um85YQArC/7JiwNh4eAoWvfv&#10;NIPwZOt1zNW+sV0ICFlA+1iSp1NJ+N4jCpt5OSln5RgjCrZ8OssuY80SUh1PG+v8G647FCY1tgA+&#10;Rie7e+cDGlIdXSJ6LQVbCSnjwm7WC2nRjoA87ibhHwkAyXM3qYKz0uHYEHHYAZBwR7AFuLHc38os&#10;L9LbvBytJrPpqFgV41E5TWejNCtvy0lalMVy9T0AzIqqFYxxdS8UP0ovK/6utIcmGEQTxYf6Gpfj&#10;fBy5v0Dvzkmm8fcnkp3w0IlSdDWenZxIFQp7pxjQJpUnQg7z5CX8mGXIwfEbsxJlECo/KGit2ROo&#10;wGooEnQivBkwabV9xqiH/qux+7ollmMk3ypQUpkVRWjYuCjG0xwW9tyyPrcQRSFUjT1Gw3Thhybf&#10;Gis2LdyUxcQofQPqa0QURlDmgOqgWeixyODwHoQmPl9Hr5+v1vwHAAAA//8DAFBLAwQUAAYACAAA&#10;ACEAYwnOcdwAAAAGAQAADwAAAGRycy9kb3ducmV2LnhtbEyOwU7DMBBE70j8g7VI3FqnJURtiFMh&#10;VCQOQNXSD9gmixOI1yF22/D3LCc4juZp5hWr0XXqRENoPRuYTRNQxJWvW7YG9m+PkwWoEJFr7DyT&#10;gW8KsCovLwrMa3/mLZ120SoZ4ZCjgSbGPtc6VA05DFPfE0v37geHUeJgdT3gWcZdp+dJkmmHLctD&#10;gz09NFR97o7OwGg32/VX9vyyWfetxdcPny79kzHXV+P9HahIY/yD4Vdf1KEUp4M/ch1UZyAVzsAk&#10;nd+AkjrNFjNQB+FuQZeF/q9f/gAAAP//AwBQSwECLQAUAAYACAAAACEAtoM4kv4AAADhAQAAEwAA&#10;AAAAAAAAAAAAAAAAAAAAW0NvbnRlbnRfVHlwZXNdLnhtbFBLAQItABQABgAIAAAAIQA4/SH/1gAA&#10;AJQBAAALAAAAAAAAAAAAAAAAAC8BAABfcmVscy8ucmVsc1BLAQItABQABgAIAAAAIQA+25Q5gQIA&#10;AP0EAAAOAAAAAAAAAAAAAAAAAC4CAABkcnMvZTJvRG9jLnhtbFBLAQItABQABgAIAAAAIQBjCc5x&#10;3AAAAAYBAAAPAAAAAAAAAAAAAAAAANsEAABkcnMvZG93bnJldi54bWxQSwUGAAAAAAQABADzAAAA&#10;5AUAAAAA&#10;" o:allowincell="f" fillcolor="#e6e6e6" stroked="f"/>
            </w:pict>
          </mc:Fallback>
        </mc:AlternateContent>
      </w:r>
    </w:p>
    <w:p w:rsidR="00000000" w:rsidRDefault="0057438D">
      <w:pPr>
        <w:pStyle w:val="DefaultParagraphFont"/>
        <w:widowControl w:val="0"/>
        <w:tabs>
          <w:tab w:val="left" w:pos="2920"/>
        </w:tabs>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Foreign currency contracts</w:t>
      </w:r>
      <w:r>
        <w:rPr>
          <w:rFonts w:ascii="Times New Roman" w:hAnsi="Times New Roman" w:cs="Times New Roman"/>
          <w:sz w:val="24"/>
          <w:szCs w:val="24"/>
          <w:vertAlign w:val="superscript"/>
        </w:rPr>
        <w:t>(1)</w:t>
      </w:r>
      <w:r>
        <w:rPr>
          <w:rFonts w:ascii="Times New Roman" w:hAnsi="Times New Roman" w:cs="Times New Roman"/>
          <w:sz w:val="24"/>
          <w:szCs w:val="24"/>
        </w:rPr>
        <w:tab/>
      </w:r>
      <w:r>
        <w:rPr>
          <w:rFonts w:ascii="Times New Roman" w:hAnsi="Times New Roman" w:cs="Times New Roman"/>
          <w:b/>
          <w:bCs/>
          <w:sz w:val="19"/>
          <w:szCs w:val="19"/>
        </w:rPr>
        <w:t xml:space="preserve">$    123  </w:t>
      </w:r>
      <w:r>
        <w:rPr>
          <w:rFonts w:ascii="Times New Roman" w:hAnsi="Times New Roman" w:cs="Times New Roman"/>
          <w:sz w:val="19"/>
          <w:szCs w:val="19"/>
        </w:rPr>
        <w:t>$    (34)</w:t>
      </w:r>
    </w:p>
    <w:p w:rsidR="00000000" w:rsidRDefault="0057438D">
      <w:pPr>
        <w:pStyle w:val="DefaultParagraphFont"/>
        <w:widowControl w:val="0"/>
        <w:autoSpaceDE w:val="0"/>
        <w:autoSpaceDN w:val="0"/>
        <w:adjustRightInd w:val="0"/>
        <w:spacing w:after="0" w:line="71" w:lineRule="exact"/>
        <w:rPr>
          <w:rFonts w:ascii="Times New Roman" w:hAnsi="Times New Roman" w:cs="Times New Roman"/>
          <w:sz w:val="24"/>
          <w:szCs w:val="24"/>
        </w:rPr>
      </w:pPr>
      <w:r>
        <w:rPr>
          <w:noProof/>
        </w:rPr>
        <mc:AlternateContent>
          <mc:Choice Requires="wps">
            <w:drawing>
              <wp:anchor distT="0" distB="0" distL="114300" distR="114300" simplePos="0" relativeHeight="251730944" behindDoc="1" locked="0" layoutInCell="0" allowOverlap="1">
                <wp:simplePos x="0" y="0"/>
                <wp:positionH relativeFrom="column">
                  <wp:posOffset>1832610</wp:posOffset>
                </wp:positionH>
                <wp:positionV relativeFrom="paragraph">
                  <wp:posOffset>3175</wp:posOffset>
                </wp:positionV>
                <wp:extent cx="545465" cy="0"/>
                <wp:effectExtent l="0" t="0" r="0" b="0"/>
                <wp:wrapNone/>
                <wp:docPr id="52"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3pt,.25pt" to="187.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sgdHgIAAEMEAAAOAAAAZHJzL2Uyb0RvYy54bWysU8GO2jAQvVfqP1i+QwibsGxEWFUEeqFd&#10;pN1+gLEdYtWxLdsQUNV/79ghiG0vVVUOZpyZefNm5nnxfG4lOnHrhFYlTscTjLiimgl1KPG3t81o&#10;jpHzRDEiteIlvnCHn5cfPyw6U/CpbrRk3CIAUa7oTIkb702RJI42vCVurA1X4Ky1bYmHqz0kzJIO&#10;0FuZTCeTWdJpy4zVlDsHX6veiZcRv6459S917bhHssTAzcfTxnMfzmS5IMXBEtMIeqVB/oFFS4SC&#10;ojeoiniCjlb8AdUKarXTtR9T3Sa6rgXlsQfoJp381s1rQwyPvcBwnLmNyf0/WPr1tLNIsBLnU4wU&#10;aWFHW6E4enwIs+mMKyBkpXY2dEfP6tVsNf3ukNKrhqgDjxzfLgby0pCRvEsJF2egwr77ohnEkKPX&#10;cVDn2rYBEkaAznEfl9s++NkjCh/zLM9mOUZ0cCWkGPKMdf4z1y0KRoklcI645LR1PvAgxRASyii9&#10;EVLGbUuFOiA7TdM8ZjgtBQveEOfsYb+SFp1IEEz8xa7Acx8WoCvimj4uunopWX1ULJZpOGHrq+2J&#10;kL0NtKQKhaBHIHq1eqn8eJo8refreTbKprP1KJtU1ejTZpWNZpv0Ma8eqtWqSn8GzmlWNIIxrgLt&#10;QbZp9neyuD6gXnA34d4GlLxHj5MEssN/JB2XHPbaK2Sv2WVnh+WDUmPw9VWFp3B/B/v+7S9/AQAA&#10;//8DAFBLAwQUAAYACAAAACEAOqpicNgAAAAFAQAADwAAAGRycy9kb3ducmV2LnhtbEyOy07DMBBF&#10;90j8gzVI7KhDCyWEOBVCisSWFiGxs+MhibDHIXbS8PdMV3Q3V/cxp9wt3okZx9gHUnC7ykAgNcH2&#10;1Cp4P9Q3OYiYNFntAqGCX4ywqy4vSl3YcKQ3nPepFTxCsdAKupSGQsrYdOh1XIUBib2vMHqdWI6t&#10;tKM+8rh3cp1lW+l1T/yh0wO+dNh87yfPGBs3P5p5MvXnj5SmeXUH+1ErdX21PD+BSLik/zCc8LkD&#10;FTOZMJGNwilY5/mWowruQbC9ebjjw5ykrEp5Tl/9AQAA//8DAFBLAQItABQABgAIAAAAIQC2gziS&#10;/gAAAOEBAAATAAAAAAAAAAAAAAAAAAAAAABbQ29udGVudF9UeXBlc10ueG1sUEsBAi0AFAAGAAgA&#10;AAAhADj9If/WAAAAlAEAAAsAAAAAAAAAAAAAAAAALwEAAF9yZWxzLy5yZWxzUEsBAi0AFAAGAAgA&#10;AAAhAFwqyB0eAgAAQwQAAA4AAAAAAAAAAAAAAAAALgIAAGRycy9lMm9Eb2MueG1sUEsBAi0AFAAG&#10;AAgAAAAhADqqYnDYAAAABQEAAA8AAAAAAAAAAAAAAAAAeAQAAGRycy9kb3ducmV2LnhtbFBLBQYA&#10;AAAABAAEAPMAAAB9BQAAAAA=&#10;" o:allowincell="f" strokeweight=".33653mm"/>
            </w:pict>
          </mc:Fallback>
        </mc:AlternateContent>
      </w:r>
      <w:r>
        <w:rPr>
          <w:noProof/>
        </w:rPr>
        <mc:AlternateContent>
          <mc:Choice Requires="wps">
            <w:drawing>
              <wp:anchor distT="0" distB="0" distL="114300" distR="114300" simplePos="0" relativeHeight="251731968" behindDoc="1" locked="0" layoutInCell="0" allowOverlap="1">
                <wp:simplePos x="0" y="0"/>
                <wp:positionH relativeFrom="column">
                  <wp:posOffset>2426970</wp:posOffset>
                </wp:positionH>
                <wp:positionV relativeFrom="paragraph">
                  <wp:posOffset>3175</wp:posOffset>
                </wp:positionV>
                <wp:extent cx="545465" cy="0"/>
                <wp:effectExtent l="0" t="0" r="0" b="0"/>
                <wp:wrapNone/>
                <wp:docPr id="51"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1pt,.25pt" to="23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6ZHgIAAEMEAAAOAAAAZHJzL2Uyb0RvYy54bWysU8GO2jAQvVfqP1i+QxIaW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TzDCNF&#10;OtjRs1AcPeRhNr1xBYRUamdDd/SsXsyzpt8dUrpqiTrwyPH1YiAvCxnJm5RwcQYq7PvPmkEMOXod&#10;B3VubBcgYQToHPdxue2Dnz2i8HGez/PFHCM6uhJSjHnGOv+J6w4Fo8QSOEdccnp2PvAgxRgSyii9&#10;FVLGbUuFeiA7y7J5zHBaCha8Ic7Zw76SFp1IEEz8xa7Acx8WoGvi2iEuugYpWX1ULJZpOWGbq+2J&#10;kIMNtKQKhaBHIHq1Bqn8eEwfN8vNMp/ks8Vmkqd1Pfm4rfLJYps9zOsPdVXV2c/AOcuLVjDGVaA9&#10;yjbL/04W1wc0CO4m3NuAkrfocZJAdvyPpOOSw14Hhew1u+zsuHxQagy+vqrwFO7vYN+//fUvAAAA&#10;//8DAFBLAwQUAAYACAAAACEAmr1TL9gAAAAFAQAADwAAAGRycy9kb3ducmV2LnhtbEyOzU6DQBSF&#10;9ya+w+SauLNDqTZIGRpjQuLWtjFxNzBXIJ25g8xA8e29Xeny5Px9xX5xVsw4ht6TgvUqAYHUeNNT&#10;q+B0rB4yECFqMtp6QgU/GGBf3t4UOjf+Qu84H2IreIRCrhV0MQ65lKHp0Omw8gMSe19+dDqyHFtp&#10;Rn3hcWdlmiRb6XRP/NDpAV87bM6HyTHGxs7P9TzV1ee3lHXzZo/mo1Lq/m552YGIuMS/MFzxuQMl&#10;M9V+IhOEVbDJ0pSjCp5AsP24zdYg6quUZSH/05e/AAAA//8DAFBLAQItABQABgAIAAAAIQC2gziS&#10;/gAAAOEBAAATAAAAAAAAAAAAAAAAAAAAAABbQ29udGVudF9UeXBlc10ueG1sUEsBAi0AFAAGAAgA&#10;AAAhADj9If/WAAAAlAEAAAsAAAAAAAAAAAAAAAAALwEAAF9yZWxzLy5yZWxzUEsBAi0AFAAGAAgA&#10;AAAhAFl0PpkeAgAAQwQAAA4AAAAAAAAAAAAAAAAALgIAAGRycy9lMm9Eb2MueG1sUEsBAi0AFAAG&#10;AAgAAAAhAJq9Uy/YAAAABQEAAA8AAAAAAAAAAAAAAAAAeAQAAGRycy9kb3ducmV2LnhtbFBLBQYA&#10;AAAABAAEAPMAAAB9BQAAAAA=&#10;" o:allowincell="f" strokeweight=".33653mm"/>
            </w:pict>
          </mc:Fallback>
        </mc:AlternateContent>
      </w:r>
    </w:p>
    <w:p w:rsidR="00000000" w:rsidRDefault="0057438D">
      <w:pPr>
        <w:pStyle w:val="DefaultParagraphFont"/>
        <w:widowControl w:val="0"/>
        <w:numPr>
          <w:ilvl w:val="0"/>
          <w:numId w:val="15"/>
        </w:numPr>
        <w:tabs>
          <w:tab w:val="clear" w:pos="720"/>
          <w:tab w:val="num" w:pos="360"/>
        </w:tabs>
        <w:overflowPunct w:val="0"/>
        <w:autoSpaceDE w:val="0"/>
        <w:autoSpaceDN w:val="0"/>
        <w:adjustRightInd w:val="0"/>
        <w:spacing w:after="0" w:line="225" w:lineRule="auto"/>
        <w:ind w:left="360" w:right="100" w:hanging="343"/>
        <w:rPr>
          <w:rFonts w:ascii="Times New Roman" w:hAnsi="Times New Roman" w:cs="Times New Roman"/>
          <w:sz w:val="25"/>
          <w:szCs w:val="25"/>
          <w:vertAlign w:val="superscript"/>
        </w:rPr>
      </w:pPr>
      <w:r>
        <w:rPr>
          <w:rFonts w:ascii="Times New Roman" w:hAnsi="Times New Roman" w:cs="Times New Roman"/>
          <w:sz w:val="17"/>
          <w:szCs w:val="17"/>
        </w:rPr>
        <w:t>The gain or loss on non-qualifying foreign currency contracts substantially offsets the foreign currency mark-to-market impact of the related exposure.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900" w:bottom="346" w:left="840" w:header="720" w:footer="720" w:gutter="0"/>
          <w:cols w:num="2" w:space="400" w:equalWidth="0">
            <w:col w:w="4700" w:space="400"/>
            <w:col w:w="4680"/>
          </w:cols>
          <w:noEndnote/>
        </w:sectPr>
      </w:pPr>
      <w:r>
        <w:rPr>
          <w:noProof/>
        </w:rPr>
        <mc:AlternateContent>
          <mc:Choice Requires="wps">
            <w:drawing>
              <wp:anchor distT="0" distB="0" distL="114300" distR="114300" simplePos="0" relativeHeight="251732992" behindDoc="1" locked="0" layoutInCell="0" allowOverlap="1">
                <wp:simplePos x="0" y="0"/>
                <wp:positionH relativeFrom="column">
                  <wp:posOffset>1832610</wp:posOffset>
                </wp:positionH>
                <wp:positionV relativeFrom="paragraph">
                  <wp:posOffset>-421005</wp:posOffset>
                </wp:positionV>
                <wp:extent cx="545465" cy="0"/>
                <wp:effectExtent l="0" t="0" r="0" b="0"/>
                <wp:wrapNone/>
                <wp:docPr id="5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3pt,-33.15pt" to="187.2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JaHgIAAEMEAAAOAAAAZHJzL2Uyb0RvYy54bWysU8GO2jAQvVfqP1i+QxKasGxEWFUEetm2&#10;SLv9AGM7xKpjW7YhoKr/3rFDENteqqoczDgz8+bNzPPy6dxJdOLWCa0qnE1TjLiimgl1qPC31+1k&#10;gZHzRDEiteIVvnCHn1bv3y17U/KZbrVk3CIAUa7sTYVb702ZJI62vCNuqg1X4Gy07YiHqz0kzJIe&#10;0DuZzNJ0nvTaMmM15c7B13pw4lXEbxpO/demcdwjWWHg5uNp47kPZ7JakvJgiWkFvdIg/8CiI0JB&#10;0RtUTTxBRyv+gOoEtdrpxk+p7hLdNILy2AN0k6W/dfPSEsNjLzAcZ25jcv8Pln457SwSrMIFjEeR&#10;Dnb0LBRHD0WYTW9cCSFrtbOhO3pWL+ZZ0+8OKb1uiTrwyPH1YiAvCxnJm5RwcQYq7PvPmkEMOXod&#10;B3VubBcgYQToHPdxue2Dnz2i8LHIi3xeYERHV0LKMc9Y5z9x3aFgVFgC54hLTs/OBx6kHENCGaW3&#10;Qsq4balQD2RnWVbEDKelYMEb4pw97NfSohMJgom/2BV47sMCdE1cO8RF1yAlq4+KxTItJ2xztT0R&#10;crCBllShEPQIRK/WIJUfj+njZrFZ5JN8Nt9M8rSuJx+363wy32YPRf2hXq/r7GfgnOVlKxjjKtAe&#10;ZZvlfyeL6wMaBHcT7m1AyVv0OEkgO/5H0nHJYa+DQvaaXXZ2XD4oNQZfX1V4Cvd3sO/f/uoXAAAA&#10;//8DAFBLAwQUAAYACAAAACEAcygEJNwAAAALAQAADwAAAGRycy9kb3ducmV2LnhtbEyPwUrEQAyG&#10;74LvMETwtjt1q7XWThcRCl7dFcHbtBPb4kymdqbd+vZGEPSY5MufL+V+dVYsOIXBk4KrbQICqfVm&#10;oE7By7He5CBC1GS09YQKvjDAvjo/K3Vh/ImecTnETnAIhUIr6GMcCylD26PTYetHJJ69+8npyOXU&#10;STPpE4c7K3dJkkmnB+ILvR7xscf24zA71kjtctcsc1O/fUrZtE/2aF5rpS4v1od7EBHX+AfDjz7v&#10;QMVOjZ/JBGEV7PI8Y1TBJstSEEykt9c3IJrfjqxK+f+H6hsAAP//AwBQSwECLQAUAAYACAAAACEA&#10;toM4kv4AAADhAQAAEwAAAAAAAAAAAAAAAAAAAAAAW0NvbnRlbnRfVHlwZXNdLnhtbFBLAQItABQA&#10;BgAIAAAAIQA4/SH/1gAAAJQBAAALAAAAAAAAAAAAAAAAAC8BAABfcmVscy8ucmVsc1BLAQItABQA&#10;BgAIAAAAIQAkIMJaHgIAAEMEAAAOAAAAAAAAAAAAAAAAAC4CAABkcnMvZTJvRG9jLnhtbFBLAQIt&#10;ABQABgAIAAAAIQBzKAQk3AAAAAsBAAAPAAAAAAAAAAAAAAAAAHgEAABkcnMvZG93bnJldi54bWxQ&#10;SwUGAAAAAAQABADzAAAAgQUAAAAA&#10;" o:allowincell="f" strokeweight=".33653mm"/>
            </w:pict>
          </mc:Fallback>
        </mc:AlternateContent>
      </w:r>
      <w:r>
        <w:rPr>
          <w:noProof/>
        </w:rPr>
        <mc:AlternateContent>
          <mc:Choice Requires="wps">
            <w:drawing>
              <wp:anchor distT="0" distB="0" distL="114300" distR="114300" simplePos="0" relativeHeight="251734016" behindDoc="1" locked="0" layoutInCell="0" allowOverlap="1">
                <wp:simplePos x="0" y="0"/>
                <wp:positionH relativeFrom="column">
                  <wp:posOffset>2426970</wp:posOffset>
                </wp:positionH>
                <wp:positionV relativeFrom="paragraph">
                  <wp:posOffset>-421005</wp:posOffset>
                </wp:positionV>
                <wp:extent cx="545465" cy="0"/>
                <wp:effectExtent l="0" t="0" r="0" b="0"/>
                <wp:wrapNone/>
                <wp:docPr id="49"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1pt,-33.15pt" to="234.0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UkHQIAAEM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4XGCnS&#10;wo52QnH0NAuz6YwrIGSt9jZ0Ry/qxew0/e6Q0uuGqCOPHF+vBvKykJG8SQkXZ6DCofusGcSQk9dx&#10;UJfatgESRoAucR/X+z74xSMKH6f5NJ9NMaKDKyHFkGes85+4blEwSiyBc8Ql553zgQcphpBQRumt&#10;kDJuWyrUAdlJlk1jhtNSsOANcc4eD2tp0ZkEwcRf7Ao8j2EBuiKu6eOiq5eS1SfFYpmGE7a52Z4I&#10;2dtAS6pQCHoEojerl8qPRbrYzDfzfJRPZptRnlbV6ON2nY9m2+xpWn2o1usq+xk4Z3nRCMa4CrQH&#10;2Wb538ni9oB6wd2Fex9Q8hY9ThLIDv+RdFxy2GuvkINm170dlg9KjcG3VxWewuMd7Me3v/oFAAD/&#10;/wMAUEsDBBQABgAIAAAAIQA1BGFL3QAAAAsBAAAPAAAAZHJzL2Rvd25yZXYueG1sTI/BSsQwEIbv&#10;gu8QZsHbbrqtlFqbLiIUvLorC96SJrZlk0lt0m59e0cQ9Dgz3/zzTXVYnWWLmcLgUcB+lwAz2Ho9&#10;YCfg7dRsC2AhStTSejQCvkyAQ317U8lS+yu+muUYO0YhGEopoI9xLDkPbW+cDDs/GqTZh5+cjFRO&#10;HdeTvFK4szxNkpw7OSBd6OVonnvTXo6zI43MLg9qmVXz/sm5al/sSZ8bIe4269MjsGjW+AfDjz7t&#10;QE1Oys+oA7MCsiJNCRWwzfMMGBH3ebEHpn47vK74/x/qbwAAAP//AwBQSwECLQAUAAYACAAAACEA&#10;toM4kv4AAADhAQAAEwAAAAAAAAAAAAAAAAAAAAAAW0NvbnRlbnRfVHlwZXNdLnhtbFBLAQItABQA&#10;BgAIAAAAIQA4/SH/1gAAAJQBAAALAAAAAAAAAAAAAAAAAC8BAABfcmVscy8ucmVsc1BLAQItABQA&#10;BgAIAAAAIQDtJkUkHQIAAEMEAAAOAAAAAAAAAAAAAAAAAC4CAABkcnMvZTJvRG9jLnhtbFBLAQIt&#10;ABQABgAIAAAAIQA1BGFL3QAAAAsBAAAPAAAAAAAAAAAAAAAAAHcEAABkcnMvZG93bnJldi54bWxQ&#10;SwUGAAAAAAQABADzAAAAgQUAAAAA&#10;" o:allowincell="f" strokeweight=".33653mm"/>
            </w:pict>
          </mc:Fallback>
        </mc:AlternateConten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3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5580" w:header="720" w:footer="720" w:gutter="0"/>
          <w:cols w:space="400" w:equalWidth="0">
            <w:col w:w="5060" w:space="400"/>
          </w:cols>
          <w:noEndnote/>
        </w:sectPr>
      </w:pPr>
    </w:p>
    <w:p w:rsidR="00000000" w:rsidRDefault="0057438D">
      <w:pPr>
        <w:pStyle w:val="DefaultParagraphFont"/>
        <w:widowControl w:val="0"/>
        <w:tabs>
          <w:tab w:val="left" w:pos="360"/>
        </w:tabs>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7"/>
          <w:szCs w:val="17"/>
        </w:rPr>
        <w:t>62</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i/>
          <w:iCs/>
          <w:sz w:val="19"/>
          <w:szCs w:val="19"/>
        </w:rPr>
        <w:t>NOTE 6</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ACCUMULATED OTHER COMPREHENSIVE INCOME/(LOSS)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1240"/>
        <w:rPr>
          <w:rFonts w:ascii="Times New Roman" w:hAnsi="Times New Roman" w:cs="Times New Roman"/>
          <w:sz w:val="24"/>
          <w:szCs w:val="24"/>
        </w:rPr>
      </w:pPr>
      <w:r>
        <w:rPr>
          <w:rFonts w:ascii="Times New Roman" w:hAnsi="Times New Roman" w:cs="Times New Roman"/>
          <w:sz w:val="19"/>
          <w:szCs w:val="19"/>
        </w:rPr>
        <w:t>The tables below present the changes in accumulated other comprehensive income/(loss) by component and the reclassifications out of accumulated other comprehensive income/(loss):</w:t>
      </w:r>
    </w:p>
    <w:p w:rsidR="00000000" w:rsidRDefault="0057438D">
      <w:pPr>
        <w:pStyle w:val="DefaultParagraphFont"/>
        <w:widowControl w:val="0"/>
        <w:autoSpaceDE w:val="0"/>
        <w:autoSpaceDN w:val="0"/>
        <w:adjustRightInd w:val="0"/>
        <w:spacing w:after="0" w:line="12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800"/>
        <w:gridCol w:w="200"/>
        <w:gridCol w:w="900"/>
        <w:gridCol w:w="60"/>
        <w:gridCol w:w="460"/>
        <w:gridCol w:w="640"/>
        <w:gridCol w:w="80"/>
        <w:gridCol w:w="180"/>
        <w:gridCol w:w="920"/>
        <w:gridCol w:w="80"/>
        <w:gridCol w:w="140"/>
        <w:gridCol w:w="1000"/>
        <w:gridCol w:w="80"/>
        <w:gridCol w:w="280"/>
        <w:gridCol w:w="960"/>
        <w:gridCol w:w="20"/>
        <w:gridCol w:w="20"/>
      </w:tblGrid>
      <w:tr w:rsidR="00000000">
        <w:tblPrEx>
          <w:tblCellMar>
            <w:top w:w="0" w:type="dxa"/>
            <w:left w:w="0" w:type="dxa"/>
            <w:bottom w:w="0" w:type="dxa"/>
            <w:right w:w="0" w:type="dxa"/>
          </w:tblCellMar>
        </w:tblPrEx>
        <w:trPr>
          <w:trHeight w:val="254"/>
        </w:trPr>
        <w:tc>
          <w:tcPr>
            <w:tcW w:w="8460" w:type="dxa"/>
            <w:gridSpan w:val="1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720"/>
              <w:rPr>
                <w:rFonts w:ascii="Times New Roman" w:hAnsi="Times New Roman" w:cs="Times New Roman"/>
                <w:sz w:val="24"/>
                <w:szCs w:val="24"/>
              </w:rPr>
            </w:pPr>
            <w:r>
              <w:rPr>
                <w:rFonts w:ascii="Times New Roman" w:hAnsi="Times New Roman" w:cs="Times New Roman"/>
                <w:b/>
                <w:bCs/>
                <w:sz w:val="19"/>
                <w:szCs w:val="19"/>
              </w:rPr>
              <w:t>Changes in Accumulated Other Comprehensive Income/(Loss) by Component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7"/>
        </w:trPr>
        <w:tc>
          <w:tcPr>
            <w:tcW w:w="3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1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Pension and</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center"/>
              <w:rPr>
                <w:rFonts w:ascii="Times New Roman" w:hAnsi="Times New Roman" w:cs="Times New Roman"/>
                <w:sz w:val="24"/>
                <w:szCs w:val="24"/>
              </w:rPr>
            </w:pPr>
            <w:r>
              <w:rPr>
                <w:rFonts w:ascii="Times New Roman" w:hAnsi="Times New Roman" w:cs="Times New Roman"/>
                <w:b/>
                <w:bCs/>
                <w:w w:val="99"/>
                <w:sz w:val="19"/>
                <w:szCs w:val="19"/>
              </w:rPr>
              <w:t>Financial</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3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9"/>
                <w:szCs w:val="19"/>
              </w:rPr>
              <w:t>Investment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right="105"/>
              <w:jc w:val="center"/>
              <w:rPr>
                <w:rFonts w:ascii="Times New Roman" w:hAnsi="Times New Roman" w:cs="Times New Roman"/>
                <w:sz w:val="24"/>
                <w:szCs w:val="24"/>
              </w:rPr>
            </w:pPr>
            <w:r>
              <w:rPr>
                <w:rFonts w:ascii="Times New Roman" w:hAnsi="Times New Roman" w:cs="Times New Roman"/>
                <w:b/>
                <w:bCs/>
                <w:w w:val="98"/>
                <w:sz w:val="19"/>
                <w:szCs w:val="19"/>
              </w:rPr>
              <w:t>Other</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3"/>
        </w:trPr>
        <w:tc>
          <w:tcPr>
            <w:tcW w:w="3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10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3" w:lineRule="exact"/>
              <w:ind w:right="105"/>
              <w:jc w:val="center"/>
              <w:rPr>
                <w:rFonts w:ascii="Times New Roman" w:hAnsi="Times New Roman" w:cs="Times New Roman"/>
                <w:sz w:val="24"/>
                <w:szCs w:val="24"/>
              </w:rPr>
            </w:pPr>
            <w:r>
              <w:rPr>
                <w:rFonts w:ascii="Times New Roman" w:hAnsi="Times New Roman" w:cs="Times New Roman"/>
                <w:b/>
                <w:bCs/>
                <w:sz w:val="19"/>
                <w:szCs w:val="19"/>
              </w:rPr>
              <w:t>Retiree</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3" w:lineRule="exact"/>
              <w:ind w:right="65"/>
              <w:jc w:val="center"/>
              <w:rPr>
                <w:rFonts w:ascii="Times New Roman" w:hAnsi="Times New Roman" w:cs="Times New Roman"/>
                <w:sz w:val="24"/>
                <w:szCs w:val="24"/>
              </w:rPr>
            </w:pPr>
            <w:r>
              <w:rPr>
                <w:rFonts w:ascii="Times New Roman" w:hAnsi="Times New Roman" w:cs="Times New Roman"/>
                <w:b/>
                <w:bCs/>
                <w:sz w:val="19"/>
                <w:szCs w:val="19"/>
              </w:rPr>
              <w:t>Statement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0"/>
        </w:trPr>
        <w:tc>
          <w:tcPr>
            <w:tcW w:w="3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b/>
                <w:bCs/>
                <w:sz w:val="19"/>
                <w:szCs w:val="19"/>
              </w:rPr>
              <w:t>Hedges</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1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b/>
                <w:bCs/>
                <w:sz w:val="19"/>
                <w:szCs w:val="19"/>
              </w:rPr>
              <w:t>Securities</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center"/>
              <w:rPr>
                <w:rFonts w:ascii="Times New Roman" w:hAnsi="Times New Roman" w:cs="Times New Roman"/>
                <w:sz w:val="24"/>
                <w:szCs w:val="24"/>
              </w:rPr>
            </w:pPr>
            <w:r>
              <w:rPr>
                <w:rFonts w:ascii="Times New Roman" w:hAnsi="Times New Roman" w:cs="Times New Roman"/>
                <w:b/>
                <w:bCs/>
                <w:sz w:val="19"/>
                <w:szCs w:val="19"/>
              </w:rPr>
              <w:t>Benefits</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1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Translation</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19"/>
                <w:szCs w:val="19"/>
              </w:rPr>
              <w:t>Total</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3800" w:type="dxa"/>
            <w:tcBorders>
              <w:top w:val="single" w:sz="8" w:space="0" w:color="E6E6E6"/>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Balance at June 30, 2012</w:t>
            </w:r>
          </w:p>
        </w:tc>
        <w:tc>
          <w:tcPr>
            <w:tcW w:w="200" w:type="dxa"/>
            <w:tcBorders>
              <w:top w:val="single" w:sz="8" w:space="0" w:color="auto"/>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900" w:type="dxa"/>
            <w:tcBorders>
              <w:top w:val="single" w:sz="8" w:space="0" w:color="auto"/>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(3,673)</w:t>
            </w:r>
          </w:p>
        </w:tc>
        <w:tc>
          <w:tcPr>
            <w:tcW w:w="60" w:type="dxa"/>
            <w:tcBorders>
              <w:top w:val="single" w:sz="8" w:space="0" w:color="E6E6E6"/>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460" w:type="dxa"/>
            <w:tcBorders>
              <w:top w:val="single" w:sz="8" w:space="0" w:color="auto"/>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sz w:val="19"/>
                <w:szCs w:val="19"/>
              </w:rPr>
              <w:t>$</w:t>
            </w:r>
          </w:p>
        </w:tc>
        <w:tc>
          <w:tcPr>
            <w:tcW w:w="640" w:type="dxa"/>
            <w:tcBorders>
              <w:top w:val="single" w:sz="8" w:space="0" w:color="auto"/>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w:t>
            </w:r>
          </w:p>
        </w:tc>
        <w:tc>
          <w:tcPr>
            <w:tcW w:w="80" w:type="dxa"/>
            <w:tcBorders>
              <w:top w:val="single" w:sz="8" w:space="0" w:color="E6E6E6"/>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single" w:sz="8" w:space="0" w:color="auto"/>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920" w:type="dxa"/>
            <w:tcBorders>
              <w:top w:val="single" w:sz="8" w:space="0" w:color="auto"/>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(5,300)</w:t>
            </w:r>
          </w:p>
        </w:tc>
        <w:tc>
          <w:tcPr>
            <w:tcW w:w="80" w:type="dxa"/>
            <w:tcBorders>
              <w:top w:val="single" w:sz="8" w:space="0" w:color="E6E6E6"/>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single" w:sz="8" w:space="0" w:color="auto"/>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000" w:type="dxa"/>
            <w:tcBorders>
              <w:top w:val="single" w:sz="8" w:space="0" w:color="auto"/>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(357)</w:t>
            </w:r>
          </w:p>
        </w:tc>
        <w:tc>
          <w:tcPr>
            <w:tcW w:w="80" w:type="dxa"/>
            <w:tcBorders>
              <w:top w:val="single" w:sz="8" w:space="0" w:color="E6E6E6"/>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single" w:sz="8" w:space="0" w:color="auto"/>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w:t>
            </w:r>
          </w:p>
        </w:tc>
        <w:tc>
          <w:tcPr>
            <w:tcW w:w="960" w:type="dxa"/>
            <w:tcBorders>
              <w:top w:val="single" w:sz="8" w:space="0" w:color="auto"/>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(9,333)</w:t>
            </w:r>
          </w:p>
        </w:tc>
        <w:tc>
          <w:tcPr>
            <w:tcW w:w="20" w:type="dxa"/>
            <w:tcBorders>
              <w:top w:val="single" w:sz="8" w:space="0" w:color="E6E6E6"/>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3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 xml:space="preserve">OCI before reclassifications </w:t>
            </w:r>
            <w:r>
              <w:rPr>
                <w:rFonts w:ascii="Times New Roman" w:hAnsi="Times New Roman" w:cs="Times New Roman"/>
                <w:sz w:val="24"/>
                <w:szCs w:val="24"/>
                <w:vertAlign w:val="superscript"/>
              </w:rPr>
              <w:t>(1)</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363</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731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710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1,780</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3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Amounts reclassified from AOCI</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(219)</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273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54</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5"/>
        </w:trPr>
        <w:tc>
          <w:tcPr>
            <w:tcW w:w="380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current period OCI</w:t>
            </w:r>
          </w:p>
        </w:tc>
        <w:tc>
          <w:tcPr>
            <w:tcW w:w="2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144</w:t>
            </w:r>
          </w:p>
        </w:tc>
        <w:tc>
          <w:tcPr>
            <w:tcW w:w="6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(24)</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1,004</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710</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1,834</w:t>
            </w:r>
          </w:p>
        </w:tc>
        <w:tc>
          <w:tcPr>
            <w:tcW w:w="2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8"/>
        </w:trPr>
        <w:tc>
          <w:tcPr>
            <w:tcW w:w="3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Balance at June 30, 2013</w:t>
            </w: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(3,529)</w:t>
            </w: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(27)</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(4,296)</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353</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(7,499)</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7"/>
        </w:trPr>
        <w:tc>
          <w:tcPr>
            <w:tcW w:w="3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67" w:lineRule="exact"/>
              <w:ind w:left="60"/>
              <w:rPr>
                <w:rFonts w:ascii="Times New Roman" w:hAnsi="Times New Roman" w:cs="Times New Roman"/>
                <w:sz w:val="24"/>
                <w:szCs w:val="24"/>
              </w:rPr>
            </w:pPr>
            <w:r>
              <w:rPr>
                <w:rFonts w:ascii="Times New Roman" w:hAnsi="Times New Roman" w:cs="Times New Roman"/>
                <w:sz w:val="19"/>
                <w:szCs w:val="19"/>
              </w:rPr>
              <w:t xml:space="preserve">OCI before reclassifications </w:t>
            </w:r>
            <w:r>
              <w:rPr>
                <w:rFonts w:ascii="Times New Roman" w:hAnsi="Times New Roman" w:cs="Times New Roman"/>
                <w:sz w:val="24"/>
                <w:szCs w:val="24"/>
                <w:vertAlign w:val="superscript"/>
              </w:rPr>
              <w:t>(2)</w:t>
            </w: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(305)</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1,044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(354)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6"/>
        </w:trPr>
        <w:tc>
          <w:tcPr>
            <w:tcW w:w="3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Amounts reclassified from AOCI</w:t>
            </w: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(42)</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244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191</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38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current period OCI</w:t>
            </w:r>
          </w:p>
        </w:tc>
        <w:tc>
          <w:tcPr>
            <w:tcW w:w="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(347)</w:t>
            </w: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(869)</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1,044</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9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(163)</w:t>
            </w: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5"/>
        </w:trPr>
        <w:tc>
          <w:tcPr>
            <w:tcW w:w="3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Balan</w:t>
            </w:r>
            <w:r>
              <w:rPr>
                <w:rFonts w:ascii="Times New Roman" w:hAnsi="Times New Roman" w:cs="Times New Roman"/>
                <w:b/>
                <w:bCs/>
                <w:sz w:val="19"/>
                <w:szCs w:val="19"/>
              </w:rPr>
              <w:t>ce at June 30, 2014</w:t>
            </w:r>
          </w:p>
        </w:tc>
        <w:tc>
          <w:tcPr>
            <w:tcW w:w="2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(3,876)</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(18)</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(5,165)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1,397</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(7,662)</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56" w:lineRule="exact"/>
        <w:rPr>
          <w:rFonts w:ascii="Times New Roman" w:hAnsi="Times New Roman" w:cs="Times New Roman"/>
          <w:sz w:val="24"/>
          <w:szCs w:val="24"/>
        </w:rPr>
      </w:pPr>
    </w:p>
    <w:p w:rsidR="00000000" w:rsidRDefault="0057438D">
      <w:pPr>
        <w:pStyle w:val="DefaultParagraphFont"/>
        <w:widowControl w:val="0"/>
        <w:numPr>
          <w:ilvl w:val="0"/>
          <w:numId w:val="16"/>
        </w:numPr>
        <w:tabs>
          <w:tab w:val="clear" w:pos="720"/>
          <w:tab w:val="num" w:pos="212"/>
        </w:tabs>
        <w:overflowPunct w:val="0"/>
        <w:autoSpaceDE w:val="0"/>
        <w:autoSpaceDN w:val="0"/>
        <w:adjustRightInd w:val="0"/>
        <w:spacing w:after="0" w:line="217" w:lineRule="auto"/>
        <w:ind w:left="20" w:right="60" w:hanging="5"/>
        <w:jc w:val="both"/>
        <w:rPr>
          <w:rFonts w:ascii="Times New Roman" w:hAnsi="Times New Roman" w:cs="Times New Roman"/>
          <w:sz w:val="25"/>
          <w:szCs w:val="25"/>
          <w:vertAlign w:val="superscript"/>
        </w:rPr>
      </w:pPr>
      <w:r>
        <w:rPr>
          <w:rFonts w:ascii="Times New Roman" w:hAnsi="Times New Roman" w:cs="Times New Roman"/>
          <w:sz w:val="19"/>
          <w:szCs w:val="19"/>
        </w:rPr>
        <w:t>Net of tax (benefit) / expense of $94, $(5) and $496 for gains / losses on h</w:t>
      </w:r>
      <w:r>
        <w:rPr>
          <w:rFonts w:ascii="Times New Roman" w:hAnsi="Times New Roman" w:cs="Times New Roman"/>
          <w:sz w:val="19"/>
          <w:szCs w:val="19"/>
        </w:rPr>
        <w:t>edges, investment securities and pension and other retiree benefit items, respectively.</w:t>
      </w:r>
    </w:p>
    <w:p w:rsidR="00000000" w:rsidRDefault="0057438D">
      <w:pPr>
        <w:pStyle w:val="DefaultParagraphFont"/>
        <w:widowControl w:val="0"/>
        <w:numPr>
          <w:ilvl w:val="0"/>
          <w:numId w:val="16"/>
        </w:numPr>
        <w:tabs>
          <w:tab w:val="clear" w:pos="720"/>
          <w:tab w:val="num" w:pos="212"/>
        </w:tabs>
        <w:overflowPunct w:val="0"/>
        <w:autoSpaceDE w:val="0"/>
        <w:autoSpaceDN w:val="0"/>
        <w:adjustRightInd w:val="0"/>
        <w:spacing w:after="0" w:line="227" w:lineRule="auto"/>
        <w:ind w:left="20" w:hanging="5"/>
        <w:jc w:val="both"/>
        <w:rPr>
          <w:rFonts w:ascii="Times New Roman" w:hAnsi="Times New Roman" w:cs="Times New Roman"/>
          <w:sz w:val="25"/>
          <w:szCs w:val="25"/>
          <w:vertAlign w:val="superscript"/>
        </w:rPr>
      </w:pPr>
      <w:r>
        <w:rPr>
          <w:rFonts w:ascii="Times New Roman" w:hAnsi="Times New Roman" w:cs="Times New Roman"/>
          <w:sz w:val="19"/>
          <w:szCs w:val="19"/>
        </w:rPr>
        <w:t>Net of tax (benefit) / expense of $(207), $3, and $(450) for gains and losses on hedges, investment securities and pension and other retiree benefit items, respecti</w:t>
      </w:r>
      <w:r>
        <w:rPr>
          <w:rFonts w:ascii="Times New Roman" w:hAnsi="Times New Roman" w:cs="Times New Roman"/>
          <w:sz w:val="19"/>
          <w:szCs w:val="19"/>
        </w:rPr>
        <w:t>vely.</w:t>
      </w:r>
    </w:p>
    <w:p w:rsidR="00000000" w:rsidRDefault="0057438D">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1860"/>
        <w:rPr>
          <w:rFonts w:ascii="Times New Roman" w:hAnsi="Times New Roman" w:cs="Times New Roman"/>
          <w:sz w:val="24"/>
          <w:szCs w:val="24"/>
        </w:rPr>
      </w:pPr>
      <w:r>
        <w:rPr>
          <w:rFonts w:ascii="Times New Roman" w:hAnsi="Times New Roman" w:cs="Times New Roman"/>
          <w:b/>
          <w:bCs/>
          <w:sz w:val="19"/>
          <w:szCs w:val="19"/>
        </w:rPr>
        <w:t>Reclassifications out of Accumulated Other Comprehensive Income/(Loss)</w:t>
      </w:r>
    </w:p>
    <w:p w:rsidR="00000000" w:rsidRDefault="0057438D">
      <w:pPr>
        <w:pStyle w:val="DefaultParagraphFont"/>
        <w:widowControl w:val="0"/>
        <w:autoSpaceDE w:val="0"/>
        <w:autoSpaceDN w:val="0"/>
        <w:adjustRightInd w:val="0"/>
        <w:spacing w:after="0" w:line="125" w:lineRule="exact"/>
        <w:rPr>
          <w:rFonts w:ascii="Times New Roman" w:hAnsi="Times New Roman" w:cs="Times New Roman"/>
          <w:sz w:val="24"/>
          <w:szCs w:val="24"/>
        </w:rPr>
      </w:pPr>
    </w:p>
    <w:tbl>
      <w:tblPr>
        <w:tblW w:w="0" w:type="auto"/>
        <w:tblInd w:w="1300" w:type="dxa"/>
        <w:tblLayout w:type="fixed"/>
        <w:tblCellMar>
          <w:left w:w="0" w:type="dxa"/>
          <w:right w:w="0" w:type="dxa"/>
        </w:tblCellMar>
        <w:tblLook w:val="0000" w:firstRow="0" w:lastRow="0" w:firstColumn="0" w:lastColumn="0" w:noHBand="0" w:noVBand="0"/>
      </w:tblPr>
      <w:tblGrid>
        <w:gridCol w:w="5620"/>
        <w:gridCol w:w="140"/>
        <w:gridCol w:w="580"/>
        <w:gridCol w:w="120"/>
        <w:gridCol w:w="140"/>
        <w:gridCol w:w="580"/>
        <w:gridCol w:w="20"/>
        <w:gridCol w:w="20"/>
      </w:tblGrid>
      <w:tr w:rsidR="00000000">
        <w:tblPrEx>
          <w:tblCellMar>
            <w:top w:w="0" w:type="dxa"/>
            <w:left w:w="0" w:type="dxa"/>
            <w:bottom w:w="0" w:type="dxa"/>
            <w:right w:w="0" w:type="dxa"/>
          </w:tblCellMar>
        </w:tblPrEx>
        <w:trPr>
          <w:trHeight w:val="249"/>
        </w:trPr>
        <w:tc>
          <w:tcPr>
            <w:tcW w:w="5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u w:val="single"/>
              </w:rPr>
              <w:t>Years ended June 30</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w w:val="99"/>
                <w:sz w:val="19"/>
                <w:szCs w:val="19"/>
              </w:rPr>
              <w:t>2014</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w w:val="99"/>
                <w:sz w:val="19"/>
                <w:szCs w:val="19"/>
              </w:rPr>
              <w:t>2013</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6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 xml:space="preserve">Hedges </w:t>
            </w:r>
            <w:r>
              <w:rPr>
                <w:rFonts w:ascii="Times New Roman" w:hAnsi="Times New Roman" w:cs="Times New Roman"/>
                <w:b/>
                <w:bCs/>
                <w:sz w:val="24"/>
                <w:szCs w:val="24"/>
                <w:vertAlign w:val="superscript"/>
              </w:rPr>
              <w:t>(1)</w:t>
            </w: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56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6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Interest rate contracts</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w:t>
            </w:r>
          </w:p>
        </w:tc>
        <w:tc>
          <w:tcPr>
            <w:tcW w:w="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Foreign exchange contracts</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38</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215</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56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56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Total before-tax</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44</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221</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Tax (expense)/benefit</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56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5"/>
        </w:trPr>
        <w:tc>
          <w:tcPr>
            <w:tcW w:w="56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Net of tax</w:t>
            </w:r>
          </w:p>
        </w:tc>
        <w:tc>
          <w:tcPr>
            <w:tcW w:w="1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42</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219</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4"/>
        </w:trPr>
        <w:tc>
          <w:tcPr>
            <w:tcW w:w="5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5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 xml:space="preserve">Gains / (losses) on Investment Securities </w:t>
            </w:r>
            <w:r>
              <w:rPr>
                <w:rFonts w:ascii="Times New Roman" w:hAnsi="Times New Roman" w:cs="Times New Roman"/>
                <w:b/>
                <w:bCs/>
                <w:sz w:val="24"/>
                <w:szCs w:val="24"/>
                <w:vertAlign w:val="superscript"/>
              </w:rPr>
              <w:t>(2)</w:t>
            </w: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18</w:t>
            </w:r>
          </w:p>
        </w:tc>
        <w:tc>
          <w:tcPr>
            <w:tcW w:w="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Tax (expense)/benefit</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56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5"/>
        </w:trPr>
        <w:tc>
          <w:tcPr>
            <w:tcW w:w="56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Net of tax</w:t>
            </w:r>
          </w:p>
        </w:tc>
        <w:tc>
          <w:tcPr>
            <w:tcW w:w="1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4"/>
        </w:trPr>
        <w:tc>
          <w:tcPr>
            <w:tcW w:w="5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7"/>
        </w:trPr>
        <w:tc>
          <w:tcPr>
            <w:tcW w:w="5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67" w:lineRule="exact"/>
              <w:ind w:left="100"/>
              <w:rPr>
                <w:rFonts w:ascii="Times New Roman" w:hAnsi="Times New Roman" w:cs="Times New Roman"/>
                <w:sz w:val="24"/>
                <w:szCs w:val="24"/>
              </w:rPr>
            </w:pPr>
            <w:r>
              <w:rPr>
                <w:rFonts w:ascii="Times New Roman" w:hAnsi="Times New Roman" w:cs="Times New Roman"/>
                <w:b/>
                <w:bCs/>
                <w:sz w:val="19"/>
                <w:szCs w:val="19"/>
              </w:rPr>
              <w:t xml:space="preserve">Pension and Other Retiree Benefits </w:t>
            </w:r>
            <w:r>
              <w:rPr>
                <w:rFonts w:ascii="Times New Roman" w:hAnsi="Times New Roman" w:cs="Times New Roman"/>
                <w:b/>
                <w:bCs/>
                <w:sz w:val="24"/>
                <w:szCs w:val="24"/>
                <w:vertAlign w:val="superscript"/>
              </w:rPr>
              <w:t>(3)</w:t>
            </w: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Amortization of deferred amounts</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6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Recognized net actuarial gains/(losses)</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(332)</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(412)</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Curtailments and settlements</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56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56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Total before-tax</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(338)</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(414)</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9"/>
                <w:szCs w:val="19"/>
              </w:rPr>
              <w:t>Tax (expense)/benefit</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94</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141</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56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5"/>
        </w:trPr>
        <w:tc>
          <w:tcPr>
            <w:tcW w:w="56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Net of tax</w:t>
            </w:r>
          </w:p>
        </w:tc>
        <w:tc>
          <w:tcPr>
            <w:tcW w:w="1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(244)</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(273)</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5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 reclassifications, net of tax</w:t>
            </w: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(191)</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1" w:lineRule="exact"/>
        <w:rPr>
          <w:rFonts w:ascii="Times New Roman" w:hAnsi="Times New Roman" w:cs="Times New Roman"/>
          <w:sz w:val="24"/>
          <w:szCs w:val="24"/>
        </w:rPr>
      </w:pPr>
    </w:p>
    <w:p w:rsidR="00000000" w:rsidRDefault="0057438D">
      <w:pPr>
        <w:pStyle w:val="DefaultParagraphFont"/>
        <w:widowControl w:val="0"/>
        <w:numPr>
          <w:ilvl w:val="0"/>
          <w:numId w:val="17"/>
        </w:numPr>
        <w:tabs>
          <w:tab w:val="clear" w:pos="720"/>
          <w:tab w:val="num" w:pos="200"/>
        </w:tabs>
        <w:overflowPunct w:val="0"/>
        <w:autoSpaceDE w:val="0"/>
        <w:autoSpaceDN w:val="0"/>
        <w:adjustRightInd w:val="0"/>
        <w:spacing w:after="0" w:line="240" w:lineRule="auto"/>
        <w:ind w:left="200" w:hanging="185"/>
        <w:jc w:val="both"/>
        <w:rPr>
          <w:rFonts w:ascii="Times New Roman" w:hAnsi="Times New Roman" w:cs="Times New Roman"/>
          <w:sz w:val="23"/>
          <w:szCs w:val="23"/>
          <w:vertAlign w:val="superscript"/>
        </w:rPr>
      </w:pPr>
      <w:r>
        <w:rPr>
          <w:rFonts w:ascii="Times New Roman" w:hAnsi="Times New Roman" w:cs="Times New Roman"/>
          <w:sz w:val="18"/>
          <w:szCs w:val="18"/>
        </w:rPr>
        <w:t>See Note 5 for classification of these items in the Consolidated Statements of Earnings.</w:t>
      </w:r>
    </w:p>
    <w:p w:rsidR="00000000" w:rsidRDefault="0057438D">
      <w:pPr>
        <w:pStyle w:val="DefaultParagraphFont"/>
        <w:widowControl w:val="0"/>
        <w:numPr>
          <w:ilvl w:val="0"/>
          <w:numId w:val="17"/>
        </w:numPr>
        <w:tabs>
          <w:tab w:val="clear" w:pos="720"/>
          <w:tab w:val="num" w:pos="200"/>
        </w:tabs>
        <w:overflowPunct w:val="0"/>
        <w:autoSpaceDE w:val="0"/>
        <w:autoSpaceDN w:val="0"/>
        <w:adjustRightInd w:val="0"/>
        <w:spacing w:after="0" w:line="207" w:lineRule="auto"/>
        <w:ind w:left="200" w:hanging="185"/>
        <w:jc w:val="both"/>
        <w:rPr>
          <w:rFonts w:ascii="Times New Roman" w:hAnsi="Times New Roman" w:cs="Times New Roman"/>
          <w:sz w:val="23"/>
          <w:szCs w:val="23"/>
          <w:vertAlign w:val="superscript"/>
        </w:rPr>
      </w:pPr>
      <w:r>
        <w:rPr>
          <w:rFonts w:ascii="Times New Roman" w:hAnsi="Times New Roman" w:cs="Times New Roman"/>
          <w:sz w:val="18"/>
          <w:szCs w:val="18"/>
        </w:rPr>
        <w:t>Reclassified from AOCI into Other non-operating income, net.</w:t>
      </w:r>
    </w:p>
    <w:p w:rsidR="00000000" w:rsidRDefault="0057438D">
      <w:pPr>
        <w:pStyle w:val="DefaultParagraphFont"/>
        <w:widowControl w:val="0"/>
        <w:numPr>
          <w:ilvl w:val="0"/>
          <w:numId w:val="17"/>
        </w:numPr>
        <w:tabs>
          <w:tab w:val="clear" w:pos="720"/>
          <w:tab w:val="num" w:pos="212"/>
        </w:tabs>
        <w:overflowPunct w:val="0"/>
        <w:autoSpaceDE w:val="0"/>
        <w:autoSpaceDN w:val="0"/>
        <w:adjustRightInd w:val="0"/>
        <w:spacing w:after="0" w:line="227" w:lineRule="auto"/>
        <w:ind w:left="20" w:right="280" w:hanging="5"/>
        <w:jc w:val="both"/>
        <w:rPr>
          <w:rFonts w:ascii="Times New Roman" w:hAnsi="Times New Roman" w:cs="Times New Roman"/>
          <w:sz w:val="25"/>
          <w:szCs w:val="25"/>
          <w:vertAlign w:val="superscript"/>
        </w:rPr>
      </w:pPr>
      <w:r>
        <w:rPr>
          <w:rFonts w:ascii="Times New Roman" w:hAnsi="Times New Roman" w:cs="Times New Roman"/>
          <w:sz w:val="19"/>
          <w:szCs w:val="19"/>
        </w:rPr>
        <w:t>Reclassified from AOCI into Cost of products sold and SG&amp;A. These components are included in the computation of net periodic pension cost (see Note 9 for additional details).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00" w:bottom="346" w:left="840" w:header="720" w:footer="720" w:gutter="0"/>
          <w:cols w:space="720" w:equalWidth="0">
            <w:col w:w="97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7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w:t>
      </w:r>
      <w:r>
        <w:rPr>
          <w:rFonts w:ascii="Times New Roman" w:hAnsi="Times New Roman" w:cs="Times New Roman"/>
          <w:sz w:val="15"/>
          <w:szCs w:val="15"/>
        </w:rPr>
        <w: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5620" w:bottom="346" w:left="860" w:header="720" w:footer="720" w:gutter="0"/>
          <w:cols w:space="720" w:equalWidth="0">
            <w:col w:w="504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63</w:t>
      </w:r>
    </w:p>
    <w:p w:rsidR="00000000" w:rsidRDefault="0057438D">
      <w:pPr>
        <w:pStyle w:val="DefaultParagraphFont"/>
        <w:widowControl w:val="0"/>
        <w:autoSpaceDE w:val="0"/>
        <w:autoSpaceDN w:val="0"/>
        <w:adjustRightInd w:val="0"/>
        <w:spacing w:after="0" w:line="35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5"/>
        <w:rPr>
          <w:rFonts w:ascii="Times New Roman" w:hAnsi="Times New Roman" w:cs="Times New Roman"/>
          <w:sz w:val="24"/>
          <w:szCs w:val="24"/>
        </w:rPr>
      </w:pPr>
      <w:r>
        <w:rPr>
          <w:rFonts w:ascii="Times New Roman" w:hAnsi="Times New Roman" w:cs="Times New Roman"/>
          <w:b/>
          <w:bCs/>
          <w:i/>
          <w:iCs/>
          <w:sz w:val="19"/>
          <w:szCs w:val="19"/>
        </w:rPr>
        <w:t>NOTE 7</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5"/>
        <w:rPr>
          <w:rFonts w:ascii="Times New Roman" w:hAnsi="Times New Roman" w:cs="Times New Roman"/>
          <w:sz w:val="24"/>
          <w:szCs w:val="24"/>
        </w:rPr>
      </w:pPr>
      <w:r>
        <w:rPr>
          <w:rFonts w:ascii="Times New Roman" w:hAnsi="Times New Roman" w:cs="Times New Roman"/>
          <w:b/>
          <w:bCs/>
          <w:sz w:val="19"/>
          <w:szCs w:val="19"/>
        </w:rPr>
        <w:t>EARNINGS PER SHARE</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left="5" w:right="40"/>
        <w:rPr>
          <w:rFonts w:ascii="Times New Roman" w:hAnsi="Times New Roman" w:cs="Times New Roman"/>
          <w:sz w:val="24"/>
          <w:szCs w:val="24"/>
        </w:rPr>
      </w:pPr>
      <w:r>
        <w:rPr>
          <w:rFonts w:ascii="Times New Roman" w:hAnsi="Times New Roman" w:cs="Times New Roman"/>
          <w:sz w:val="19"/>
          <w:szCs w:val="19"/>
        </w:rPr>
        <w:t>Net earnings attributable to Procter &amp; Gamble less preferred dividends (net of related tax benefits) are divided by the weighted average number of common shares outstanding during the year to calculate basic net earnings per common share. Diluted net earni</w:t>
      </w:r>
      <w:r>
        <w:rPr>
          <w:rFonts w:ascii="Times New Roman" w:hAnsi="Times New Roman" w:cs="Times New Roman"/>
          <w:sz w:val="19"/>
          <w:szCs w:val="19"/>
        </w:rPr>
        <w:t>ngs per common share are calculated to give effect to stock options and other stock-based awards (see Note 8) and assume conversion of preferred stock (see Note 9).</w:t>
      </w:r>
    </w:p>
    <w:p w:rsidR="00000000" w:rsidRDefault="0057438D">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5" w:right="300"/>
        <w:rPr>
          <w:rFonts w:ascii="Times New Roman" w:hAnsi="Times New Roman" w:cs="Times New Roman"/>
          <w:sz w:val="24"/>
          <w:szCs w:val="24"/>
        </w:rPr>
      </w:pPr>
      <w:r>
        <w:rPr>
          <w:rFonts w:ascii="Times New Roman" w:hAnsi="Times New Roman" w:cs="Times New Roman"/>
          <w:sz w:val="19"/>
          <w:szCs w:val="19"/>
        </w:rPr>
        <w:t>Net earnings attributable to Procter &amp; Gamble and common shares used to calculate basic an</w:t>
      </w:r>
      <w:r>
        <w:rPr>
          <w:rFonts w:ascii="Times New Roman" w:hAnsi="Times New Roman" w:cs="Times New Roman"/>
          <w:sz w:val="19"/>
          <w:szCs w:val="19"/>
        </w:rPr>
        <w:t>d diluted net earnings per share were as follows:</w:t>
      </w:r>
    </w:p>
    <w:p w:rsidR="00000000" w:rsidRDefault="0057438D">
      <w:pPr>
        <w:pStyle w:val="DefaultParagraphFont"/>
        <w:widowControl w:val="0"/>
        <w:autoSpaceDE w:val="0"/>
        <w:autoSpaceDN w:val="0"/>
        <w:adjustRightInd w:val="0"/>
        <w:spacing w:after="0" w:line="111" w:lineRule="exact"/>
        <w:rPr>
          <w:rFonts w:ascii="Times New Roman" w:hAnsi="Times New Roman" w:cs="Times New Roman"/>
          <w:sz w:val="24"/>
          <w:szCs w:val="24"/>
        </w:rPr>
      </w:pPr>
    </w:p>
    <w:tbl>
      <w:tblPr>
        <w:tblW w:w="0" w:type="auto"/>
        <w:tblInd w:w="145" w:type="dxa"/>
        <w:tblLayout w:type="fixed"/>
        <w:tblCellMar>
          <w:left w:w="0" w:type="dxa"/>
          <w:right w:w="0" w:type="dxa"/>
        </w:tblCellMar>
        <w:tblLook w:val="0000" w:firstRow="0" w:lastRow="0" w:firstColumn="0" w:lastColumn="0" w:noHBand="0" w:noVBand="0"/>
      </w:tblPr>
      <w:tblGrid>
        <w:gridCol w:w="6800"/>
        <w:gridCol w:w="160"/>
        <w:gridCol w:w="680"/>
        <w:gridCol w:w="80"/>
        <w:gridCol w:w="160"/>
        <w:gridCol w:w="680"/>
        <w:gridCol w:w="60"/>
        <w:gridCol w:w="180"/>
        <w:gridCol w:w="660"/>
        <w:gridCol w:w="20"/>
        <w:gridCol w:w="20"/>
      </w:tblGrid>
      <w:tr w:rsidR="00000000">
        <w:tblPrEx>
          <w:tblCellMar>
            <w:top w:w="0" w:type="dxa"/>
            <w:left w:w="0" w:type="dxa"/>
            <w:bottom w:w="0" w:type="dxa"/>
            <w:right w:w="0" w:type="dxa"/>
          </w:tblCellMar>
        </w:tblPrEx>
        <w:trPr>
          <w:trHeight w:val="203"/>
        </w:trPr>
        <w:tc>
          <w:tcPr>
            <w:tcW w:w="6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6"/>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6"/>
              <w:jc w:val="right"/>
              <w:rPr>
                <w:rFonts w:ascii="Times New Roman" w:hAnsi="Times New Roman" w:cs="Times New Roman"/>
                <w:sz w:val="24"/>
                <w:szCs w:val="24"/>
              </w:rPr>
            </w:pPr>
            <w:r>
              <w:rPr>
                <w:rFonts w:ascii="Times New Roman" w:hAnsi="Times New Roman" w:cs="Times New Roman"/>
                <w:b/>
                <w:bCs/>
                <w:sz w:val="15"/>
                <w:szCs w:val="15"/>
              </w:rPr>
              <w:t>2013</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86"/>
              <w:jc w:val="right"/>
              <w:rPr>
                <w:rFonts w:ascii="Times New Roman" w:hAnsi="Times New Roman" w:cs="Times New Roman"/>
                <w:sz w:val="24"/>
                <w:szCs w:val="24"/>
              </w:rPr>
            </w:pPr>
            <w:r>
              <w:rPr>
                <w:rFonts w:ascii="Times New Roman" w:hAnsi="Times New Roman" w:cs="Times New Roman"/>
                <w:b/>
                <w:bCs/>
                <w:sz w:val="15"/>
                <w:szCs w:val="15"/>
              </w:rPr>
              <w:t>2012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68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6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NET EARNINGS FROM CONTINUING OPERATIONS</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11,707</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11,301</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9,150</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6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N</w:t>
            </w:r>
            <w:r>
              <w:rPr>
                <w:rFonts w:ascii="Times New Roman" w:hAnsi="Times New Roman" w:cs="Times New Roman"/>
                <w:sz w:val="19"/>
                <w:szCs w:val="19"/>
              </w:rPr>
              <w:t>et earnings from discontinued operations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101</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1,754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68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6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NET EARNINGS</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11,785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11,402</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10,904</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6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N</w:t>
            </w:r>
            <w:r>
              <w:rPr>
                <w:rFonts w:ascii="Times New Roman" w:hAnsi="Times New Roman" w:cs="Times New Roman"/>
                <w:sz w:val="19"/>
                <w:szCs w:val="19"/>
              </w:rPr>
              <w:t>et earnings attributable to noncontrolling interests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(90)</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(148)</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68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6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NET EARNINGS ATTRIBUTABLE TO PROCTER &amp; GAMBLE (DILUTED)</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11,643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11,312</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10,756</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6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P</w:t>
            </w:r>
            <w:r>
              <w:rPr>
                <w:rFonts w:ascii="Times New Roman" w:hAnsi="Times New Roman" w:cs="Times New Roman"/>
                <w:sz w:val="19"/>
                <w:szCs w:val="19"/>
              </w:rPr>
              <w:t>referred dividends, net of tax benefit</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(253)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(244)</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(256)</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68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8"/>
        </w:trPr>
        <w:tc>
          <w:tcPr>
            <w:tcW w:w="6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ind w:left="40"/>
              <w:rPr>
                <w:rFonts w:ascii="Times New Roman" w:hAnsi="Times New Roman" w:cs="Times New Roman"/>
                <w:sz w:val="24"/>
                <w:szCs w:val="24"/>
              </w:rPr>
            </w:pPr>
            <w:r>
              <w:rPr>
                <w:rFonts w:ascii="Times New Roman" w:hAnsi="Times New Roman" w:cs="Times New Roman"/>
                <w:b/>
                <w:bCs/>
                <w:sz w:val="19"/>
                <w:szCs w:val="19"/>
              </w:rPr>
              <w:t>NET EARNINGS ATTRIBUTABLE TO PROCTER &amp; GAMBLE AVAILABLE</w:t>
            </w: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11,390</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11,068</w:t>
            </w: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10,500</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9"/>
        </w:trPr>
        <w:tc>
          <w:tcPr>
            <w:tcW w:w="6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TO COMMON SHAREHOLDERS (BASIC)</w:t>
            </w: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8"/>
        </w:trPr>
        <w:tc>
          <w:tcPr>
            <w:tcW w:w="6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8"/>
        </w:trPr>
        <w:tc>
          <w:tcPr>
            <w:tcW w:w="6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78" w:lineRule="exact"/>
              <w:ind w:left="40"/>
              <w:rPr>
                <w:rFonts w:ascii="Times New Roman" w:hAnsi="Times New Roman" w:cs="Times New Roman"/>
                <w:sz w:val="24"/>
                <w:szCs w:val="24"/>
              </w:rPr>
            </w:pPr>
            <w:r>
              <w:rPr>
                <w:rFonts w:ascii="Times New Roman" w:hAnsi="Times New Roman" w:cs="Times New Roman"/>
                <w:b/>
                <w:bCs/>
                <w:sz w:val="19"/>
                <w:szCs w:val="19"/>
              </w:rPr>
              <w:t>NET EARNINGS FROM CONTINUING OPERATIONS ATTRIBUTABLE TO</w:t>
            </w: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6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0" w:lineRule="exact"/>
              <w:ind w:left="40"/>
              <w:rPr>
                <w:rFonts w:ascii="Times New Roman" w:hAnsi="Times New Roman" w:cs="Times New Roman"/>
                <w:sz w:val="24"/>
                <w:szCs w:val="24"/>
              </w:rPr>
            </w:pPr>
            <w:r>
              <w:rPr>
                <w:rFonts w:ascii="Times New Roman" w:hAnsi="Times New Roman" w:cs="Times New Roman"/>
                <w:b/>
                <w:bCs/>
                <w:sz w:val="19"/>
                <w:szCs w:val="19"/>
              </w:rPr>
              <w:t>PROCTER &amp; GAMBLE AVAILABLE TO COMMON SHAREHOLDERS</w:t>
            </w:r>
          </w:p>
        </w:tc>
        <w:tc>
          <w:tcPr>
            <w:tcW w:w="1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11,312</w:t>
            </w:r>
          </w:p>
        </w:tc>
        <w:tc>
          <w:tcPr>
            <w:tcW w:w="24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10,967</w:t>
            </w:r>
          </w:p>
        </w:tc>
        <w:tc>
          <w:tcPr>
            <w:tcW w:w="24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8,746</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8"/>
        </w:trPr>
        <w:tc>
          <w:tcPr>
            <w:tcW w:w="6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(BASIC)</w:t>
            </w:r>
          </w:p>
        </w:tc>
        <w:tc>
          <w:tcPr>
            <w:tcW w:w="16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8"/>
        </w:trPr>
        <w:tc>
          <w:tcPr>
            <w:tcW w:w="680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9"/>
        </w:trPr>
        <w:tc>
          <w:tcPr>
            <w:tcW w:w="6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78" w:lineRule="exact"/>
              <w:ind w:left="40"/>
              <w:rPr>
                <w:rFonts w:ascii="Times New Roman" w:hAnsi="Times New Roman" w:cs="Times New Roman"/>
                <w:sz w:val="24"/>
                <w:szCs w:val="24"/>
              </w:rPr>
            </w:pPr>
            <w:r>
              <w:rPr>
                <w:rFonts w:ascii="Times New Roman" w:hAnsi="Times New Roman" w:cs="Times New Roman"/>
                <w:b/>
                <w:bCs/>
                <w:sz w:val="19"/>
                <w:szCs w:val="19"/>
              </w:rPr>
              <w:t>NET EARNINGS FROM CONTINUTING OPERATIONS ATTRIBUTABLE TO</w:t>
            </w:r>
          </w:p>
        </w:tc>
        <w:tc>
          <w:tcPr>
            <w:tcW w:w="1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11,565</w:t>
            </w:r>
          </w:p>
        </w:tc>
        <w:tc>
          <w:tcPr>
            <w:tcW w:w="24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11,211</w:t>
            </w:r>
          </w:p>
        </w:tc>
        <w:tc>
          <w:tcPr>
            <w:tcW w:w="24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9,002</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8"/>
        </w:trPr>
        <w:tc>
          <w:tcPr>
            <w:tcW w:w="6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PROCTER &amp; GAMBLE (DILUTED)</w:t>
            </w:r>
          </w:p>
        </w:tc>
        <w:tc>
          <w:tcPr>
            <w:tcW w:w="16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8"/>
        </w:trPr>
        <w:tc>
          <w:tcPr>
            <w:tcW w:w="680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4"/>
        </w:trPr>
        <w:tc>
          <w:tcPr>
            <w:tcW w:w="6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Shares in millions; Years ended June 30</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86"/>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86"/>
              <w:jc w:val="right"/>
              <w:rPr>
                <w:rFonts w:ascii="Times New Roman" w:hAnsi="Times New Roman" w:cs="Times New Roman"/>
                <w:sz w:val="24"/>
                <w:szCs w:val="24"/>
              </w:rPr>
            </w:pPr>
            <w:r>
              <w:rPr>
                <w:rFonts w:ascii="Times New Roman" w:hAnsi="Times New Roman" w:cs="Times New Roman"/>
                <w:b/>
                <w:bCs/>
                <w:sz w:val="15"/>
                <w:szCs w:val="15"/>
              </w:rPr>
              <w:t>2013</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86"/>
              <w:jc w:val="right"/>
              <w:rPr>
                <w:rFonts w:ascii="Times New Roman" w:hAnsi="Times New Roman" w:cs="Times New Roman"/>
                <w:sz w:val="24"/>
                <w:szCs w:val="24"/>
              </w:rPr>
            </w:pPr>
            <w:r>
              <w:rPr>
                <w:rFonts w:ascii="Times New Roman" w:hAnsi="Times New Roman" w:cs="Times New Roman"/>
                <w:b/>
                <w:bCs/>
                <w:sz w:val="15"/>
                <w:szCs w:val="15"/>
              </w:rPr>
              <w:t>2012</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3"/>
        </w:trPr>
        <w:tc>
          <w:tcPr>
            <w:tcW w:w="680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B</w:t>
            </w:r>
            <w:r>
              <w:rPr>
                <w:rFonts w:ascii="Times New Roman" w:hAnsi="Times New Roman" w:cs="Times New Roman"/>
                <w:sz w:val="19"/>
                <w:szCs w:val="19"/>
              </w:rPr>
              <w:t>asic weighted average common shares outstanding</w:t>
            </w:r>
          </w:p>
        </w:tc>
        <w:tc>
          <w:tcPr>
            <w:tcW w:w="1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2,719.8</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2,742.9</w:t>
            </w: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2,751.3</w:t>
            </w:r>
          </w:p>
        </w:tc>
        <w:tc>
          <w:tcPr>
            <w:tcW w:w="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
        </w:trPr>
        <w:tc>
          <w:tcPr>
            <w:tcW w:w="6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6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Effect of dilutive securities</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6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C</w:t>
            </w:r>
            <w:r>
              <w:rPr>
                <w:rFonts w:ascii="Times New Roman" w:hAnsi="Times New Roman" w:cs="Times New Roman"/>
                <w:sz w:val="19"/>
                <w:szCs w:val="19"/>
              </w:rPr>
              <w:t>onversion of preferred shares</w:t>
            </w:r>
            <w:r>
              <w:rPr>
                <w:rFonts w:ascii="Times New Roman" w:hAnsi="Times New Roman" w:cs="Times New Roman"/>
                <w:sz w:val="24"/>
                <w:szCs w:val="24"/>
                <w:vertAlign w:val="superscript"/>
              </w:rPr>
              <w:t>(1)</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112.3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116.8</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123.9</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7"/>
        </w:trPr>
        <w:tc>
          <w:tcPr>
            <w:tcW w:w="6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 xml:space="preserve">Exercise of stock options and other unvested equity awards </w:t>
            </w:r>
            <w:r>
              <w:rPr>
                <w:rFonts w:ascii="Times New Roman" w:hAnsi="Times New Roman" w:cs="Times New Roman"/>
                <w:sz w:val="24"/>
                <w:szCs w:val="24"/>
                <w:vertAlign w:val="superscript"/>
              </w:rPr>
              <w:t>(2)</w:t>
            </w: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72.6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70.9</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66.0</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5"/>
        </w:trPr>
        <w:tc>
          <w:tcPr>
            <w:tcW w:w="68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DILUTED WEIGHTED AVERAGE COMMON SHARES OUTSTANDING</w:t>
            </w: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2,904.7</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2,930.6</w:t>
            </w: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2,941.2</w:t>
            </w: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8"/>
        </w:trPr>
        <w:tc>
          <w:tcPr>
            <w:tcW w:w="6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6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 xml:space="preserve">BASIC NET EARNINGS PER COMMON SHARE </w:t>
            </w:r>
            <w:r>
              <w:rPr>
                <w:rFonts w:ascii="Times New Roman" w:hAnsi="Times New Roman" w:cs="Times New Roman"/>
                <w:b/>
                <w:bCs/>
                <w:sz w:val="24"/>
                <w:szCs w:val="24"/>
                <w:vertAlign w:val="superscript"/>
              </w:rPr>
              <w:t>(3)</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6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Earnings from continuing operations</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4.16</w:t>
            </w:r>
          </w:p>
        </w:tc>
        <w:tc>
          <w:tcPr>
            <w:tcW w:w="2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4.00</w:t>
            </w:r>
          </w:p>
        </w:tc>
        <w:tc>
          <w:tcPr>
            <w:tcW w:w="2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3.18</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6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Earnings from discontinued operations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0.03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0.04</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0.64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68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6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BASIC NET EARNINGS PER COMMON SHARE</w:t>
            </w: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4.19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4.04</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3.82</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3"/>
        </w:trPr>
        <w:tc>
          <w:tcPr>
            <w:tcW w:w="6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6"/>
        </w:trPr>
        <w:tc>
          <w:tcPr>
            <w:tcW w:w="6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 xml:space="preserve">DILUTED NET EARNINGS PER COMMON SHARE </w:t>
            </w:r>
            <w:r>
              <w:rPr>
                <w:rFonts w:ascii="Times New Roman" w:hAnsi="Times New Roman" w:cs="Times New Roman"/>
                <w:b/>
                <w:bCs/>
                <w:sz w:val="24"/>
                <w:szCs w:val="24"/>
                <w:vertAlign w:val="superscript"/>
              </w:rPr>
              <w:t>(3)</w:t>
            </w: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6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Earnings from continuing operations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3.98</w:t>
            </w:r>
          </w:p>
        </w:tc>
        <w:tc>
          <w:tcPr>
            <w:tcW w:w="2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3.83</w:t>
            </w:r>
          </w:p>
        </w:tc>
        <w:tc>
          <w:tcPr>
            <w:tcW w:w="2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3.06</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6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6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Earnings from discontinued operations</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0.03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0.03</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0.60</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7"/>
        </w:trPr>
        <w:tc>
          <w:tcPr>
            <w:tcW w:w="680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D</w:t>
            </w:r>
            <w:r>
              <w:rPr>
                <w:rFonts w:ascii="Times New Roman" w:hAnsi="Times New Roman" w:cs="Times New Roman"/>
                <w:b/>
                <w:bCs/>
                <w:sz w:val="19"/>
                <w:szCs w:val="19"/>
              </w:rPr>
              <w:t>ILUTED NET EARNINGS PER COMMON SHARE</w:t>
            </w:r>
          </w:p>
        </w:tc>
        <w:tc>
          <w:tcPr>
            <w:tcW w:w="1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4.01</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3.86</w:t>
            </w: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3.66</w:t>
            </w:r>
          </w:p>
        </w:tc>
        <w:tc>
          <w:tcPr>
            <w:tcW w:w="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32" w:lineRule="exact"/>
        <w:rPr>
          <w:rFonts w:ascii="Times New Roman" w:hAnsi="Times New Roman" w:cs="Times New Roman"/>
          <w:sz w:val="24"/>
          <w:szCs w:val="24"/>
        </w:rPr>
      </w:pPr>
    </w:p>
    <w:p w:rsidR="00000000" w:rsidRDefault="0057438D">
      <w:pPr>
        <w:pStyle w:val="DefaultParagraphFont"/>
        <w:widowControl w:val="0"/>
        <w:numPr>
          <w:ilvl w:val="0"/>
          <w:numId w:val="18"/>
        </w:numPr>
        <w:tabs>
          <w:tab w:val="clear" w:pos="720"/>
          <w:tab w:val="num" w:pos="345"/>
        </w:tabs>
        <w:overflowPunct w:val="0"/>
        <w:autoSpaceDE w:val="0"/>
        <w:autoSpaceDN w:val="0"/>
        <w:adjustRightInd w:val="0"/>
        <w:spacing w:after="0" w:line="225" w:lineRule="auto"/>
        <w:ind w:left="345" w:right="360" w:hanging="345"/>
        <w:rPr>
          <w:rFonts w:ascii="Times New Roman" w:hAnsi="Times New Roman" w:cs="Times New Roman"/>
          <w:sz w:val="25"/>
          <w:szCs w:val="25"/>
          <w:vertAlign w:val="superscript"/>
        </w:rPr>
      </w:pPr>
      <w:r>
        <w:rPr>
          <w:rFonts w:ascii="Times New Roman" w:hAnsi="Times New Roman" w:cs="Times New Roman"/>
          <w:sz w:val="17"/>
          <w:szCs w:val="17"/>
        </w:rPr>
        <w:t xml:space="preserve">Despite being included currently in diluted net earnings per common share, the actual conversion to common stock occurs when the preferred shares are sold. Shares may only be sold after being allocated to the ESOP participants pursuant to the repayment of </w:t>
      </w:r>
      <w:r>
        <w:rPr>
          <w:rFonts w:ascii="Times New Roman" w:hAnsi="Times New Roman" w:cs="Times New Roman"/>
          <w:sz w:val="17"/>
          <w:szCs w:val="17"/>
        </w:rPr>
        <w:t>the ESOP's obligations through 2035.</w:t>
      </w:r>
    </w:p>
    <w:p w:rsidR="00000000" w:rsidRDefault="0057438D">
      <w:pPr>
        <w:pStyle w:val="DefaultParagraphFont"/>
        <w:widowControl w:val="0"/>
        <w:autoSpaceDE w:val="0"/>
        <w:autoSpaceDN w:val="0"/>
        <w:adjustRightInd w:val="0"/>
        <w:spacing w:after="0" w:line="5"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18"/>
        </w:numPr>
        <w:tabs>
          <w:tab w:val="clear" w:pos="720"/>
          <w:tab w:val="num" w:pos="345"/>
        </w:tabs>
        <w:overflowPunct w:val="0"/>
        <w:autoSpaceDE w:val="0"/>
        <w:autoSpaceDN w:val="0"/>
        <w:adjustRightInd w:val="0"/>
        <w:spacing w:after="0" w:line="225" w:lineRule="auto"/>
        <w:ind w:left="345" w:right="500" w:hanging="345"/>
        <w:jc w:val="both"/>
        <w:rPr>
          <w:rFonts w:ascii="Times New Roman" w:hAnsi="Times New Roman" w:cs="Times New Roman"/>
          <w:sz w:val="25"/>
          <w:szCs w:val="25"/>
          <w:vertAlign w:val="superscript"/>
        </w:rPr>
      </w:pPr>
      <w:r>
        <w:rPr>
          <w:rFonts w:ascii="Times New Roman" w:hAnsi="Times New Roman" w:cs="Times New Roman"/>
          <w:sz w:val="17"/>
          <w:szCs w:val="17"/>
        </w:rPr>
        <w:t xml:space="preserve">Approximately 9 million in 2014, 12 million in 2013 and 67 million in 2012 of the Company's outstanding stock options were not included in the diluted net earnings per share calculation because the options were out of the money or to do so would have been </w:t>
      </w:r>
      <w:r>
        <w:rPr>
          <w:rFonts w:ascii="Times New Roman" w:hAnsi="Times New Roman" w:cs="Times New Roman"/>
          <w:sz w:val="17"/>
          <w:szCs w:val="17"/>
        </w:rPr>
        <w:t>antidilutive (i.e., the total proceeds upon exercise would have exceeded the market value of the underlying common shares).</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18"/>
        </w:numPr>
        <w:tabs>
          <w:tab w:val="clear" w:pos="720"/>
          <w:tab w:val="num" w:pos="345"/>
        </w:tabs>
        <w:overflowPunct w:val="0"/>
        <w:autoSpaceDE w:val="0"/>
        <w:autoSpaceDN w:val="0"/>
        <w:adjustRightInd w:val="0"/>
        <w:spacing w:after="0" w:line="230" w:lineRule="auto"/>
        <w:ind w:left="345" w:right="40" w:hanging="345"/>
        <w:jc w:val="both"/>
        <w:rPr>
          <w:rFonts w:ascii="Times New Roman" w:hAnsi="Times New Roman" w:cs="Times New Roman"/>
          <w:vertAlign w:val="superscript"/>
        </w:rPr>
      </w:pPr>
      <w:r>
        <w:rPr>
          <w:rFonts w:ascii="Times New Roman" w:hAnsi="Times New Roman" w:cs="Times New Roman"/>
          <w:sz w:val="17"/>
          <w:szCs w:val="17"/>
        </w:rPr>
        <w:t>Basic net earnings per common share and diluted net earnings per common share are calculated on net earnings attributable to Pr</w:t>
      </w:r>
      <w:r>
        <w:rPr>
          <w:rFonts w:ascii="Times New Roman" w:hAnsi="Times New Roman" w:cs="Times New Roman"/>
          <w:sz w:val="17"/>
          <w:szCs w:val="17"/>
        </w:rPr>
        <w:t>octer &amp; Gamble.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346" w:left="855" w:header="720" w:footer="720" w:gutter="0"/>
          <w:cols w:space="720" w:equalWidth="0">
            <w:col w:w="9765"/>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5580" w:header="720" w:footer="720" w:gutter="0"/>
          <w:cols w:space="720" w:equalWidth="0">
            <w:col w:w="506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64</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NOTE 8</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STOCK-BASED COMPENSATION</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40"/>
        <w:rPr>
          <w:rFonts w:ascii="Times New Roman" w:hAnsi="Times New Roman" w:cs="Times New Roman"/>
          <w:sz w:val="24"/>
          <w:szCs w:val="24"/>
        </w:rPr>
      </w:pPr>
      <w:r>
        <w:rPr>
          <w:rFonts w:ascii="Times New Roman" w:hAnsi="Times New Roman" w:cs="Times New Roman"/>
          <w:sz w:val="19"/>
          <w:szCs w:val="19"/>
        </w:rPr>
        <w:t>We have stock-based compensation plans under which we annually grant stock option, restricted stock, restricted stock unit (RSU) and performance stock unit (PSU) awards to key managers and directors. Exercise prices on options granted have been, and contin</w:t>
      </w:r>
      <w:r>
        <w:rPr>
          <w:rFonts w:ascii="Times New Roman" w:hAnsi="Times New Roman" w:cs="Times New Roman"/>
          <w:sz w:val="19"/>
          <w:szCs w:val="19"/>
        </w:rPr>
        <w:t>ue to be, set equal to the market price of the underlying shares on the date of the grant. Since September 2002, the key manager stock option awards granted vest after three years and have a 10-year life. The key manager stock option awards granted from Ju</w:t>
      </w:r>
      <w:r>
        <w:rPr>
          <w:rFonts w:ascii="Times New Roman" w:hAnsi="Times New Roman" w:cs="Times New Roman"/>
          <w:sz w:val="19"/>
          <w:szCs w:val="19"/>
        </w:rPr>
        <w:t xml:space="preserve">ly 1998 through August 2002 vested after three years and have a 15-year life. Key managers can elect to receive up to the entire value of their option award in RSUs. Key manager RSUs vest and are settled in shares of common stock five years from the grant </w:t>
      </w:r>
      <w:r>
        <w:rPr>
          <w:rFonts w:ascii="Times New Roman" w:hAnsi="Times New Roman" w:cs="Times New Roman"/>
          <w:sz w:val="19"/>
          <w:szCs w:val="19"/>
        </w:rPr>
        <w:t>date. The awards provided to the Company's directors are in the form of restricted stock and RSUs.</w:t>
      </w:r>
    </w:p>
    <w:p w:rsidR="00000000" w:rsidRDefault="0057438D">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20"/>
        <w:rPr>
          <w:rFonts w:ascii="Times New Roman" w:hAnsi="Times New Roman" w:cs="Times New Roman"/>
          <w:sz w:val="24"/>
          <w:szCs w:val="24"/>
        </w:rPr>
      </w:pPr>
      <w:r>
        <w:rPr>
          <w:rFonts w:ascii="Times New Roman" w:hAnsi="Times New Roman" w:cs="Times New Roman"/>
          <w:sz w:val="19"/>
          <w:szCs w:val="19"/>
        </w:rPr>
        <w:t>In addition to our key manager and director grants, we make other minor stock option and RSU grants to employees for which the terms are not substantially d</w:t>
      </w:r>
      <w:r>
        <w:rPr>
          <w:rFonts w:ascii="Times New Roman" w:hAnsi="Times New Roman" w:cs="Times New Roman"/>
          <w:sz w:val="19"/>
          <w:szCs w:val="19"/>
        </w:rPr>
        <w:t>ifferent than those described in the preceding paragraph. In 2011, we implemented a performance stock program (PSP) and granted PSUs to senior level executives. Under this program, the number of PSUs that will vest three years after the respective grant da</w:t>
      </w:r>
      <w:r>
        <w:rPr>
          <w:rFonts w:ascii="Times New Roman" w:hAnsi="Times New Roman" w:cs="Times New Roman"/>
          <w:sz w:val="19"/>
          <w:szCs w:val="19"/>
        </w:rPr>
        <w:t>te is based on the Company's performance relative to pre-established performance goals during that three year period.</w:t>
      </w:r>
    </w:p>
    <w:p w:rsidR="00000000" w:rsidRDefault="0057438D">
      <w:pPr>
        <w:pStyle w:val="DefaultParagraphFont"/>
        <w:widowControl w:val="0"/>
        <w:autoSpaceDE w:val="0"/>
        <w:autoSpaceDN w:val="0"/>
        <w:adjustRightInd w:val="0"/>
        <w:spacing w:after="0" w:line="8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rPr>
          <w:rFonts w:ascii="Times New Roman" w:hAnsi="Times New Roman" w:cs="Times New Roman"/>
          <w:sz w:val="24"/>
          <w:szCs w:val="24"/>
        </w:rPr>
      </w:pPr>
      <w:r>
        <w:rPr>
          <w:rFonts w:ascii="Times New Roman" w:hAnsi="Times New Roman" w:cs="Times New Roman"/>
          <w:sz w:val="19"/>
          <w:szCs w:val="19"/>
        </w:rPr>
        <w:t xml:space="preserve">A total of 180 million shares of common stock were authorized for issuance under stock-based compensation plans approved by shareholders </w:t>
      </w:r>
      <w:r>
        <w:rPr>
          <w:rFonts w:ascii="Times New Roman" w:hAnsi="Times New Roman" w:cs="Times New Roman"/>
          <w:sz w:val="19"/>
          <w:szCs w:val="19"/>
        </w:rPr>
        <w:t>in 2003 and 2009. A total of 27 million shares remain available for grant under the 2003 and 2009 plans.</w:t>
      </w:r>
    </w:p>
    <w:p w:rsidR="00000000" w:rsidRDefault="0057438D">
      <w:pPr>
        <w:pStyle w:val="DefaultParagraphFont"/>
        <w:widowControl w:val="0"/>
        <w:autoSpaceDE w:val="0"/>
        <w:autoSpaceDN w:val="0"/>
        <w:adjustRightInd w:val="0"/>
        <w:spacing w:after="0" w:line="7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Total sto</w:t>
      </w:r>
      <w:r>
        <w:rPr>
          <w:rFonts w:ascii="Times New Roman" w:hAnsi="Times New Roman" w:cs="Times New Roman"/>
          <w:sz w:val="19"/>
          <w:szCs w:val="19"/>
        </w:rPr>
        <w:t>ck-based compensation expense for stock option grants was $246, $249 and $317 for 2014, 2013 and 2012, respectively. Total compensation expense for restricted stock, RSUs and PSUs was $114, $97 and $60 in 2014, 2013 and 2012, respectively. The total income</w:t>
      </w:r>
      <w:r>
        <w:rPr>
          <w:rFonts w:ascii="Times New Roman" w:hAnsi="Times New Roman" w:cs="Times New Roman"/>
          <w:sz w:val="19"/>
          <w:szCs w:val="19"/>
        </w:rPr>
        <w:t xml:space="preserve"> tax benefit recognized in the income statement for stock options, restricted stock, RSUs and PSUs was $127, $96 and $102 in 2014, 2013 and 2012, respectively.</w:t>
      </w:r>
    </w:p>
    <w:p w:rsidR="00000000" w:rsidRDefault="0057438D">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right="20"/>
        <w:rPr>
          <w:rFonts w:ascii="Times New Roman" w:hAnsi="Times New Roman" w:cs="Times New Roman"/>
          <w:sz w:val="24"/>
          <w:szCs w:val="24"/>
        </w:rPr>
      </w:pPr>
      <w:r>
        <w:rPr>
          <w:rFonts w:ascii="Times New Roman" w:hAnsi="Times New Roman" w:cs="Times New Roman"/>
          <w:sz w:val="19"/>
          <w:szCs w:val="19"/>
        </w:rPr>
        <w:t>In calculating the compensation expense for stock options granted, we utilize a binomial lattic</w:t>
      </w:r>
      <w:r>
        <w:rPr>
          <w:rFonts w:ascii="Times New Roman" w:hAnsi="Times New Roman" w:cs="Times New Roman"/>
          <w:sz w:val="19"/>
          <w:szCs w:val="19"/>
        </w:rPr>
        <w:t>e-based valuation model. Assumptions utilized in the model, which are evaluated and revised as necessary, to reflect market conditions and experience, were as follows: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2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
          <w:szCs w:val="2"/>
        </w:rPr>
      </w:pPr>
    </w:p>
    <w:tbl>
      <w:tblPr>
        <w:tblW w:w="0" w:type="auto"/>
        <w:tblLayout w:type="fixed"/>
        <w:tblCellMar>
          <w:left w:w="0" w:type="dxa"/>
          <w:right w:w="0" w:type="dxa"/>
        </w:tblCellMar>
        <w:tblLook w:val="0000" w:firstRow="0" w:lastRow="0" w:firstColumn="0" w:lastColumn="0" w:noHBand="0" w:noVBand="0"/>
      </w:tblPr>
      <w:tblGrid>
        <w:gridCol w:w="1680"/>
        <w:gridCol w:w="980"/>
        <w:gridCol w:w="80"/>
        <w:gridCol w:w="920"/>
        <w:gridCol w:w="80"/>
        <w:gridCol w:w="940"/>
        <w:gridCol w:w="20"/>
        <w:gridCol w:w="20"/>
      </w:tblGrid>
      <w:tr w:rsidR="00000000">
        <w:tblPrEx>
          <w:tblCellMar>
            <w:top w:w="0" w:type="dxa"/>
            <w:left w:w="0" w:type="dxa"/>
            <w:bottom w:w="0" w:type="dxa"/>
            <w:right w:w="0" w:type="dxa"/>
          </w:tblCellMar>
        </w:tblPrEx>
        <w:trPr>
          <w:trHeight w:val="203"/>
        </w:trPr>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47"/>
              <w:jc w:val="right"/>
              <w:rPr>
                <w:rFonts w:ascii="Times New Roman" w:hAnsi="Times New Roman" w:cs="Times New Roman"/>
                <w:sz w:val="24"/>
                <w:szCs w:val="24"/>
              </w:rPr>
            </w:pPr>
            <w:r>
              <w:rPr>
                <w:rFonts w:ascii="Times New Roman" w:hAnsi="Times New Roman" w:cs="Times New Roman"/>
                <w:b/>
                <w:bCs/>
                <w:sz w:val="15"/>
                <w:szCs w:val="15"/>
              </w:rPr>
              <w:t>2014</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Times New Roman" w:hAnsi="Times New Roman" w:cs="Times New Roman"/>
                <w:b/>
                <w:bCs/>
                <w:sz w:val="15"/>
                <w:szCs w:val="15"/>
              </w:rPr>
              <w:t>2013</w:t>
            </w:r>
          </w:p>
        </w:tc>
        <w:tc>
          <w:tcPr>
            <w:tcW w:w="10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Times New Roman" w:hAnsi="Times New Roman" w:cs="Times New Roman"/>
                <w:b/>
                <w:bCs/>
                <w:sz w:val="15"/>
                <w:szCs w:val="15"/>
              </w:rPr>
              <w:t>2012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16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Interest rate</w:t>
            </w:r>
          </w:p>
        </w:tc>
        <w:tc>
          <w:tcPr>
            <w:tcW w:w="9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0.1-2.8%</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0.2-2.0%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0.2-2.1%</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Weighted average</w:t>
            </w:r>
          </w:p>
        </w:tc>
        <w:tc>
          <w:tcPr>
            <w:tcW w:w="9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2.5%</w:t>
            </w:r>
          </w:p>
        </w:tc>
        <w:tc>
          <w:tcPr>
            <w:tcW w:w="10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w:t>
            </w:r>
          </w:p>
        </w:tc>
        <w:tc>
          <w:tcPr>
            <w:tcW w:w="102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interest rate</w:t>
            </w:r>
          </w:p>
        </w:tc>
        <w:tc>
          <w:tcPr>
            <w:tcW w:w="9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2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Dividend yield</w:t>
            </w:r>
          </w:p>
        </w:tc>
        <w:tc>
          <w:tcPr>
            <w:tcW w:w="9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3.1%</w:t>
            </w:r>
          </w:p>
        </w:tc>
        <w:tc>
          <w:tcPr>
            <w:tcW w:w="10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2.9%</w:t>
            </w:r>
          </w:p>
        </w:tc>
        <w:tc>
          <w:tcPr>
            <w:tcW w:w="10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2.6%</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Expected volatility</w:t>
            </w: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15-17%</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14-15%</w:t>
            </w:r>
          </w:p>
        </w:tc>
        <w:tc>
          <w:tcPr>
            <w:tcW w:w="10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12-18%</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1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Weighted average</w:t>
            </w:r>
          </w:p>
        </w:tc>
        <w:tc>
          <w:tcPr>
            <w:tcW w:w="9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16%</w:t>
            </w:r>
          </w:p>
        </w:tc>
        <w:tc>
          <w:tcPr>
            <w:tcW w:w="100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w:t>
            </w:r>
          </w:p>
        </w:tc>
        <w:tc>
          <w:tcPr>
            <w:tcW w:w="102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1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volatility</w:t>
            </w:r>
          </w:p>
        </w:tc>
        <w:tc>
          <w:tcPr>
            <w:tcW w:w="9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0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2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8" w:lineRule="exact"/>
              <w:ind w:left="60"/>
              <w:rPr>
                <w:rFonts w:ascii="Times New Roman" w:hAnsi="Times New Roman" w:cs="Times New Roman"/>
                <w:sz w:val="24"/>
                <w:szCs w:val="24"/>
              </w:rPr>
            </w:pPr>
            <w:r>
              <w:rPr>
                <w:rFonts w:ascii="Times New Roman" w:hAnsi="Times New Roman" w:cs="Times New Roman"/>
                <w:sz w:val="19"/>
                <w:szCs w:val="19"/>
              </w:rPr>
              <w:t>Expected life in</w:t>
            </w:r>
          </w:p>
        </w:tc>
        <w:tc>
          <w:tcPr>
            <w:tcW w:w="9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7"/>
              <w:jc w:val="right"/>
              <w:rPr>
                <w:rFonts w:ascii="Times New Roman" w:hAnsi="Times New Roman" w:cs="Times New Roman"/>
                <w:sz w:val="24"/>
                <w:szCs w:val="24"/>
              </w:rPr>
            </w:pPr>
            <w:r>
              <w:rPr>
                <w:rFonts w:ascii="Times New Roman" w:hAnsi="Times New Roman" w:cs="Times New Roman"/>
                <w:b/>
                <w:bCs/>
                <w:sz w:val="19"/>
                <w:szCs w:val="19"/>
              </w:rPr>
              <w:t>8.2</w:t>
            </w:r>
          </w:p>
        </w:tc>
        <w:tc>
          <w:tcPr>
            <w:tcW w:w="10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8.9</w:t>
            </w:r>
          </w:p>
        </w:tc>
        <w:tc>
          <w:tcPr>
            <w:tcW w:w="102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8.5</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years</w:t>
            </w:r>
          </w:p>
        </w:tc>
        <w:tc>
          <w:tcPr>
            <w:tcW w:w="9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2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7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left="20" w:right="60"/>
        <w:rPr>
          <w:rFonts w:ascii="Times New Roman" w:hAnsi="Times New Roman" w:cs="Times New Roman"/>
          <w:sz w:val="24"/>
          <w:szCs w:val="24"/>
        </w:rPr>
      </w:pPr>
      <w:r>
        <w:rPr>
          <w:rFonts w:ascii="Times New Roman" w:hAnsi="Times New Roman" w:cs="Times New Roman"/>
          <w:sz w:val="19"/>
          <w:szCs w:val="19"/>
        </w:rPr>
        <w:t>Lattice-based option valuation models incorporate ranges of assumptions for inputs and those ranges are disclosed in the preceding table. Expected volatilities are based on a combination of historical volatility of our stock and implied volatilities of cal</w:t>
      </w:r>
      <w:r>
        <w:rPr>
          <w:rFonts w:ascii="Times New Roman" w:hAnsi="Times New Roman" w:cs="Times New Roman"/>
          <w:sz w:val="19"/>
          <w:szCs w:val="19"/>
        </w:rPr>
        <w:t>l options on our stock. We use historical data to estimate option exercise and employee termination patterns within the valuation model. The expected life of options granted is derived from the output of the option valuation model and represents the averag</w:t>
      </w:r>
      <w:r>
        <w:rPr>
          <w:rFonts w:ascii="Times New Roman" w:hAnsi="Times New Roman" w:cs="Times New Roman"/>
          <w:sz w:val="19"/>
          <w:szCs w:val="19"/>
        </w:rPr>
        <w:t>e period of time that options granted are expected to be outstanding. The interest rate for periods within the contractual life of the options is based on the U.S. Treasury yield curve in effect at the time of grant.</w:t>
      </w:r>
    </w:p>
    <w:p w:rsidR="00000000" w:rsidRDefault="0057438D">
      <w:pPr>
        <w:pStyle w:val="DefaultParagraphFont"/>
        <w:widowControl w:val="0"/>
        <w:autoSpaceDE w:val="0"/>
        <w:autoSpaceDN w:val="0"/>
        <w:adjustRightInd w:val="0"/>
        <w:spacing w:after="0" w:line="8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left="20" w:right="200"/>
        <w:jc w:val="both"/>
        <w:rPr>
          <w:rFonts w:ascii="Times New Roman" w:hAnsi="Times New Roman" w:cs="Times New Roman"/>
          <w:sz w:val="24"/>
          <w:szCs w:val="24"/>
        </w:rPr>
      </w:pPr>
      <w:r>
        <w:rPr>
          <w:rFonts w:ascii="Times New Roman" w:hAnsi="Times New Roman" w:cs="Times New Roman"/>
          <w:sz w:val="19"/>
          <w:szCs w:val="19"/>
        </w:rPr>
        <w:t>A summary of options, RSUs and PSUs ou</w:t>
      </w:r>
      <w:r>
        <w:rPr>
          <w:rFonts w:ascii="Times New Roman" w:hAnsi="Times New Roman" w:cs="Times New Roman"/>
          <w:sz w:val="19"/>
          <w:szCs w:val="19"/>
        </w:rPr>
        <w:t>tstanding under the plans as of June 30, 2014, and activity during the year then ended is presented below:</w:t>
      </w:r>
    </w:p>
    <w:p w:rsidR="00000000" w:rsidRDefault="0057438D">
      <w:pPr>
        <w:pStyle w:val="DefaultParagraphFont"/>
        <w:widowControl w:val="0"/>
        <w:autoSpaceDE w:val="0"/>
        <w:autoSpaceDN w:val="0"/>
        <w:adjustRightInd w:val="0"/>
        <w:spacing w:after="0" w:line="11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540"/>
        <w:gridCol w:w="800"/>
        <w:gridCol w:w="720"/>
        <w:gridCol w:w="820"/>
        <w:gridCol w:w="800"/>
        <w:gridCol w:w="20"/>
      </w:tblGrid>
      <w:tr w:rsidR="00000000">
        <w:tblPrEx>
          <w:tblCellMar>
            <w:top w:w="0" w:type="dxa"/>
            <w:left w:w="0" w:type="dxa"/>
            <w:bottom w:w="0" w:type="dxa"/>
            <w:right w:w="0" w:type="dxa"/>
          </w:tblCellMar>
        </w:tblPrEx>
        <w:trPr>
          <w:trHeight w:val="172"/>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Weighted</w:t>
            </w:r>
          </w:p>
        </w:tc>
        <w:tc>
          <w:tcPr>
            <w:tcW w:w="8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Aggregate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2"/>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Weighted</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Avg.</w:t>
            </w:r>
          </w:p>
        </w:tc>
        <w:tc>
          <w:tcPr>
            <w:tcW w:w="8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w w:val="99"/>
                <w:sz w:val="15"/>
                <w:szCs w:val="15"/>
              </w:rPr>
              <w:t>Remaining</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Intrinsic</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w w:val="94"/>
                <w:sz w:val="15"/>
                <w:szCs w:val="15"/>
              </w:rPr>
              <w:t>Avg.</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w w:val="99"/>
                <w:sz w:val="15"/>
                <w:szCs w:val="15"/>
              </w:rPr>
              <w:t>Contract-</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w w:val="95"/>
                <w:sz w:val="15"/>
                <w:szCs w:val="15"/>
              </w:rPr>
              <w:t>Value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5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rPr>
              <w:t>Options in thousands</w:t>
            </w:r>
          </w:p>
        </w:tc>
        <w:tc>
          <w:tcPr>
            <w:tcW w:w="8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b/>
                <w:bCs/>
                <w:sz w:val="15"/>
                <w:szCs w:val="15"/>
              </w:rPr>
              <w:t>Options</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Exercise</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ual Life in</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w w:val="91"/>
                <w:sz w:val="15"/>
                <w:szCs w:val="15"/>
              </w:rPr>
              <w:t>(in</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5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Price</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Years</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millions)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7"/>
        </w:trPr>
        <w:tc>
          <w:tcPr>
            <w:tcW w:w="1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7" w:lineRule="exact"/>
              <w:ind w:left="60"/>
              <w:rPr>
                <w:rFonts w:ascii="Times New Roman" w:hAnsi="Times New Roman" w:cs="Times New Roman"/>
                <w:sz w:val="24"/>
                <w:szCs w:val="24"/>
              </w:rPr>
            </w:pPr>
            <w:r>
              <w:rPr>
                <w:rFonts w:ascii="Times New Roman" w:hAnsi="Times New Roman" w:cs="Times New Roman"/>
                <w:sz w:val="19"/>
                <w:szCs w:val="19"/>
              </w:rPr>
              <w:t>Outstanding,</w:t>
            </w:r>
          </w:p>
        </w:tc>
        <w:tc>
          <w:tcPr>
            <w:tcW w:w="8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b/>
                <w:bCs/>
                <w:sz w:val="19"/>
                <w:szCs w:val="19"/>
              </w:rPr>
              <w:t>306,239</w:t>
            </w:r>
          </w:p>
        </w:tc>
        <w:tc>
          <w:tcPr>
            <w:tcW w:w="7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$ 57.07</w:t>
            </w:r>
          </w:p>
        </w:tc>
        <w:tc>
          <w:tcPr>
            <w:tcW w:w="8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1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beginning of year</w:t>
            </w:r>
          </w:p>
        </w:tc>
        <w:tc>
          <w:tcPr>
            <w:tcW w:w="80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Granted</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b/>
                <w:bCs/>
                <w:sz w:val="19"/>
                <w:szCs w:val="19"/>
              </w:rPr>
              <w:t>25,680</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78.71</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Exercised</w:t>
            </w: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(38,165)</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50.79</w:t>
            </w: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Canceled</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(2,128)</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65.09</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5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9"/>
        </w:trPr>
        <w:tc>
          <w:tcPr>
            <w:tcW w:w="1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79" w:lineRule="exact"/>
              <w:ind w:left="60"/>
              <w:rPr>
                <w:rFonts w:ascii="Times New Roman" w:hAnsi="Times New Roman" w:cs="Times New Roman"/>
                <w:sz w:val="24"/>
                <w:szCs w:val="24"/>
              </w:rPr>
            </w:pPr>
            <w:r>
              <w:rPr>
                <w:rFonts w:ascii="Times New Roman" w:hAnsi="Times New Roman" w:cs="Times New Roman"/>
                <w:b/>
                <w:bCs/>
                <w:sz w:val="18"/>
                <w:szCs w:val="18"/>
              </w:rPr>
              <w:t>OUTSTANDING,</w:t>
            </w:r>
          </w:p>
        </w:tc>
        <w:tc>
          <w:tcPr>
            <w:tcW w:w="8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7"/>
              <w:jc w:val="right"/>
              <w:rPr>
                <w:rFonts w:ascii="Times New Roman" w:hAnsi="Times New Roman" w:cs="Times New Roman"/>
                <w:sz w:val="24"/>
                <w:szCs w:val="24"/>
              </w:rPr>
            </w:pPr>
            <w:r>
              <w:rPr>
                <w:rFonts w:ascii="Times New Roman" w:hAnsi="Times New Roman" w:cs="Times New Roman"/>
                <w:b/>
                <w:bCs/>
                <w:sz w:val="19"/>
                <w:szCs w:val="19"/>
              </w:rPr>
              <w:t>291,626</w:t>
            </w:r>
          </w:p>
        </w:tc>
        <w:tc>
          <w:tcPr>
            <w:tcW w:w="7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59.74</w:t>
            </w:r>
          </w:p>
        </w:tc>
        <w:tc>
          <w:tcPr>
            <w:tcW w:w="8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4.8</w:t>
            </w:r>
          </w:p>
        </w:tc>
        <w:tc>
          <w:tcPr>
            <w:tcW w:w="8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5,626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0"/>
        </w:trPr>
        <w:tc>
          <w:tcPr>
            <w:tcW w:w="1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8"/>
                <w:szCs w:val="18"/>
              </w:rPr>
              <w:t>END OF YEAR</w:t>
            </w:r>
          </w:p>
        </w:tc>
        <w:tc>
          <w:tcPr>
            <w:tcW w:w="80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8"/>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8"/>
                <w:szCs w:val="18"/>
              </w:rPr>
              <w:t>EXERCISABLE</w:t>
            </w: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18" w:lineRule="exact"/>
              <w:ind w:right="7"/>
              <w:jc w:val="right"/>
              <w:rPr>
                <w:rFonts w:ascii="Times New Roman" w:hAnsi="Times New Roman" w:cs="Times New Roman"/>
                <w:sz w:val="24"/>
                <w:szCs w:val="24"/>
              </w:rPr>
            </w:pPr>
            <w:r>
              <w:rPr>
                <w:rFonts w:ascii="Times New Roman" w:hAnsi="Times New Roman" w:cs="Times New Roman"/>
                <w:b/>
                <w:bCs/>
                <w:sz w:val="19"/>
                <w:szCs w:val="19"/>
              </w:rPr>
              <w:t>212,502</w:t>
            </w: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Times New Roman" w:hAnsi="Times New Roman" w:cs="Times New Roman"/>
                <w:b/>
                <w:bCs/>
                <w:sz w:val="19"/>
                <w:szCs w:val="19"/>
              </w:rPr>
              <w:t>54.67</w:t>
            </w: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Times New Roman" w:hAnsi="Times New Roman" w:cs="Times New Roman"/>
                <w:b/>
                <w:bCs/>
                <w:sz w:val="19"/>
                <w:szCs w:val="19"/>
              </w:rPr>
              <w:t>3.4</w:t>
            </w: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Times New Roman" w:hAnsi="Times New Roman" w:cs="Times New Roman"/>
                <w:b/>
                <w:bCs/>
                <w:sz w:val="19"/>
                <w:szCs w:val="19"/>
              </w:rPr>
              <w:t>5,172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1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7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left="20"/>
        <w:rPr>
          <w:rFonts w:ascii="Times New Roman" w:hAnsi="Times New Roman" w:cs="Times New Roman"/>
          <w:sz w:val="24"/>
          <w:szCs w:val="24"/>
        </w:rPr>
      </w:pPr>
      <w:r>
        <w:rPr>
          <w:rFonts w:ascii="Times New Roman" w:hAnsi="Times New Roman" w:cs="Times New Roman"/>
          <w:sz w:val="19"/>
          <w:szCs w:val="19"/>
        </w:rPr>
        <w:t>The weighted average grant-date fair value of options granted was $10.01, $8.19 and $8.05 per share in 2014, 2013 and 2012, respectively. The total intrinsic value of options exercised was $1,152, $1,759 and $820 in 2014, 2013 and 2012, respectively. The t</w:t>
      </w:r>
      <w:r>
        <w:rPr>
          <w:rFonts w:ascii="Times New Roman" w:hAnsi="Times New Roman" w:cs="Times New Roman"/>
          <w:sz w:val="19"/>
          <w:szCs w:val="19"/>
        </w:rPr>
        <w:t>otal grant-date fair value of options that vested during 2014, 2013 and 2012 was $319, $352 and $435, respectively. At June 30, 2014, there was $223 of compensation cost that has not yet been recognized related to stock option grants. That cost is expected</w:t>
      </w:r>
      <w:r>
        <w:rPr>
          <w:rFonts w:ascii="Times New Roman" w:hAnsi="Times New Roman" w:cs="Times New Roman"/>
          <w:sz w:val="19"/>
          <w:szCs w:val="19"/>
        </w:rPr>
        <w:t xml:space="preserve"> to be recognized over a remaining weighted average period of 1.9 years. Cash received from options exercised was $1,938, $3,294 and $1,735 in 2014, 2013 and 2012, respectively. The actual tax benefit realized for the tax deductions from option exercises t</w:t>
      </w:r>
      <w:r>
        <w:rPr>
          <w:rFonts w:ascii="Times New Roman" w:hAnsi="Times New Roman" w:cs="Times New Roman"/>
          <w:sz w:val="19"/>
          <w:szCs w:val="19"/>
        </w:rPr>
        <w:t>otaled $338, $575 and $239 in 2014, 2013</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00" w:bottom="346" w:left="860" w:header="720" w:footer="720" w:gutter="0"/>
          <w:cols w:num="2" w:space="440" w:equalWidth="0">
            <w:col w:w="4640" w:space="440"/>
            <w:col w:w="4680"/>
          </w:cols>
          <w:noEndnote/>
        </w:sectPr>
      </w:pPr>
    </w:p>
    <w:p w:rsidR="00000000" w:rsidRDefault="0057438D">
      <w:pPr>
        <w:pStyle w:val="DefaultParagraphFont"/>
        <w:widowControl w:val="0"/>
        <w:autoSpaceDE w:val="0"/>
        <w:autoSpaceDN w:val="0"/>
        <w:adjustRightInd w:val="0"/>
        <w:spacing w:after="0" w:line="39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5620" w:bottom="346" w:left="860" w:header="720" w:footer="720" w:gutter="0"/>
          <w:cols w:space="440" w:equalWidth="0">
            <w:col w:w="5040" w:space="44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65</w:t>
      </w: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and 2012, respectively.</w:t>
      </w:r>
    </w:p>
    <w:p w:rsidR="00000000" w:rsidRDefault="0057438D">
      <w:pPr>
        <w:pStyle w:val="DefaultParagraphFont"/>
        <w:widowControl w:val="0"/>
        <w:autoSpaceDE w:val="0"/>
        <w:autoSpaceDN w:val="0"/>
        <w:adjustRightInd w:val="0"/>
        <w:spacing w:after="0" w:line="22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220"/>
        <w:gridCol w:w="820"/>
        <w:gridCol w:w="840"/>
        <w:gridCol w:w="80"/>
        <w:gridCol w:w="880"/>
        <w:gridCol w:w="840"/>
        <w:gridCol w:w="20"/>
      </w:tblGrid>
      <w:tr w:rsidR="00000000">
        <w:tblPrEx>
          <w:tblCellMar>
            <w:top w:w="0" w:type="dxa"/>
            <w:left w:w="0" w:type="dxa"/>
            <w:bottom w:w="0" w:type="dxa"/>
            <w:right w:w="0" w:type="dxa"/>
          </w:tblCellMar>
        </w:tblPrEx>
        <w:trPr>
          <w:trHeight w:val="203"/>
        </w:trPr>
        <w:tc>
          <w:tcPr>
            <w:tcW w:w="1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74"/>
              <w:jc w:val="right"/>
              <w:rPr>
                <w:rFonts w:ascii="Times New Roman" w:hAnsi="Times New Roman" w:cs="Times New Roman"/>
                <w:sz w:val="24"/>
                <w:szCs w:val="24"/>
              </w:rPr>
            </w:pPr>
            <w:r>
              <w:rPr>
                <w:rFonts w:ascii="Times New Roman" w:hAnsi="Times New Roman" w:cs="Times New Roman"/>
                <w:b/>
                <w:bCs/>
                <w:sz w:val="15"/>
                <w:szCs w:val="15"/>
              </w:rPr>
              <w:t>RSUs</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14"/>
              <w:jc w:val="right"/>
              <w:rPr>
                <w:rFonts w:ascii="Times New Roman" w:hAnsi="Times New Roman" w:cs="Times New Roman"/>
                <w:sz w:val="24"/>
                <w:szCs w:val="24"/>
              </w:rPr>
            </w:pPr>
            <w:r>
              <w:rPr>
                <w:rFonts w:ascii="Times New Roman" w:hAnsi="Times New Roman" w:cs="Times New Roman"/>
                <w:b/>
                <w:bCs/>
                <w:sz w:val="15"/>
                <w:szCs w:val="15"/>
              </w:rPr>
              <w:t>PSUs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1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8"/>
        </w:trPr>
        <w:tc>
          <w:tcPr>
            <w:tcW w:w="1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8" w:lineRule="exact"/>
              <w:jc w:val="center"/>
              <w:rPr>
                <w:rFonts w:ascii="Times New Roman" w:hAnsi="Times New Roman" w:cs="Times New Roman"/>
                <w:sz w:val="24"/>
                <w:szCs w:val="24"/>
              </w:rPr>
            </w:pPr>
            <w:r>
              <w:rPr>
                <w:rFonts w:ascii="Times New Roman" w:hAnsi="Times New Roman" w:cs="Times New Roman"/>
                <w:b/>
                <w:bCs/>
                <w:sz w:val="15"/>
                <w:szCs w:val="15"/>
              </w:rPr>
              <w:t>Weighted</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48" w:lineRule="exact"/>
              <w:jc w:val="center"/>
              <w:rPr>
                <w:rFonts w:ascii="Times New Roman" w:hAnsi="Times New Roman" w:cs="Times New Roman"/>
                <w:sz w:val="24"/>
                <w:szCs w:val="24"/>
              </w:rPr>
            </w:pPr>
            <w:r>
              <w:rPr>
                <w:rFonts w:ascii="Times New Roman" w:hAnsi="Times New Roman" w:cs="Times New Roman"/>
                <w:b/>
                <w:bCs/>
                <w:sz w:val="15"/>
                <w:szCs w:val="15"/>
              </w:rPr>
              <w:t>Weighted-</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2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rPr>
              <w:t>Other Stock-</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-Average</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Average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2"/>
        </w:trPr>
        <w:tc>
          <w:tcPr>
            <w:tcW w:w="12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1" w:lineRule="exact"/>
              <w:jc w:val="center"/>
              <w:rPr>
                <w:rFonts w:ascii="Times New Roman" w:hAnsi="Times New Roman" w:cs="Times New Roman"/>
                <w:sz w:val="24"/>
                <w:szCs w:val="24"/>
              </w:rPr>
            </w:pPr>
            <w:r>
              <w:rPr>
                <w:rFonts w:ascii="Times New Roman" w:hAnsi="Times New Roman" w:cs="Times New Roman"/>
                <w:b/>
                <w:bCs/>
                <w:w w:val="99"/>
                <w:sz w:val="15"/>
                <w:szCs w:val="15"/>
              </w:rPr>
              <w:t>Grant-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1" w:lineRule="exact"/>
              <w:jc w:val="center"/>
              <w:rPr>
                <w:rFonts w:ascii="Times New Roman" w:hAnsi="Times New Roman" w:cs="Times New Roman"/>
                <w:sz w:val="24"/>
                <w:szCs w:val="24"/>
              </w:rPr>
            </w:pPr>
            <w:r>
              <w:rPr>
                <w:rFonts w:ascii="Times New Roman" w:hAnsi="Times New Roman" w:cs="Times New Roman"/>
                <w:b/>
                <w:bCs/>
                <w:w w:val="99"/>
                <w:sz w:val="15"/>
                <w:szCs w:val="15"/>
              </w:rPr>
              <w:t>Grant-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left="60"/>
              <w:rPr>
                <w:rFonts w:ascii="Times New Roman" w:hAnsi="Times New Roman" w:cs="Times New Roman"/>
                <w:sz w:val="24"/>
                <w:szCs w:val="24"/>
              </w:rPr>
            </w:pPr>
            <w:r>
              <w:rPr>
                <w:rFonts w:ascii="Times New Roman" w:hAnsi="Times New Roman" w:cs="Times New Roman"/>
                <w:b/>
                <w:bCs/>
                <w:sz w:val="15"/>
                <w:szCs w:val="15"/>
              </w:rPr>
              <w:t>Based Awards in</w:t>
            </w:r>
          </w:p>
        </w:tc>
        <w:tc>
          <w:tcPr>
            <w:tcW w:w="8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50"/>
              <w:jc w:val="right"/>
              <w:rPr>
                <w:rFonts w:ascii="Times New Roman" w:hAnsi="Times New Roman" w:cs="Times New Roman"/>
                <w:sz w:val="24"/>
                <w:szCs w:val="24"/>
              </w:rPr>
            </w:pPr>
            <w:r>
              <w:rPr>
                <w:rFonts w:ascii="Times New Roman" w:hAnsi="Times New Roman" w:cs="Times New Roman"/>
                <w:b/>
                <w:bCs/>
                <w:sz w:val="15"/>
                <w:szCs w:val="15"/>
              </w:rPr>
              <w:t>Units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Date Fair</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4"/>
              <w:jc w:val="right"/>
              <w:rPr>
                <w:rFonts w:ascii="Times New Roman" w:hAnsi="Times New Roman" w:cs="Times New Roman"/>
                <w:sz w:val="24"/>
                <w:szCs w:val="24"/>
              </w:rPr>
            </w:pPr>
            <w:r>
              <w:rPr>
                <w:rFonts w:ascii="Times New Roman" w:hAnsi="Times New Roman" w:cs="Times New Roman"/>
                <w:b/>
                <w:bCs/>
                <w:sz w:val="15"/>
                <w:szCs w:val="15"/>
              </w:rPr>
              <w:t>Units</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Date Fair</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rPr>
              <w:t>thousands</w:t>
            </w:r>
          </w:p>
        </w:tc>
        <w:tc>
          <w:tcPr>
            <w:tcW w:w="8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4"/>
              <w:jc w:val="center"/>
              <w:rPr>
                <w:rFonts w:ascii="Times New Roman" w:hAnsi="Times New Roman" w:cs="Times New Roman"/>
                <w:sz w:val="24"/>
                <w:szCs w:val="24"/>
              </w:rPr>
            </w:pPr>
            <w:r>
              <w:rPr>
                <w:rFonts w:ascii="Times New Roman" w:hAnsi="Times New Roman" w:cs="Times New Roman"/>
                <w:b/>
                <w:bCs/>
                <w:sz w:val="15"/>
                <w:szCs w:val="15"/>
              </w:rPr>
              <w:t>Value</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Value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8"/>
        </w:trPr>
        <w:tc>
          <w:tcPr>
            <w:tcW w:w="1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8" w:lineRule="exact"/>
              <w:ind w:left="60"/>
              <w:rPr>
                <w:rFonts w:ascii="Times New Roman" w:hAnsi="Times New Roman" w:cs="Times New Roman"/>
                <w:sz w:val="24"/>
                <w:szCs w:val="24"/>
              </w:rPr>
            </w:pPr>
            <w:r>
              <w:rPr>
                <w:rFonts w:ascii="Times New Roman" w:hAnsi="Times New Roman" w:cs="Times New Roman"/>
                <w:sz w:val="19"/>
                <w:szCs w:val="19"/>
              </w:rPr>
              <w:t>Non-vested at</w:t>
            </w:r>
          </w:p>
        </w:tc>
        <w:tc>
          <w:tcPr>
            <w:tcW w:w="8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4,590</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$ 56.88</w:t>
            </w:r>
          </w:p>
        </w:tc>
        <w:tc>
          <w:tcPr>
            <w:tcW w:w="96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4"/>
              <w:jc w:val="right"/>
              <w:rPr>
                <w:rFonts w:ascii="Times New Roman" w:hAnsi="Times New Roman" w:cs="Times New Roman"/>
                <w:sz w:val="24"/>
                <w:szCs w:val="24"/>
              </w:rPr>
            </w:pPr>
            <w:r>
              <w:rPr>
                <w:rFonts w:ascii="Times New Roman" w:hAnsi="Times New Roman" w:cs="Times New Roman"/>
                <w:b/>
                <w:bCs/>
                <w:sz w:val="19"/>
                <w:szCs w:val="19"/>
              </w:rPr>
              <w:t>1,887</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61.75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1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July 1, 2013</w:t>
            </w:r>
          </w:p>
        </w:tc>
        <w:tc>
          <w:tcPr>
            <w:tcW w:w="8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6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42"/>
        </w:trPr>
        <w:tc>
          <w:tcPr>
            <w:tcW w:w="1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Granted</w:t>
            </w:r>
          </w:p>
        </w:tc>
        <w:tc>
          <w:tcPr>
            <w:tcW w:w="8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1,955</w:t>
            </w:r>
          </w:p>
        </w:tc>
        <w:tc>
          <w:tcPr>
            <w:tcW w:w="8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65.74</w:t>
            </w:r>
          </w:p>
        </w:tc>
        <w:tc>
          <w:tcPr>
            <w:tcW w:w="96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4"/>
              <w:jc w:val="right"/>
              <w:rPr>
                <w:rFonts w:ascii="Times New Roman" w:hAnsi="Times New Roman" w:cs="Times New Roman"/>
                <w:sz w:val="24"/>
                <w:szCs w:val="24"/>
              </w:rPr>
            </w:pPr>
            <w:r>
              <w:rPr>
                <w:rFonts w:ascii="Times New Roman" w:hAnsi="Times New Roman" w:cs="Times New Roman"/>
                <w:b/>
                <w:bCs/>
                <w:sz w:val="19"/>
                <w:szCs w:val="19"/>
              </w:rPr>
              <w:t>623</w:t>
            </w:r>
          </w:p>
        </w:tc>
        <w:tc>
          <w:tcPr>
            <w:tcW w:w="8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71.68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5"/>
        </w:trPr>
        <w:tc>
          <w:tcPr>
            <w:tcW w:w="1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2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4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96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4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Vested</w:t>
            </w: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(1,484)</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51.85</w:t>
            </w: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(609)</w:t>
            </w: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57.04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1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Forfeited</w:t>
            </w: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(159)</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62.82</w:t>
            </w:r>
          </w:p>
        </w:tc>
        <w:tc>
          <w:tcPr>
            <w:tcW w:w="9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(18)</w:t>
            </w:r>
          </w:p>
        </w:tc>
        <w:tc>
          <w:tcPr>
            <w:tcW w:w="8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64.22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7"/>
        </w:trPr>
        <w:tc>
          <w:tcPr>
            <w:tcW w:w="12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147" w:lineRule="exact"/>
              <w:ind w:left="60"/>
              <w:rPr>
                <w:rFonts w:ascii="Times New Roman" w:hAnsi="Times New Roman" w:cs="Times New Roman"/>
                <w:sz w:val="24"/>
                <w:szCs w:val="24"/>
              </w:rPr>
            </w:pPr>
            <w:r>
              <w:rPr>
                <w:rFonts w:ascii="Times New Roman" w:hAnsi="Times New Roman" w:cs="Times New Roman"/>
                <w:b/>
                <w:bCs/>
                <w:sz w:val="17"/>
                <w:szCs w:val="17"/>
              </w:rPr>
              <w:t>Non-vested</w:t>
            </w:r>
          </w:p>
        </w:tc>
        <w:tc>
          <w:tcPr>
            <w:tcW w:w="8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1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b/>
                <w:bCs/>
                <w:sz w:val="19"/>
                <w:szCs w:val="19"/>
              </w:rPr>
              <w:t>at June 30,</w:t>
            </w:r>
          </w:p>
        </w:tc>
        <w:tc>
          <w:tcPr>
            <w:tcW w:w="8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4,902</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61.74</w:t>
            </w:r>
          </w:p>
        </w:tc>
        <w:tc>
          <w:tcPr>
            <w:tcW w:w="96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4"/>
              <w:jc w:val="right"/>
              <w:rPr>
                <w:rFonts w:ascii="Times New Roman" w:hAnsi="Times New Roman" w:cs="Times New Roman"/>
                <w:sz w:val="24"/>
                <w:szCs w:val="24"/>
              </w:rPr>
            </w:pPr>
            <w:r>
              <w:rPr>
                <w:rFonts w:ascii="Times New Roman" w:hAnsi="Times New Roman" w:cs="Times New Roman"/>
                <w:b/>
                <w:bCs/>
                <w:sz w:val="19"/>
                <w:szCs w:val="19"/>
              </w:rPr>
              <w:t>1,883</w:t>
            </w:r>
          </w:p>
        </w:tc>
        <w:tc>
          <w:tcPr>
            <w:tcW w:w="8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66.53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1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14" w:lineRule="exact"/>
              <w:ind w:left="60"/>
              <w:rPr>
                <w:rFonts w:ascii="Times New Roman" w:hAnsi="Times New Roman" w:cs="Times New Roman"/>
                <w:sz w:val="24"/>
                <w:szCs w:val="24"/>
              </w:rPr>
            </w:pPr>
            <w:r>
              <w:rPr>
                <w:rFonts w:ascii="Times New Roman" w:hAnsi="Times New Roman" w:cs="Times New Roman"/>
                <w:b/>
                <w:bCs/>
                <w:sz w:val="19"/>
                <w:szCs w:val="19"/>
              </w:rPr>
              <w:t>2014</w:t>
            </w:r>
          </w:p>
        </w:tc>
        <w:tc>
          <w:tcPr>
            <w:tcW w:w="8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6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8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1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1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5120"/>
        <w:rPr>
          <w:rFonts w:ascii="Times New Roman" w:hAnsi="Times New Roman" w:cs="Times New Roman"/>
          <w:sz w:val="24"/>
          <w:szCs w:val="24"/>
        </w:rPr>
      </w:pPr>
      <w:r>
        <w:rPr>
          <w:rFonts w:ascii="Times New Roman" w:hAnsi="Times New Roman" w:cs="Times New Roman"/>
          <w:sz w:val="19"/>
          <w:szCs w:val="19"/>
        </w:rPr>
        <w:t>At June 30, 2014, there was $2</w:t>
      </w:r>
      <w:r>
        <w:rPr>
          <w:rFonts w:ascii="Times New Roman" w:hAnsi="Times New Roman" w:cs="Times New Roman"/>
          <w:sz w:val="19"/>
          <w:szCs w:val="19"/>
        </w:rPr>
        <w:t>23 of compensation cost that has not yet been recognized related to restricted stock, RSUs and PSUs. That cost is expected to be recognized over a remaining weighted average period of 3.0 years. The total fair value of shares vested was $95, $51 and $38 in</w:t>
      </w:r>
      <w:r>
        <w:rPr>
          <w:rFonts w:ascii="Times New Roman" w:hAnsi="Times New Roman" w:cs="Times New Roman"/>
          <w:sz w:val="19"/>
          <w:szCs w:val="19"/>
        </w:rPr>
        <w:t xml:space="preserve"> 2014, 2013 and 2012, respectively.</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right="5200"/>
        <w:rPr>
          <w:rFonts w:ascii="Times New Roman" w:hAnsi="Times New Roman" w:cs="Times New Roman"/>
          <w:sz w:val="24"/>
          <w:szCs w:val="24"/>
        </w:rPr>
      </w:pPr>
      <w:r>
        <w:rPr>
          <w:rFonts w:ascii="Times New Roman" w:hAnsi="Times New Roman" w:cs="Times New Roman"/>
          <w:sz w:val="19"/>
          <w:szCs w:val="19"/>
        </w:rPr>
        <w:t>We have no specific policy to repurchase common shares to mitigate the dilutive impact of options, RSUs and PSUs. However, we have historically made adequate discretionary purchases, based on cash availability, market t</w:t>
      </w:r>
      <w:r>
        <w:rPr>
          <w:rFonts w:ascii="Times New Roman" w:hAnsi="Times New Roman" w:cs="Times New Roman"/>
          <w:sz w:val="19"/>
          <w:szCs w:val="19"/>
        </w:rPr>
        <w:t>rends and other factors, to offset the impacts of such activity.</w:t>
      </w:r>
    </w:p>
    <w:p w:rsidR="00000000" w:rsidRDefault="0057438D">
      <w:pPr>
        <w:pStyle w:val="DefaultParagraphFont"/>
        <w:widowControl w:val="0"/>
        <w:autoSpaceDE w:val="0"/>
        <w:autoSpaceDN w:val="0"/>
        <w:adjustRightInd w:val="0"/>
        <w:spacing w:after="0" w:line="7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NOTE 9</w:t>
      </w:r>
    </w:p>
    <w:p w:rsidR="00000000" w:rsidRDefault="0057438D">
      <w:pPr>
        <w:pStyle w:val="DefaultParagraphFont"/>
        <w:widowControl w:val="0"/>
        <w:autoSpaceDE w:val="0"/>
        <w:autoSpaceDN w:val="0"/>
        <w:adjustRightInd w:val="0"/>
        <w:spacing w:after="0" w:line="12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0" w:lineRule="auto"/>
        <w:ind w:right="5380"/>
        <w:rPr>
          <w:rFonts w:ascii="Times New Roman" w:hAnsi="Times New Roman" w:cs="Times New Roman"/>
          <w:sz w:val="24"/>
          <w:szCs w:val="24"/>
        </w:rPr>
      </w:pPr>
      <w:r>
        <w:rPr>
          <w:rFonts w:ascii="Times New Roman" w:hAnsi="Times New Roman" w:cs="Times New Roman"/>
          <w:b/>
          <w:bCs/>
          <w:sz w:val="19"/>
          <w:szCs w:val="19"/>
        </w:rPr>
        <w:t>POSTRETIREMENT BENEFITS AND EMPLOYEE STOCK OWNERSHIP PLAN</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We offer various postretirement benefits to our employees.</w:t>
      </w:r>
    </w:p>
    <w:p w:rsidR="00000000" w:rsidRDefault="0057438D">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Defined Contribution Retirement Plans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5100"/>
        <w:rPr>
          <w:rFonts w:ascii="Times New Roman" w:hAnsi="Times New Roman" w:cs="Times New Roman"/>
          <w:sz w:val="24"/>
          <w:szCs w:val="24"/>
        </w:rPr>
      </w:pPr>
      <w:r>
        <w:rPr>
          <w:rFonts w:ascii="Times New Roman" w:hAnsi="Times New Roman" w:cs="Times New Roman"/>
          <w:sz w:val="19"/>
          <w:szCs w:val="19"/>
        </w:rPr>
        <w:t>We have defined contribution plans which cover the majority of our U.S. employees, as well as employees in certain other countries. These plans are fully funded. We generally make contributions to participants' accounts based on individual base salaries an</w:t>
      </w:r>
      <w:r>
        <w:rPr>
          <w:rFonts w:ascii="Times New Roman" w:hAnsi="Times New Roman" w:cs="Times New Roman"/>
          <w:sz w:val="19"/>
          <w:szCs w:val="19"/>
        </w:rPr>
        <w:t>d years of service. Total global defined contribution expense was $311, $314 and $353 in 2014, 2013 and 2012, respectively.</w:t>
      </w:r>
    </w:p>
    <w:p w:rsidR="00000000" w:rsidRDefault="0057438D">
      <w:pPr>
        <w:pStyle w:val="DefaultParagraphFont"/>
        <w:widowControl w:val="0"/>
        <w:autoSpaceDE w:val="0"/>
        <w:autoSpaceDN w:val="0"/>
        <w:adjustRightInd w:val="0"/>
        <w:spacing w:after="0" w:line="13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5380"/>
        <w:rPr>
          <w:rFonts w:ascii="Times New Roman" w:hAnsi="Times New Roman" w:cs="Times New Roman"/>
          <w:sz w:val="24"/>
          <w:szCs w:val="24"/>
        </w:rPr>
      </w:pPr>
      <w:r>
        <w:rPr>
          <w:rFonts w:ascii="Times New Roman" w:hAnsi="Times New Roman" w:cs="Times New Roman"/>
          <w:sz w:val="19"/>
          <w:szCs w:val="19"/>
        </w:rPr>
        <w:t>The primary U.S. defined contribution plan (the U.S. DC plan) comprises the majority of the expense for the Company's defined contr</w:t>
      </w:r>
      <w:r>
        <w:rPr>
          <w:rFonts w:ascii="Times New Roman" w:hAnsi="Times New Roman" w:cs="Times New Roman"/>
          <w:sz w:val="19"/>
          <w:szCs w:val="19"/>
        </w:rPr>
        <w:t>ibution plans. For the U.S. DC plan, the contribution rate is set annually. Total contributions for this plan approximated 15% of total participants' annual wages and salaries in 2014, 2013 and 2012.</w:t>
      </w:r>
    </w:p>
    <w:p w:rsidR="00000000" w:rsidRDefault="0057438D">
      <w:pPr>
        <w:pStyle w:val="DefaultParagraphFont"/>
        <w:widowControl w:val="0"/>
        <w:autoSpaceDE w:val="0"/>
        <w:autoSpaceDN w:val="0"/>
        <w:adjustRightInd w:val="0"/>
        <w:spacing w:after="0" w:line="8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5100"/>
        <w:rPr>
          <w:rFonts w:ascii="Times New Roman" w:hAnsi="Times New Roman" w:cs="Times New Roman"/>
          <w:sz w:val="24"/>
          <w:szCs w:val="24"/>
        </w:rPr>
      </w:pPr>
      <w:r>
        <w:rPr>
          <w:rFonts w:ascii="Times New Roman" w:hAnsi="Times New Roman" w:cs="Times New Roman"/>
          <w:sz w:val="19"/>
          <w:szCs w:val="19"/>
        </w:rPr>
        <w:t xml:space="preserve">We maintain The Procter &amp; Gamble Profit Sharing Trust (Trust) and Employee Stock Ownership Plan (ESOP) to provide a portion of the funding for the U.S. DC plan and other retiree benefits (described below). Operating details of the ESOP are provided at the </w:t>
      </w:r>
      <w:r>
        <w:rPr>
          <w:rFonts w:ascii="Times New Roman" w:hAnsi="Times New Roman" w:cs="Times New Roman"/>
          <w:sz w:val="19"/>
          <w:szCs w:val="19"/>
        </w:rPr>
        <w:t>end of this Note. The fair value of the ESOP Series A shares allocated to participants reduces our cash contribution required to fund the U.S. DC plan.</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346" w:left="860" w:header="720" w:footer="720" w:gutter="0"/>
          <w:cols w:space="720" w:equalWidth="0">
            <w:col w:w="9760"/>
          </w:cols>
          <w:noEndnote/>
        </w:sectPr>
      </w:pPr>
    </w:p>
    <w:p w:rsidR="00000000" w:rsidRDefault="0057438D">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w:t>
      </w:r>
      <w:r>
        <w:rPr>
          <w:rFonts w:ascii="Times New Roman" w:hAnsi="Times New Roman" w:cs="Times New Roman"/>
          <w:sz w:val="15"/>
          <w:szCs w:val="15"/>
        </w:rPr>
        <w:t>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5580" w:header="720" w:footer="720" w:gutter="0"/>
          <w:cols w:space="720" w:equalWidth="0">
            <w:col w:w="5060"/>
          </w:cols>
          <w:noEndnote/>
        </w:sectPr>
      </w:pPr>
    </w:p>
    <w:p w:rsidR="00000000" w:rsidRDefault="0057438D">
      <w:pPr>
        <w:pStyle w:val="DefaultParagraphFont"/>
        <w:widowControl w:val="0"/>
        <w:tabs>
          <w:tab w:val="left" w:pos="360"/>
        </w:tabs>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7"/>
          <w:szCs w:val="17"/>
        </w:rPr>
        <w:t>66</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Defined Benefit Retirement Plans and Other Retiree Benefits</w:t>
      </w:r>
    </w:p>
    <w:p w:rsidR="00000000" w:rsidRDefault="0057438D">
      <w:pPr>
        <w:pStyle w:val="DefaultParagraphFont"/>
        <w:widowControl w:val="0"/>
        <w:autoSpaceDE w:val="0"/>
        <w:autoSpaceDN w:val="0"/>
        <w:adjustRightInd w:val="0"/>
        <w:spacing w:after="0" w:line="10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240"/>
        <w:rPr>
          <w:rFonts w:ascii="Times New Roman" w:hAnsi="Times New Roman" w:cs="Times New Roman"/>
          <w:sz w:val="24"/>
          <w:szCs w:val="24"/>
        </w:rPr>
      </w:pPr>
      <w:r>
        <w:rPr>
          <w:rFonts w:ascii="Times New Roman" w:hAnsi="Times New Roman" w:cs="Times New Roman"/>
          <w:sz w:val="19"/>
          <w:szCs w:val="19"/>
        </w:rPr>
        <w:t xml:space="preserve">We offer defined benefit retirement pension plans to certain employees. These benefits relate primarily to local plans outside the </w:t>
      </w:r>
      <w:r>
        <w:rPr>
          <w:rFonts w:ascii="Times New Roman" w:hAnsi="Times New Roman" w:cs="Times New Roman"/>
          <w:sz w:val="19"/>
          <w:szCs w:val="19"/>
        </w:rPr>
        <w:t>U.S. and, to a lesser extent, plans assumed in previous acquisitions covering U.S. employees.</w:t>
      </w:r>
    </w:p>
    <w:p w:rsidR="00000000" w:rsidRDefault="0057438D">
      <w:pPr>
        <w:pStyle w:val="DefaultParagraphFont"/>
        <w:widowControl w:val="0"/>
        <w:autoSpaceDE w:val="0"/>
        <w:autoSpaceDN w:val="0"/>
        <w:adjustRightInd w:val="0"/>
        <w:spacing w:after="0" w:line="10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left="20"/>
        <w:rPr>
          <w:rFonts w:ascii="Times New Roman" w:hAnsi="Times New Roman" w:cs="Times New Roman"/>
          <w:sz w:val="24"/>
          <w:szCs w:val="24"/>
        </w:rPr>
      </w:pPr>
      <w:r>
        <w:rPr>
          <w:rFonts w:ascii="Times New Roman" w:hAnsi="Times New Roman" w:cs="Times New Roman"/>
          <w:sz w:val="19"/>
          <w:szCs w:val="19"/>
        </w:rPr>
        <w:t>We also provide certain other retiree benefits, primarily health care and life insurance, for the majority of our U.S. employees who become eligible for these benefits when they meet minimum age and service requirements. Generally, the health care plans re</w:t>
      </w:r>
      <w:r>
        <w:rPr>
          <w:rFonts w:ascii="Times New Roman" w:hAnsi="Times New Roman" w:cs="Times New Roman"/>
          <w:sz w:val="19"/>
          <w:szCs w:val="19"/>
        </w:rPr>
        <w:t>quire cost sharing with retirees and pay a stated percentage of expenses, reduced by deductibles and other coverages. These benefits are primarily funded by ESOP Series B shares and certain other assets contributed by the Company.</w:t>
      </w:r>
    </w:p>
    <w:p w:rsidR="00000000" w:rsidRDefault="0057438D">
      <w:pPr>
        <w:pStyle w:val="DefaultParagraphFont"/>
        <w:widowControl w:val="0"/>
        <w:autoSpaceDE w:val="0"/>
        <w:autoSpaceDN w:val="0"/>
        <w:adjustRightInd w:val="0"/>
        <w:spacing w:after="0" w:line="12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1" w:lineRule="auto"/>
        <w:ind w:left="20" w:right="80"/>
        <w:rPr>
          <w:rFonts w:ascii="Times New Roman" w:hAnsi="Times New Roman" w:cs="Times New Roman"/>
          <w:sz w:val="24"/>
          <w:szCs w:val="24"/>
        </w:rPr>
      </w:pPr>
      <w:r>
        <w:rPr>
          <w:rFonts w:ascii="Times New Roman" w:hAnsi="Times New Roman" w:cs="Times New Roman"/>
          <w:b/>
          <w:bCs/>
          <w:i/>
          <w:iCs/>
          <w:sz w:val="19"/>
          <w:szCs w:val="19"/>
        </w:rPr>
        <w:t>Obligation and Funded St</w:t>
      </w:r>
      <w:r>
        <w:rPr>
          <w:rFonts w:ascii="Times New Roman" w:hAnsi="Times New Roman" w:cs="Times New Roman"/>
          <w:b/>
          <w:bCs/>
          <w:i/>
          <w:iCs/>
          <w:sz w:val="19"/>
          <w:szCs w:val="19"/>
        </w:rPr>
        <w:t xml:space="preserve">atus. </w:t>
      </w:r>
      <w:r>
        <w:rPr>
          <w:rFonts w:ascii="Times New Roman" w:hAnsi="Times New Roman" w:cs="Times New Roman"/>
          <w:sz w:val="19"/>
          <w:szCs w:val="19"/>
        </w:rPr>
        <w:t>The following provides a reconciliation of benefit obligations, plan assets and funded status of</w:t>
      </w:r>
      <w:r>
        <w:rPr>
          <w:rFonts w:ascii="Times New Roman" w:hAnsi="Times New Roman" w:cs="Times New Roman"/>
          <w:b/>
          <w:bCs/>
          <w:i/>
          <w:iCs/>
          <w:sz w:val="19"/>
          <w:szCs w:val="19"/>
        </w:rPr>
        <w:t xml:space="preserve"> </w:t>
      </w:r>
      <w:r>
        <w:rPr>
          <w:rFonts w:ascii="Times New Roman" w:hAnsi="Times New Roman" w:cs="Times New Roman"/>
          <w:sz w:val="19"/>
          <w:szCs w:val="19"/>
        </w:rPr>
        <w:t>these defined benefit plans:</w:t>
      </w:r>
    </w:p>
    <w:p w:rsidR="00000000" w:rsidRDefault="0057438D">
      <w:pPr>
        <w:pStyle w:val="DefaultParagraphFont"/>
        <w:widowControl w:val="0"/>
        <w:autoSpaceDE w:val="0"/>
        <w:autoSpaceDN w:val="0"/>
        <w:adjustRightInd w:val="0"/>
        <w:spacing w:after="0" w:line="8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960"/>
        <w:gridCol w:w="880"/>
        <w:gridCol w:w="80"/>
        <w:gridCol w:w="880"/>
        <w:gridCol w:w="140"/>
        <w:gridCol w:w="880"/>
        <w:gridCol w:w="80"/>
        <w:gridCol w:w="220"/>
        <w:gridCol w:w="660"/>
      </w:tblGrid>
      <w:tr w:rsidR="00000000">
        <w:tblPrEx>
          <w:tblCellMar>
            <w:top w:w="0" w:type="dxa"/>
            <w:left w:w="0" w:type="dxa"/>
            <w:bottom w:w="0" w:type="dxa"/>
            <w:right w:w="0" w:type="dxa"/>
          </w:tblCellMar>
        </w:tblPrEx>
        <w:trPr>
          <w:trHeight w:val="285"/>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40" w:type="dxa"/>
            <w:gridSpan w:val="3"/>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b/>
                <w:bCs/>
                <w:sz w:val="15"/>
                <w:szCs w:val="15"/>
              </w:rPr>
              <w:t>Pension Benefits</w:t>
            </w:r>
            <w:r>
              <w:rPr>
                <w:rFonts w:ascii="Times New Roman" w:hAnsi="Times New Roman" w:cs="Times New Roman"/>
                <w:b/>
                <w:bCs/>
                <w:sz w:val="24"/>
                <w:szCs w:val="24"/>
                <w:vertAlign w:val="superscript"/>
              </w:rPr>
              <w:t>(1)</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40" w:type="dxa"/>
            <w:gridSpan w:val="4"/>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b/>
                <w:bCs/>
                <w:sz w:val="15"/>
                <w:szCs w:val="15"/>
              </w:rPr>
              <w:t>Other Retiree Benefits</w:t>
            </w:r>
            <w:r>
              <w:rPr>
                <w:rFonts w:ascii="Times New Roman" w:hAnsi="Times New Roman" w:cs="Times New Roman"/>
                <w:b/>
                <w:bCs/>
                <w:sz w:val="24"/>
                <w:szCs w:val="24"/>
                <w:vertAlign w:val="superscript"/>
              </w:rPr>
              <w:t>(2)</w:t>
            </w:r>
          </w:p>
        </w:tc>
      </w:tr>
      <w:tr w:rsidR="00000000">
        <w:tblPrEx>
          <w:tblCellMar>
            <w:top w:w="0" w:type="dxa"/>
            <w:left w:w="0" w:type="dxa"/>
            <w:bottom w:w="0" w:type="dxa"/>
            <w:right w:w="0" w:type="dxa"/>
          </w:tblCellMar>
        </w:tblPrEx>
        <w:trPr>
          <w:trHeight w:val="241"/>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6"/>
              <w:jc w:val="right"/>
              <w:rPr>
                <w:rFonts w:ascii="Times New Roman" w:hAnsi="Times New Roman" w:cs="Times New Roman"/>
                <w:sz w:val="24"/>
                <w:szCs w:val="24"/>
              </w:rPr>
            </w:pPr>
            <w:r>
              <w:rPr>
                <w:rFonts w:ascii="Times New Roman" w:hAnsi="Times New Roman" w:cs="Times New Roman"/>
                <w:b/>
                <w:bCs/>
                <w:sz w:val="15"/>
                <w:szCs w:val="15"/>
              </w:rPr>
              <w:t>2014</w:t>
            </w: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b/>
                <w:bCs/>
                <w:sz w:val="15"/>
                <w:szCs w:val="15"/>
              </w:rPr>
              <w:t>2013</w:t>
            </w:r>
          </w:p>
        </w:tc>
        <w:tc>
          <w:tcPr>
            <w:tcW w:w="10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7"/>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b/>
                <w:bCs/>
                <w:sz w:val="15"/>
                <w:szCs w:val="15"/>
              </w:rPr>
              <w:t>2013</w:t>
            </w:r>
          </w:p>
        </w:tc>
      </w:tr>
      <w:tr w:rsidR="00000000">
        <w:tblPrEx>
          <w:tblCellMar>
            <w:top w:w="0" w:type="dxa"/>
            <w:left w:w="0" w:type="dxa"/>
            <w:bottom w:w="0" w:type="dxa"/>
            <w:right w:w="0" w:type="dxa"/>
          </w:tblCellMar>
        </w:tblPrEx>
        <w:trPr>
          <w:trHeight w:val="25"/>
        </w:trPr>
        <w:tc>
          <w:tcPr>
            <w:tcW w:w="59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5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CHANGE IN BENEFIT OBLIGATION</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86"/>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Benefit obligation at beginning of year</w:t>
            </w:r>
            <w:r>
              <w:rPr>
                <w:rFonts w:ascii="Times New Roman" w:hAnsi="Times New Roman" w:cs="Times New Roman"/>
                <w:sz w:val="24"/>
                <w:szCs w:val="24"/>
                <w:vertAlign w:val="superscript"/>
              </w:rPr>
              <w:t>(3)</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14,514</w:t>
            </w: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13,573</w:t>
            </w:r>
          </w:p>
        </w:tc>
        <w:tc>
          <w:tcPr>
            <w:tcW w:w="10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5,289</w:t>
            </w:r>
          </w:p>
        </w:tc>
        <w:tc>
          <w:tcPr>
            <w:tcW w:w="3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New Roman" w:hAnsi="Times New Roman" w:cs="Times New Roman"/>
                <w:sz w:val="19"/>
                <w:szCs w:val="19"/>
              </w:rPr>
              <w:t>$</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6,006</w:t>
            </w:r>
          </w:p>
        </w:tc>
      </w:tr>
      <w:tr w:rsidR="00000000">
        <w:tblPrEx>
          <w:tblCellMar>
            <w:top w:w="0" w:type="dxa"/>
            <w:left w:w="0" w:type="dxa"/>
            <w:bottom w:w="0" w:type="dxa"/>
            <w:right w:w="0" w:type="dxa"/>
          </w:tblCellMar>
        </w:tblPrEx>
        <w:trPr>
          <w:trHeight w:val="266"/>
        </w:trPr>
        <w:tc>
          <w:tcPr>
            <w:tcW w:w="5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Service cost</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298</w:t>
            </w:r>
          </w:p>
        </w:tc>
        <w:tc>
          <w:tcPr>
            <w:tcW w:w="9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300</w:t>
            </w:r>
          </w:p>
        </w:tc>
        <w:tc>
          <w:tcPr>
            <w:tcW w:w="10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190</w:t>
            </w:r>
          </w:p>
        </w:tc>
      </w:tr>
      <w:tr w:rsidR="00000000">
        <w:tblPrEx>
          <w:tblCellMar>
            <w:top w:w="0" w:type="dxa"/>
            <w:left w:w="0" w:type="dxa"/>
            <w:bottom w:w="0" w:type="dxa"/>
            <w:right w:w="0" w:type="dxa"/>
          </w:tblCellMar>
        </w:tblPrEx>
        <w:trPr>
          <w:trHeight w:val="255"/>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Interest cost</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590</w:t>
            </w: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560</w:t>
            </w:r>
          </w:p>
        </w:tc>
        <w:tc>
          <w:tcPr>
            <w:tcW w:w="10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256</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260</w:t>
            </w:r>
          </w:p>
        </w:tc>
      </w:tr>
      <w:tr w:rsidR="00000000">
        <w:tblPrEx>
          <w:tblCellMar>
            <w:top w:w="0" w:type="dxa"/>
            <w:left w:w="0" w:type="dxa"/>
            <w:bottom w:w="0" w:type="dxa"/>
            <w:right w:w="0" w:type="dxa"/>
          </w:tblCellMar>
        </w:tblPrEx>
        <w:trPr>
          <w:trHeight w:val="31"/>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Participants' contributions</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w:t>
            </w:r>
          </w:p>
        </w:tc>
        <w:tc>
          <w:tcPr>
            <w:tcW w:w="9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w:t>
            </w:r>
          </w:p>
        </w:tc>
        <w:tc>
          <w:tcPr>
            <w:tcW w:w="10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66</w:t>
            </w:r>
          </w:p>
        </w:tc>
      </w:tr>
      <w:tr w:rsidR="00000000">
        <w:tblPrEx>
          <w:tblCellMar>
            <w:top w:w="0" w:type="dxa"/>
            <w:left w:w="0" w:type="dxa"/>
            <w:bottom w:w="0" w:type="dxa"/>
            <w:right w:w="0" w:type="dxa"/>
          </w:tblCellMar>
        </w:tblPrEx>
        <w:trPr>
          <w:trHeight w:val="255"/>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Amendments</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w:t>
            </w: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104</w:t>
            </w:r>
          </w:p>
        </w:tc>
        <w:tc>
          <w:tcPr>
            <w:tcW w:w="10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r>
      <w:tr w:rsidR="00000000">
        <w:tblPrEx>
          <w:tblCellMar>
            <w:top w:w="0" w:type="dxa"/>
            <w:left w:w="0" w:type="dxa"/>
            <w:bottom w:w="0" w:type="dxa"/>
            <w:right w:w="0" w:type="dxa"/>
          </w:tblCellMar>
        </w:tblPrEx>
        <w:trPr>
          <w:trHeight w:val="31"/>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Actuarial loss/(gain)</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1,365</w:t>
            </w:r>
          </w:p>
        </w:tc>
        <w:tc>
          <w:tcPr>
            <w:tcW w:w="9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473</w:t>
            </w:r>
          </w:p>
        </w:tc>
        <w:tc>
          <w:tcPr>
            <w:tcW w:w="10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(1,022)</w:t>
            </w:r>
          </w:p>
        </w:tc>
      </w:tr>
      <w:tr w:rsidR="00000000">
        <w:tblPrEx>
          <w:tblCellMar>
            <w:top w:w="0" w:type="dxa"/>
            <w:left w:w="0" w:type="dxa"/>
            <w:bottom w:w="0" w:type="dxa"/>
            <w:right w:w="0" w:type="dxa"/>
          </w:tblCellMar>
        </w:tblPrEx>
        <w:trPr>
          <w:trHeight w:val="255"/>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Acquisitions</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51</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r>
      <w:tr w:rsidR="00000000">
        <w:tblPrEx>
          <w:tblCellMar>
            <w:top w:w="0" w:type="dxa"/>
            <w:left w:w="0" w:type="dxa"/>
            <w:bottom w:w="0" w:type="dxa"/>
            <w:right w:w="0" w:type="dxa"/>
          </w:tblCellMar>
        </w:tblPrEx>
        <w:trPr>
          <w:trHeight w:val="31"/>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Special termination benefits</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w:t>
            </w:r>
          </w:p>
        </w:tc>
        <w:tc>
          <w:tcPr>
            <w:tcW w:w="9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39</w:t>
            </w:r>
          </w:p>
        </w:tc>
        <w:tc>
          <w:tcPr>
            <w:tcW w:w="10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w:t>
            </w:r>
          </w:p>
        </w:tc>
      </w:tr>
      <w:tr w:rsidR="00000000">
        <w:tblPrEx>
          <w:tblCellMar>
            <w:top w:w="0" w:type="dxa"/>
            <w:left w:w="0" w:type="dxa"/>
            <w:bottom w:w="0" w:type="dxa"/>
            <w:right w:w="0" w:type="dxa"/>
          </w:tblCellMar>
        </w:tblPrEx>
        <w:trPr>
          <w:trHeight w:val="256"/>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Currency translation and other</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797</w:t>
            </w: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w:t>
            </w:r>
          </w:p>
        </w:tc>
        <w:tc>
          <w:tcPr>
            <w:tcW w:w="10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w:t>
            </w:r>
          </w:p>
        </w:tc>
      </w:tr>
      <w:tr w:rsidR="00000000">
        <w:tblPrEx>
          <w:tblCellMar>
            <w:top w:w="0" w:type="dxa"/>
            <w:left w:w="0" w:type="dxa"/>
            <w:bottom w:w="0" w:type="dxa"/>
            <w:right w:w="0" w:type="dxa"/>
          </w:tblCellMar>
        </w:tblPrEx>
        <w:trPr>
          <w:trHeight w:val="31"/>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5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Benefit payments</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(540)</w:t>
            </w:r>
          </w:p>
        </w:tc>
        <w:tc>
          <w:tcPr>
            <w:tcW w:w="9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(602)</w:t>
            </w:r>
          </w:p>
        </w:tc>
        <w:tc>
          <w:tcPr>
            <w:tcW w:w="10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(239)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(234)</w:t>
            </w:r>
          </w:p>
        </w:tc>
      </w:tr>
      <w:tr w:rsidR="00000000">
        <w:tblPrEx>
          <w:tblCellMar>
            <w:top w:w="0" w:type="dxa"/>
            <w:left w:w="0" w:type="dxa"/>
            <w:bottom w:w="0" w:type="dxa"/>
            <w:right w:w="0" w:type="dxa"/>
          </w:tblCellMar>
        </w:tblPrEx>
        <w:trPr>
          <w:trHeight w:val="246"/>
        </w:trPr>
        <w:tc>
          <w:tcPr>
            <w:tcW w:w="59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6" w:lineRule="exact"/>
              <w:ind w:left="60"/>
              <w:rPr>
                <w:rFonts w:ascii="Times New Roman" w:hAnsi="Times New Roman" w:cs="Times New Roman"/>
                <w:sz w:val="24"/>
                <w:szCs w:val="24"/>
              </w:rPr>
            </w:pPr>
            <w:r>
              <w:rPr>
                <w:rFonts w:ascii="Times New Roman" w:hAnsi="Times New Roman" w:cs="Times New Roman"/>
                <w:b/>
                <w:bCs/>
                <w:sz w:val="19"/>
                <w:szCs w:val="19"/>
              </w:rPr>
              <w:t>BENEFIT OBLIGATION AT END OF YEAR</w:t>
            </w:r>
            <w:r>
              <w:rPr>
                <w:rFonts w:ascii="Times New Roman" w:hAnsi="Times New Roman" w:cs="Times New Roman"/>
                <w:b/>
                <w:bCs/>
                <w:sz w:val="24"/>
                <w:szCs w:val="24"/>
                <w:vertAlign w:val="superscript"/>
              </w:rPr>
              <w:t>(3)</w:t>
            </w:r>
          </w:p>
        </w:tc>
        <w:tc>
          <w:tcPr>
            <w:tcW w:w="8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17,053</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14,514</w:t>
            </w:r>
          </w:p>
        </w:tc>
        <w:tc>
          <w:tcPr>
            <w:tcW w:w="14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5,505</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5,289</w:t>
            </w:r>
          </w:p>
        </w:tc>
      </w:tr>
      <w:tr w:rsidR="00000000">
        <w:tblPrEx>
          <w:tblCellMar>
            <w:top w:w="0" w:type="dxa"/>
            <w:left w:w="0" w:type="dxa"/>
            <w:bottom w:w="0" w:type="dxa"/>
            <w:right w:w="0" w:type="dxa"/>
          </w:tblCellMar>
        </w:tblPrEx>
        <w:trPr>
          <w:trHeight w:val="180"/>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267"/>
        </w:trPr>
        <w:tc>
          <w:tcPr>
            <w:tcW w:w="59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CHANGE IN PLAN ASSETS</w:t>
            </w:r>
          </w:p>
        </w:tc>
        <w:tc>
          <w:tcPr>
            <w:tcW w:w="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55"/>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Fair value of plan assets at beginning of year</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8,561</w:t>
            </w: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7,974</w:t>
            </w:r>
          </w:p>
        </w:tc>
        <w:tc>
          <w:tcPr>
            <w:tcW w:w="10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3,553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2,713</w:t>
            </w:r>
          </w:p>
        </w:tc>
      </w:tr>
      <w:tr w:rsidR="00000000">
        <w:tblPrEx>
          <w:tblCellMar>
            <w:top w:w="0" w:type="dxa"/>
            <w:left w:w="0" w:type="dxa"/>
            <w:bottom w:w="0" w:type="dxa"/>
            <w:right w:w="0" w:type="dxa"/>
          </w:tblCellMar>
        </w:tblPrEx>
        <w:trPr>
          <w:trHeight w:val="31"/>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Actual return on plan assets</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964</w:t>
            </w:r>
          </w:p>
        </w:tc>
        <w:tc>
          <w:tcPr>
            <w:tcW w:w="9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796</w:t>
            </w:r>
          </w:p>
        </w:tc>
        <w:tc>
          <w:tcPr>
            <w:tcW w:w="10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124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954</w:t>
            </w:r>
          </w:p>
        </w:tc>
      </w:tr>
      <w:tr w:rsidR="00000000">
        <w:tblPrEx>
          <w:tblCellMar>
            <w:top w:w="0" w:type="dxa"/>
            <w:left w:w="0" w:type="dxa"/>
            <w:bottom w:w="0" w:type="dxa"/>
            <w:right w:w="0" w:type="dxa"/>
          </w:tblCellMar>
        </w:tblPrEx>
        <w:trPr>
          <w:trHeight w:val="255"/>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Acquisitions</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59</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r>
      <w:tr w:rsidR="00000000">
        <w:tblPrEx>
          <w:tblCellMar>
            <w:top w:w="0" w:type="dxa"/>
            <w:left w:w="0" w:type="dxa"/>
            <w:bottom w:w="0" w:type="dxa"/>
            <w:right w:w="0" w:type="dxa"/>
          </w:tblCellMar>
        </w:tblPrEx>
        <w:trPr>
          <w:trHeight w:val="31"/>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Employer contributions</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1,549</w:t>
            </w:r>
          </w:p>
        </w:tc>
        <w:tc>
          <w:tcPr>
            <w:tcW w:w="9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391</w:t>
            </w:r>
          </w:p>
        </w:tc>
        <w:tc>
          <w:tcPr>
            <w:tcW w:w="10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w:t>
            </w:r>
          </w:p>
        </w:tc>
      </w:tr>
      <w:tr w:rsidR="00000000">
        <w:tblPrEx>
          <w:tblCellMar>
            <w:top w:w="0" w:type="dxa"/>
            <w:left w:w="0" w:type="dxa"/>
            <w:bottom w:w="0" w:type="dxa"/>
            <w:right w:w="0" w:type="dxa"/>
          </w:tblCellMar>
        </w:tblPrEx>
        <w:trPr>
          <w:trHeight w:val="255"/>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Participants' contributions</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w:t>
            </w: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w:t>
            </w:r>
          </w:p>
        </w:tc>
        <w:tc>
          <w:tcPr>
            <w:tcW w:w="10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66</w:t>
            </w:r>
          </w:p>
        </w:tc>
      </w:tr>
      <w:tr w:rsidR="00000000">
        <w:tblPrEx>
          <w:tblCellMar>
            <w:top w:w="0" w:type="dxa"/>
            <w:left w:w="0" w:type="dxa"/>
            <w:bottom w:w="0" w:type="dxa"/>
            <w:right w:w="0" w:type="dxa"/>
          </w:tblCellMar>
        </w:tblPrEx>
        <w:trPr>
          <w:trHeight w:val="31"/>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Currency translation and other</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544</w:t>
            </w:r>
          </w:p>
        </w:tc>
        <w:tc>
          <w:tcPr>
            <w:tcW w:w="9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(77)</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r>
      <w:tr w:rsidR="00000000">
        <w:tblPrEx>
          <w:tblCellMar>
            <w:top w:w="0" w:type="dxa"/>
            <w:left w:w="0" w:type="dxa"/>
            <w:bottom w:w="0" w:type="dxa"/>
            <w:right w:w="0" w:type="dxa"/>
          </w:tblCellMar>
        </w:tblPrEx>
        <w:trPr>
          <w:trHeight w:val="286"/>
        </w:trPr>
        <w:tc>
          <w:tcPr>
            <w:tcW w:w="5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ESOP debt impacts</w:t>
            </w:r>
            <w:r>
              <w:rPr>
                <w:rFonts w:ascii="Times New Roman" w:hAnsi="Times New Roman" w:cs="Times New Roman"/>
                <w:sz w:val="24"/>
                <w:szCs w:val="24"/>
                <w:vertAlign w:val="superscript"/>
              </w:rPr>
              <w:t>(4)</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0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31</w:t>
            </w:r>
          </w:p>
        </w:tc>
      </w:tr>
      <w:tr w:rsidR="00000000">
        <w:tblPrEx>
          <w:tblCellMar>
            <w:top w:w="0" w:type="dxa"/>
            <w:left w:w="0" w:type="dxa"/>
            <w:bottom w:w="0" w:type="dxa"/>
            <w:right w:w="0" w:type="dxa"/>
          </w:tblCellMar>
        </w:tblPrEx>
        <w:trPr>
          <w:trHeight w:val="302"/>
        </w:trPr>
        <w:tc>
          <w:tcPr>
            <w:tcW w:w="5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Benefit payments</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(540)</w:t>
            </w:r>
          </w:p>
        </w:tc>
        <w:tc>
          <w:tcPr>
            <w:tcW w:w="9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(602)</w:t>
            </w:r>
          </w:p>
        </w:tc>
        <w:tc>
          <w:tcPr>
            <w:tcW w:w="10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(239)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(234)</w:t>
            </w:r>
          </w:p>
        </w:tc>
      </w:tr>
      <w:tr w:rsidR="00000000">
        <w:tblPrEx>
          <w:tblCellMar>
            <w:top w:w="0" w:type="dxa"/>
            <w:left w:w="0" w:type="dxa"/>
            <w:bottom w:w="0" w:type="dxa"/>
            <w:right w:w="0" w:type="dxa"/>
          </w:tblCellMar>
        </w:tblPrEx>
        <w:trPr>
          <w:trHeight w:val="245"/>
        </w:trPr>
        <w:tc>
          <w:tcPr>
            <w:tcW w:w="596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FAIR VALUE OF PLAN ASSETS AT END OF YEAR</w:t>
            </w:r>
          </w:p>
        </w:tc>
        <w:tc>
          <w:tcPr>
            <w:tcW w:w="8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11,098</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8,561</w:t>
            </w:r>
          </w:p>
        </w:tc>
        <w:tc>
          <w:tcPr>
            <w:tcW w:w="14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3,574</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3,553</w:t>
            </w:r>
          </w:p>
        </w:tc>
      </w:tr>
      <w:tr w:rsidR="00000000">
        <w:tblPrEx>
          <w:tblCellMar>
            <w:top w:w="0" w:type="dxa"/>
            <w:left w:w="0" w:type="dxa"/>
            <w:bottom w:w="0" w:type="dxa"/>
            <w:right w:w="0" w:type="dxa"/>
          </w:tblCellMar>
        </w:tblPrEx>
        <w:trPr>
          <w:trHeight w:val="257"/>
        </w:trPr>
        <w:tc>
          <w:tcPr>
            <w:tcW w:w="59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FUNDED STATUS</w:t>
            </w:r>
          </w:p>
        </w:tc>
        <w:tc>
          <w:tcPr>
            <w:tcW w:w="8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(5,955)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(5,953)</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(1,931)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(1,736)</w:t>
            </w:r>
          </w:p>
        </w:tc>
      </w:tr>
    </w:tbl>
    <w:p w:rsidR="00000000" w:rsidRDefault="0057438D">
      <w:pPr>
        <w:pStyle w:val="DefaultParagraphFont"/>
        <w:widowControl w:val="0"/>
        <w:numPr>
          <w:ilvl w:val="0"/>
          <w:numId w:val="19"/>
        </w:numPr>
        <w:tabs>
          <w:tab w:val="clear" w:pos="720"/>
          <w:tab w:val="num" w:pos="360"/>
        </w:tabs>
        <w:overflowPunct w:val="0"/>
        <w:autoSpaceDE w:val="0"/>
        <w:autoSpaceDN w:val="0"/>
        <w:adjustRightInd w:val="0"/>
        <w:spacing w:after="0" w:line="226" w:lineRule="auto"/>
        <w:ind w:left="360" w:hanging="345"/>
        <w:jc w:val="both"/>
        <w:rPr>
          <w:rFonts w:ascii="Times New Roman" w:hAnsi="Times New Roman" w:cs="Times New Roman"/>
          <w:sz w:val="25"/>
          <w:szCs w:val="25"/>
          <w:vertAlign w:val="superscript"/>
        </w:rPr>
      </w:pPr>
      <w:r>
        <w:rPr>
          <w:rFonts w:ascii="Times New Roman" w:hAnsi="Times New Roman" w:cs="Times New Roman"/>
          <w:sz w:val="17"/>
          <w:szCs w:val="17"/>
        </w:rPr>
        <w:t>Primarily non-U.S.-based defined benefit retirement plans.</w:t>
      </w:r>
    </w:p>
    <w:p w:rsidR="00000000" w:rsidRDefault="0057438D">
      <w:pPr>
        <w:pStyle w:val="DefaultParagraphFont"/>
        <w:widowControl w:val="0"/>
        <w:autoSpaceDE w:val="0"/>
        <w:autoSpaceDN w:val="0"/>
        <w:adjustRightInd w:val="0"/>
        <w:spacing w:after="0" w:line="4"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19"/>
        </w:numPr>
        <w:tabs>
          <w:tab w:val="clear" w:pos="720"/>
          <w:tab w:val="num" w:pos="360"/>
        </w:tabs>
        <w:overflowPunct w:val="0"/>
        <w:autoSpaceDE w:val="0"/>
        <w:autoSpaceDN w:val="0"/>
        <w:adjustRightInd w:val="0"/>
        <w:spacing w:after="0" w:line="187" w:lineRule="auto"/>
        <w:ind w:left="360" w:hanging="345"/>
        <w:jc w:val="both"/>
        <w:rPr>
          <w:rFonts w:ascii="Times New Roman" w:hAnsi="Times New Roman" w:cs="Times New Roman"/>
          <w:sz w:val="25"/>
          <w:szCs w:val="25"/>
          <w:vertAlign w:val="superscript"/>
        </w:rPr>
      </w:pPr>
      <w:r>
        <w:rPr>
          <w:rFonts w:ascii="Times New Roman" w:hAnsi="Times New Roman" w:cs="Times New Roman"/>
          <w:sz w:val="17"/>
          <w:szCs w:val="17"/>
        </w:rPr>
        <w:t>Primarily U.S.-based other postretirement benefit plans.</w:t>
      </w:r>
    </w:p>
    <w:p w:rsidR="00000000" w:rsidRDefault="0057438D">
      <w:pPr>
        <w:pStyle w:val="DefaultParagraphFont"/>
        <w:widowControl w:val="0"/>
        <w:autoSpaceDE w:val="0"/>
        <w:autoSpaceDN w:val="0"/>
        <w:adjustRightInd w:val="0"/>
        <w:spacing w:after="0" w:line="5"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19"/>
        </w:numPr>
        <w:tabs>
          <w:tab w:val="clear" w:pos="720"/>
          <w:tab w:val="num" w:pos="360"/>
        </w:tabs>
        <w:overflowPunct w:val="0"/>
        <w:autoSpaceDE w:val="0"/>
        <w:autoSpaceDN w:val="0"/>
        <w:adjustRightInd w:val="0"/>
        <w:spacing w:after="0" w:line="214" w:lineRule="auto"/>
        <w:ind w:left="360" w:right="560" w:hanging="345"/>
        <w:jc w:val="both"/>
        <w:rPr>
          <w:rFonts w:ascii="Times New Roman" w:hAnsi="Times New Roman" w:cs="Times New Roman"/>
          <w:sz w:val="25"/>
          <w:szCs w:val="25"/>
          <w:vertAlign w:val="superscript"/>
        </w:rPr>
      </w:pPr>
      <w:r>
        <w:rPr>
          <w:rFonts w:ascii="Times New Roman" w:hAnsi="Times New Roman" w:cs="Times New Roman"/>
          <w:sz w:val="17"/>
          <w:szCs w:val="17"/>
        </w:rPr>
        <w:t>For the pension benefit plans, the benefit obligation is the projected benefit obligation. For other retiree benefit plans, the benefit obligation is the accumulated postretirement benefit obligation.</w:t>
      </w:r>
    </w:p>
    <w:p w:rsidR="00000000" w:rsidRDefault="0057438D">
      <w:pPr>
        <w:pStyle w:val="DefaultParagraphFont"/>
        <w:widowControl w:val="0"/>
        <w:numPr>
          <w:ilvl w:val="0"/>
          <w:numId w:val="19"/>
        </w:numPr>
        <w:tabs>
          <w:tab w:val="clear" w:pos="720"/>
          <w:tab w:val="num" w:pos="360"/>
        </w:tabs>
        <w:overflowPunct w:val="0"/>
        <w:autoSpaceDE w:val="0"/>
        <w:autoSpaceDN w:val="0"/>
        <w:adjustRightInd w:val="0"/>
        <w:spacing w:after="0" w:line="191" w:lineRule="auto"/>
        <w:ind w:left="360" w:hanging="345"/>
        <w:jc w:val="both"/>
        <w:rPr>
          <w:rFonts w:ascii="Times New Roman" w:hAnsi="Times New Roman" w:cs="Times New Roman"/>
          <w:sz w:val="25"/>
          <w:szCs w:val="25"/>
          <w:vertAlign w:val="superscript"/>
        </w:rPr>
      </w:pPr>
      <w:r>
        <w:rPr>
          <w:rFonts w:ascii="Times New Roman" w:hAnsi="Times New Roman" w:cs="Times New Roman"/>
          <w:sz w:val="17"/>
          <w:szCs w:val="17"/>
        </w:rPr>
        <w:t>Represents the net</w:t>
      </w:r>
      <w:r>
        <w:rPr>
          <w:rFonts w:ascii="Times New Roman" w:hAnsi="Times New Roman" w:cs="Times New Roman"/>
          <w:sz w:val="17"/>
          <w:szCs w:val="17"/>
        </w:rPr>
        <w:t xml:space="preserve"> impact of ESOP debt service requirements, which is netted against plan assets for other retiree benefits.</w:t>
      </w:r>
    </w:p>
    <w:p w:rsidR="00000000" w:rsidRDefault="0057438D">
      <w:pPr>
        <w:pStyle w:val="DefaultParagraphFont"/>
        <w:widowControl w:val="0"/>
        <w:autoSpaceDE w:val="0"/>
        <w:autoSpaceDN w:val="0"/>
        <w:adjustRightInd w:val="0"/>
        <w:spacing w:after="0" w:line="157" w:lineRule="exact"/>
        <w:rPr>
          <w:rFonts w:ascii="Times New Roman" w:hAnsi="Times New Roman" w:cs="Times New Roman"/>
          <w:sz w:val="24"/>
          <w:szCs w:val="24"/>
        </w:rPr>
      </w:pPr>
      <w:r>
        <w:rPr>
          <w:noProof/>
        </w:rPr>
        <mc:AlternateContent>
          <mc:Choice Requires="wps">
            <w:drawing>
              <wp:anchor distT="0" distB="0" distL="114300" distR="114300" simplePos="0" relativeHeight="251735040" behindDoc="1" locked="0" layoutInCell="0" allowOverlap="1">
                <wp:simplePos x="0" y="0"/>
                <wp:positionH relativeFrom="column">
                  <wp:posOffset>3785235</wp:posOffset>
                </wp:positionH>
                <wp:positionV relativeFrom="paragraph">
                  <wp:posOffset>-727075</wp:posOffset>
                </wp:positionV>
                <wp:extent cx="557530" cy="0"/>
                <wp:effectExtent l="0" t="0" r="0" b="0"/>
                <wp:wrapNone/>
                <wp:docPr id="48"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53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05pt,-57.25pt" to="341.9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G1HwIAAEMEAAAOAAAAZHJzL2Uyb0RvYy54bWysU02P2jAQvVfqf7ByhyRs+NiIsKoS6IV2&#10;kXb7A4ztEKuObdmGgKr+944dgtj2Uq2WgxlnZt68mTdePp1bgU7MWK5kEaXjJEJMEkW5PBTRj9fN&#10;aBEh67CkWCjJiujCbPS0+vxp2emcTVSjBGUGAYi0eaeLqHFO53FsScNabMdKMwnOWpkWO7iaQ0wN&#10;7gC9FfEkSWZxpwzVRhFmLXyteme0Cvh1zYh7rmvLHBJFBNxcOE049/6MV0ucHwzWDSdXGvgdLFrM&#10;JRS9QVXYYXQ0/B+olhOjrKrdmKg2VnXNCQs9QDdp8lc3Lw3WLPQCw7H6Nib7cbDk+2lnEKdFlIFS&#10;Ereg0ZZLhuZzP5tO2xxCSrkzvjtyli96q8hPi6QqGywPLHB8vWjIS31G/CbFX6yGCvvum6IQg49O&#10;hUGda9N6SBgBOgc9Ljc92NkhAh+n0/n0AVQjgyvG+ZCnjXVfmWqRN4pIAOeAi09b6zwPnA8hvoxU&#10;Gy5EUFtI1AHZSZpOQ4ZVglPv9XHWHPalMOiE/cKEX+gKPPdhHrrCtunjgqtfJaOOkoYyDcN0fbUd&#10;5qK3gZaQvhD0CESvVr8qvx6Tx/VivchG2WS2HmVJVY2+bMpsNNuk82n1UJVllf72nNMsbzilTHra&#10;w9qm2f+txfUB9Qt3W9zbgOK36GGSQHb4D6SDyF7XfkP2il52ZhAfNjUEX1+Vfwr3d7Dv3/7qDwAA&#10;AP//AwBQSwMEFAAGAAgAAAAhAAp+q0jeAAAADQEAAA8AAABkcnMvZG93bnJldi54bWxMj01PwzAM&#10;hu9I/IfISNy2tIxVa9d0QkiVuLIhJG5JY9pq+ShN2pV/jzkgdrT9+PXj8rBYw2YcQ++dgHSdAEPX&#10;eN27VsDbqV7tgIUonZbGOxTwjQEO1e1NKQvtL+4V52NsGYW4UEgBXYxDwXloOrQyrP2AjmaffrQy&#10;Ujm2XI/yQuHW8IckybiVvaMLnRzwucPmfJwsaWzMnKt5UvXHF+eqeTEn/V4LcX+3PO2BRVziPwy/&#10;+rQDFTkpPzkdmBGwzbOUUAGrNH3cAiMk221yYOqvxauSX39R/QAAAP//AwBQSwECLQAUAAYACAAA&#10;ACEAtoM4kv4AAADhAQAAEwAAAAAAAAAAAAAAAAAAAAAAW0NvbnRlbnRfVHlwZXNdLnhtbFBLAQIt&#10;ABQABgAIAAAAIQA4/SH/1gAAAJQBAAALAAAAAAAAAAAAAAAAAC8BAABfcmVscy8ucmVsc1BLAQIt&#10;ABQABgAIAAAAIQCwbYG1HwIAAEMEAAAOAAAAAAAAAAAAAAAAAC4CAABkcnMvZTJvRG9jLnhtbFBL&#10;AQItABQABgAIAAAAIQAKfqtI3gAAAA0BAAAPAAAAAAAAAAAAAAAAAHkEAABkcnMvZG93bnJldi54&#10;bWxQSwUGAAAAAAQABADzAAAAhAUAAAAA&#10;" o:allowincell="f" strokeweight=".33653mm"/>
            </w:pict>
          </mc:Fallback>
        </mc:AlternateContent>
      </w:r>
      <w:r>
        <w:rPr>
          <w:noProof/>
        </w:rPr>
        <mc:AlternateContent>
          <mc:Choice Requires="wps">
            <w:drawing>
              <wp:anchor distT="0" distB="0" distL="114300" distR="114300" simplePos="0" relativeHeight="251736064" behindDoc="1" locked="0" layoutInCell="0" allowOverlap="1">
                <wp:simplePos x="0" y="0"/>
                <wp:positionH relativeFrom="column">
                  <wp:posOffset>4391025</wp:posOffset>
                </wp:positionH>
                <wp:positionV relativeFrom="paragraph">
                  <wp:posOffset>-727075</wp:posOffset>
                </wp:positionV>
                <wp:extent cx="557530" cy="0"/>
                <wp:effectExtent l="0" t="0" r="0" b="0"/>
                <wp:wrapNone/>
                <wp:docPr id="47"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53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8"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75pt,-57.25pt" to="389.6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A6HwIAAEMEAAAOAAAAZHJzL2Uyb0RvYy54bWysU02P2jAQvVfqf7B8hyRs+NiIsKoI9LLt&#10;Iu32BxjbIVYd27INAVX97x07BLHtparKwYwzM2/ezDwvn86tRCdundCqxNk4xYgrqplQhxJ/e9uO&#10;Fhg5TxQjUite4gt3+Gn18cOyMwWf6EZLxi0CEOWKzpS48d4USeJow1vixtpwBc5a25Z4uNpDwizp&#10;AL2VySRNZ0mnLTNWU+4cfK16J15F/Lrm1L/UteMeyRIDNx9PG899OJPVkhQHS0wj6JUG+QcWLREK&#10;it6gKuIJOlrxB1QrqNVO135MdZvouhaUxx6gmyz9rZvXhhgee4HhOHMbk/t/sPTraWeRYCXO5xgp&#10;0sKOnoXiaL4Is+mMKyBkrXY2dEfP6tU8a/rdIaXXDVEHHjm+XQzkZSEjeZcSLs5AhX33RTOIIUev&#10;46DOtW0DJIwAneM+Lrd98LNHFD5Op/PpA2yNDq6EFEOesc5/5rpFwSixBM4Rl5yenQ88SDGEhDJK&#10;b4WUcdtSoQ7ITrJsGjOcloIFb4hz9rBfS4tOJAgm/mJX4LkPC9AVcU0fF129lKw+KhbLNJywzdX2&#10;RMjeBlpShULQIxC9Wr1Ufjymj5vFZpGP8slsM8rTqhp92q7z0WybzafVQ7VeV9nPwDnLi0YwxlWg&#10;Pcg2y/9OFtcH1AvuJtzbgJL36HGSQHb4j6TjksNee4XsNbvs7LB8UGoMvr6q8BTu72Dfv/3VLwAA&#10;AP//AwBQSwMEFAAGAAgAAAAhAJtoAqfeAAAADQEAAA8AAABkcnMvZG93bnJldi54bWxMj81OwzAQ&#10;hO9IvIO1SNxaJxRaEuJUCCkSV1qExM2JlyTCXofYScPbsxwQve3P7My3xX5xVsw4ht6TgnSdgEBq&#10;vOmpVfB6rFb3IELUZLT1hAq+McC+vLwodG78iV5wPsRWsAmFXCvoYhxyKUPTodNh7Qck3n340enI&#10;7dhKM+oTmzsrb5JkK53uiRM6PeBTh83nYXKMsbFzVs9TXb1/SVk3z/Zo3iqlrq+WxwcQEZf4L4Zf&#10;fL6BkplqP5EJwirYZukdSxWs0vSWK5bsdtkGRP03kmUhz78ofwAAAP//AwBQSwECLQAUAAYACAAA&#10;ACEAtoM4kv4AAADhAQAAEwAAAAAAAAAAAAAAAAAAAAAAW0NvbnRlbnRfVHlwZXNdLnhtbFBLAQIt&#10;ABQABgAIAAAAIQA4/SH/1gAAAJQBAAALAAAAAAAAAAAAAAAAAC8BAABfcmVscy8ucmVsc1BLAQIt&#10;ABQABgAIAAAAIQCtdrA6HwIAAEMEAAAOAAAAAAAAAAAAAAAAAC4CAABkcnMvZTJvRG9jLnhtbFBL&#10;AQItABQABgAIAAAAIQCbaAKn3gAAAA0BAAAPAAAAAAAAAAAAAAAAAHkEAABkcnMvZG93bnJldi54&#10;bWxQSwUGAAAAAAQABADzAAAAhAUAAAAA&#10;" o:allowincell="f" strokeweight=".33653mm"/>
            </w:pict>
          </mc:Fallback>
        </mc:AlternateContent>
      </w:r>
      <w:r>
        <w:rPr>
          <w:noProof/>
        </w:rPr>
        <mc:AlternateContent>
          <mc:Choice Requires="wps">
            <w:drawing>
              <wp:anchor distT="0" distB="0" distL="114300" distR="114300" simplePos="0" relativeHeight="251737088" behindDoc="1" locked="0" layoutInCell="0" allowOverlap="1">
                <wp:simplePos x="0" y="0"/>
                <wp:positionH relativeFrom="column">
                  <wp:posOffset>5045710</wp:posOffset>
                </wp:positionH>
                <wp:positionV relativeFrom="paragraph">
                  <wp:posOffset>-727075</wp:posOffset>
                </wp:positionV>
                <wp:extent cx="557530" cy="0"/>
                <wp:effectExtent l="0" t="0" r="0" b="0"/>
                <wp:wrapNone/>
                <wp:docPr id="4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53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3pt,-57.25pt" to="441.2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5HgIAAEMEAAAOAAAAZHJzL2Uyb0RvYy54bWysU02P2jAQvVfqf7ByhyRs+IoIqyqBXmgX&#10;abc/wNgOserYlm0IqOp/79ghiG0vVVUOZpyZefNm5nn1fGkFOjNjuZJFlI6TCDFJFOXyWETf3raj&#10;RYSsw5JioSQroiuz0fP644dVp3M2UY0SlBkEINLmnS6ixjmdx7ElDWuxHSvNJDhrZVrs4GqOMTW4&#10;A/RWxJMkmcWdMlQbRZi18LXqndE64Nc1I+6lri1zSBQRcHPhNOE8+DNer3B+NFg3nNxo4H9g0WIu&#10;oegdqsIOo5Phf0C1nBhlVe3GRLWxqmtOWOgBukmT37p5bbBmoRcYjtX3Mdn/B0u+nvcGcVpE2SxC&#10;Erewox2XDM2XfjadtjmElHJvfHfkIl/1TpHvFklVNlgeWeD4dtWQl/qM+F2Kv1gNFQ7dF0UhBp+c&#10;CoO61Kb1kDACdAn7uN73wS4OEfg4nc6nT7A1MrhinA952lj3makWeaOIBHAOuPi8s87zwPkQ4stI&#10;teVChG0LiTogO0nTaciwSnDqvT7OmuOhFAadsRdM+IWuwPMY5qErbJs+Lrh6KRl1kjSUaRimm5vt&#10;MBe9DbSE9IWgRyB6s3qp/Fgmy81is8hG2WS2GWVJVY0+bctsNNum82n1VJVllf70nNMsbzilTHra&#10;g2zT7O9kcXtAveDuwr0PKH6PHiYJZIf/QDos2e+1V8hB0eveDMsHpYbg26vyT+HxDvbj21//AgAA&#10;//8DAFBLAwQUAAYACAAAACEAKv/9ft4AAAANAQAADwAAAGRycy9kb3ducmV2LnhtbEyPwU7DMAyG&#10;70i8Q2QkblvaUbauNJ0QUiWubAiJW9JkbUXilCbtyttjDgiOtj///lweFmfZbMbQexSQrhNgBhuv&#10;e2wFvJ7qVQ4sRIlaWo9GwJcJcKiur0pZaH/BFzMfY8soBEMhBXQxDgXnoemMk2HtB4M0O/vRyUjl&#10;2HI9yguFO8s3SbLlTvZIFzo5mKfONB/HyZHGnZ33ap5U/f7JuWqe7Um/1ULc3iyPD8CiWeIfDD/6&#10;tAMVOSk/oQ7MCtjtsy2hAlZpmt0DIyTPNxkw9dviVcn/f1F9AwAA//8DAFBLAQItABQABgAIAAAA&#10;IQC2gziS/gAAAOEBAAATAAAAAAAAAAAAAAAAAAAAAABbQ29udGVudF9UeXBlc10ueG1sUEsBAi0A&#10;FAAGAAgAAAAhADj9If/WAAAAlAEAAAsAAAAAAAAAAAAAAAAALwEAAF9yZWxzLy5yZWxzUEsBAi0A&#10;FAAGAAgAAAAhANAiTPkeAgAAQwQAAA4AAAAAAAAAAAAAAAAALgIAAGRycy9lMm9Eb2MueG1sUEsB&#10;Ai0AFAAGAAgAAAAhACr//X7eAAAADQEAAA8AAAAAAAAAAAAAAAAAeAQAAGRycy9kb3ducmV2Lnht&#10;bFBLBQYAAAAABAAEAPMAAACDBQAAAAA=&#10;" o:allowincell="f" strokeweight=".33653mm"/>
            </w:pict>
          </mc:Fallback>
        </mc:AlternateContent>
      </w:r>
      <w:r>
        <w:rPr>
          <w:noProof/>
        </w:rPr>
        <mc:AlternateContent>
          <mc:Choice Requires="wps">
            <w:drawing>
              <wp:anchor distT="0" distB="0" distL="114300" distR="114300" simplePos="0" relativeHeight="251738112" behindDoc="1" locked="0" layoutInCell="0" allowOverlap="1">
                <wp:simplePos x="0" y="0"/>
                <wp:positionH relativeFrom="column">
                  <wp:posOffset>5652135</wp:posOffset>
                </wp:positionH>
                <wp:positionV relativeFrom="paragraph">
                  <wp:posOffset>-727075</wp:posOffset>
                </wp:positionV>
                <wp:extent cx="557530" cy="0"/>
                <wp:effectExtent l="0" t="0" r="0" b="0"/>
                <wp:wrapNone/>
                <wp:docPr id="4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53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0"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05pt,-57.25pt" to="488.9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HwIAAEMEAAAOAAAAZHJzL2Uyb0RvYy54bWysU82O2jAQvlfqO1i5QxI2YdmIsKoS6IV2&#10;kXb7AMZ2iFXHtmxDQFXfvWOHILa9VFVzcMaemW+++Vs+nzuBTsxYrmQZpdMkQkwSRbk8lNG3t81k&#10;ESHrsKRYKMnK6MJs9Lz6+GHZ64LNVKsEZQYBiLRFr8uodU4XcWxJyzpsp0ozCcpGmQ47uJpDTA3u&#10;Ab0T8SxJ5nGvDNVGEWYtvNaDMloF/KZhxL00jWUOiTICbi6cJpx7f8arJS4OBuuWkysN/A8sOswl&#10;BL1B1dhhdDT8D6iOE6OsatyUqC5WTcMJCzlANmnyWzavLdYs5ALFsfpWJvv/YMnX084gTssoyyMk&#10;cQc92nLJ0CLUpte2AJNK7ozPjpzlq94q8t0iqaoWywMLHN8uGvxSX834nYu/WA0R9v0XRcEGH50K&#10;hTo3pvOQUAJ0Dv243PrBzg4ReMzzx/wBukZGVYyL0U8b6z4z1SEvlJEAzgEXn7bWeR64GE18GKk2&#10;XIjQbSFRD2RnaZoHD6sEp17r7aw57Cth0An7gQlfyAo092Yeusa2HeyCahglo46ShjAtw3R9lR3m&#10;YpCBlpA+EOQIRK/SMCo/npKn9WK9yCbZbL6eZEldTz5tqmwy36SPef1QV1Wd/vSc06xoOaVMetrj&#10;2KbZ343FdYGGgbsN7q1A8Xv0UEkgO/4D6dBk31e/Z7bYK3rZmbH5MKnB+LpVfhXu7yDf7/7qFwAA&#10;AP//AwBQSwMEFAAGAAgAAAAhADxUdpveAAAADQEAAA8AAABkcnMvZG93bnJldi54bWxMj01PwzAM&#10;hu9I/IfISNy2tHxt7ZpOCKkSVzaExC1tTFstcUqTduXfYw4IjrYfv35c7BdnxYxj6D0pSNcJCKTG&#10;m55aBa/HarUFEaImo60nVPCFAfbl5UWhc+PP9ILzIbaCQyjkWkEX45BLGZoOnQ5rPyDx7MOPTkcu&#10;x1aaUZ853Fl5kyQP0ume+EKnB3zqsDkdJscat3bO6nmqq/dPKevm2R7NW6XU9dXyuAMRcYl/MPzo&#10;8w6U7FT7iUwQVsE2S1JGFazS9O4eBCPZZpOBqH9bsizk/y/KbwAAAP//AwBQSwECLQAUAAYACAAA&#10;ACEAtoM4kv4AAADhAQAAEwAAAAAAAAAAAAAAAAAAAAAAW0NvbnRlbnRfVHlwZXNdLnhtbFBLAQIt&#10;ABQABgAIAAAAIQA4/SH/1gAAAJQBAAALAAAAAAAAAAAAAAAAAC8BAABfcmVscy8ucmVsc1BLAQIt&#10;ABQABgAIAAAAIQB//sNbHwIAAEMEAAAOAAAAAAAAAAAAAAAAAC4CAABkcnMvZTJvRG9jLnhtbFBL&#10;AQItABQABgAIAAAAIQA8VHab3gAAAA0BAAAPAAAAAAAAAAAAAAAAAHkEAABkcnMvZG93bnJldi54&#10;bWxQSwUGAAAAAAQABADzAAAAhAUAAAAA&#10;" o:allowincell="f" strokeweight=".33653mm"/>
            </w:pict>
          </mc:Fallback>
        </mc:AlternateContent>
      </w:r>
    </w:p>
    <w:p w:rsidR="00000000" w:rsidRDefault="0057438D">
      <w:pPr>
        <w:pStyle w:val="DefaultParagraphFont"/>
        <w:widowControl w:val="0"/>
        <w:overflowPunct w:val="0"/>
        <w:autoSpaceDE w:val="0"/>
        <w:autoSpaceDN w:val="0"/>
        <w:adjustRightInd w:val="0"/>
        <w:spacing w:after="0" w:line="263" w:lineRule="auto"/>
        <w:ind w:left="20" w:right="40"/>
        <w:jc w:val="both"/>
        <w:rPr>
          <w:rFonts w:ascii="Times New Roman" w:hAnsi="Times New Roman" w:cs="Times New Roman"/>
          <w:sz w:val="24"/>
          <w:szCs w:val="24"/>
        </w:rPr>
      </w:pPr>
      <w:r>
        <w:rPr>
          <w:rFonts w:ascii="Times New Roman" w:hAnsi="Times New Roman" w:cs="Times New Roman"/>
          <w:sz w:val="19"/>
          <w:szCs w:val="19"/>
        </w:rPr>
        <w:t>The underfunding of pension benefits is primarily a function of the different funding incentives that exist outside of the U.S. In certain count</w:t>
      </w:r>
      <w:r>
        <w:rPr>
          <w:rFonts w:ascii="Times New Roman" w:hAnsi="Times New Roman" w:cs="Times New Roman"/>
          <w:sz w:val="19"/>
          <w:szCs w:val="19"/>
        </w:rPr>
        <w:t>ries, there are no legal requirements or financial incentives provided to companies to pre-fund pension obligations prior to their due date. In these instances, benefit payments are typically paid directly from the Company's cash as they become due.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00" w:bottom="346" w:left="840" w:header="720" w:footer="720" w:gutter="0"/>
          <w:cols w:space="720" w:equalWidth="0">
            <w:col w:w="97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1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5620" w:bottom="346" w:left="860" w:header="720" w:footer="720" w:gutter="0"/>
          <w:cols w:space="720" w:equalWidth="0">
            <w:col w:w="5040"/>
          </w:cols>
          <w:noEndnote/>
        </w:sectPr>
      </w:pPr>
    </w:p>
    <w:tbl>
      <w:tblPr>
        <w:tblW w:w="0" w:type="auto"/>
        <w:tblInd w:w="20" w:type="dxa"/>
        <w:tblLayout w:type="fixed"/>
        <w:tblCellMar>
          <w:left w:w="0" w:type="dxa"/>
          <w:right w:w="0" w:type="dxa"/>
        </w:tblCellMar>
        <w:tblLook w:val="0000" w:firstRow="0" w:lastRow="0" w:firstColumn="0" w:lastColumn="0" w:noHBand="0" w:noVBand="0"/>
      </w:tblPr>
      <w:tblGrid>
        <w:gridCol w:w="5760"/>
        <w:gridCol w:w="220"/>
        <w:gridCol w:w="680"/>
        <w:gridCol w:w="100"/>
        <w:gridCol w:w="220"/>
        <w:gridCol w:w="680"/>
        <w:gridCol w:w="160"/>
        <w:gridCol w:w="160"/>
        <w:gridCol w:w="720"/>
        <w:gridCol w:w="100"/>
        <w:gridCol w:w="220"/>
        <w:gridCol w:w="680"/>
        <w:gridCol w:w="40"/>
        <w:gridCol w:w="20"/>
      </w:tblGrid>
      <w:tr w:rsidR="00000000">
        <w:tblPrEx>
          <w:tblCellMar>
            <w:top w:w="0" w:type="dxa"/>
            <w:left w:w="0" w:type="dxa"/>
            <w:bottom w:w="0" w:type="dxa"/>
            <w:right w:w="0" w:type="dxa"/>
          </w:tblCellMar>
        </w:tblPrEx>
        <w:trPr>
          <w:trHeight w:val="250"/>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760" w:type="dxa"/>
            <w:gridSpan w:val="8"/>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80"/>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67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15"/>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8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29"/>
              <w:jc w:val="right"/>
              <w:rPr>
                <w:rFonts w:ascii="Times New Roman" w:hAnsi="Times New Roman" w:cs="Times New Roman"/>
                <w:sz w:val="24"/>
                <w:szCs w:val="24"/>
              </w:rPr>
            </w:pPr>
            <w:r>
              <w:rPr>
                <w:rFonts w:ascii="Times New Roman" w:hAnsi="Times New Roman" w:cs="Times New Roman"/>
                <w:b/>
                <w:bCs/>
                <w:sz w:val="15"/>
                <w:szCs w:val="15"/>
              </w:rPr>
              <w:t>Pension Benefits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76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rPr>
              <w:t>Other Retiree Benefits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57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57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Times New Roman" w:hAnsi="Times New Roman" w:cs="Times New Roman"/>
                <w:b/>
                <w:bCs/>
                <w:sz w:val="15"/>
                <w:szCs w:val="15"/>
              </w:rPr>
              <w:t>2014</w:t>
            </w: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Times New Roman" w:hAnsi="Times New Roman" w:cs="Times New Roman"/>
                <w:b/>
                <w:bCs/>
                <w:sz w:val="15"/>
                <w:szCs w:val="15"/>
              </w:rPr>
              <w:t>2013</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9"/>
              <w:jc w:val="right"/>
              <w:rPr>
                <w:rFonts w:ascii="Times New Roman" w:hAnsi="Times New Roman" w:cs="Times New Roman"/>
                <w:sz w:val="24"/>
                <w:szCs w:val="24"/>
              </w:rPr>
            </w:pPr>
            <w:r>
              <w:rPr>
                <w:rFonts w:ascii="Times New Roman" w:hAnsi="Times New Roman" w:cs="Times New Roman"/>
                <w:b/>
                <w:bCs/>
                <w:sz w:val="15"/>
                <w:szCs w:val="15"/>
              </w:rPr>
              <w:t>2014</w:t>
            </w: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7"/>
              <w:jc w:val="right"/>
              <w:rPr>
                <w:rFonts w:ascii="Times New Roman" w:hAnsi="Times New Roman" w:cs="Times New Roman"/>
                <w:sz w:val="24"/>
                <w:szCs w:val="24"/>
              </w:rPr>
            </w:pPr>
            <w:r>
              <w:rPr>
                <w:rFonts w:ascii="Times New Roman" w:hAnsi="Times New Roman" w:cs="Times New Roman"/>
                <w:b/>
                <w:bCs/>
                <w:sz w:val="15"/>
                <w:szCs w:val="15"/>
              </w:rPr>
              <w:t>2013</w:t>
            </w: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57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5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CLASSIFICATION OF NET AMOUNT RECOGNIZED</w:t>
            </w: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Noncurrent assets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69</w:t>
            </w: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114</w:t>
            </w:r>
          </w:p>
        </w:tc>
        <w:tc>
          <w:tcPr>
            <w:tcW w:w="3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b/>
                <w:bCs/>
                <w:sz w:val="19"/>
                <w:szCs w:val="19"/>
              </w:rPr>
              <w:t>$</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3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New Roman" w:hAnsi="Times New Roman" w:cs="Times New Roman"/>
                <w:sz w:val="19"/>
                <w:szCs w:val="19"/>
              </w:rPr>
              <w:t>$</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Current liabilities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(40)</w:t>
            </w:r>
          </w:p>
        </w:tc>
        <w:tc>
          <w:tcPr>
            <w:tcW w:w="1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(40)</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(25)</w:t>
            </w:r>
          </w:p>
        </w:tc>
        <w:tc>
          <w:tcPr>
            <w:tcW w:w="1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w:t>
            </w: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Noncurrent liabilities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(5,984)</w:t>
            </w: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(6,027)</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(1,906)</w:t>
            </w: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(1,713)</w:t>
            </w: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57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5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NET AMOUNT RECOGNIZED</w:t>
            </w: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(5,955)</w:t>
            </w:r>
          </w:p>
        </w:tc>
        <w:tc>
          <w:tcPr>
            <w:tcW w:w="1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(5,953)</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(1,931)</w:t>
            </w:r>
          </w:p>
        </w:tc>
        <w:tc>
          <w:tcPr>
            <w:tcW w:w="1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(1,736)</w:t>
            </w: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59"/>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AMOUNTS RECOGNIZED IN ACCUMULATED OTHER</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4"/>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COMPREHENSIVE INCOME (AOCI)</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actuarial loss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5,169</w:t>
            </w:r>
          </w:p>
        </w:tc>
        <w:tc>
          <w:tcPr>
            <w:tcW w:w="1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4,049</w:t>
            </w:r>
          </w:p>
        </w:tc>
        <w:tc>
          <w:tcPr>
            <w:tcW w:w="3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b/>
                <w:bCs/>
                <w:sz w:val="19"/>
                <w:szCs w:val="19"/>
              </w:rPr>
              <w:t>$</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1,871</w:t>
            </w:r>
          </w:p>
        </w:tc>
        <w:tc>
          <w:tcPr>
            <w:tcW w:w="3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New Roman" w:hAnsi="Times New Roman" w:cs="Times New Roman"/>
                <w:sz w:val="19"/>
                <w:szCs w:val="19"/>
              </w:rPr>
              <w:t>$</w:t>
            </w: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1,772</w:t>
            </w: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Prior service cost /(credit)</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344</w:t>
            </w: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353</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(39)</w:t>
            </w: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(54)</w:t>
            </w: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57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5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NET AMOUNTS RECOGNIZED IN AOCI</w:t>
            </w: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5,513</w:t>
            </w:r>
          </w:p>
        </w:tc>
        <w:tc>
          <w:tcPr>
            <w:tcW w:w="1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4,402</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1,832</w:t>
            </w:r>
          </w:p>
        </w:tc>
        <w:tc>
          <w:tcPr>
            <w:tcW w:w="1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1,718</w:t>
            </w: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2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40"/>
        <w:rPr>
          <w:rFonts w:ascii="Times New Roman" w:hAnsi="Times New Roman" w:cs="Times New Roman"/>
          <w:sz w:val="24"/>
          <w:szCs w:val="24"/>
        </w:rPr>
      </w:pPr>
      <w:r>
        <w:rPr>
          <w:rFonts w:ascii="Times New Roman" w:hAnsi="Times New Roman" w:cs="Times New Roman"/>
          <w:sz w:val="19"/>
          <w:szCs w:val="19"/>
        </w:rPr>
        <w:t>The accumulated benefit obligation for all defined benefit pension plans was $14,949 and $12,652 as of June 30, 2014 and 2013, respectively. Pension plans with accumulated</w:t>
      </w:r>
      <w:r>
        <w:rPr>
          <w:rFonts w:ascii="Times New Roman" w:hAnsi="Times New Roman" w:cs="Times New Roman"/>
          <w:sz w:val="19"/>
          <w:szCs w:val="19"/>
        </w:rPr>
        <w:t xml:space="preserve"> benefit obligations in excess of plan assets and plans with projected benefit obligations in excess of plan assets consist of the following:</w:t>
      </w:r>
    </w:p>
    <w:p w:rsidR="00000000" w:rsidRDefault="0057438D">
      <w:pPr>
        <w:pStyle w:val="DefaultParagraphFont"/>
        <w:widowControl w:val="0"/>
        <w:autoSpaceDE w:val="0"/>
        <w:autoSpaceDN w:val="0"/>
        <w:adjustRightInd w:val="0"/>
        <w:spacing w:after="0" w:line="111"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760"/>
        <w:gridCol w:w="900"/>
        <w:gridCol w:w="80"/>
        <w:gridCol w:w="900"/>
        <w:gridCol w:w="160"/>
        <w:gridCol w:w="900"/>
        <w:gridCol w:w="60"/>
        <w:gridCol w:w="900"/>
        <w:gridCol w:w="20"/>
      </w:tblGrid>
      <w:tr w:rsidR="00000000">
        <w:tblPrEx>
          <w:tblCellMar>
            <w:top w:w="0" w:type="dxa"/>
            <w:left w:w="0" w:type="dxa"/>
            <w:bottom w:w="0" w:type="dxa"/>
            <w:right w:w="0" w:type="dxa"/>
          </w:tblCellMar>
        </w:tblPrEx>
        <w:trPr>
          <w:trHeight w:val="172"/>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8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Accumulated Benefit</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8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Projected Benefit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8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Obligation Exceeds the</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8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Obligation Exceeds the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8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Fair Value of Plan Assets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Fair Value of Plan Assets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57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57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15"/>
              <w:jc w:val="right"/>
              <w:rPr>
                <w:rFonts w:ascii="Times New Roman" w:hAnsi="Times New Roman" w:cs="Times New Roman"/>
                <w:sz w:val="24"/>
                <w:szCs w:val="24"/>
              </w:rPr>
            </w:pPr>
            <w:r>
              <w:rPr>
                <w:rFonts w:ascii="Times New Roman" w:hAnsi="Times New Roman" w:cs="Times New Roman"/>
                <w:b/>
                <w:bCs/>
                <w:sz w:val="15"/>
                <w:szCs w:val="15"/>
              </w:rPr>
              <w:t>2014</w:t>
            </w:r>
          </w:p>
        </w:tc>
        <w:tc>
          <w:tcPr>
            <w:tcW w:w="9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b/>
                <w:bCs/>
                <w:sz w:val="15"/>
                <w:szCs w:val="15"/>
              </w:rPr>
              <w:t>2013</w:t>
            </w: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39"/>
              <w:jc w:val="right"/>
              <w:rPr>
                <w:rFonts w:ascii="Times New Roman" w:hAnsi="Times New Roman" w:cs="Times New Roman"/>
                <w:sz w:val="24"/>
                <w:szCs w:val="24"/>
              </w:rPr>
            </w:pPr>
            <w:r>
              <w:rPr>
                <w:rFonts w:ascii="Times New Roman" w:hAnsi="Times New Roman" w:cs="Times New Roman"/>
                <w:b/>
                <w:bCs/>
                <w:sz w:val="15"/>
                <w:szCs w:val="15"/>
              </w:rPr>
              <w:t>2014</w:t>
            </w: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b/>
                <w:bCs/>
                <w:sz w:val="15"/>
                <w:szCs w:val="15"/>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57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5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Projected benefit obligation</w:t>
            </w:r>
          </w:p>
        </w:tc>
        <w:tc>
          <w:tcPr>
            <w:tcW w:w="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14,229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12,024</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15,325</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12,962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Accumulated benefit obligation</w:t>
            </w: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12,406</w:t>
            </w:r>
          </w:p>
        </w:tc>
        <w:tc>
          <w:tcPr>
            <w:tcW w:w="9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10,406</w:t>
            </w: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13,279</w:t>
            </w:r>
          </w:p>
        </w:tc>
        <w:tc>
          <w:tcPr>
            <w:tcW w:w="9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11,149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Fair value of plan assets</w:t>
            </w:r>
          </w:p>
        </w:tc>
        <w:tc>
          <w:tcPr>
            <w:tcW w:w="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8,353</w:t>
            </w:r>
          </w:p>
        </w:tc>
        <w:tc>
          <w:tcPr>
            <w:tcW w:w="98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6,086</w:t>
            </w:r>
          </w:p>
        </w:tc>
        <w:tc>
          <w:tcPr>
            <w:tcW w:w="106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9,301</w:t>
            </w:r>
          </w:p>
        </w:tc>
        <w:tc>
          <w:tcPr>
            <w:tcW w:w="96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6,895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346" w:left="860" w:header="720" w:footer="720" w:gutter="0"/>
          <w:cols w:space="720" w:equalWidth="0">
            <w:col w:w="976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0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5580" w:header="720" w:footer="720" w:gutter="0"/>
          <w:cols w:space="720" w:equalWidth="0">
            <w:col w:w="5060"/>
          </w:cols>
          <w:noEndnote/>
        </w:sectPr>
      </w:pPr>
    </w:p>
    <w:p w:rsidR="00000000" w:rsidRDefault="0057438D">
      <w:pPr>
        <w:pStyle w:val="DefaultParagraphFont"/>
        <w:widowControl w:val="0"/>
        <w:tabs>
          <w:tab w:val="left" w:pos="360"/>
        </w:tabs>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7"/>
          <w:szCs w:val="17"/>
        </w:rPr>
        <w:t>68</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i/>
          <w:iCs/>
          <w:sz w:val="19"/>
          <w:szCs w:val="19"/>
        </w:rPr>
        <w:t>Net Periodic Benefit Cost</w:t>
      </w:r>
      <w:r>
        <w:rPr>
          <w:rFonts w:ascii="Times New Roman" w:hAnsi="Times New Roman" w:cs="Times New Roman"/>
          <w:sz w:val="19"/>
          <w:szCs w:val="19"/>
        </w:rPr>
        <w:t>. Components of the net periodic benefit cost were as follows:</w:t>
      </w:r>
    </w:p>
    <w:p w:rsidR="00000000" w:rsidRDefault="0057438D">
      <w:pPr>
        <w:pStyle w:val="DefaultParagraphFont"/>
        <w:widowControl w:val="0"/>
        <w:autoSpaceDE w:val="0"/>
        <w:autoSpaceDN w:val="0"/>
        <w:adjustRightInd w:val="0"/>
        <w:spacing w:after="0" w:line="190"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firstRow="0" w:lastRow="0" w:firstColumn="0" w:lastColumn="0" w:noHBand="0" w:noVBand="0"/>
      </w:tblPr>
      <w:tblGrid>
        <w:gridCol w:w="5040"/>
        <w:gridCol w:w="720"/>
        <w:gridCol w:w="60"/>
        <w:gridCol w:w="700"/>
        <w:gridCol w:w="80"/>
        <w:gridCol w:w="160"/>
        <w:gridCol w:w="520"/>
        <w:gridCol w:w="120"/>
        <w:gridCol w:w="760"/>
        <w:gridCol w:w="80"/>
        <w:gridCol w:w="140"/>
        <w:gridCol w:w="580"/>
        <w:gridCol w:w="80"/>
        <w:gridCol w:w="720"/>
        <w:gridCol w:w="20"/>
      </w:tblGrid>
      <w:tr w:rsidR="00000000">
        <w:tblPrEx>
          <w:tblCellMar>
            <w:top w:w="0" w:type="dxa"/>
            <w:left w:w="0" w:type="dxa"/>
            <w:bottom w:w="0" w:type="dxa"/>
            <w:right w:w="0" w:type="dxa"/>
          </w:tblCellMar>
        </w:tblPrEx>
        <w:trPr>
          <w:trHeight w:val="203"/>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72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New Roman" w:hAnsi="Times New Roman" w:cs="Times New Roman"/>
                <w:b/>
                <w:bCs/>
                <w:sz w:val="15"/>
                <w:szCs w:val="15"/>
              </w:rPr>
              <w:t>Pension Benefits</w:t>
            </w: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360" w:type="dxa"/>
            <w:gridSpan w:val="6"/>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65"/>
              <w:jc w:val="right"/>
              <w:rPr>
                <w:rFonts w:ascii="Times New Roman" w:hAnsi="Times New Roman" w:cs="Times New Roman"/>
                <w:sz w:val="24"/>
                <w:szCs w:val="24"/>
              </w:rPr>
            </w:pPr>
            <w:r>
              <w:rPr>
                <w:rFonts w:ascii="Times New Roman" w:hAnsi="Times New Roman" w:cs="Times New Roman"/>
                <w:b/>
                <w:bCs/>
                <w:sz w:val="15"/>
                <w:szCs w:val="15"/>
              </w:rPr>
              <w:t>Other Retiree Benefits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50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50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7"/>
              <w:jc w:val="right"/>
              <w:rPr>
                <w:rFonts w:ascii="Times New Roman" w:hAnsi="Times New Roman" w:cs="Times New Roman"/>
                <w:sz w:val="24"/>
                <w:szCs w:val="24"/>
              </w:rPr>
            </w:pPr>
            <w:r>
              <w:rPr>
                <w:rFonts w:ascii="Times New Roman" w:hAnsi="Times New Roman" w:cs="Times New Roman"/>
                <w:b/>
                <w:bCs/>
                <w:sz w:val="15"/>
                <w:szCs w:val="15"/>
              </w:rPr>
              <w:t>2014</w:t>
            </w:r>
          </w:p>
        </w:tc>
        <w:tc>
          <w:tcPr>
            <w:tcW w:w="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New Roman" w:hAnsi="Times New Roman" w:cs="Times New Roman"/>
                <w:b/>
                <w:bCs/>
                <w:w w:val="99"/>
                <w:sz w:val="15"/>
                <w:szCs w:val="15"/>
              </w:rPr>
              <w:t>2012</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7"/>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6"/>
              <w:jc w:val="right"/>
              <w:rPr>
                <w:rFonts w:ascii="Times New Roman" w:hAnsi="Times New Roman" w:cs="Times New Roman"/>
                <w:sz w:val="24"/>
                <w:szCs w:val="24"/>
              </w:rPr>
            </w:pPr>
            <w:r>
              <w:rPr>
                <w:rFonts w:ascii="Times New Roman" w:hAnsi="Times New Roman" w:cs="Times New Roman"/>
                <w:b/>
                <w:bCs/>
                <w:sz w:val="15"/>
                <w:szCs w:val="15"/>
              </w:rPr>
              <w:t>2013</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b/>
                <w:bCs/>
                <w:sz w:val="15"/>
                <w:szCs w:val="15"/>
              </w:rPr>
              <w:t>2012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50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7"/>
        </w:trPr>
        <w:tc>
          <w:tcPr>
            <w:tcW w:w="50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6" w:lineRule="exact"/>
              <w:ind w:left="60"/>
              <w:rPr>
                <w:rFonts w:ascii="Times New Roman" w:hAnsi="Times New Roman" w:cs="Times New Roman"/>
                <w:sz w:val="24"/>
                <w:szCs w:val="24"/>
              </w:rPr>
            </w:pPr>
            <w:r>
              <w:rPr>
                <w:rFonts w:ascii="Times New Roman" w:hAnsi="Times New Roman" w:cs="Times New Roman"/>
                <w:b/>
                <w:bCs/>
                <w:sz w:val="19"/>
                <w:szCs w:val="19"/>
              </w:rPr>
              <w:t>AMOUNTS RE</w:t>
            </w:r>
            <w:r>
              <w:rPr>
                <w:rFonts w:ascii="Times New Roman" w:hAnsi="Times New Roman" w:cs="Times New Roman"/>
                <w:b/>
                <w:bCs/>
                <w:sz w:val="19"/>
                <w:szCs w:val="19"/>
              </w:rPr>
              <w:t>COGNIZED IN NET PERIODIC BENEFIT</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2"/>
        </w:trPr>
        <w:tc>
          <w:tcPr>
            <w:tcW w:w="50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COST</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Service cost</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298</w:t>
            </w:r>
          </w:p>
        </w:tc>
        <w:tc>
          <w:tcPr>
            <w:tcW w:w="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300</w:t>
            </w:r>
          </w:p>
        </w:tc>
        <w:tc>
          <w:tcPr>
            <w:tcW w:w="2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sz w:val="19"/>
                <w:szCs w:val="19"/>
              </w:rPr>
              <w:t>$</w:t>
            </w: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267</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149</w:t>
            </w:r>
          </w:p>
        </w:tc>
        <w:tc>
          <w:tcPr>
            <w:tcW w:w="2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190</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142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Interest cost</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590</w:t>
            </w:r>
          </w:p>
        </w:tc>
        <w:tc>
          <w:tcPr>
            <w:tcW w:w="7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560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611</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256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260</w:t>
            </w:r>
          </w:p>
        </w:tc>
        <w:tc>
          <w:tcPr>
            <w:tcW w:w="8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276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Expected return on plan assets</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(701)</w:t>
            </w:r>
          </w:p>
        </w:tc>
        <w:tc>
          <w:tcPr>
            <w:tcW w:w="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(587)</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(573)</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(385)</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(382)</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(434)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Prior service cost /(credit) amortization</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26</w:t>
            </w:r>
          </w:p>
        </w:tc>
        <w:tc>
          <w:tcPr>
            <w:tcW w:w="7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w:t>
            </w:r>
          </w:p>
        </w:tc>
        <w:tc>
          <w:tcPr>
            <w:tcW w:w="8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actuarial loss amortization</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214</w:t>
            </w:r>
          </w:p>
        </w:tc>
        <w:tc>
          <w:tcPr>
            <w:tcW w:w="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102</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199</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Special termination benefits</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w:t>
            </w:r>
          </w:p>
        </w:tc>
        <w:tc>
          <w:tcPr>
            <w:tcW w:w="7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New Roman" w:hAnsi="Times New Roman" w:cs="Times New Roman"/>
                <w:sz w:val="19"/>
                <w:szCs w:val="19"/>
              </w:rPr>
              <w:t>—</w:t>
            </w: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w:t>
            </w:r>
          </w:p>
        </w:tc>
        <w:tc>
          <w:tcPr>
            <w:tcW w:w="8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Curtailments, settlements and other</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w:t>
            </w: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50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0"/>
        </w:trPr>
        <w:tc>
          <w:tcPr>
            <w:tcW w:w="5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GROSS BENE</w:t>
            </w:r>
            <w:r>
              <w:rPr>
                <w:rFonts w:ascii="Times New Roman" w:hAnsi="Times New Roman" w:cs="Times New Roman"/>
                <w:b/>
                <w:bCs/>
                <w:sz w:val="19"/>
                <w:szCs w:val="19"/>
              </w:rPr>
              <w:t>FIT COST</w:t>
            </w: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432</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547</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434</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127</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265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2"/>
        </w:trPr>
        <w:tc>
          <w:tcPr>
            <w:tcW w:w="50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Dividends on ESOP preferred stock</w:t>
            </w: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(64)</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(70)</w:t>
            </w: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5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NET PERIOD</w:t>
            </w:r>
            <w:r>
              <w:rPr>
                <w:rFonts w:ascii="Times New Roman" w:hAnsi="Times New Roman" w:cs="Times New Roman"/>
                <w:b/>
                <w:bCs/>
                <w:sz w:val="19"/>
                <w:szCs w:val="19"/>
              </w:rPr>
              <w:t>IC BENEFIT COST/(CREDIT)</w:t>
            </w: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432</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547</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434</w:t>
            </w: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5"/>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50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b/>
                <w:bCs/>
                <w:sz w:val="19"/>
                <w:szCs w:val="19"/>
              </w:rPr>
              <w:t>CHANGE IN PLAN ASSETS AND BENEFIT</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5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OBLIGATIONS RECOGNIZED IN AOCI</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actuarial loss /(gain) - current year</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1,102</w:t>
            </w:r>
          </w:p>
        </w:tc>
        <w:tc>
          <w:tcPr>
            <w:tcW w:w="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264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215</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97"/>
                <w:sz w:val="19"/>
                <w:szCs w:val="19"/>
              </w:rPr>
              <w:t>(1,594)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Prior service cost/(credit) - current year</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w:t>
            </w:r>
          </w:p>
        </w:tc>
        <w:tc>
          <w:tcPr>
            <w:tcW w:w="7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Amortization of net actuarial loss</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(214)</w:t>
            </w:r>
          </w:p>
        </w:tc>
        <w:tc>
          <w:tcPr>
            <w:tcW w:w="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Amortization of prior service (cost) / credit</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(26)</w:t>
            </w:r>
          </w:p>
        </w:tc>
        <w:tc>
          <w:tcPr>
            <w:tcW w:w="7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Settlement / curtailment cost</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5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5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Currency translation and other</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245</w:t>
            </w:r>
          </w:p>
        </w:tc>
        <w:tc>
          <w:tcPr>
            <w:tcW w:w="7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5"/>
        </w:trPr>
        <w:tc>
          <w:tcPr>
            <w:tcW w:w="504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 CHANGE IN AOCI</w:t>
            </w:r>
          </w:p>
        </w:tc>
        <w:tc>
          <w:tcPr>
            <w:tcW w:w="7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1,111</w:t>
            </w:r>
          </w:p>
        </w:tc>
        <w:tc>
          <w:tcPr>
            <w:tcW w:w="6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131</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6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2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2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114</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97"/>
                <w:sz w:val="19"/>
                <w:szCs w:val="19"/>
              </w:rPr>
              <w:t>(1,772)</w:t>
            </w:r>
          </w:p>
        </w:tc>
        <w:tc>
          <w:tcPr>
            <w:tcW w:w="8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9"/>
        </w:trPr>
        <w:tc>
          <w:tcPr>
            <w:tcW w:w="50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8" w:lineRule="exact"/>
              <w:ind w:left="60"/>
              <w:rPr>
                <w:rFonts w:ascii="Times New Roman" w:hAnsi="Times New Roman" w:cs="Times New Roman"/>
                <w:sz w:val="24"/>
                <w:szCs w:val="24"/>
              </w:rPr>
            </w:pPr>
            <w:r>
              <w:rPr>
                <w:rFonts w:ascii="Times New Roman" w:hAnsi="Times New Roman" w:cs="Times New Roman"/>
                <w:b/>
                <w:bCs/>
                <w:sz w:val="19"/>
                <w:szCs w:val="19"/>
              </w:rPr>
              <w:t>NET AMOUNTS RECOGNIZED IN PERIODIC BENEFIT</w:t>
            </w:r>
          </w:p>
        </w:tc>
        <w:tc>
          <w:tcPr>
            <w:tcW w:w="7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1,543</w:t>
            </w:r>
          </w:p>
        </w:tc>
        <w:tc>
          <w:tcPr>
            <w:tcW w:w="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678</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177</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97"/>
                <w:sz w:val="19"/>
                <w:szCs w:val="19"/>
              </w:rPr>
              <w:t>(1,577)</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8"/>
        </w:trPr>
        <w:tc>
          <w:tcPr>
            <w:tcW w:w="5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COST AND AOCI</w:t>
            </w:r>
          </w:p>
        </w:tc>
        <w:tc>
          <w:tcPr>
            <w:tcW w:w="72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34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520"/>
        <w:rPr>
          <w:rFonts w:ascii="Times New Roman" w:hAnsi="Times New Roman" w:cs="Times New Roman"/>
          <w:sz w:val="24"/>
          <w:szCs w:val="24"/>
        </w:rPr>
      </w:pPr>
      <w:r>
        <w:rPr>
          <w:rFonts w:ascii="Times New Roman" w:hAnsi="Times New Roman" w:cs="Times New Roman"/>
          <w:sz w:val="19"/>
          <w:szCs w:val="19"/>
        </w:rPr>
        <w:t>Amounts expected to be amortized from AOCI into net periodic benefit cost during the year ending June 30, 2015, ar</w:t>
      </w:r>
      <w:r>
        <w:rPr>
          <w:rFonts w:ascii="Times New Roman" w:hAnsi="Times New Roman" w:cs="Times New Roman"/>
          <w:sz w:val="19"/>
          <w:szCs w:val="19"/>
        </w:rPr>
        <w:t>e as follows:</w:t>
      </w:r>
    </w:p>
    <w:p w:rsidR="00000000" w:rsidRDefault="0057438D">
      <w:pPr>
        <w:pStyle w:val="DefaultParagraphFont"/>
        <w:widowControl w:val="0"/>
        <w:autoSpaceDE w:val="0"/>
        <w:autoSpaceDN w:val="0"/>
        <w:adjustRightInd w:val="0"/>
        <w:spacing w:after="0" w:line="9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6760"/>
        <w:gridCol w:w="520"/>
        <w:gridCol w:w="740"/>
        <w:gridCol w:w="100"/>
        <w:gridCol w:w="720"/>
        <w:gridCol w:w="940"/>
      </w:tblGrid>
      <w:tr w:rsidR="00000000">
        <w:tblPrEx>
          <w:tblCellMar>
            <w:top w:w="0" w:type="dxa"/>
            <w:left w:w="0" w:type="dxa"/>
            <w:bottom w:w="0" w:type="dxa"/>
            <w:right w:w="0" w:type="dxa"/>
          </w:tblCellMar>
        </w:tblPrEx>
        <w:trPr>
          <w:trHeight w:val="188"/>
        </w:trPr>
        <w:tc>
          <w:tcPr>
            <w:tcW w:w="67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6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5"/>
                <w:szCs w:val="15"/>
              </w:rPr>
              <w:t>Pension Benefits</w:t>
            </w:r>
          </w:p>
        </w:tc>
        <w:tc>
          <w:tcPr>
            <w:tcW w:w="1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66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5"/>
                <w:szCs w:val="15"/>
              </w:rPr>
              <w:t>Other Retiree Benefits</w:t>
            </w:r>
          </w:p>
        </w:tc>
      </w:tr>
      <w:tr w:rsidR="00000000">
        <w:tblPrEx>
          <w:tblCellMar>
            <w:top w:w="0" w:type="dxa"/>
            <w:left w:w="0" w:type="dxa"/>
            <w:bottom w:w="0" w:type="dxa"/>
            <w:right w:w="0" w:type="dxa"/>
          </w:tblCellMar>
        </w:tblPrEx>
        <w:trPr>
          <w:trHeight w:val="257"/>
        </w:trPr>
        <w:tc>
          <w:tcPr>
            <w:tcW w:w="6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actuarial loss</w:t>
            </w:r>
          </w:p>
        </w:tc>
        <w:tc>
          <w:tcPr>
            <w:tcW w:w="5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94"/>
              <w:jc w:val="right"/>
              <w:rPr>
                <w:rFonts w:ascii="Times New Roman" w:hAnsi="Times New Roman" w:cs="Times New Roman"/>
                <w:sz w:val="24"/>
                <w:szCs w:val="24"/>
              </w:rPr>
            </w:pPr>
            <w:r>
              <w:rPr>
                <w:rFonts w:ascii="Times New Roman" w:hAnsi="Times New Roman" w:cs="Times New Roman"/>
                <w:sz w:val="19"/>
                <w:szCs w:val="19"/>
              </w:rPr>
              <w:t>$</w:t>
            </w:r>
          </w:p>
        </w:tc>
        <w:tc>
          <w:tcPr>
            <w:tcW w:w="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299</w:t>
            </w:r>
          </w:p>
        </w:tc>
        <w:tc>
          <w:tcPr>
            <w:tcW w:w="1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94"/>
              <w:jc w:val="right"/>
              <w:rPr>
                <w:rFonts w:ascii="Times New Roman" w:hAnsi="Times New Roman" w:cs="Times New Roman"/>
                <w:sz w:val="24"/>
                <w:szCs w:val="24"/>
              </w:rPr>
            </w:pPr>
            <w:r>
              <w:rPr>
                <w:rFonts w:ascii="Times New Roman" w:hAnsi="Times New Roman" w:cs="Times New Roman"/>
                <w:sz w:val="19"/>
                <w:szCs w:val="19"/>
              </w:rPr>
              <w:t>$</w:t>
            </w: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106</w:t>
            </w:r>
          </w:p>
        </w:tc>
      </w:tr>
      <w:tr w:rsidR="00000000">
        <w:tblPrEx>
          <w:tblCellMar>
            <w:top w:w="0" w:type="dxa"/>
            <w:left w:w="0" w:type="dxa"/>
            <w:bottom w:w="0" w:type="dxa"/>
            <w:right w:w="0" w:type="dxa"/>
          </w:tblCellMar>
        </w:tblPrEx>
        <w:trPr>
          <w:trHeight w:val="251"/>
        </w:trPr>
        <w:tc>
          <w:tcPr>
            <w:tcW w:w="6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Prior service cost/(credit)</w:t>
            </w: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31</w:t>
            </w: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w:t>
            </w:r>
          </w:p>
        </w:tc>
      </w:tr>
    </w:tbl>
    <w:p w:rsidR="00000000" w:rsidRDefault="0057438D">
      <w:pPr>
        <w:pStyle w:val="DefaultParagraphFont"/>
        <w:widowControl w:val="0"/>
        <w:autoSpaceDE w:val="0"/>
        <w:autoSpaceDN w:val="0"/>
        <w:adjustRightInd w:val="0"/>
        <w:spacing w:after="0" w:line="15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79" w:lineRule="auto"/>
        <w:ind w:left="20" w:right="460"/>
        <w:jc w:val="both"/>
        <w:rPr>
          <w:rFonts w:ascii="Times New Roman" w:hAnsi="Times New Roman" w:cs="Times New Roman"/>
          <w:sz w:val="24"/>
          <w:szCs w:val="24"/>
        </w:rPr>
      </w:pPr>
      <w:r>
        <w:rPr>
          <w:rFonts w:ascii="Times New Roman" w:hAnsi="Times New Roman" w:cs="Times New Roman"/>
          <w:b/>
          <w:bCs/>
          <w:i/>
          <w:iCs/>
          <w:sz w:val="19"/>
          <w:szCs w:val="19"/>
        </w:rPr>
        <w:t xml:space="preserve">Assumptions. </w:t>
      </w:r>
      <w:r>
        <w:rPr>
          <w:rFonts w:ascii="Times New Roman" w:hAnsi="Times New Roman" w:cs="Times New Roman"/>
          <w:sz w:val="19"/>
          <w:szCs w:val="19"/>
        </w:rPr>
        <w:t>We determine our actuarial assumptions on an annual basis. These assumptions are weighted to reflect each</w:t>
      </w:r>
      <w:r>
        <w:rPr>
          <w:rFonts w:ascii="Times New Roman" w:hAnsi="Times New Roman" w:cs="Times New Roman"/>
          <w:b/>
          <w:bCs/>
          <w:i/>
          <w:iCs/>
          <w:sz w:val="19"/>
          <w:szCs w:val="19"/>
        </w:rPr>
        <w:t xml:space="preserve"> </w:t>
      </w:r>
      <w:r>
        <w:rPr>
          <w:rFonts w:ascii="Times New Roman" w:hAnsi="Times New Roman" w:cs="Times New Roman"/>
          <w:sz w:val="19"/>
          <w:szCs w:val="19"/>
        </w:rPr>
        <w:t>country that may have an impact on the cost of providing retirement benefits. The weighted average assumptions used to determine benefit obligations recorded on the Consolidated Balance Sheets as of June 30, were as follows</w:t>
      </w:r>
      <w:r>
        <w:rPr>
          <w:rFonts w:ascii="Times New Roman" w:hAnsi="Times New Roman" w:cs="Times New Roman"/>
          <w:sz w:val="24"/>
          <w:szCs w:val="24"/>
          <w:vertAlign w:val="superscript"/>
        </w:rPr>
        <w:t>(1)</w:t>
      </w:r>
      <w:r>
        <w:rPr>
          <w:rFonts w:ascii="Times New Roman" w:hAnsi="Times New Roman" w:cs="Times New Roman"/>
          <w:sz w:val="19"/>
          <w:szCs w:val="19"/>
        </w:rPr>
        <w:t>:</w:t>
      </w:r>
    </w:p>
    <w:p w:rsidR="00000000" w:rsidRDefault="0057438D">
      <w:pPr>
        <w:pStyle w:val="DefaultParagraphFont"/>
        <w:widowControl w:val="0"/>
        <w:autoSpaceDE w:val="0"/>
        <w:autoSpaceDN w:val="0"/>
        <w:adjustRightInd w:val="0"/>
        <w:spacing w:after="0" w:line="37" w:lineRule="exact"/>
        <w:rPr>
          <w:rFonts w:ascii="Times New Roman" w:hAnsi="Times New Roman" w:cs="Times New Roman"/>
          <w:sz w:val="24"/>
          <w:szCs w:val="24"/>
        </w:rPr>
      </w:pPr>
    </w:p>
    <w:tbl>
      <w:tblPr>
        <w:tblW w:w="0" w:type="auto"/>
        <w:tblInd w:w="40" w:type="dxa"/>
        <w:tblLayout w:type="fixed"/>
        <w:tblCellMar>
          <w:left w:w="0" w:type="dxa"/>
          <w:right w:w="0" w:type="dxa"/>
        </w:tblCellMar>
        <w:tblLook w:val="0000" w:firstRow="0" w:lastRow="0" w:firstColumn="0" w:lastColumn="0" w:noHBand="0" w:noVBand="0"/>
      </w:tblPr>
      <w:tblGrid>
        <w:gridCol w:w="6480"/>
        <w:gridCol w:w="720"/>
        <w:gridCol w:w="80"/>
        <w:gridCol w:w="720"/>
        <w:gridCol w:w="100"/>
        <w:gridCol w:w="760"/>
        <w:gridCol w:w="80"/>
        <w:gridCol w:w="760"/>
      </w:tblGrid>
      <w:tr w:rsidR="00000000">
        <w:tblPrEx>
          <w:tblCellMar>
            <w:top w:w="0" w:type="dxa"/>
            <w:left w:w="0" w:type="dxa"/>
            <w:bottom w:w="0" w:type="dxa"/>
            <w:right w:w="0" w:type="dxa"/>
          </w:tblCellMar>
        </w:tblPrEx>
        <w:trPr>
          <w:trHeight w:val="203"/>
        </w:trPr>
        <w:tc>
          <w:tcPr>
            <w:tcW w:w="64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2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b/>
                <w:bCs/>
                <w:sz w:val="15"/>
                <w:szCs w:val="15"/>
              </w:rPr>
              <w:t>Pension Benefits</w:t>
            </w:r>
          </w:p>
        </w:tc>
        <w:tc>
          <w:tcPr>
            <w:tcW w:w="160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Other Retiree Benefits</w:t>
            </w:r>
          </w:p>
        </w:tc>
      </w:tr>
      <w:tr w:rsidR="00000000">
        <w:tblPrEx>
          <w:tblCellMar>
            <w:top w:w="0" w:type="dxa"/>
            <w:left w:w="0" w:type="dxa"/>
            <w:bottom w:w="0" w:type="dxa"/>
            <w:right w:w="0" w:type="dxa"/>
          </w:tblCellMar>
        </w:tblPrEx>
        <w:trPr>
          <w:trHeight w:val="25"/>
        </w:trPr>
        <w:tc>
          <w:tcPr>
            <w:tcW w:w="64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64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0"/>
              <w:jc w:val="right"/>
              <w:rPr>
                <w:rFonts w:ascii="Times New Roman" w:hAnsi="Times New Roman" w:cs="Times New Roman"/>
                <w:sz w:val="24"/>
                <w:szCs w:val="24"/>
              </w:rPr>
            </w:pPr>
            <w:r>
              <w:rPr>
                <w:rFonts w:ascii="Times New Roman" w:hAnsi="Times New Roman" w:cs="Times New Roman"/>
                <w:b/>
                <w:bCs/>
                <w:sz w:val="15"/>
                <w:szCs w:val="15"/>
              </w:rPr>
              <w:t>2014</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b/>
                <w:bCs/>
                <w:sz w:val="15"/>
                <w:szCs w:val="15"/>
              </w:rPr>
              <w:t>2013</w:t>
            </w: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50"/>
              <w:jc w:val="right"/>
              <w:rPr>
                <w:rFonts w:ascii="Times New Roman" w:hAnsi="Times New Roman" w:cs="Times New Roman"/>
                <w:sz w:val="24"/>
                <w:szCs w:val="24"/>
              </w:rPr>
            </w:pPr>
            <w:r>
              <w:rPr>
                <w:rFonts w:ascii="Times New Roman" w:hAnsi="Times New Roman" w:cs="Times New Roman"/>
                <w:b/>
                <w:bCs/>
                <w:sz w:val="15"/>
                <w:szCs w:val="15"/>
              </w:rPr>
              <w:t>2014</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b/>
                <w:bCs/>
                <w:sz w:val="15"/>
                <w:szCs w:val="15"/>
              </w:rPr>
              <w:t>2013</w:t>
            </w:r>
          </w:p>
        </w:tc>
      </w:tr>
      <w:tr w:rsidR="00000000">
        <w:tblPrEx>
          <w:tblCellMar>
            <w:top w:w="0" w:type="dxa"/>
            <w:left w:w="0" w:type="dxa"/>
            <w:bottom w:w="0" w:type="dxa"/>
            <w:right w:w="0" w:type="dxa"/>
          </w:tblCellMar>
        </w:tblPrEx>
        <w:trPr>
          <w:trHeight w:val="25"/>
        </w:trPr>
        <w:tc>
          <w:tcPr>
            <w:tcW w:w="64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8"/>
        </w:trPr>
        <w:tc>
          <w:tcPr>
            <w:tcW w:w="64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Discount rate</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3.5%</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4.0%</w:t>
            </w:r>
          </w:p>
        </w:tc>
        <w:tc>
          <w:tcPr>
            <w:tcW w:w="1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4.4%</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4.8%</w:t>
            </w:r>
          </w:p>
        </w:tc>
      </w:tr>
      <w:tr w:rsidR="00000000">
        <w:tblPrEx>
          <w:tblCellMar>
            <w:top w:w="0" w:type="dxa"/>
            <w:left w:w="0" w:type="dxa"/>
            <w:bottom w:w="0" w:type="dxa"/>
            <w:right w:w="0" w:type="dxa"/>
          </w:tblCellMar>
        </w:tblPrEx>
        <w:trPr>
          <w:trHeight w:val="248"/>
        </w:trPr>
        <w:tc>
          <w:tcPr>
            <w:tcW w:w="64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Rate of compensation increase</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3.2%</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3.2%</w:t>
            </w: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r>
      <w:tr w:rsidR="00000000">
        <w:tblPrEx>
          <w:tblCellMar>
            <w:top w:w="0" w:type="dxa"/>
            <w:left w:w="0" w:type="dxa"/>
            <w:bottom w:w="0" w:type="dxa"/>
            <w:right w:w="0" w:type="dxa"/>
          </w:tblCellMar>
        </w:tblPrEx>
        <w:trPr>
          <w:trHeight w:val="248"/>
        </w:trPr>
        <w:tc>
          <w:tcPr>
            <w:tcW w:w="64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Health care cost trend rates assumed for next year</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2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sz w:val="19"/>
                <w:szCs w:val="19"/>
              </w:rPr>
              <w:t>—%</w:t>
            </w: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6.8%</w:t>
            </w:r>
          </w:p>
        </w:tc>
        <w:tc>
          <w:tcPr>
            <w:tcW w:w="84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7.3%</w:t>
            </w:r>
          </w:p>
        </w:tc>
      </w:tr>
      <w:tr w:rsidR="00000000">
        <w:tblPrEx>
          <w:tblCellMar>
            <w:top w:w="0" w:type="dxa"/>
            <w:left w:w="0" w:type="dxa"/>
            <w:bottom w:w="0" w:type="dxa"/>
            <w:right w:w="0" w:type="dxa"/>
          </w:tblCellMar>
        </w:tblPrEx>
        <w:trPr>
          <w:trHeight w:val="248"/>
        </w:trPr>
        <w:tc>
          <w:tcPr>
            <w:tcW w:w="64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Rate to which the health care cost trend rate is assumed to decline (ultimate trend rate)</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sz w:val="19"/>
                <w:szCs w:val="19"/>
              </w:rPr>
              <w:t>—%</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5.0%</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5.0%</w:t>
            </w:r>
          </w:p>
        </w:tc>
      </w:tr>
      <w:tr w:rsidR="00000000">
        <w:tblPrEx>
          <w:tblCellMar>
            <w:top w:w="0" w:type="dxa"/>
            <w:left w:w="0" w:type="dxa"/>
            <w:bottom w:w="0" w:type="dxa"/>
            <w:right w:w="0" w:type="dxa"/>
          </w:tblCellMar>
        </w:tblPrEx>
        <w:trPr>
          <w:trHeight w:val="248"/>
        </w:trPr>
        <w:tc>
          <w:tcPr>
            <w:tcW w:w="64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Year that the rate reaches the ultimate trend rate</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N/A</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2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sz w:val="19"/>
                <w:szCs w:val="19"/>
              </w:rPr>
              <w:t>N/A</w:t>
            </w: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2021</w:t>
            </w:r>
          </w:p>
        </w:tc>
        <w:tc>
          <w:tcPr>
            <w:tcW w:w="84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2020</w:t>
            </w:r>
          </w:p>
        </w:tc>
      </w:tr>
    </w:tbl>
    <w:p w:rsidR="00000000" w:rsidRDefault="0057438D">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57438D">
      <w:pPr>
        <w:pStyle w:val="DefaultParagraphFont"/>
        <w:widowControl w:val="0"/>
        <w:numPr>
          <w:ilvl w:val="0"/>
          <w:numId w:val="20"/>
        </w:numPr>
        <w:tabs>
          <w:tab w:val="clear" w:pos="720"/>
          <w:tab w:val="num" w:pos="360"/>
        </w:tabs>
        <w:overflowPunct w:val="0"/>
        <w:autoSpaceDE w:val="0"/>
        <w:autoSpaceDN w:val="0"/>
        <w:adjustRightInd w:val="0"/>
        <w:spacing w:after="0" w:line="240" w:lineRule="auto"/>
        <w:ind w:left="360" w:hanging="345"/>
        <w:jc w:val="both"/>
        <w:rPr>
          <w:rFonts w:ascii="Times New Roman" w:hAnsi="Times New Roman" w:cs="Times New Roman"/>
          <w:sz w:val="25"/>
          <w:szCs w:val="25"/>
          <w:vertAlign w:val="superscript"/>
        </w:rPr>
      </w:pPr>
      <w:r>
        <w:rPr>
          <w:rFonts w:ascii="Times New Roman" w:hAnsi="Times New Roman" w:cs="Times New Roman"/>
          <w:sz w:val="17"/>
          <w:szCs w:val="17"/>
        </w:rPr>
        <w:t>Determined as of end of year.</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00" w:bottom="346" w:left="840" w:header="720" w:footer="720" w:gutter="0"/>
          <w:cols w:space="720" w:equalWidth="0">
            <w:col w:w="97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5620" w:bottom="346" w:left="860" w:header="720" w:footer="720" w:gutter="0"/>
          <w:cols w:space="720" w:equalWidth="0">
            <w:col w:w="504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69</w:t>
      </w: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7" w:lineRule="auto"/>
        <w:ind w:left="20" w:right="160"/>
        <w:rPr>
          <w:rFonts w:ascii="Times New Roman" w:hAnsi="Times New Roman" w:cs="Times New Roman"/>
          <w:sz w:val="24"/>
          <w:szCs w:val="24"/>
        </w:rPr>
      </w:pPr>
      <w:r>
        <w:rPr>
          <w:rFonts w:ascii="Times New Roman" w:hAnsi="Times New Roman" w:cs="Times New Roman"/>
          <w:sz w:val="19"/>
          <w:szCs w:val="19"/>
        </w:rPr>
        <w:t>The weighted average assumptions used to determine net benefit cost recorded on the Consolidated Statement of Ear</w:t>
      </w:r>
      <w:r>
        <w:rPr>
          <w:rFonts w:ascii="Times New Roman" w:hAnsi="Times New Roman" w:cs="Times New Roman"/>
          <w:sz w:val="19"/>
          <w:szCs w:val="19"/>
        </w:rPr>
        <w:t>nings for the years ended June 30, were as follows</w:t>
      </w:r>
      <w:r>
        <w:rPr>
          <w:rFonts w:ascii="Times New Roman" w:hAnsi="Times New Roman" w:cs="Times New Roman"/>
          <w:sz w:val="24"/>
          <w:szCs w:val="24"/>
          <w:vertAlign w:val="superscript"/>
        </w:rPr>
        <w:t>(2)</w:t>
      </w:r>
      <w:r>
        <w:rPr>
          <w:rFonts w:ascii="Times New Roman" w:hAnsi="Times New Roman" w:cs="Times New Roman"/>
          <w:sz w:val="19"/>
          <w:szCs w:val="19"/>
        </w:rPr>
        <w:t>:</w:t>
      </w:r>
    </w:p>
    <w:p w:rsidR="00000000" w:rsidRDefault="0057438D">
      <w:pPr>
        <w:pStyle w:val="DefaultParagraphFont"/>
        <w:widowControl w:val="0"/>
        <w:autoSpaceDE w:val="0"/>
        <w:autoSpaceDN w:val="0"/>
        <w:adjustRightInd w:val="0"/>
        <w:spacing w:after="0" w:line="5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380"/>
        <w:gridCol w:w="660"/>
        <w:gridCol w:w="80"/>
        <w:gridCol w:w="640"/>
        <w:gridCol w:w="80"/>
        <w:gridCol w:w="140"/>
        <w:gridCol w:w="500"/>
        <w:gridCol w:w="200"/>
        <w:gridCol w:w="640"/>
        <w:gridCol w:w="80"/>
        <w:gridCol w:w="660"/>
        <w:gridCol w:w="80"/>
        <w:gridCol w:w="640"/>
      </w:tblGrid>
      <w:tr w:rsidR="00000000">
        <w:tblPrEx>
          <w:tblCellMar>
            <w:top w:w="0" w:type="dxa"/>
            <w:left w:w="0" w:type="dxa"/>
            <w:bottom w:w="0" w:type="dxa"/>
            <w:right w:w="0" w:type="dxa"/>
          </w:tblCellMar>
        </w:tblPrEx>
        <w:trPr>
          <w:trHeight w:val="203"/>
        </w:trPr>
        <w:tc>
          <w:tcPr>
            <w:tcW w:w="5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20"/>
              <w:rPr>
                <w:rFonts w:ascii="Times New Roman" w:hAnsi="Times New Roman" w:cs="Times New Roman"/>
                <w:sz w:val="24"/>
                <w:szCs w:val="24"/>
              </w:rPr>
            </w:pPr>
            <w:r>
              <w:rPr>
                <w:rFonts w:ascii="Times New Roman" w:hAnsi="Times New Roman" w:cs="Times New Roman"/>
                <w:b/>
                <w:bCs/>
                <w:sz w:val="15"/>
                <w:szCs w:val="15"/>
              </w:rPr>
              <w:t>Pension Benefits</w:t>
            </w:r>
          </w:p>
        </w:tc>
        <w:tc>
          <w:tcPr>
            <w:tcW w:w="5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10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Times New Roman" w:hAnsi="Times New Roman" w:cs="Times New Roman"/>
                <w:b/>
                <w:bCs/>
                <w:sz w:val="15"/>
                <w:szCs w:val="15"/>
              </w:rPr>
              <w:t>Other Retiree Benefits</w:t>
            </w:r>
          </w:p>
        </w:tc>
      </w:tr>
      <w:tr w:rsidR="00000000">
        <w:tblPrEx>
          <w:tblCellMar>
            <w:top w:w="0" w:type="dxa"/>
            <w:left w:w="0" w:type="dxa"/>
            <w:bottom w:w="0" w:type="dxa"/>
            <w:right w:w="0" w:type="dxa"/>
          </w:tblCellMar>
        </w:tblPrEx>
        <w:trPr>
          <w:trHeight w:val="25"/>
        </w:trPr>
        <w:tc>
          <w:tcPr>
            <w:tcW w:w="5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1"/>
        </w:trPr>
        <w:tc>
          <w:tcPr>
            <w:tcW w:w="5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2"/>
              <w:jc w:val="right"/>
              <w:rPr>
                <w:rFonts w:ascii="Times New Roman" w:hAnsi="Times New Roman" w:cs="Times New Roman"/>
                <w:sz w:val="24"/>
                <w:szCs w:val="24"/>
              </w:rPr>
            </w:pPr>
            <w:r>
              <w:rPr>
                <w:rFonts w:ascii="Times New Roman" w:hAnsi="Times New Roman" w:cs="Times New Roman"/>
                <w:b/>
                <w:bCs/>
                <w:sz w:val="15"/>
                <w:szCs w:val="15"/>
              </w:rPr>
              <w:t>2014</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9"/>
              <w:jc w:val="right"/>
              <w:rPr>
                <w:rFonts w:ascii="Times New Roman" w:hAnsi="Times New Roman" w:cs="Times New Roman"/>
                <w:sz w:val="24"/>
                <w:szCs w:val="24"/>
              </w:rPr>
            </w:pPr>
            <w:r>
              <w:rPr>
                <w:rFonts w:ascii="Times New Roman" w:hAnsi="Times New Roman" w:cs="Times New Roman"/>
                <w:b/>
                <w:bCs/>
                <w:w w:val="99"/>
                <w:sz w:val="15"/>
                <w:szCs w:val="15"/>
              </w:rPr>
              <w:t>2012</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1"/>
              <w:jc w:val="right"/>
              <w:rPr>
                <w:rFonts w:ascii="Times New Roman" w:hAnsi="Times New Roman" w:cs="Times New Roman"/>
                <w:sz w:val="24"/>
                <w:szCs w:val="24"/>
              </w:rPr>
            </w:pPr>
            <w:r>
              <w:rPr>
                <w:rFonts w:ascii="Times New Roman" w:hAnsi="Times New Roman" w:cs="Times New Roman"/>
                <w:b/>
                <w:bCs/>
                <w:sz w:val="15"/>
                <w:szCs w:val="15"/>
              </w:rPr>
              <w:t>2014</w:t>
            </w:r>
          </w:p>
        </w:tc>
        <w:tc>
          <w:tcPr>
            <w:tcW w:w="7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5"/>
                <w:szCs w:val="15"/>
              </w:rPr>
              <w:t>2013</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5"/>
                <w:szCs w:val="15"/>
              </w:rPr>
              <w:t>2012</w:t>
            </w:r>
          </w:p>
        </w:tc>
      </w:tr>
      <w:tr w:rsidR="00000000">
        <w:tblPrEx>
          <w:tblCellMar>
            <w:top w:w="0" w:type="dxa"/>
            <w:left w:w="0" w:type="dxa"/>
            <w:bottom w:w="0" w:type="dxa"/>
            <w:right w:w="0" w:type="dxa"/>
          </w:tblCellMar>
        </w:tblPrEx>
        <w:trPr>
          <w:trHeight w:val="25"/>
        </w:trPr>
        <w:tc>
          <w:tcPr>
            <w:tcW w:w="53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53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Discount rate</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5.3%</w:t>
            </w:r>
          </w:p>
        </w:tc>
        <w:tc>
          <w:tcPr>
            <w:tcW w:w="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4.8%</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4.3%</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5.7%</w:t>
            </w:r>
          </w:p>
        </w:tc>
      </w:tr>
      <w:tr w:rsidR="00000000">
        <w:tblPrEx>
          <w:tblCellMar>
            <w:top w:w="0" w:type="dxa"/>
            <w:left w:w="0" w:type="dxa"/>
            <w:bottom w:w="0" w:type="dxa"/>
            <w:right w:w="0" w:type="dxa"/>
          </w:tblCellMar>
        </w:tblPrEx>
        <w:trPr>
          <w:trHeight w:val="255"/>
        </w:trPr>
        <w:tc>
          <w:tcPr>
            <w:tcW w:w="5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Expected return on plan assets</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7.2%</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7.4%</w:t>
            </w:r>
          </w:p>
        </w:tc>
        <w:tc>
          <w:tcPr>
            <w:tcW w:w="8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8.3%</w:t>
            </w:r>
          </w:p>
        </w:tc>
        <w:tc>
          <w:tcPr>
            <w:tcW w:w="7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8.3%</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9.2%</w:t>
            </w:r>
          </w:p>
        </w:tc>
      </w:tr>
      <w:tr w:rsidR="00000000">
        <w:tblPrEx>
          <w:tblCellMar>
            <w:top w:w="0" w:type="dxa"/>
            <w:left w:w="0" w:type="dxa"/>
            <w:bottom w:w="0" w:type="dxa"/>
            <w:right w:w="0" w:type="dxa"/>
          </w:tblCellMar>
        </w:tblPrEx>
        <w:trPr>
          <w:trHeight w:val="31"/>
        </w:trPr>
        <w:tc>
          <w:tcPr>
            <w:tcW w:w="5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53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8"/>
                <w:szCs w:val="18"/>
              </w:rPr>
              <w:t>Rate of compensation increase</w:t>
            </w: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3.2%</w:t>
            </w:r>
          </w:p>
        </w:tc>
        <w:tc>
          <w:tcPr>
            <w:tcW w:w="72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3.3%</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3.5%</w:t>
            </w: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r>
      <w:tr w:rsidR="00000000">
        <w:tblPrEx>
          <w:tblCellMar>
            <w:top w:w="0" w:type="dxa"/>
            <w:left w:w="0" w:type="dxa"/>
            <w:bottom w:w="0" w:type="dxa"/>
            <w:right w:w="0" w:type="dxa"/>
          </w:tblCellMar>
        </w:tblPrEx>
        <w:trPr>
          <w:trHeight w:val="31"/>
        </w:trPr>
        <w:tc>
          <w:tcPr>
            <w:tcW w:w="53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82" w:lineRule="exact"/>
        <w:rPr>
          <w:rFonts w:ascii="Times New Roman" w:hAnsi="Times New Roman" w:cs="Times New Roman"/>
          <w:sz w:val="24"/>
          <w:szCs w:val="24"/>
        </w:rPr>
      </w:pPr>
    </w:p>
    <w:p w:rsidR="00000000" w:rsidRDefault="0057438D">
      <w:pPr>
        <w:pStyle w:val="DefaultParagraphFont"/>
        <w:widowControl w:val="0"/>
        <w:numPr>
          <w:ilvl w:val="0"/>
          <w:numId w:val="21"/>
        </w:numPr>
        <w:tabs>
          <w:tab w:val="clear" w:pos="720"/>
          <w:tab w:val="num" w:pos="360"/>
        </w:tabs>
        <w:overflowPunct w:val="0"/>
        <w:autoSpaceDE w:val="0"/>
        <w:autoSpaceDN w:val="0"/>
        <w:adjustRightInd w:val="0"/>
        <w:spacing w:after="0" w:line="240" w:lineRule="auto"/>
        <w:ind w:left="360" w:hanging="345"/>
        <w:jc w:val="both"/>
        <w:rPr>
          <w:rFonts w:ascii="Times New Roman" w:hAnsi="Times New Roman" w:cs="Times New Roman"/>
          <w:sz w:val="25"/>
          <w:szCs w:val="25"/>
          <w:vertAlign w:val="superscript"/>
        </w:rPr>
      </w:pPr>
      <w:r>
        <w:rPr>
          <w:rFonts w:ascii="Times New Roman" w:hAnsi="Times New Roman" w:cs="Times New Roman"/>
          <w:sz w:val="17"/>
          <w:szCs w:val="17"/>
        </w:rPr>
        <w:t>Determined as of beginning of year and adjusted for acquisitions.</w:t>
      </w:r>
    </w:p>
    <w:p w:rsidR="00000000" w:rsidRDefault="0057438D">
      <w:pPr>
        <w:pStyle w:val="DefaultParagraphFont"/>
        <w:widowControl w:val="0"/>
        <w:autoSpaceDE w:val="0"/>
        <w:autoSpaceDN w:val="0"/>
        <w:adjustRightInd w:val="0"/>
        <w:spacing w:after="0" w:line="15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left="20" w:right="140"/>
        <w:rPr>
          <w:rFonts w:ascii="Times New Roman" w:hAnsi="Times New Roman" w:cs="Times New Roman"/>
          <w:sz w:val="24"/>
          <w:szCs w:val="24"/>
        </w:rPr>
      </w:pPr>
      <w:r>
        <w:rPr>
          <w:rFonts w:ascii="Times New Roman" w:hAnsi="Times New Roman" w:cs="Times New Roman"/>
          <w:sz w:val="19"/>
          <w:szCs w:val="19"/>
        </w:rPr>
        <w:t>Several factors are considered in developing the estimate for the long-term expected rate of return on plan assets. For the defined benefit retirement plans, these factors include historical rates of return of broad equity and bond indices and projected lo</w:t>
      </w:r>
      <w:r>
        <w:rPr>
          <w:rFonts w:ascii="Times New Roman" w:hAnsi="Times New Roman" w:cs="Times New Roman"/>
          <w:sz w:val="19"/>
          <w:szCs w:val="19"/>
        </w:rPr>
        <w:t>ng-term rates of return obtained from pension investment consultants. The expected long-term rates of return for plan assets are 8 - 9% for equities and 5 - 6% for bonds. For other retiree benefit plans, the expected long-term rate of return reflects the f</w:t>
      </w:r>
      <w:r>
        <w:rPr>
          <w:rFonts w:ascii="Times New Roman" w:hAnsi="Times New Roman" w:cs="Times New Roman"/>
          <w:sz w:val="19"/>
          <w:szCs w:val="19"/>
        </w:rPr>
        <w:t>act that the assets are comprised primarily of Company stock. The expected rate of return on Company stock is based on the long-term projected return of 8.5% and reflects the historical pattern of returns.</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120"/>
        <w:rPr>
          <w:rFonts w:ascii="Times New Roman" w:hAnsi="Times New Roman" w:cs="Times New Roman"/>
          <w:sz w:val="24"/>
          <w:szCs w:val="24"/>
        </w:rPr>
      </w:pPr>
      <w:r>
        <w:rPr>
          <w:rFonts w:ascii="Times New Roman" w:hAnsi="Times New Roman" w:cs="Times New Roman"/>
          <w:sz w:val="19"/>
          <w:szCs w:val="19"/>
        </w:rPr>
        <w:t>Assumed health care cost trend rates could have a</w:t>
      </w:r>
      <w:r>
        <w:rPr>
          <w:rFonts w:ascii="Times New Roman" w:hAnsi="Times New Roman" w:cs="Times New Roman"/>
          <w:sz w:val="19"/>
          <w:szCs w:val="19"/>
        </w:rPr>
        <w:t xml:space="preserve"> significant effect on the amounts reported for the other retiree benefit plans. A one percentage point change in assumed health care cost trend rates would have the following effects:</w:t>
      </w:r>
    </w:p>
    <w:p w:rsidR="00000000" w:rsidRDefault="0057438D">
      <w:pPr>
        <w:pStyle w:val="DefaultParagraphFont"/>
        <w:widowControl w:val="0"/>
        <w:autoSpaceDE w:val="0"/>
        <w:autoSpaceDN w:val="0"/>
        <w:adjustRightInd w:val="0"/>
        <w:spacing w:after="0" w:line="9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040"/>
        <w:gridCol w:w="160"/>
        <w:gridCol w:w="1160"/>
        <w:gridCol w:w="80"/>
        <w:gridCol w:w="160"/>
        <w:gridCol w:w="1180"/>
        <w:gridCol w:w="20"/>
      </w:tblGrid>
      <w:tr w:rsidR="00000000">
        <w:tblPrEx>
          <w:tblCellMar>
            <w:top w:w="0" w:type="dxa"/>
            <w:left w:w="0" w:type="dxa"/>
            <w:bottom w:w="0" w:type="dxa"/>
            <w:right w:w="0" w:type="dxa"/>
          </w:tblCellMar>
        </w:tblPrEx>
        <w:trPr>
          <w:trHeight w:val="172"/>
        </w:trPr>
        <w:tc>
          <w:tcPr>
            <w:tcW w:w="7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3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right="71"/>
              <w:jc w:val="right"/>
              <w:rPr>
                <w:rFonts w:ascii="Times New Roman" w:hAnsi="Times New Roman" w:cs="Times New Roman"/>
                <w:sz w:val="24"/>
                <w:szCs w:val="24"/>
              </w:rPr>
            </w:pPr>
            <w:r>
              <w:rPr>
                <w:rFonts w:ascii="Times New Roman" w:hAnsi="Times New Roman" w:cs="Times New Roman"/>
                <w:b/>
                <w:bCs/>
                <w:sz w:val="15"/>
                <w:szCs w:val="15"/>
              </w:rPr>
              <w:t>One-Percentage</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3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right="40"/>
              <w:jc w:val="center"/>
              <w:rPr>
                <w:rFonts w:ascii="Times New Roman" w:hAnsi="Times New Roman" w:cs="Times New Roman"/>
                <w:sz w:val="24"/>
                <w:szCs w:val="24"/>
              </w:rPr>
            </w:pPr>
            <w:r>
              <w:rPr>
                <w:rFonts w:ascii="Times New Roman" w:hAnsi="Times New Roman" w:cs="Times New Roman"/>
                <w:b/>
                <w:bCs/>
                <w:sz w:val="15"/>
                <w:szCs w:val="15"/>
              </w:rPr>
              <w:t>One-Percentage</w:t>
            </w:r>
          </w:p>
        </w:tc>
      </w:tr>
      <w:tr w:rsidR="00000000">
        <w:tblPrEx>
          <w:tblCellMar>
            <w:top w:w="0" w:type="dxa"/>
            <w:left w:w="0" w:type="dxa"/>
            <w:bottom w:w="0" w:type="dxa"/>
            <w:right w:w="0" w:type="dxa"/>
          </w:tblCellMar>
        </w:tblPrEx>
        <w:trPr>
          <w:trHeight w:val="203"/>
        </w:trPr>
        <w:tc>
          <w:tcPr>
            <w:tcW w:w="7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1"/>
              <w:jc w:val="right"/>
              <w:rPr>
                <w:rFonts w:ascii="Times New Roman" w:hAnsi="Times New Roman" w:cs="Times New Roman"/>
                <w:sz w:val="24"/>
                <w:szCs w:val="24"/>
              </w:rPr>
            </w:pPr>
            <w:r>
              <w:rPr>
                <w:rFonts w:ascii="Times New Roman" w:hAnsi="Times New Roman" w:cs="Times New Roman"/>
                <w:b/>
                <w:bCs/>
                <w:sz w:val="15"/>
                <w:szCs w:val="15"/>
              </w:rPr>
              <w:t>Point Increase</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2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New Roman" w:hAnsi="Times New Roman" w:cs="Times New Roman"/>
                <w:b/>
                <w:bCs/>
                <w:sz w:val="15"/>
                <w:szCs w:val="15"/>
              </w:rPr>
              <w:t>Point Decrease</w:t>
            </w:r>
          </w:p>
        </w:tc>
      </w:tr>
      <w:tr w:rsidR="00000000">
        <w:tblPrEx>
          <w:tblCellMar>
            <w:top w:w="0" w:type="dxa"/>
            <w:left w:w="0" w:type="dxa"/>
            <w:bottom w:w="0" w:type="dxa"/>
            <w:right w:w="0" w:type="dxa"/>
          </w:tblCellMar>
        </w:tblPrEx>
        <w:trPr>
          <w:trHeight w:val="21"/>
        </w:trPr>
        <w:tc>
          <w:tcPr>
            <w:tcW w:w="70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7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Effect on the total service and interest cost components</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(61)</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55"/>
        </w:trPr>
        <w:tc>
          <w:tcPr>
            <w:tcW w:w="7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Effect on the accumulated postretirement benefit obligation</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879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(696)</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bl>
    <w:p w:rsidR="00000000" w:rsidRDefault="0057438D">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left="20"/>
        <w:rPr>
          <w:rFonts w:ascii="Times New Roman" w:hAnsi="Times New Roman" w:cs="Times New Roman"/>
          <w:sz w:val="24"/>
          <w:szCs w:val="24"/>
        </w:rPr>
      </w:pPr>
      <w:r>
        <w:rPr>
          <w:rFonts w:ascii="Times New Roman" w:hAnsi="Times New Roman" w:cs="Times New Roman"/>
          <w:b/>
          <w:bCs/>
          <w:i/>
          <w:iCs/>
          <w:sz w:val="19"/>
          <w:szCs w:val="19"/>
        </w:rPr>
        <w:t xml:space="preserve">Plan Assets. </w:t>
      </w:r>
      <w:r>
        <w:rPr>
          <w:rFonts w:ascii="Times New Roman" w:hAnsi="Times New Roman" w:cs="Times New Roman"/>
          <w:sz w:val="19"/>
          <w:szCs w:val="19"/>
        </w:rPr>
        <w:t>Our investment objective for defined benefit retirement plan assets is to meet the plans' benefit obligations, while</w:t>
      </w:r>
      <w:r>
        <w:rPr>
          <w:rFonts w:ascii="Times New Roman" w:hAnsi="Times New Roman" w:cs="Times New Roman"/>
          <w:b/>
          <w:bCs/>
          <w:i/>
          <w:iCs/>
          <w:sz w:val="19"/>
          <w:szCs w:val="19"/>
        </w:rPr>
        <w:t xml:space="preserve"> </w:t>
      </w:r>
      <w:r>
        <w:rPr>
          <w:rFonts w:ascii="Times New Roman" w:hAnsi="Times New Roman" w:cs="Times New Roman"/>
          <w:sz w:val="19"/>
          <w:szCs w:val="19"/>
        </w:rPr>
        <w:t>minimizing the potential for future required Company plan contributions. The investment strategies focus on asset class diversification, li</w:t>
      </w:r>
      <w:r>
        <w:rPr>
          <w:rFonts w:ascii="Times New Roman" w:hAnsi="Times New Roman" w:cs="Times New Roman"/>
          <w:sz w:val="19"/>
          <w:szCs w:val="19"/>
        </w:rPr>
        <w:t>quidity to meet benefit payments and an appropriate balance of long-term investment return and risk. Target ranges for asset allocations are determined by matching the actuarial projections of the plans' future liabilities and benefit payments with expecte</w:t>
      </w:r>
      <w:r>
        <w:rPr>
          <w:rFonts w:ascii="Times New Roman" w:hAnsi="Times New Roman" w:cs="Times New Roman"/>
          <w:sz w:val="19"/>
          <w:szCs w:val="19"/>
        </w:rPr>
        <w:t>d long-term rates of return on the assets, taking into account investment return volatility and correlations across asset classes. Plan assets are diversified across several investment managers and are generally invested in liquid funds that are selected t</w:t>
      </w:r>
      <w:r>
        <w:rPr>
          <w:rFonts w:ascii="Times New Roman" w:hAnsi="Times New Roman" w:cs="Times New Roman"/>
          <w:sz w:val="19"/>
          <w:szCs w:val="19"/>
        </w:rPr>
        <w:t>o track broad market equity and bond indices. Investment risk is carefully controlled with plan assets rebalanced to target allocations on a periodic basis and with continual monitoring of investment managers' performance relative to the investment guideli</w:t>
      </w:r>
      <w:r>
        <w:rPr>
          <w:rFonts w:ascii="Times New Roman" w:hAnsi="Times New Roman" w:cs="Times New Roman"/>
          <w:sz w:val="19"/>
          <w:szCs w:val="19"/>
        </w:rPr>
        <w:t>nes established with each investment manager.</w:t>
      </w:r>
    </w:p>
    <w:p w:rsidR="00000000" w:rsidRDefault="0057438D">
      <w:pPr>
        <w:pStyle w:val="DefaultParagraphFont"/>
        <w:widowControl w:val="0"/>
        <w:autoSpaceDE w:val="0"/>
        <w:autoSpaceDN w:val="0"/>
        <w:adjustRightInd w:val="0"/>
        <w:spacing w:after="0" w:line="8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240"/>
        <w:rPr>
          <w:rFonts w:ascii="Times New Roman" w:hAnsi="Times New Roman" w:cs="Times New Roman"/>
          <w:sz w:val="24"/>
          <w:szCs w:val="24"/>
        </w:rPr>
      </w:pPr>
      <w:r>
        <w:rPr>
          <w:rFonts w:ascii="Times New Roman" w:hAnsi="Times New Roman" w:cs="Times New Roman"/>
          <w:sz w:val="19"/>
          <w:szCs w:val="19"/>
        </w:rPr>
        <w:t>Our target asset allocation for the year ended June 30, 2014, and actual asset allocation by asset category as of June 30, 2014 and 2013, were as follows:</w:t>
      </w:r>
    </w:p>
    <w:p w:rsidR="00000000" w:rsidRDefault="0057438D">
      <w:pPr>
        <w:pStyle w:val="DefaultParagraphFont"/>
        <w:widowControl w:val="0"/>
        <w:autoSpaceDE w:val="0"/>
        <w:autoSpaceDN w:val="0"/>
        <w:adjustRightInd w:val="0"/>
        <w:spacing w:after="0" w:line="111"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firstRow="0" w:lastRow="0" w:firstColumn="0" w:lastColumn="0" w:noHBand="0" w:noVBand="0"/>
      </w:tblPr>
      <w:tblGrid>
        <w:gridCol w:w="4060"/>
        <w:gridCol w:w="1200"/>
        <w:gridCol w:w="80"/>
        <w:gridCol w:w="1200"/>
        <w:gridCol w:w="360"/>
        <w:gridCol w:w="680"/>
        <w:gridCol w:w="60"/>
        <w:gridCol w:w="660"/>
        <w:gridCol w:w="80"/>
        <w:gridCol w:w="640"/>
        <w:gridCol w:w="80"/>
        <w:gridCol w:w="640"/>
        <w:gridCol w:w="20"/>
      </w:tblGrid>
      <w:tr w:rsidR="00000000">
        <w:tblPrEx>
          <w:tblCellMar>
            <w:top w:w="0" w:type="dxa"/>
            <w:left w:w="0" w:type="dxa"/>
            <w:bottom w:w="0" w:type="dxa"/>
            <w:right w:w="0" w:type="dxa"/>
          </w:tblCellMar>
        </w:tblPrEx>
        <w:trPr>
          <w:trHeight w:val="203"/>
        </w:trPr>
        <w:tc>
          <w:tcPr>
            <w:tcW w:w="4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84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b/>
                <w:bCs/>
                <w:sz w:val="15"/>
                <w:szCs w:val="15"/>
              </w:rPr>
              <w:t>Target Asset Allocation</w:t>
            </w:r>
          </w:p>
        </w:tc>
        <w:tc>
          <w:tcPr>
            <w:tcW w:w="2840" w:type="dxa"/>
            <w:gridSpan w:val="7"/>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5"/>
              <w:jc w:val="right"/>
              <w:rPr>
                <w:rFonts w:ascii="Times New Roman" w:hAnsi="Times New Roman" w:cs="Times New Roman"/>
                <w:sz w:val="24"/>
                <w:szCs w:val="24"/>
              </w:rPr>
            </w:pPr>
            <w:r>
              <w:rPr>
                <w:rFonts w:ascii="Times New Roman" w:hAnsi="Times New Roman" w:cs="Times New Roman"/>
                <w:b/>
                <w:bCs/>
                <w:sz w:val="15"/>
                <w:szCs w:val="15"/>
              </w:rPr>
              <w:t>Actual Asset Allocation at June 30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4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7"/>
        </w:trPr>
        <w:tc>
          <w:tcPr>
            <w:tcW w:w="4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400" w:type="dxa"/>
            <w:gridSpan w:val="3"/>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5"/>
                <w:szCs w:val="15"/>
              </w:rPr>
              <w:t>Pension Benefits</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3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7" w:lineRule="exact"/>
              <w:ind w:right="145"/>
              <w:jc w:val="right"/>
              <w:rPr>
                <w:rFonts w:ascii="Times New Roman" w:hAnsi="Times New Roman" w:cs="Times New Roman"/>
                <w:sz w:val="24"/>
                <w:szCs w:val="24"/>
              </w:rPr>
            </w:pPr>
            <w:r>
              <w:rPr>
                <w:rFonts w:ascii="Times New Roman" w:hAnsi="Times New Roman" w:cs="Times New Roman"/>
                <w:b/>
                <w:bCs/>
                <w:sz w:val="15"/>
                <w:szCs w:val="15"/>
              </w:rPr>
              <w:t>Other Retiree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4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400" w:type="dxa"/>
            <w:gridSpan w:val="3"/>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3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25"/>
              <w:jc w:val="right"/>
              <w:rPr>
                <w:rFonts w:ascii="Times New Roman" w:hAnsi="Times New Roman" w:cs="Times New Roman"/>
                <w:sz w:val="24"/>
                <w:szCs w:val="24"/>
              </w:rPr>
            </w:pPr>
            <w:r>
              <w:rPr>
                <w:rFonts w:ascii="Times New Roman" w:hAnsi="Times New Roman" w:cs="Times New Roman"/>
                <w:b/>
                <w:bCs/>
                <w:sz w:val="15"/>
                <w:szCs w:val="15"/>
              </w:rPr>
              <w:t>Benefits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4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56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80"/>
              <w:jc w:val="center"/>
              <w:rPr>
                <w:rFonts w:ascii="Times New Roman" w:hAnsi="Times New Roman" w:cs="Times New Roman"/>
                <w:sz w:val="24"/>
                <w:szCs w:val="24"/>
              </w:rPr>
            </w:pPr>
            <w:r>
              <w:rPr>
                <w:rFonts w:ascii="Times New Roman" w:hAnsi="Times New Roman" w:cs="Times New Roman"/>
                <w:b/>
                <w:bCs/>
                <w:sz w:val="15"/>
                <w:szCs w:val="15"/>
              </w:rPr>
              <w:t>Other Retiree</w:t>
            </w: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7"/>
        </w:trPr>
        <w:tc>
          <w:tcPr>
            <w:tcW w:w="40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rPr>
              <w:t>Asset Category</w:t>
            </w:r>
          </w:p>
        </w:tc>
        <w:tc>
          <w:tcPr>
            <w:tcW w:w="12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Pension Benefits</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56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3"/>
              <w:jc w:val="right"/>
              <w:rPr>
                <w:rFonts w:ascii="Times New Roman" w:hAnsi="Times New Roman" w:cs="Times New Roman"/>
                <w:sz w:val="24"/>
                <w:szCs w:val="24"/>
              </w:rPr>
            </w:pPr>
            <w:r>
              <w:rPr>
                <w:rFonts w:ascii="Times New Roman" w:hAnsi="Times New Roman" w:cs="Times New Roman"/>
                <w:b/>
                <w:bCs/>
                <w:sz w:val="15"/>
                <w:szCs w:val="15"/>
              </w:rPr>
              <w:t>2014</w:t>
            </w:r>
          </w:p>
        </w:tc>
        <w:tc>
          <w:tcPr>
            <w:tcW w:w="72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5"/>
                <w:szCs w:val="15"/>
              </w:rPr>
              <w:t>2013</w:t>
            </w:r>
          </w:p>
        </w:tc>
        <w:tc>
          <w:tcPr>
            <w:tcW w:w="72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4"/>
              <w:jc w:val="right"/>
              <w:rPr>
                <w:rFonts w:ascii="Times New Roman" w:hAnsi="Times New Roman" w:cs="Times New Roman"/>
                <w:sz w:val="24"/>
                <w:szCs w:val="24"/>
              </w:rPr>
            </w:pPr>
            <w:r>
              <w:rPr>
                <w:rFonts w:ascii="Times New Roman" w:hAnsi="Times New Roman" w:cs="Times New Roman"/>
                <w:b/>
                <w:bCs/>
                <w:sz w:val="15"/>
                <w:szCs w:val="15"/>
              </w:rPr>
              <w:t>2014</w:t>
            </w:r>
          </w:p>
        </w:tc>
        <w:tc>
          <w:tcPr>
            <w:tcW w:w="72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5"/>
                <w:szCs w:val="15"/>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40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2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5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80"/>
              <w:jc w:val="center"/>
              <w:rPr>
                <w:rFonts w:ascii="Times New Roman" w:hAnsi="Times New Roman" w:cs="Times New Roman"/>
                <w:sz w:val="24"/>
                <w:szCs w:val="24"/>
              </w:rPr>
            </w:pPr>
            <w:r>
              <w:rPr>
                <w:rFonts w:ascii="Times New Roman" w:hAnsi="Times New Roman" w:cs="Times New Roman"/>
                <w:b/>
                <w:bCs/>
                <w:sz w:val="15"/>
                <w:szCs w:val="15"/>
              </w:rPr>
              <w:t>Benefits</w:t>
            </w:r>
          </w:p>
        </w:tc>
        <w:tc>
          <w:tcPr>
            <w:tcW w:w="6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40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4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Cash</w:t>
            </w:r>
          </w:p>
        </w:tc>
        <w:tc>
          <w:tcPr>
            <w:tcW w:w="1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w:t>
            </w:r>
          </w:p>
        </w:tc>
        <w:tc>
          <w:tcPr>
            <w:tcW w:w="3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4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Debt securities</w:t>
            </w:r>
          </w:p>
        </w:tc>
        <w:tc>
          <w:tcPr>
            <w:tcW w:w="1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52%</w:t>
            </w:r>
          </w:p>
        </w:tc>
        <w:tc>
          <w:tcPr>
            <w:tcW w:w="12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w:t>
            </w: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51%</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52%</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4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4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Equity securities</w:t>
            </w:r>
          </w:p>
        </w:tc>
        <w:tc>
          <w:tcPr>
            <w:tcW w:w="12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47%</w:t>
            </w:r>
          </w:p>
        </w:tc>
        <w:tc>
          <w:tcPr>
            <w:tcW w:w="12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90%</w:t>
            </w:r>
          </w:p>
        </w:tc>
        <w:tc>
          <w:tcPr>
            <w:tcW w:w="3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48%</w:t>
            </w:r>
          </w:p>
        </w:tc>
        <w:tc>
          <w:tcPr>
            <w:tcW w:w="7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47%</w:t>
            </w:r>
          </w:p>
        </w:tc>
        <w:tc>
          <w:tcPr>
            <w:tcW w:w="7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93%</w:t>
            </w:r>
          </w:p>
        </w:tc>
        <w:tc>
          <w:tcPr>
            <w:tcW w:w="7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7"/>
        </w:trPr>
        <w:tc>
          <w:tcPr>
            <w:tcW w:w="40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TOTAL</w:t>
            </w:r>
          </w:p>
        </w:tc>
        <w:tc>
          <w:tcPr>
            <w:tcW w:w="12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100%</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100%</w:t>
            </w:r>
          </w:p>
        </w:tc>
        <w:tc>
          <w:tcPr>
            <w:tcW w:w="3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100%</w:t>
            </w: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100%</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100%</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4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1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left="20" w:right="160"/>
        <w:rPr>
          <w:rFonts w:ascii="Times New Roman" w:hAnsi="Times New Roman" w:cs="Times New Roman"/>
          <w:sz w:val="24"/>
          <w:szCs w:val="24"/>
        </w:rPr>
      </w:pPr>
      <w:r>
        <w:rPr>
          <w:rFonts w:ascii="Times New Roman" w:hAnsi="Times New Roman" w:cs="Times New Roman"/>
          <w:sz w:val="19"/>
          <w:szCs w:val="19"/>
        </w:rPr>
        <w:t>The following tables set forth the fair value of the Company's plan assets as of June 30, 2014 and 2013 segregated by level within the fair value hierarchy (refer to Note 5 f</w:t>
      </w:r>
      <w:r>
        <w:rPr>
          <w:rFonts w:ascii="Times New Roman" w:hAnsi="Times New Roman" w:cs="Times New Roman"/>
          <w:sz w:val="19"/>
          <w:szCs w:val="19"/>
        </w:rPr>
        <w:t>or further discussion on the fair value hierarchy and fair value principles). Common collective funds are valued using the net asset value reported by the managers of the funds and as supported by the unit prices of actual purchase and sale transactions. C</w:t>
      </w:r>
      <w:r>
        <w:rPr>
          <w:rFonts w:ascii="Times New Roman" w:hAnsi="Times New Roman" w:cs="Times New Roman"/>
          <w:sz w:val="19"/>
          <w:szCs w:val="19"/>
        </w:rPr>
        <w:t>ompany stock listed as Level 2 in the hierarchy represents preferred shares which are valued based on the value of Company common stock. The majority of our Level 3 pension assets are insurance contracts. Their fair values are based on their cash equivalen</w:t>
      </w:r>
      <w:r>
        <w:rPr>
          <w:rFonts w:ascii="Times New Roman" w:hAnsi="Times New Roman" w:cs="Times New Roman"/>
          <w:sz w:val="19"/>
          <w:szCs w:val="19"/>
        </w:rPr>
        <w:t>t or models that project future cash flows and discount the future amounts to a present value using market-based observable inputs including credit risk and interest rate curves.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346" w:left="840" w:header="720" w:footer="720" w:gutter="0"/>
          <w:cols w:space="720" w:equalWidth="0">
            <w:col w:w="97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8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w:t>
      </w:r>
      <w:r>
        <w:rPr>
          <w:rFonts w:ascii="Times New Roman" w:hAnsi="Times New Roman" w:cs="Times New Roman"/>
          <w:sz w:val="15"/>
          <w:szCs w:val="15"/>
        </w:rPr>
        <w:t>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5580" w:header="720" w:footer="720" w:gutter="0"/>
          <w:cols w:space="720" w:equalWidth="0">
            <w:col w:w="5060"/>
          </w:cols>
          <w:noEndnote/>
        </w:sectPr>
      </w:pPr>
    </w:p>
    <w:tbl>
      <w:tblPr>
        <w:tblW w:w="0" w:type="auto"/>
        <w:tblLayout w:type="fixed"/>
        <w:tblCellMar>
          <w:left w:w="0" w:type="dxa"/>
          <w:right w:w="0" w:type="dxa"/>
        </w:tblCellMar>
        <w:tblLook w:val="0000" w:firstRow="0" w:lastRow="0" w:firstColumn="0" w:lastColumn="0" w:noHBand="0" w:noVBand="0"/>
      </w:tblPr>
      <w:tblGrid>
        <w:gridCol w:w="3560"/>
        <w:gridCol w:w="20"/>
        <w:gridCol w:w="160"/>
        <w:gridCol w:w="540"/>
        <w:gridCol w:w="60"/>
        <w:gridCol w:w="20"/>
        <w:gridCol w:w="320"/>
        <w:gridCol w:w="380"/>
        <w:gridCol w:w="80"/>
        <w:gridCol w:w="20"/>
        <w:gridCol w:w="140"/>
        <w:gridCol w:w="540"/>
        <w:gridCol w:w="80"/>
        <w:gridCol w:w="180"/>
        <w:gridCol w:w="520"/>
        <w:gridCol w:w="80"/>
        <w:gridCol w:w="160"/>
        <w:gridCol w:w="540"/>
        <w:gridCol w:w="20"/>
        <w:gridCol w:w="60"/>
        <w:gridCol w:w="280"/>
        <w:gridCol w:w="420"/>
        <w:gridCol w:w="20"/>
        <w:gridCol w:w="60"/>
        <w:gridCol w:w="20"/>
        <w:gridCol w:w="160"/>
        <w:gridCol w:w="520"/>
        <w:gridCol w:w="20"/>
        <w:gridCol w:w="60"/>
        <w:gridCol w:w="20"/>
        <w:gridCol w:w="160"/>
        <w:gridCol w:w="520"/>
        <w:gridCol w:w="20"/>
        <w:gridCol w:w="20"/>
      </w:tblGrid>
      <w:tr w:rsidR="00000000">
        <w:tblPrEx>
          <w:tblCellMar>
            <w:top w:w="0" w:type="dxa"/>
            <w:left w:w="0" w:type="dxa"/>
            <w:bottom w:w="0" w:type="dxa"/>
            <w:right w:w="0" w:type="dxa"/>
          </w:tblCellMar>
        </w:tblPrEx>
        <w:trPr>
          <w:trHeight w:val="225"/>
        </w:trPr>
        <w:tc>
          <w:tcPr>
            <w:tcW w:w="35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 xml:space="preserve">70  </w:t>
            </w:r>
            <w:r>
              <w:rPr>
                <w:rFonts w:ascii="Times New Roman" w:hAnsi="Times New Roman" w:cs="Times New Roman"/>
                <w:sz w:val="15"/>
                <w:szCs w:val="15"/>
              </w:rPr>
              <w:t>The Procter &amp; Gamble Company</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60"/>
        </w:trPr>
        <w:tc>
          <w:tcPr>
            <w:tcW w:w="3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2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5"/>
                <w:szCs w:val="15"/>
              </w:rPr>
              <w:t>Pension Benefits</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3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1"/>
        </w:trPr>
        <w:tc>
          <w:tcPr>
            <w:tcW w:w="3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b/>
                <w:bCs/>
                <w:sz w:val="15"/>
                <w:szCs w:val="15"/>
              </w:rPr>
              <w:t>Level 1</w:t>
            </w: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2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b/>
                <w:bCs/>
                <w:sz w:val="15"/>
                <w:szCs w:val="15"/>
              </w:rPr>
              <w:t>Level 2</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0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b/>
                <w:bCs/>
                <w:sz w:val="15"/>
                <w:szCs w:val="15"/>
              </w:rPr>
              <w:t>Level 3</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New Roman" w:hAnsi="Times New Roman" w:cs="Times New Roman"/>
                <w:b/>
                <w:bCs/>
                <w:sz w:val="15"/>
                <w:szCs w:val="15"/>
              </w:rPr>
              <w:t>Total</w:t>
            </w: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35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35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0"/>
              <w:jc w:val="right"/>
              <w:rPr>
                <w:rFonts w:ascii="Times New Roman" w:hAnsi="Times New Roman" w:cs="Times New Roman"/>
                <w:sz w:val="24"/>
                <w:szCs w:val="24"/>
              </w:rPr>
            </w:pPr>
            <w:r>
              <w:rPr>
                <w:rFonts w:ascii="Times New Roman" w:hAnsi="Times New Roman" w:cs="Times New Roman"/>
                <w:b/>
                <w:bCs/>
                <w:sz w:val="15"/>
                <w:szCs w:val="15"/>
              </w:rPr>
              <w:t>2014</w:t>
            </w:r>
          </w:p>
        </w:tc>
        <w:tc>
          <w:tcPr>
            <w:tcW w:w="78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0"/>
              <w:jc w:val="right"/>
              <w:rPr>
                <w:rFonts w:ascii="Times New Roman" w:hAnsi="Times New Roman" w:cs="Times New Roman"/>
                <w:sz w:val="24"/>
                <w:szCs w:val="24"/>
              </w:rPr>
            </w:pPr>
            <w:r>
              <w:rPr>
                <w:rFonts w:ascii="Times New Roman" w:hAnsi="Times New Roman" w:cs="Times New Roman"/>
                <w:b/>
                <w:bCs/>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0"/>
              <w:jc w:val="right"/>
              <w:rPr>
                <w:rFonts w:ascii="Times New Roman" w:hAnsi="Times New Roman" w:cs="Times New Roman"/>
                <w:sz w:val="24"/>
                <w:szCs w:val="24"/>
              </w:rPr>
            </w:pPr>
            <w:r>
              <w:rPr>
                <w:rFonts w:ascii="Times New Roman" w:hAnsi="Times New Roman" w:cs="Times New Roman"/>
                <w:b/>
                <w:bCs/>
                <w:sz w:val="15"/>
                <w:szCs w:val="15"/>
              </w:rPr>
              <w:t>2014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5"/>
                <w:szCs w:val="15"/>
              </w:rPr>
              <w:t>2013</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0"/>
              <w:jc w:val="right"/>
              <w:rPr>
                <w:rFonts w:ascii="Times New Roman" w:hAnsi="Times New Roman" w:cs="Times New Roman"/>
                <w:sz w:val="24"/>
                <w:szCs w:val="24"/>
              </w:rPr>
            </w:pPr>
            <w:r>
              <w:rPr>
                <w:rFonts w:ascii="Times New Roman" w:hAnsi="Times New Roman" w:cs="Times New Roman"/>
                <w:b/>
                <w:bCs/>
                <w:w w:val="99"/>
                <w:sz w:val="15"/>
                <w:szCs w:val="15"/>
              </w:rPr>
              <w:t>2014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Times New Roman" w:hAnsi="Times New Roman" w:cs="Times New Roman"/>
                <w:b/>
                <w:bCs/>
                <w:w w:val="99"/>
                <w:sz w:val="15"/>
                <w:szCs w:val="15"/>
              </w:rPr>
              <w:t>2013</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35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ASSETS AT FAIR VALUE</w:t>
            </w: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5"/>
        </w:trPr>
        <w:tc>
          <w:tcPr>
            <w:tcW w:w="35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5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Cash and cash equivalents</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79</w:t>
            </w:r>
          </w:p>
        </w:tc>
        <w:tc>
          <w:tcPr>
            <w:tcW w:w="40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w:t>
            </w:r>
          </w:p>
        </w:tc>
        <w:tc>
          <w:tcPr>
            <w:tcW w:w="3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71</w:t>
            </w:r>
          </w:p>
        </w:tc>
        <w:tc>
          <w:tcPr>
            <w:tcW w:w="24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w:t>
            </w: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19"/>
                <w:szCs w:val="19"/>
              </w:rPr>
              <w:t>—</w:t>
            </w:r>
          </w:p>
        </w:tc>
        <w:tc>
          <w:tcPr>
            <w:tcW w:w="2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b/>
                <w:bCs/>
                <w:sz w:val="19"/>
                <w:szCs w:val="19"/>
              </w:rPr>
              <w:t>$</w:t>
            </w:r>
          </w:p>
        </w:tc>
        <w:tc>
          <w:tcPr>
            <w:tcW w:w="5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New Roman" w:hAnsi="Times New Roman" w:cs="Times New Roman"/>
                <w:b/>
                <w:bCs/>
                <w:sz w:val="19"/>
                <w:szCs w:val="19"/>
              </w:rPr>
              <w:t>—</w:t>
            </w:r>
          </w:p>
        </w:tc>
        <w:tc>
          <w:tcPr>
            <w:tcW w:w="3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w:t>
            </w:r>
          </w:p>
        </w:tc>
        <w:tc>
          <w:tcPr>
            <w:tcW w:w="4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sz w:val="19"/>
                <w:szCs w:val="19"/>
              </w:rPr>
              <w:t>—</w:t>
            </w:r>
          </w:p>
        </w:tc>
        <w:tc>
          <w:tcPr>
            <w:tcW w:w="24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79</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sz w:val="19"/>
                <w:szCs w:val="19"/>
              </w:rPr>
              <w:t>$</w:t>
            </w: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71</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5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Common collective fund - equity</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w:t>
            </w: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5,336</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3,993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New Roman" w:hAnsi="Times New Roman" w:cs="Times New Roman"/>
                <w:b/>
                <w:bCs/>
                <w:sz w:val="19"/>
                <w:szCs w:val="19"/>
              </w:rPr>
              <w:t>—</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5,336</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3,993</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5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Common collective fund - fixed income</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w:t>
            </w:r>
          </w:p>
        </w:tc>
        <w:tc>
          <w:tcPr>
            <w:tcW w:w="3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5,539</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4,361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New Roman" w:hAnsi="Times New Roman" w:cs="Times New Roman"/>
                <w:b/>
                <w:bCs/>
                <w:sz w:val="19"/>
                <w:szCs w:val="19"/>
              </w:rPr>
              <w:t>—</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w:t>
            </w:r>
          </w:p>
        </w:tc>
        <w:tc>
          <w:tcPr>
            <w:tcW w:w="4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5,539</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4,361</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5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Other</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w:t>
            </w:r>
          </w:p>
        </w:tc>
        <w:tc>
          <w:tcPr>
            <w:tcW w:w="40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4</w:t>
            </w: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139</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136</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35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35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 ASSETS AT FAIR VALUE</w:t>
            </w: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84</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10,875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8,354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139</w:t>
            </w:r>
          </w:p>
        </w:tc>
        <w:tc>
          <w:tcPr>
            <w:tcW w:w="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132</w:t>
            </w:r>
          </w:p>
        </w:tc>
        <w:tc>
          <w:tcPr>
            <w:tcW w:w="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11,098</w:t>
            </w:r>
          </w:p>
        </w:tc>
        <w:tc>
          <w:tcPr>
            <w:tcW w:w="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8,561</w:t>
            </w:r>
          </w:p>
        </w:tc>
        <w:tc>
          <w:tcPr>
            <w:tcW w:w="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86"/>
        </w:trPr>
        <w:tc>
          <w:tcPr>
            <w:tcW w:w="3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500" w:type="dxa"/>
            <w:gridSpan w:val="6"/>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5"/>
                <w:szCs w:val="15"/>
              </w:rPr>
              <w:t>Other Retiree Benefits</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3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1"/>
        </w:trPr>
        <w:tc>
          <w:tcPr>
            <w:tcW w:w="3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20"/>
              <w:rPr>
                <w:rFonts w:ascii="Times New Roman" w:hAnsi="Times New Roman" w:cs="Times New Roman"/>
                <w:sz w:val="24"/>
                <w:szCs w:val="24"/>
              </w:rPr>
            </w:pPr>
            <w:r>
              <w:rPr>
                <w:rFonts w:ascii="Times New Roman" w:hAnsi="Times New Roman" w:cs="Times New Roman"/>
                <w:b/>
                <w:bCs/>
                <w:sz w:val="15"/>
                <w:szCs w:val="15"/>
              </w:rPr>
              <w:t>Level 1</w:t>
            </w: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20"/>
              <w:rPr>
                <w:rFonts w:ascii="Times New Roman" w:hAnsi="Times New Roman" w:cs="Times New Roman"/>
                <w:sz w:val="24"/>
                <w:szCs w:val="24"/>
              </w:rPr>
            </w:pPr>
            <w:r>
              <w:rPr>
                <w:rFonts w:ascii="Times New Roman" w:hAnsi="Times New Roman" w:cs="Times New Roman"/>
                <w:b/>
                <w:bCs/>
                <w:w w:val="99"/>
                <w:sz w:val="15"/>
                <w:szCs w:val="15"/>
              </w:rPr>
              <w:t>Level 2</w:t>
            </w: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0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b/>
                <w:bCs/>
                <w:sz w:val="15"/>
                <w:szCs w:val="15"/>
              </w:rPr>
              <w:t>Level 3</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New Roman" w:hAnsi="Times New Roman" w:cs="Times New Roman"/>
                <w:b/>
                <w:bCs/>
                <w:sz w:val="15"/>
                <w:szCs w:val="15"/>
              </w:rPr>
              <w:t>Total</w:t>
            </w: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3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gridSpan w:val="3"/>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35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0"/>
              <w:jc w:val="right"/>
              <w:rPr>
                <w:rFonts w:ascii="Times New Roman" w:hAnsi="Times New Roman" w:cs="Times New Roman"/>
                <w:sz w:val="24"/>
                <w:szCs w:val="24"/>
              </w:rPr>
            </w:pPr>
            <w:r>
              <w:rPr>
                <w:rFonts w:ascii="Times New Roman" w:hAnsi="Times New Roman" w:cs="Times New Roman"/>
                <w:b/>
                <w:bCs/>
                <w:w w:val="99"/>
                <w:sz w:val="15"/>
                <w:szCs w:val="15"/>
              </w:rPr>
              <w:t>2014</w:t>
            </w:r>
          </w:p>
        </w:tc>
        <w:tc>
          <w:tcPr>
            <w:tcW w:w="78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30"/>
              <w:jc w:val="right"/>
              <w:rPr>
                <w:rFonts w:ascii="Times New Roman" w:hAnsi="Times New Roman" w:cs="Times New Roman"/>
                <w:sz w:val="24"/>
                <w:szCs w:val="24"/>
              </w:rPr>
            </w:pPr>
            <w:r>
              <w:rPr>
                <w:rFonts w:ascii="Times New Roman" w:hAnsi="Times New Roman" w:cs="Times New Roman"/>
                <w:b/>
                <w:bCs/>
                <w:w w:val="99"/>
                <w:sz w:val="15"/>
                <w:szCs w:val="15"/>
              </w:rPr>
              <w:t>2014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5"/>
                <w:szCs w:val="15"/>
              </w:rPr>
              <w:t>2013</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0"/>
              <w:jc w:val="right"/>
              <w:rPr>
                <w:rFonts w:ascii="Times New Roman" w:hAnsi="Times New Roman" w:cs="Times New Roman"/>
                <w:sz w:val="24"/>
                <w:szCs w:val="24"/>
              </w:rPr>
            </w:pPr>
            <w:r>
              <w:rPr>
                <w:rFonts w:ascii="Times New Roman" w:hAnsi="Times New Roman" w:cs="Times New Roman"/>
                <w:b/>
                <w:bCs/>
                <w:sz w:val="15"/>
                <w:szCs w:val="15"/>
              </w:rPr>
              <w:t>2014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5"/>
                <w:szCs w:val="15"/>
              </w:rPr>
              <w:t>2013</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0"/>
              <w:jc w:val="right"/>
              <w:rPr>
                <w:rFonts w:ascii="Times New Roman" w:hAnsi="Times New Roman" w:cs="Times New Roman"/>
                <w:sz w:val="24"/>
                <w:szCs w:val="24"/>
              </w:rPr>
            </w:pPr>
            <w:r>
              <w:rPr>
                <w:rFonts w:ascii="Times New Roman" w:hAnsi="Times New Roman" w:cs="Times New Roman"/>
                <w:b/>
                <w:bCs/>
                <w:w w:val="99"/>
                <w:sz w:val="15"/>
                <w:szCs w:val="15"/>
              </w:rPr>
              <w:t>2014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Times New Roman" w:hAnsi="Times New Roman" w:cs="Times New Roman"/>
                <w:b/>
                <w:bCs/>
                <w:w w:val="99"/>
                <w:sz w:val="15"/>
                <w:szCs w:val="15"/>
              </w:rPr>
              <w:t>2013</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35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ASSETS AT FAIR VALUE</w:t>
            </w: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5"/>
        </w:trPr>
        <w:tc>
          <w:tcPr>
            <w:tcW w:w="35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5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Cash and cash equivalents</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30</w:t>
            </w:r>
          </w:p>
        </w:tc>
        <w:tc>
          <w:tcPr>
            <w:tcW w:w="40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w:t>
            </w:r>
          </w:p>
        </w:tc>
        <w:tc>
          <w:tcPr>
            <w:tcW w:w="3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56</w:t>
            </w:r>
          </w:p>
        </w:tc>
        <w:tc>
          <w:tcPr>
            <w:tcW w:w="24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2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w:t>
            </w: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9"/>
                <w:szCs w:val="19"/>
              </w:rPr>
              <w:t>—</w:t>
            </w:r>
          </w:p>
        </w:tc>
        <w:tc>
          <w:tcPr>
            <w:tcW w:w="2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b/>
                <w:bCs/>
                <w:sz w:val="19"/>
                <w:szCs w:val="19"/>
              </w:rPr>
              <w:t>$</w:t>
            </w:r>
          </w:p>
        </w:tc>
        <w:tc>
          <w:tcPr>
            <w:tcW w:w="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w:t>
            </w:r>
          </w:p>
        </w:tc>
        <w:tc>
          <w:tcPr>
            <w:tcW w:w="4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New Roman" w:hAnsi="Times New Roman" w:cs="Times New Roman"/>
                <w:sz w:val="19"/>
                <w:szCs w:val="19"/>
              </w:rPr>
              <w:t>—</w:t>
            </w:r>
          </w:p>
        </w:tc>
        <w:tc>
          <w:tcPr>
            <w:tcW w:w="24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30</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gridSpan w:val="3"/>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New Roman" w:hAnsi="Times New Roman" w:cs="Times New Roman"/>
                <w:sz w:val="19"/>
                <w:szCs w:val="19"/>
              </w:rPr>
              <w:t>$</w:t>
            </w: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56</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5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Company stock</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3,304</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98"/>
                <w:sz w:val="19"/>
                <w:szCs w:val="19"/>
              </w:rPr>
              <w:t>3,270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b/>
                <w:bCs/>
                <w:sz w:val="19"/>
                <w:szCs w:val="19"/>
              </w:rPr>
              <w:t>—</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4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New Roman" w:hAnsi="Times New Roman" w:cs="Times New Roman"/>
                <w:sz w:val="19"/>
                <w:szCs w:val="19"/>
              </w:rPr>
              <w:t>—</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3,304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3,270</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5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Common collective fund - equity</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center"/>
              <w:rPr>
                <w:rFonts w:ascii="Times New Roman" w:hAnsi="Times New Roman" w:cs="Times New Roman"/>
                <w:sz w:val="24"/>
                <w:szCs w:val="24"/>
              </w:rPr>
            </w:pPr>
            <w:r>
              <w:rPr>
                <w:rFonts w:ascii="Times New Roman" w:hAnsi="Times New Roman" w:cs="Times New Roman"/>
                <w:sz w:val="19"/>
                <w:szCs w:val="19"/>
              </w:rPr>
              <w:t>—</w:t>
            </w:r>
          </w:p>
        </w:tc>
        <w:tc>
          <w:tcPr>
            <w:tcW w:w="3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18</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w:t>
            </w:r>
          </w:p>
        </w:tc>
        <w:tc>
          <w:tcPr>
            <w:tcW w:w="4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18</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5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Common collective fund - fixed income</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5"/>
              <w:jc w:val="center"/>
              <w:rPr>
                <w:rFonts w:ascii="Times New Roman" w:hAnsi="Times New Roman" w:cs="Times New Roman"/>
                <w:sz w:val="24"/>
                <w:szCs w:val="24"/>
              </w:rPr>
            </w:pPr>
            <w:r>
              <w:rPr>
                <w:rFonts w:ascii="Times New Roman" w:hAnsi="Times New Roman" w:cs="Times New Roman"/>
                <w:sz w:val="19"/>
                <w:szCs w:val="19"/>
              </w:rPr>
              <w:t>—</w:t>
            </w: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217</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b/>
                <w:bCs/>
                <w:sz w:val="19"/>
                <w:szCs w:val="19"/>
              </w:rPr>
              <w:t>—</w:t>
            </w: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w:t>
            </w: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217</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200</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35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Other</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center"/>
              <w:rPr>
                <w:rFonts w:ascii="Times New Roman" w:hAnsi="Times New Roman" w:cs="Times New Roman"/>
                <w:sz w:val="24"/>
                <w:szCs w:val="24"/>
              </w:rPr>
            </w:pPr>
            <w:r>
              <w:rPr>
                <w:rFonts w:ascii="Times New Roman" w:hAnsi="Times New Roman" w:cs="Times New Roman"/>
                <w:sz w:val="19"/>
                <w:szCs w:val="19"/>
              </w:rPr>
              <w:t>—</w:t>
            </w:r>
          </w:p>
        </w:tc>
        <w:tc>
          <w:tcPr>
            <w:tcW w:w="3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7"/>
        </w:trPr>
        <w:tc>
          <w:tcPr>
            <w:tcW w:w="35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TOTAL ASSETS AT FAIR VALUE</w:t>
            </w:r>
          </w:p>
        </w:tc>
        <w:tc>
          <w:tcPr>
            <w:tcW w:w="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30</w:t>
            </w: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56</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3,539</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98"/>
                <w:sz w:val="19"/>
                <w:szCs w:val="19"/>
              </w:rPr>
              <w:t>3,486</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w:t>
            </w:r>
          </w:p>
        </w:tc>
        <w:tc>
          <w:tcPr>
            <w:tcW w:w="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w:t>
            </w:r>
          </w:p>
        </w:tc>
        <w:tc>
          <w:tcPr>
            <w:tcW w:w="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3,574</w:t>
            </w:r>
          </w:p>
        </w:tc>
        <w:tc>
          <w:tcPr>
            <w:tcW w:w="2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3,553</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00" w:bottom="346" w:left="860" w:header="720" w:footer="720" w:gutter="0"/>
          <w:cols w:space="720" w:equalWidth="0">
            <w:col w:w="976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60"/>
        <w:rPr>
          <w:rFonts w:ascii="Times New Roman" w:hAnsi="Times New Roman" w:cs="Times New Roman"/>
          <w:sz w:val="24"/>
          <w:szCs w:val="24"/>
        </w:rPr>
      </w:pPr>
      <w:r>
        <w:rPr>
          <w:rFonts w:ascii="Times New Roman" w:hAnsi="Times New Roman" w:cs="Times New Roman"/>
          <w:sz w:val="19"/>
          <w:szCs w:val="19"/>
        </w:rPr>
        <w:t>There was no significant activity within the Level 3 pension and other retiree benefits plan assets during the years presented.</w:t>
      </w:r>
    </w:p>
    <w:p w:rsidR="00000000" w:rsidRDefault="0057438D">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b/>
          <w:bCs/>
          <w:i/>
          <w:iCs/>
          <w:sz w:val="19"/>
          <w:szCs w:val="19"/>
        </w:rPr>
        <w:t xml:space="preserve">Cash Flows. </w:t>
      </w:r>
      <w:r>
        <w:rPr>
          <w:rFonts w:ascii="Times New Roman" w:hAnsi="Times New Roman" w:cs="Times New Roman"/>
          <w:sz w:val="19"/>
          <w:szCs w:val="19"/>
        </w:rPr>
        <w:t>Management's best estimate of cash</w:t>
      </w:r>
      <w:r>
        <w:rPr>
          <w:rFonts w:ascii="Times New Roman" w:hAnsi="Times New Roman" w:cs="Times New Roman"/>
          <w:b/>
          <w:bCs/>
          <w:i/>
          <w:iCs/>
          <w:sz w:val="19"/>
          <w:szCs w:val="19"/>
        </w:rPr>
        <w:t xml:space="preserve"> </w:t>
      </w:r>
      <w:r>
        <w:rPr>
          <w:rFonts w:ascii="Times New Roman" w:hAnsi="Times New Roman" w:cs="Times New Roman"/>
          <w:sz w:val="19"/>
          <w:szCs w:val="19"/>
        </w:rPr>
        <w:t xml:space="preserve">requirements </w:t>
      </w:r>
      <w:r>
        <w:rPr>
          <w:rFonts w:ascii="Times New Roman" w:hAnsi="Times New Roman" w:cs="Times New Roman"/>
          <w:sz w:val="19"/>
          <w:szCs w:val="19"/>
        </w:rPr>
        <w:t>and discretionary contributions for the defined benefit retirement plans and other retiree benefit plans for the year ending June 30, 2015, is $266 and $39, respectively. For the defined benefit retirement plans, this is comprised of $102 in expected benef</w:t>
      </w:r>
      <w:r>
        <w:rPr>
          <w:rFonts w:ascii="Times New Roman" w:hAnsi="Times New Roman" w:cs="Times New Roman"/>
          <w:sz w:val="19"/>
          <w:szCs w:val="19"/>
        </w:rPr>
        <w:t xml:space="preserve">it payments from the Company directly to participants of unfunded plans and $164 of expected contributions to funded plans. For other retiree benefit plans, this is comprised of $25 in expected benefit payments from the Company directly to participants of </w:t>
      </w:r>
      <w:r>
        <w:rPr>
          <w:rFonts w:ascii="Times New Roman" w:hAnsi="Times New Roman" w:cs="Times New Roman"/>
          <w:sz w:val="19"/>
          <w:szCs w:val="19"/>
        </w:rPr>
        <w:t xml:space="preserve">unfunded plans and $14 of expected contributions to funded plans. Expected contributions are dependent on many variables, including the variability of the market value of the plan assets as compared to the benefit obligation and other market or regulatory </w:t>
      </w:r>
      <w:r>
        <w:rPr>
          <w:rFonts w:ascii="Times New Roman" w:hAnsi="Times New Roman" w:cs="Times New Roman"/>
          <w:sz w:val="19"/>
          <w:szCs w:val="19"/>
        </w:rPr>
        <w:t>conditions. In addition, we take into consideration our business investment opportunities and resulting cash requirements. Accordingly, actual funding may differ significantly from current estimates.</w:t>
      </w:r>
    </w:p>
    <w:p w:rsidR="00000000" w:rsidRDefault="0057438D">
      <w:pPr>
        <w:pStyle w:val="DefaultParagraphFont"/>
        <w:widowControl w:val="0"/>
        <w:autoSpaceDE w:val="0"/>
        <w:autoSpaceDN w:val="0"/>
        <w:adjustRightInd w:val="0"/>
        <w:spacing w:after="0" w:line="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80"/>
        <w:rPr>
          <w:rFonts w:ascii="Times New Roman" w:hAnsi="Times New Roman" w:cs="Times New Roman"/>
          <w:sz w:val="24"/>
          <w:szCs w:val="24"/>
        </w:rPr>
      </w:pPr>
      <w:r>
        <w:rPr>
          <w:rFonts w:ascii="Times New Roman" w:hAnsi="Times New Roman" w:cs="Times New Roman"/>
          <w:sz w:val="19"/>
          <w:szCs w:val="19"/>
        </w:rPr>
        <w:t>Total benefit payments expected to be paid to participa</w:t>
      </w:r>
      <w:r>
        <w:rPr>
          <w:rFonts w:ascii="Times New Roman" w:hAnsi="Times New Roman" w:cs="Times New Roman"/>
          <w:sz w:val="19"/>
          <w:szCs w:val="19"/>
        </w:rPr>
        <w:t>nts, which include payments funded from the Company's assets, as discussed above, as well as payments from the plans, are as follows: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0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
          <w:szCs w:val="2"/>
        </w:rPr>
      </w:pPr>
    </w:p>
    <w:tbl>
      <w:tblPr>
        <w:tblW w:w="0" w:type="auto"/>
        <w:tblLayout w:type="fixed"/>
        <w:tblCellMar>
          <w:left w:w="0" w:type="dxa"/>
          <w:right w:w="0" w:type="dxa"/>
        </w:tblCellMar>
        <w:tblLook w:val="0000" w:firstRow="0" w:lastRow="0" w:firstColumn="0" w:lastColumn="0" w:noHBand="0" w:noVBand="0"/>
      </w:tblPr>
      <w:tblGrid>
        <w:gridCol w:w="1900"/>
        <w:gridCol w:w="280"/>
        <w:gridCol w:w="1080"/>
        <w:gridCol w:w="240"/>
        <w:gridCol w:w="1160"/>
        <w:gridCol w:w="20"/>
      </w:tblGrid>
      <w:tr w:rsidR="00000000">
        <w:tblPrEx>
          <w:tblCellMar>
            <w:top w:w="0" w:type="dxa"/>
            <w:left w:w="0" w:type="dxa"/>
            <w:bottom w:w="0" w:type="dxa"/>
            <w:right w:w="0" w:type="dxa"/>
          </w:tblCellMar>
        </w:tblPrEx>
        <w:trPr>
          <w:trHeight w:val="172"/>
        </w:trPr>
        <w:tc>
          <w:tcPr>
            <w:tcW w:w="19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Years ending June 30</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right="229"/>
              <w:jc w:val="center"/>
              <w:rPr>
                <w:rFonts w:ascii="Times New Roman" w:hAnsi="Times New Roman" w:cs="Times New Roman"/>
                <w:sz w:val="24"/>
                <w:szCs w:val="24"/>
              </w:rPr>
            </w:pPr>
            <w:r>
              <w:rPr>
                <w:rFonts w:ascii="Times New Roman" w:hAnsi="Times New Roman" w:cs="Times New Roman"/>
                <w:b/>
                <w:bCs/>
                <w:sz w:val="15"/>
                <w:szCs w:val="15"/>
              </w:rPr>
              <w:t>Pension</w:t>
            </w: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right="149"/>
              <w:jc w:val="right"/>
              <w:rPr>
                <w:rFonts w:ascii="Times New Roman" w:hAnsi="Times New Roman" w:cs="Times New Roman"/>
                <w:sz w:val="24"/>
                <w:szCs w:val="24"/>
              </w:rPr>
            </w:pPr>
            <w:r>
              <w:rPr>
                <w:rFonts w:ascii="Times New Roman" w:hAnsi="Times New Roman" w:cs="Times New Roman"/>
                <w:b/>
                <w:bCs/>
                <w:sz w:val="15"/>
                <w:szCs w:val="15"/>
              </w:rPr>
              <w:t>Other Retiree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9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9"/>
              <w:jc w:val="center"/>
              <w:rPr>
                <w:rFonts w:ascii="Times New Roman" w:hAnsi="Times New Roman" w:cs="Times New Roman"/>
                <w:sz w:val="24"/>
                <w:szCs w:val="24"/>
              </w:rPr>
            </w:pPr>
            <w:r>
              <w:rPr>
                <w:rFonts w:ascii="Times New Roman" w:hAnsi="Times New Roman" w:cs="Times New Roman"/>
                <w:b/>
                <w:bCs/>
                <w:sz w:val="15"/>
                <w:szCs w:val="15"/>
              </w:rPr>
              <w:t>Benefits</w:t>
            </w: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29"/>
              <w:jc w:val="right"/>
              <w:rPr>
                <w:rFonts w:ascii="Times New Roman" w:hAnsi="Times New Roman" w:cs="Times New Roman"/>
                <w:sz w:val="24"/>
                <w:szCs w:val="24"/>
              </w:rPr>
            </w:pPr>
            <w:r>
              <w:rPr>
                <w:rFonts w:ascii="Times New Roman" w:hAnsi="Times New Roman" w:cs="Times New Roman"/>
                <w:b/>
                <w:bCs/>
                <w:sz w:val="15"/>
                <w:szCs w:val="15"/>
              </w:rPr>
              <w:t>Benefits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32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190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w w:val="95"/>
                <w:sz w:val="19"/>
                <w:szCs w:val="19"/>
              </w:rPr>
              <w:t>EXPECTED BENEFIT</w:t>
            </w:r>
          </w:p>
        </w:tc>
        <w:tc>
          <w:tcPr>
            <w:tcW w:w="1360" w:type="dxa"/>
            <w:gridSpan w:val="2"/>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9"/>
                <w:szCs w:val="19"/>
              </w:rPr>
              <w:t>PAYMENTS</w:t>
            </w:r>
          </w:p>
        </w:tc>
        <w:tc>
          <w:tcPr>
            <w:tcW w:w="24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16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2015</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w:t>
            </w:r>
          </w:p>
        </w:tc>
        <w:tc>
          <w:tcPr>
            <w:tcW w:w="1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Times New Roman" w:hAnsi="Times New Roman" w:cs="Times New Roman"/>
                <w:sz w:val="19"/>
                <w:szCs w:val="19"/>
              </w:rPr>
              <w:t>584</w:t>
            </w: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2016</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Times New Roman" w:hAnsi="Times New Roman" w:cs="Times New Roman"/>
                <w:sz w:val="19"/>
                <w:szCs w:val="19"/>
              </w:rPr>
              <w:t>578</w:t>
            </w: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2017</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Times New Roman" w:hAnsi="Times New Roman" w:cs="Times New Roman"/>
                <w:sz w:val="19"/>
                <w:szCs w:val="19"/>
              </w:rPr>
              <w:t>604</w:t>
            </w: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9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2018</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Times New Roman" w:hAnsi="Times New Roman" w:cs="Times New Roman"/>
                <w:sz w:val="19"/>
                <w:szCs w:val="19"/>
              </w:rPr>
              <w:t>614</w:t>
            </w: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248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2019</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Times New Roman" w:hAnsi="Times New Roman" w:cs="Times New Roman"/>
                <w:sz w:val="19"/>
                <w:szCs w:val="19"/>
              </w:rPr>
              <w:t>624</w:t>
            </w: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264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2020 - 2024</w:t>
            </w: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9"/>
              <w:jc w:val="right"/>
              <w:rPr>
                <w:rFonts w:ascii="Times New Roman" w:hAnsi="Times New Roman" w:cs="Times New Roman"/>
                <w:sz w:val="24"/>
                <w:szCs w:val="24"/>
              </w:rPr>
            </w:pPr>
            <w:r>
              <w:rPr>
                <w:rFonts w:ascii="Times New Roman" w:hAnsi="Times New Roman" w:cs="Times New Roman"/>
                <w:sz w:val="19"/>
                <w:szCs w:val="19"/>
              </w:rPr>
              <w:t>3,615</w:t>
            </w:r>
          </w:p>
        </w:tc>
        <w:tc>
          <w:tcPr>
            <w:tcW w:w="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1,528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9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Employee Stock Ownership Plan</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280"/>
        <w:rPr>
          <w:rFonts w:ascii="Times New Roman" w:hAnsi="Times New Roman" w:cs="Times New Roman"/>
          <w:sz w:val="24"/>
          <w:szCs w:val="24"/>
        </w:rPr>
      </w:pPr>
      <w:r>
        <w:rPr>
          <w:rFonts w:ascii="Times New Roman" w:hAnsi="Times New Roman" w:cs="Times New Roman"/>
          <w:sz w:val="19"/>
          <w:szCs w:val="19"/>
        </w:rPr>
        <w:t>We maintain the ESOP to provide funding for certain employee benefits discussed in the preceding paragraphs.</w:t>
      </w:r>
    </w:p>
    <w:p w:rsidR="00000000" w:rsidRDefault="0057438D">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1" w:lineRule="auto"/>
        <w:ind w:right="200"/>
        <w:jc w:val="both"/>
        <w:rPr>
          <w:rFonts w:ascii="Times New Roman" w:hAnsi="Times New Roman" w:cs="Times New Roman"/>
          <w:sz w:val="24"/>
          <w:szCs w:val="24"/>
        </w:rPr>
      </w:pPr>
      <w:r>
        <w:rPr>
          <w:rFonts w:ascii="Times New Roman" w:hAnsi="Times New Roman" w:cs="Times New Roman"/>
          <w:sz w:val="19"/>
          <w:szCs w:val="19"/>
        </w:rPr>
        <w:t xml:space="preserve">The ESOP borrowed $1.0 billion in 1989 and the proceeds were used to purchase Series A ESOP Convertible Class A Preferred Stock to fund a </w:t>
      </w:r>
      <w:r>
        <w:rPr>
          <w:rFonts w:ascii="Times New Roman" w:hAnsi="Times New Roman" w:cs="Times New Roman"/>
          <w:sz w:val="19"/>
          <w:szCs w:val="19"/>
        </w:rPr>
        <w:t>portion of the U.S. DC plan.</w:t>
      </w:r>
    </w:p>
    <w:p w:rsidR="00000000" w:rsidRDefault="0057438D">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20"/>
        <w:rPr>
          <w:rFonts w:ascii="Times New Roman" w:hAnsi="Times New Roman" w:cs="Times New Roman"/>
          <w:sz w:val="24"/>
          <w:szCs w:val="24"/>
        </w:rPr>
      </w:pPr>
      <w:r>
        <w:rPr>
          <w:rFonts w:ascii="Times New Roman" w:hAnsi="Times New Roman" w:cs="Times New Roman"/>
          <w:sz w:val="19"/>
          <w:szCs w:val="19"/>
        </w:rPr>
        <w:t xml:space="preserve">Principal and interest requirements of the borrowing were paid by the Trust from dividends on the preferred shares and from advances provided by the Company. The original borrowing of $1.0 billion has been repaid in full, and </w:t>
      </w:r>
      <w:r>
        <w:rPr>
          <w:rFonts w:ascii="Times New Roman" w:hAnsi="Times New Roman" w:cs="Times New Roman"/>
          <w:sz w:val="19"/>
          <w:szCs w:val="19"/>
        </w:rPr>
        <w:t xml:space="preserve">advances from the Company of $98 remain outstanding at June 30, 2014. Each share is convertible at the option of the holder into one share of the Company's common stock. The dividend for the current year was equal to the common stock dividend of $2.45 per </w:t>
      </w:r>
      <w:r>
        <w:rPr>
          <w:rFonts w:ascii="Times New Roman" w:hAnsi="Times New Roman" w:cs="Times New Roman"/>
          <w:sz w:val="19"/>
          <w:szCs w:val="19"/>
        </w:rPr>
        <w:t>share. The liquidation value is $6.82 per share.</w:t>
      </w:r>
    </w:p>
    <w:p w:rsidR="00000000" w:rsidRDefault="0057438D">
      <w:pPr>
        <w:pStyle w:val="DefaultParagraphFont"/>
        <w:widowControl w:val="0"/>
        <w:autoSpaceDE w:val="0"/>
        <w:autoSpaceDN w:val="0"/>
        <w:adjustRightInd w:val="0"/>
        <w:spacing w:after="0" w:line="8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60"/>
        <w:rPr>
          <w:rFonts w:ascii="Times New Roman" w:hAnsi="Times New Roman" w:cs="Times New Roman"/>
          <w:sz w:val="24"/>
          <w:szCs w:val="24"/>
        </w:rPr>
      </w:pPr>
      <w:r>
        <w:rPr>
          <w:rFonts w:ascii="Times New Roman" w:hAnsi="Times New Roman" w:cs="Times New Roman"/>
          <w:sz w:val="19"/>
          <w:szCs w:val="19"/>
        </w:rPr>
        <w:t>In 1991, the ESOP borrowed an additional $1.0 billion. The proceeds were used to purchase Series B ESOP Convertible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900" w:bottom="346" w:left="860" w:header="720" w:footer="720" w:gutter="0"/>
          <w:cols w:num="2" w:space="460" w:equalWidth="0">
            <w:col w:w="4640" w:space="460"/>
            <w:col w:w="4660"/>
          </w:cols>
          <w:noEndnote/>
        </w:sectPr>
      </w:pPr>
    </w:p>
    <w:p w:rsidR="00000000" w:rsidRDefault="0057438D">
      <w:pPr>
        <w:pStyle w:val="DefaultParagraphFont"/>
        <w:widowControl w:val="0"/>
        <w:autoSpaceDE w:val="0"/>
        <w:autoSpaceDN w:val="0"/>
        <w:adjustRightInd w:val="0"/>
        <w:spacing w:after="0" w:line="16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w:t>
      </w:r>
      <w:r>
        <w:rPr>
          <w:rFonts w:ascii="Times New Roman" w:hAnsi="Times New Roman" w:cs="Times New Roman"/>
          <w:sz w:val="15"/>
          <w:szCs w:val="15"/>
        </w:rPr>
        <w: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5620" w:bottom="346" w:left="860" w:header="720" w:footer="720" w:gutter="0"/>
          <w:cols w:space="460" w:equalWidth="0">
            <w:col w:w="5040" w:space="46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left="20" w:right="40"/>
        <w:rPr>
          <w:rFonts w:ascii="Times New Roman" w:hAnsi="Times New Roman" w:cs="Times New Roman"/>
          <w:sz w:val="24"/>
          <w:szCs w:val="24"/>
        </w:rPr>
      </w:pPr>
      <w:r>
        <w:rPr>
          <w:rFonts w:ascii="Times New Roman" w:hAnsi="Times New Roman" w:cs="Times New Roman"/>
          <w:sz w:val="19"/>
          <w:szCs w:val="19"/>
        </w:rPr>
        <w:t xml:space="preserve">Class A Preferred Stock to fund a portion of retiree health care benefits. These shares, net of the ESOP's debt, are considered plan assets of the other retiree benefits plan discussed above. </w:t>
      </w:r>
      <w:r>
        <w:rPr>
          <w:rFonts w:ascii="Times New Roman" w:hAnsi="Times New Roman" w:cs="Times New Roman"/>
          <w:sz w:val="19"/>
          <w:szCs w:val="19"/>
        </w:rPr>
        <w:t>Debt service requirements are funded by preferred stock dividends, cash contributions and advances provided by the Company, of which $602 is outstanding at June 30, 2014. Each share is convertible at the option of the holder into one share of the Company's</w:t>
      </w:r>
      <w:r>
        <w:rPr>
          <w:rFonts w:ascii="Times New Roman" w:hAnsi="Times New Roman" w:cs="Times New Roman"/>
          <w:sz w:val="19"/>
          <w:szCs w:val="19"/>
        </w:rPr>
        <w:t xml:space="preserve"> common stock. The dividend for the current year was equal to the common stock dividend of $2.45 per share. The liquidation value is $12.96 per share.</w:t>
      </w:r>
    </w:p>
    <w:p w:rsidR="00000000" w:rsidRDefault="0057438D">
      <w:pPr>
        <w:pStyle w:val="DefaultParagraphFont"/>
        <w:widowControl w:val="0"/>
        <w:autoSpaceDE w:val="0"/>
        <w:autoSpaceDN w:val="0"/>
        <w:adjustRightInd w:val="0"/>
        <w:spacing w:after="0" w:line="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left="20" w:right="20"/>
        <w:rPr>
          <w:rFonts w:ascii="Times New Roman" w:hAnsi="Times New Roman" w:cs="Times New Roman"/>
          <w:sz w:val="24"/>
          <w:szCs w:val="24"/>
        </w:rPr>
      </w:pPr>
      <w:r>
        <w:rPr>
          <w:rFonts w:ascii="Times New Roman" w:hAnsi="Times New Roman" w:cs="Times New Roman"/>
          <w:sz w:val="19"/>
          <w:szCs w:val="19"/>
        </w:rPr>
        <w:t>Our ESOP accounting practices are consistent with current ESOP accounting guidance, including the permissible continuation of certain provisions from prior accounting guidance. ESOP debt, which is guaranteed by the Company, is recorded as debt (see Note 4)</w:t>
      </w:r>
      <w:r>
        <w:rPr>
          <w:rFonts w:ascii="Times New Roman" w:hAnsi="Times New Roman" w:cs="Times New Roman"/>
          <w:sz w:val="19"/>
          <w:szCs w:val="19"/>
        </w:rPr>
        <w:t xml:space="preserve"> with an offset to the reserve for ESOP debt retirement, which is presented within shareholders' equity. Advances to the ESOP by the Company are recorded as an increase in the reserve for ESOP debt retirement. Interest incurred on the ESOP debt is recorded</w:t>
      </w:r>
      <w:r>
        <w:rPr>
          <w:rFonts w:ascii="Times New Roman" w:hAnsi="Times New Roman" w:cs="Times New Roman"/>
          <w:sz w:val="19"/>
          <w:szCs w:val="19"/>
        </w:rPr>
        <w:t xml:space="preserve"> as interest expense. Dividends on all preferred shares, net of related tax benefits, are charged to retained earnings.</w:t>
      </w:r>
    </w:p>
    <w:p w:rsidR="00000000" w:rsidRDefault="0057438D">
      <w:pPr>
        <w:pStyle w:val="DefaultParagraphFont"/>
        <w:widowControl w:val="0"/>
        <w:autoSpaceDE w:val="0"/>
        <w:autoSpaceDN w:val="0"/>
        <w:adjustRightInd w:val="0"/>
        <w:spacing w:after="0" w:line="9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left="20" w:right="140"/>
        <w:rPr>
          <w:rFonts w:ascii="Times New Roman" w:hAnsi="Times New Roman" w:cs="Times New Roman"/>
          <w:sz w:val="24"/>
          <w:szCs w:val="24"/>
        </w:rPr>
      </w:pPr>
      <w:r>
        <w:rPr>
          <w:rFonts w:ascii="Times New Roman" w:hAnsi="Times New Roman" w:cs="Times New Roman"/>
          <w:sz w:val="19"/>
          <w:szCs w:val="19"/>
        </w:rPr>
        <w:t xml:space="preserve">The series A and B preferred shares of the ESOP are allocated to employees based on debt service requirements, net of advances made by </w:t>
      </w:r>
      <w:r>
        <w:rPr>
          <w:rFonts w:ascii="Times New Roman" w:hAnsi="Times New Roman" w:cs="Times New Roman"/>
          <w:sz w:val="19"/>
          <w:szCs w:val="19"/>
        </w:rPr>
        <w:t>the Company to the Trust. The number of preferred shares outstanding at June 30 was as follows:</w:t>
      </w:r>
    </w:p>
    <w:p w:rsidR="00000000" w:rsidRDefault="0057438D">
      <w:pPr>
        <w:pStyle w:val="DefaultParagraphFont"/>
        <w:widowControl w:val="0"/>
        <w:autoSpaceDE w:val="0"/>
        <w:autoSpaceDN w:val="0"/>
        <w:adjustRightInd w:val="0"/>
        <w:spacing w:after="0" w:line="135"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080"/>
        <w:gridCol w:w="800"/>
        <w:gridCol w:w="100"/>
        <w:gridCol w:w="800"/>
        <w:gridCol w:w="100"/>
        <w:gridCol w:w="800"/>
      </w:tblGrid>
      <w:tr w:rsidR="00000000">
        <w:tblPrEx>
          <w:tblCellMar>
            <w:top w:w="0" w:type="dxa"/>
            <w:left w:w="0" w:type="dxa"/>
            <w:bottom w:w="0" w:type="dxa"/>
            <w:right w:w="0" w:type="dxa"/>
          </w:tblCellMar>
        </w:tblPrEx>
        <w:trPr>
          <w:trHeight w:val="203"/>
        </w:trPr>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Shares in thousands</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7"/>
              <w:jc w:val="right"/>
              <w:rPr>
                <w:rFonts w:ascii="Times New Roman" w:hAnsi="Times New Roman" w:cs="Times New Roman"/>
                <w:sz w:val="24"/>
                <w:szCs w:val="24"/>
              </w:rPr>
            </w:pPr>
            <w:r>
              <w:rPr>
                <w:rFonts w:ascii="Times New Roman" w:hAnsi="Times New Roman" w:cs="Times New Roman"/>
                <w:b/>
                <w:bCs/>
                <w:sz w:val="15"/>
                <w:szCs w:val="15"/>
              </w:rPr>
              <w:t>2014</w:t>
            </w:r>
          </w:p>
        </w:tc>
        <w:tc>
          <w:tcPr>
            <w:tcW w:w="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b/>
                <w:bCs/>
                <w:sz w:val="15"/>
                <w:szCs w:val="15"/>
              </w:rPr>
              <w:t>2013</w:t>
            </w:r>
          </w:p>
        </w:tc>
        <w:tc>
          <w:tcPr>
            <w:tcW w:w="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b/>
                <w:bCs/>
                <w:sz w:val="15"/>
                <w:szCs w:val="15"/>
              </w:rPr>
              <w:t>2012</w:t>
            </w:r>
          </w:p>
        </w:tc>
      </w:tr>
      <w:tr w:rsidR="00000000">
        <w:tblPrEx>
          <w:tblCellMar>
            <w:top w:w="0" w:type="dxa"/>
            <w:left w:w="0" w:type="dxa"/>
            <w:bottom w:w="0" w:type="dxa"/>
            <w:right w:w="0" w:type="dxa"/>
          </w:tblCellMar>
        </w:tblPrEx>
        <w:trPr>
          <w:trHeight w:val="25"/>
        </w:trPr>
        <w:tc>
          <w:tcPr>
            <w:tcW w:w="20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20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Allocated</w:t>
            </w: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44,465</w:t>
            </w:r>
          </w:p>
        </w:tc>
        <w:tc>
          <w:tcPr>
            <w:tcW w:w="1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45,535</w:t>
            </w:r>
          </w:p>
        </w:tc>
        <w:tc>
          <w:tcPr>
            <w:tcW w:w="1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50,668</w:t>
            </w:r>
          </w:p>
        </w:tc>
      </w:tr>
      <w:tr w:rsidR="00000000">
        <w:tblPrEx>
          <w:tblCellMar>
            <w:top w:w="0" w:type="dxa"/>
            <w:left w:w="0" w:type="dxa"/>
            <w:bottom w:w="0" w:type="dxa"/>
            <w:right w:w="0" w:type="dxa"/>
          </w:tblCellMar>
        </w:tblPrEx>
        <w:trPr>
          <w:trHeight w:val="255"/>
        </w:trPr>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Unallocated</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8,474</w:t>
            </w:r>
          </w:p>
        </w:tc>
        <w:tc>
          <w:tcPr>
            <w:tcW w:w="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9,843</w:t>
            </w:r>
          </w:p>
        </w:tc>
        <w:tc>
          <w:tcPr>
            <w:tcW w:w="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11,348</w:t>
            </w:r>
          </w:p>
        </w:tc>
      </w:tr>
      <w:tr w:rsidR="00000000">
        <w:tblPrEx>
          <w:tblCellMar>
            <w:top w:w="0" w:type="dxa"/>
            <w:left w:w="0" w:type="dxa"/>
            <w:bottom w:w="0" w:type="dxa"/>
            <w:right w:w="0" w:type="dxa"/>
          </w:tblCellMar>
        </w:tblPrEx>
        <w:trPr>
          <w:trHeight w:val="22"/>
        </w:trPr>
        <w:tc>
          <w:tcPr>
            <w:tcW w:w="20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20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TOTAL SERIES A</w:t>
            </w:r>
          </w:p>
        </w:tc>
        <w:tc>
          <w:tcPr>
            <w:tcW w:w="8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52,939</w:t>
            </w:r>
          </w:p>
        </w:tc>
        <w:tc>
          <w:tcPr>
            <w:tcW w:w="1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55,378</w:t>
            </w:r>
          </w:p>
        </w:tc>
        <w:tc>
          <w:tcPr>
            <w:tcW w:w="1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62,016</w:t>
            </w:r>
          </w:p>
        </w:tc>
      </w:tr>
      <w:tr w:rsidR="00000000">
        <w:tblPrEx>
          <w:tblCellMar>
            <w:top w:w="0" w:type="dxa"/>
            <w:left w:w="0" w:type="dxa"/>
            <w:bottom w:w="0" w:type="dxa"/>
            <w:right w:w="0" w:type="dxa"/>
          </w:tblCellMar>
        </w:tblPrEx>
        <w:trPr>
          <w:trHeight w:val="417"/>
        </w:trPr>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Allocated</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22,085</w:t>
            </w:r>
          </w:p>
        </w:tc>
        <w:tc>
          <w:tcPr>
            <w:tcW w:w="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21,278</w:t>
            </w:r>
          </w:p>
        </w:tc>
        <w:tc>
          <w:tcPr>
            <w:tcW w:w="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20,802</w:t>
            </w:r>
          </w:p>
        </w:tc>
      </w:tr>
      <w:tr w:rsidR="00000000">
        <w:tblPrEx>
          <w:tblCellMar>
            <w:top w:w="0" w:type="dxa"/>
            <w:left w:w="0" w:type="dxa"/>
            <w:bottom w:w="0" w:type="dxa"/>
            <w:right w:w="0" w:type="dxa"/>
          </w:tblCellMar>
        </w:tblPrEx>
        <w:trPr>
          <w:trHeight w:val="31"/>
        </w:trPr>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20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Unallocated</w:t>
            </w: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35,753</w:t>
            </w:r>
          </w:p>
        </w:tc>
        <w:tc>
          <w:tcPr>
            <w:tcW w:w="9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37,300</w:t>
            </w:r>
          </w:p>
        </w:tc>
        <w:tc>
          <w:tcPr>
            <w:tcW w:w="9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38,743</w:t>
            </w:r>
          </w:p>
        </w:tc>
      </w:tr>
      <w:tr w:rsidR="00000000">
        <w:tblPrEx>
          <w:tblCellMar>
            <w:top w:w="0" w:type="dxa"/>
            <w:left w:w="0" w:type="dxa"/>
            <w:bottom w:w="0" w:type="dxa"/>
            <w:right w:w="0" w:type="dxa"/>
          </w:tblCellMar>
        </w:tblPrEx>
        <w:trPr>
          <w:trHeight w:val="227"/>
        </w:trPr>
        <w:tc>
          <w:tcPr>
            <w:tcW w:w="20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TOTAL SERIES B</w:t>
            </w:r>
          </w:p>
        </w:tc>
        <w:tc>
          <w:tcPr>
            <w:tcW w:w="8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57,838</w:t>
            </w:r>
          </w:p>
        </w:tc>
        <w:tc>
          <w:tcPr>
            <w:tcW w:w="10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58,578</w:t>
            </w:r>
          </w:p>
        </w:tc>
        <w:tc>
          <w:tcPr>
            <w:tcW w:w="10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59,545</w:t>
            </w:r>
          </w:p>
        </w:tc>
      </w:tr>
      <w:tr w:rsidR="00000000">
        <w:tblPrEx>
          <w:tblCellMar>
            <w:top w:w="0" w:type="dxa"/>
            <w:left w:w="0" w:type="dxa"/>
            <w:bottom w:w="0" w:type="dxa"/>
            <w:right w:w="0" w:type="dxa"/>
          </w:tblCellMar>
        </w:tblPrEx>
        <w:trPr>
          <w:trHeight w:val="20"/>
        </w:trPr>
        <w:tc>
          <w:tcPr>
            <w:tcW w:w="20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1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left="20" w:right="20"/>
        <w:jc w:val="both"/>
        <w:rPr>
          <w:rFonts w:ascii="Times New Roman" w:hAnsi="Times New Roman" w:cs="Times New Roman"/>
          <w:sz w:val="24"/>
          <w:szCs w:val="24"/>
        </w:rPr>
      </w:pPr>
      <w:r>
        <w:rPr>
          <w:rFonts w:ascii="Times New Roman" w:hAnsi="Times New Roman" w:cs="Times New Roman"/>
          <w:sz w:val="19"/>
          <w:szCs w:val="19"/>
        </w:rPr>
        <w:t>For purposes of calculating diluted net earnings per common share, the preferred shares held by the ESOP are considered converted from inception.</w:t>
      </w:r>
    </w:p>
    <w:p w:rsidR="00000000" w:rsidRDefault="0057438D">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i/>
          <w:iCs/>
          <w:sz w:val="19"/>
          <w:szCs w:val="19"/>
        </w:rPr>
        <w:t>NOTE 10</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INCOME TAXES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left="20"/>
        <w:rPr>
          <w:rFonts w:ascii="Times New Roman" w:hAnsi="Times New Roman" w:cs="Times New Roman"/>
          <w:sz w:val="24"/>
          <w:szCs w:val="24"/>
        </w:rPr>
      </w:pPr>
      <w:r>
        <w:rPr>
          <w:rFonts w:ascii="Times New Roman" w:hAnsi="Times New Roman" w:cs="Times New Roman"/>
          <w:sz w:val="19"/>
          <w:szCs w:val="19"/>
        </w:rPr>
        <w:t xml:space="preserve">Income taxes are recognized for the amount of taxes payable for the current year and for the impact of deferred tax assets and liabilities, which represent future tax consequences of events that have been recognized differently in the financial statements </w:t>
      </w:r>
      <w:r>
        <w:rPr>
          <w:rFonts w:ascii="Times New Roman" w:hAnsi="Times New Roman" w:cs="Times New Roman"/>
          <w:sz w:val="19"/>
          <w:szCs w:val="19"/>
        </w:rPr>
        <w:t>than for tax purposes. Deferred tax assets and liabilities are established using the enacted statutory tax rates and are adjusted for any changes in such rates in the period of change.</w:t>
      </w:r>
    </w:p>
    <w:p w:rsidR="00000000" w:rsidRDefault="0057438D">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280"/>
        <w:rPr>
          <w:rFonts w:ascii="Times New Roman" w:hAnsi="Times New Roman" w:cs="Times New Roman"/>
          <w:sz w:val="24"/>
          <w:szCs w:val="24"/>
        </w:rPr>
      </w:pPr>
      <w:r>
        <w:rPr>
          <w:rFonts w:ascii="Times New Roman" w:hAnsi="Times New Roman" w:cs="Times New Roman"/>
          <w:sz w:val="19"/>
          <w:szCs w:val="19"/>
        </w:rPr>
        <w:t>Earnings from continuing operations before income taxes consisted of t</w:t>
      </w:r>
      <w:r>
        <w:rPr>
          <w:rFonts w:ascii="Times New Roman" w:hAnsi="Times New Roman" w:cs="Times New Roman"/>
          <w:sz w:val="19"/>
          <w:szCs w:val="19"/>
        </w:rPr>
        <w:t>he following:</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
          <w:szCs w:val="2"/>
        </w:rPr>
      </w:pPr>
      <w:r>
        <w:rPr>
          <w:rFonts w:ascii="Times New Roman" w:hAnsi="Times New Roman" w:cs="Times New Roman"/>
          <w:sz w:val="24"/>
          <w:szCs w:val="24"/>
        </w:rPr>
        <w:br w:type="column"/>
      </w:r>
    </w:p>
    <w:tbl>
      <w:tblPr>
        <w:tblW w:w="0" w:type="auto"/>
        <w:tblLayout w:type="fixed"/>
        <w:tblCellMar>
          <w:left w:w="0" w:type="dxa"/>
          <w:right w:w="0" w:type="dxa"/>
        </w:tblCellMar>
        <w:tblLook w:val="0000" w:firstRow="0" w:lastRow="0" w:firstColumn="0" w:lastColumn="0" w:noHBand="0" w:noVBand="0"/>
      </w:tblPr>
      <w:tblGrid>
        <w:gridCol w:w="2120"/>
        <w:gridCol w:w="800"/>
        <w:gridCol w:w="80"/>
        <w:gridCol w:w="800"/>
        <w:gridCol w:w="80"/>
        <w:gridCol w:w="800"/>
      </w:tblGrid>
      <w:tr w:rsidR="00000000">
        <w:tblPrEx>
          <w:tblCellMar>
            <w:top w:w="0" w:type="dxa"/>
            <w:left w:w="0" w:type="dxa"/>
            <w:bottom w:w="0" w:type="dxa"/>
            <w:right w:w="0" w:type="dxa"/>
          </w:tblCellMar>
        </w:tblPrEx>
        <w:trPr>
          <w:trHeight w:val="250"/>
        </w:trPr>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56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71</w:t>
            </w:r>
          </w:p>
        </w:tc>
      </w:tr>
      <w:tr w:rsidR="00000000">
        <w:tblPrEx>
          <w:tblCellMar>
            <w:top w:w="0" w:type="dxa"/>
            <w:left w:w="0" w:type="dxa"/>
            <w:bottom w:w="0" w:type="dxa"/>
            <w:right w:w="0" w:type="dxa"/>
          </w:tblCellMar>
        </w:tblPrEx>
        <w:trPr>
          <w:trHeight w:val="599"/>
        </w:trPr>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72"/>
              <w:jc w:val="right"/>
              <w:rPr>
                <w:rFonts w:ascii="Times New Roman" w:hAnsi="Times New Roman" w:cs="Times New Roman"/>
                <w:sz w:val="24"/>
                <w:szCs w:val="24"/>
              </w:rPr>
            </w:pPr>
            <w:r>
              <w:rPr>
                <w:rFonts w:ascii="Times New Roman" w:hAnsi="Times New Roman" w:cs="Times New Roman"/>
                <w:b/>
                <w:bCs/>
                <w:sz w:val="15"/>
                <w:szCs w:val="15"/>
              </w:rPr>
              <w:t>2014</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b/>
                <w:bCs/>
                <w:sz w:val="15"/>
                <w:szCs w:val="15"/>
              </w:rPr>
              <w:t>2013</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b/>
                <w:bCs/>
                <w:sz w:val="15"/>
                <w:szCs w:val="15"/>
              </w:rPr>
              <w:t>2012</w:t>
            </w:r>
          </w:p>
        </w:tc>
      </w:tr>
      <w:tr w:rsidR="00000000">
        <w:tblPrEx>
          <w:tblCellMar>
            <w:top w:w="0" w:type="dxa"/>
            <w:left w:w="0" w:type="dxa"/>
            <w:bottom w:w="0" w:type="dxa"/>
            <w:right w:w="0" w:type="dxa"/>
          </w:tblCellMar>
        </w:tblPrEx>
        <w:trPr>
          <w:trHeight w:val="22"/>
        </w:trPr>
        <w:tc>
          <w:tcPr>
            <w:tcW w:w="2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2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United States</w:t>
            </w: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9,005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8,260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7,398</w:t>
            </w:r>
          </w:p>
        </w:tc>
      </w:tr>
      <w:tr w:rsidR="00000000">
        <w:tblPrEx>
          <w:tblCellMar>
            <w:top w:w="0" w:type="dxa"/>
            <w:left w:w="0" w:type="dxa"/>
            <w:bottom w:w="0" w:type="dxa"/>
            <w:right w:w="0" w:type="dxa"/>
          </w:tblCellMar>
        </w:tblPrEx>
        <w:trPr>
          <w:trHeight w:val="255"/>
        </w:trPr>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International</w:t>
            </w: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5,880</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6,432</w:t>
            </w:r>
          </w:p>
        </w:tc>
        <w:tc>
          <w:tcPr>
            <w:tcW w:w="8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5,130</w:t>
            </w:r>
          </w:p>
        </w:tc>
      </w:tr>
      <w:tr w:rsidR="00000000">
        <w:tblPrEx>
          <w:tblCellMar>
            <w:top w:w="0" w:type="dxa"/>
            <w:left w:w="0" w:type="dxa"/>
            <w:bottom w:w="0" w:type="dxa"/>
            <w:right w:w="0" w:type="dxa"/>
          </w:tblCellMar>
        </w:tblPrEx>
        <w:trPr>
          <w:trHeight w:val="22"/>
        </w:trPr>
        <w:tc>
          <w:tcPr>
            <w:tcW w:w="2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2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w:t>
            </w:r>
          </w:p>
        </w:tc>
        <w:tc>
          <w:tcPr>
            <w:tcW w:w="8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14,885</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14,692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12,528</w:t>
            </w:r>
          </w:p>
        </w:tc>
      </w:tr>
    </w:tbl>
    <w:p w:rsidR="00000000" w:rsidRDefault="0057438D">
      <w:pPr>
        <w:pStyle w:val="DefaultParagraphFont"/>
        <w:widowControl w:val="0"/>
        <w:autoSpaceDE w:val="0"/>
        <w:autoSpaceDN w:val="0"/>
        <w:adjustRightInd w:val="0"/>
        <w:spacing w:after="0" w:line="11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460"/>
        <w:rPr>
          <w:rFonts w:ascii="Times New Roman" w:hAnsi="Times New Roman" w:cs="Times New Roman"/>
          <w:sz w:val="24"/>
          <w:szCs w:val="24"/>
        </w:rPr>
      </w:pPr>
      <w:r>
        <w:rPr>
          <w:rFonts w:ascii="Times New Roman" w:hAnsi="Times New Roman" w:cs="Times New Roman"/>
          <w:sz w:val="19"/>
          <w:szCs w:val="19"/>
        </w:rPr>
        <w:t>Income taxes on continuing operations consisted of the following:</w:t>
      </w:r>
    </w:p>
    <w:p w:rsidR="00000000" w:rsidRDefault="0057438D">
      <w:pPr>
        <w:pStyle w:val="DefaultParagraphFont"/>
        <w:widowControl w:val="0"/>
        <w:autoSpaceDE w:val="0"/>
        <w:autoSpaceDN w:val="0"/>
        <w:adjustRightInd w:val="0"/>
        <w:spacing w:after="0" w:line="95"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400"/>
        <w:gridCol w:w="720"/>
        <w:gridCol w:w="80"/>
        <w:gridCol w:w="700"/>
        <w:gridCol w:w="80"/>
        <w:gridCol w:w="700"/>
      </w:tblGrid>
      <w:tr w:rsidR="00000000">
        <w:tblPrEx>
          <w:tblCellMar>
            <w:top w:w="0" w:type="dxa"/>
            <w:left w:w="0" w:type="dxa"/>
            <w:bottom w:w="0" w:type="dxa"/>
            <w:right w:w="0" w:type="dxa"/>
          </w:tblCellMar>
        </w:tblPrEx>
        <w:trPr>
          <w:trHeight w:val="203"/>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7"/>
              <w:jc w:val="right"/>
              <w:rPr>
                <w:rFonts w:ascii="Times New Roman" w:hAnsi="Times New Roman" w:cs="Times New Roman"/>
                <w:sz w:val="24"/>
                <w:szCs w:val="24"/>
              </w:rPr>
            </w:pPr>
            <w:r>
              <w:rPr>
                <w:rFonts w:ascii="Times New Roman" w:hAnsi="Times New Roman" w:cs="Times New Roman"/>
                <w:b/>
                <w:bCs/>
                <w:sz w:val="15"/>
                <w:szCs w:val="15"/>
              </w:rPr>
              <w:t>2014</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b/>
                <w:bCs/>
                <w:sz w:val="15"/>
                <w:szCs w:val="15"/>
              </w:rPr>
              <w:t>2013</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5"/>
                <w:szCs w:val="15"/>
              </w:rPr>
              <w:t>2012</w:t>
            </w:r>
          </w:p>
        </w:tc>
      </w:tr>
      <w:tr w:rsidR="00000000">
        <w:tblPrEx>
          <w:tblCellMar>
            <w:top w:w="0" w:type="dxa"/>
            <w:left w:w="0" w:type="dxa"/>
            <w:bottom w:w="0" w:type="dxa"/>
            <w:right w:w="0" w:type="dxa"/>
          </w:tblCellMar>
        </w:tblPrEx>
        <w:trPr>
          <w:trHeight w:val="22"/>
        </w:trPr>
        <w:tc>
          <w:tcPr>
            <w:tcW w:w="24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7"/>
        </w:trPr>
        <w:tc>
          <w:tcPr>
            <w:tcW w:w="24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ind w:left="60"/>
              <w:rPr>
                <w:rFonts w:ascii="Times New Roman" w:hAnsi="Times New Roman" w:cs="Times New Roman"/>
                <w:sz w:val="24"/>
                <w:szCs w:val="24"/>
              </w:rPr>
            </w:pPr>
            <w:r>
              <w:rPr>
                <w:rFonts w:ascii="Times New Roman" w:hAnsi="Times New Roman" w:cs="Times New Roman"/>
                <w:b/>
                <w:bCs/>
                <w:sz w:val="19"/>
                <w:szCs w:val="19"/>
              </w:rPr>
              <w:t>CURRENT TAX</w:t>
            </w: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260"/>
        </w:trPr>
        <w:tc>
          <w:tcPr>
            <w:tcW w:w="2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EXPENSE</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55"/>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U.S. federal</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$ 1,606</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$ 1,845</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$ 1,837</w:t>
            </w:r>
          </w:p>
        </w:tc>
      </w:tr>
      <w:tr w:rsidR="00000000">
        <w:tblPrEx>
          <w:tblCellMar>
            <w:top w:w="0" w:type="dxa"/>
            <w:left w:w="0" w:type="dxa"/>
            <w:bottom w:w="0" w:type="dxa"/>
            <w:right w:w="0" w:type="dxa"/>
          </w:tblCellMar>
        </w:tblPrEx>
        <w:trPr>
          <w:trHeight w:val="31"/>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International</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1,379</w:t>
            </w:r>
          </w:p>
        </w:tc>
        <w:tc>
          <w:tcPr>
            <w:tcW w:w="7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1,567</w:t>
            </w:r>
          </w:p>
        </w:tc>
        <w:tc>
          <w:tcPr>
            <w:tcW w:w="7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1,357</w:t>
            </w:r>
          </w:p>
        </w:tc>
      </w:tr>
      <w:tr w:rsidR="00000000">
        <w:tblPrEx>
          <w:tblCellMar>
            <w:top w:w="0" w:type="dxa"/>
            <w:left w:w="0" w:type="dxa"/>
            <w:bottom w:w="0" w:type="dxa"/>
            <w:right w:w="0" w:type="dxa"/>
          </w:tblCellMar>
        </w:tblPrEx>
        <w:trPr>
          <w:trHeight w:val="255"/>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U.S. state and local</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237</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279</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246</w:t>
            </w:r>
          </w:p>
        </w:tc>
      </w:tr>
      <w:tr w:rsidR="00000000">
        <w:tblPrEx>
          <w:tblCellMar>
            <w:top w:w="0" w:type="dxa"/>
            <w:left w:w="0" w:type="dxa"/>
            <w:bottom w:w="0" w:type="dxa"/>
            <w:right w:w="0" w:type="dxa"/>
          </w:tblCellMar>
        </w:tblPrEx>
        <w:trPr>
          <w:trHeight w:val="21"/>
        </w:trPr>
        <w:tc>
          <w:tcPr>
            <w:tcW w:w="24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0"/>
        </w:trPr>
        <w:tc>
          <w:tcPr>
            <w:tcW w:w="2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3,222</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3,691</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3,440</w:t>
            </w:r>
          </w:p>
        </w:tc>
      </w:tr>
      <w:tr w:rsidR="00000000">
        <w:tblPrEx>
          <w:tblCellMar>
            <w:top w:w="0" w:type="dxa"/>
            <w:left w:w="0" w:type="dxa"/>
            <w:bottom w:w="0" w:type="dxa"/>
            <w:right w:w="0" w:type="dxa"/>
          </w:tblCellMar>
        </w:tblPrEx>
        <w:trPr>
          <w:trHeight w:val="155"/>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4" w:lineRule="exact"/>
              <w:ind w:left="60"/>
              <w:rPr>
                <w:rFonts w:ascii="Times New Roman" w:hAnsi="Times New Roman" w:cs="Times New Roman"/>
                <w:sz w:val="24"/>
                <w:szCs w:val="24"/>
              </w:rPr>
            </w:pPr>
            <w:r>
              <w:rPr>
                <w:rFonts w:ascii="Times New Roman" w:hAnsi="Times New Roman" w:cs="Times New Roman"/>
                <w:b/>
                <w:bCs/>
                <w:sz w:val="17"/>
                <w:szCs w:val="17"/>
              </w:rPr>
              <w:t>DEFERRED TAX</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r>
      <w:tr w:rsidR="00000000">
        <w:tblPrEx>
          <w:tblCellMar>
            <w:top w:w="0" w:type="dxa"/>
            <w:left w:w="0" w:type="dxa"/>
            <w:bottom w:w="0" w:type="dxa"/>
            <w:right w:w="0" w:type="dxa"/>
          </w:tblCellMar>
        </w:tblPrEx>
        <w:trPr>
          <w:trHeight w:val="254"/>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EXPENSE</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6"/>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U.S. federal</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135</w:t>
            </w:r>
          </w:p>
        </w:tc>
        <w:tc>
          <w:tcPr>
            <w:tcW w:w="7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185</w:t>
            </w:r>
          </w:p>
        </w:tc>
        <w:tc>
          <w:tcPr>
            <w:tcW w:w="7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86</w:t>
            </w:r>
          </w:p>
        </w:tc>
      </w:tr>
      <w:tr w:rsidR="00000000">
        <w:tblPrEx>
          <w:tblCellMar>
            <w:top w:w="0" w:type="dxa"/>
            <w:left w:w="0" w:type="dxa"/>
            <w:bottom w:w="0" w:type="dxa"/>
            <w:right w:w="0" w:type="dxa"/>
          </w:tblCellMar>
        </w:tblPrEx>
        <w:trPr>
          <w:trHeight w:val="256"/>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International and other</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(179)</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(485)</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(148)</w:t>
            </w:r>
          </w:p>
        </w:tc>
      </w:tr>
      <w:tr w:rsidR="00000000">
        <w:tblPrEx>
          <w:tblCellMar>
            <w:top w:w="0" w:type="dxa"/>
            <w:left w:w="0" w:type="dxa"/>
            <w:bottom w:w="0" w:type="dxa"/>
            <w:right w:w="0" w:type="dxa"/>
          </w:tblCellMar>
        </w:tblPrEx>
        <w:trPr>
          <w:trHeight w:val="21"/>
        </w:trPr>
        <w:tc>
          <w:tcPr>
            <w:tcW w:w="24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0"/>
        </w:trPr>
        <w:tc>
          <w:tcPr>
            <w:tcW w:w="2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(44)</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(300)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(62)</w:t>
            </w:r>
          </w:p>
        </w:tc>
      </w:tr>
      <w:tr w:rsidR="00000000">
        <w:tblPrEx>
          <w:tblCellMar>
            <w:top w:w="0" w:type="dxa"/>
            <w:left w:w="0" w:type="dxa"/>
            <w:bottom w:w="0" w:type="dxa"/>
            <w:right w:w="0" w:type="dxa"/>
          </w:tblCellMar>
        </w:tblPrEx>
        <w:trPr>
          <w:trHeight w:val="234"/>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 TAX EXPENSE</w:t>
            </w: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3,178</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3,391</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3,378</w:t>
            </w:r>
          </w:p>
        </w:tc>
      </w:tr>
      <w:tr w:rsidR="00000000">
        <w:tblPrEx>
          <w:tblCellMar>
            <w:top w:w="0" w:type="dxa"/>
            <w:left w:w="0" w:type="dxa"/>
            <w:bottom w:w="0" w:type="dxa"/>
            <w:right w:w="0" w:type="dxa"/>
          </w:tblCellMar>
        </w:tblPrEx>
        <w:trPr>
          <w:trHeight w:val="20"/>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1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left="20" w:right="40"/>
        <w:rPr>
          <w:rFonts w:ascii="Times New Roman" w:hAnsi="Times New Roman" w:cs="Times New Roman"/>
          <w:sz w:val="24"/>
          <w:szCs w:val="24"/>
        </w:rPr>
      </w:pPr>
      <w:r>
        <w:rPr>
          <w:rFonts w:ascii="Times New Roman" w:hAnsi="Times New Roman" w:cs="Times New Roman"/>
          <w:sz w:val="19"/>
          <w:szCs w:val="19"/>
        </w:rPr>
        <w:t>A reconciliation of the U.S. federal statutory income tax rate to our actual income tax rate on continuing operations is provided below:</w:t>
      </w:r>
    </w:p>
    <w:p w:rsidR="00000000" w:rsidRDefault="0057438D">
      <w:pPr>
        <w:pStyle w:val="DefaultParagraphFont"/>
        <w:widowControl w:val="0"/>
        <w:autoSpaceDE w:val="0"/>
        <w:autoSpaceDN w:val="0"/>
        <w:adjustRightInd w:val="0"/>
        <w:spacing w:after="0" w:line="12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380"/>
        <w:gridCol w:w="760"/>
        <w:gridCol w:w="80"/>
        <w:gridCol w:w="680"/>
        <w:gridCol w:w="80"/>
        <w:gridCol w:w="700"/>
        <w:gridCol w:w="20"/>
      </w:tblGrid>
      <w:tr w:rsidR="00000000">
        <w:tblPrEx>
          <w:tblCellMar>
            <w:top w:w="0" w:type="dxa"/>
            <w:left w:w="0" w:type="dxa"/>
            <w:bottom w:w="0" w:type="dxa"/>
            <w:right w:w="0" w:type="dxa"/>
          </w:tblCellMar>
        </w:tblPrEx>
        <w:trPr>
          <w:trHeight w:val="203"/>
        </w:trPr>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7"/>
              <w:jc w:val="right"/>
              <w:rPr>
                <w:rFonts w:ascii="Times New Roman" w:hAnsi="Times New Roman" w:cs="Times New Roman"/>
                <w:sz w:val="24"/>
                <w:szCs w:val="24"/>
              </w:rPr>
            </w:pPr>
            <w:r>
              <w:rPr>
                <w:rFonts w:ascii="Times New Roman" w:hAnsi="Times New Roman" w:cs="Times New Roman"/>
                <w:b/>
                <w:bCs/>
                <w:sz w:val="15"/>
                <w:szCs w:val="15"/>
              </w:rPr>
              <w:t>2014</w:t>
            </w:r>
          </w:p>
        </w:tc>
        <w:tc>
          <w:tcPr>
            <w:tcW w:w="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5"/>
                <w:szCs w:val="15"/>
              </w:rPr>
              <w:t>2013</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5"/>
                <w:szCs w:val="15"/>
              </w:rPr>
              <w:t>2012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23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7"/>
        </w:trPr>
        <w:tc>
          <w:tcPr>
            <w:tcW w:w="23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7" w:lineRule="exact"/>
              <w:ind w:left="60"/>
              <w:rPr>
                <w:rFonts w:ascii="Times New Roman" w:hAnsi="Times New Roman" w:cs="Times New Roman"/>
                <w:sz w:val="24"/>
                <w:szCs w:val="24"/>
              </w:rPr>
            </w:pPr>
            <w:r>
              <w:rPr>
                <w:rFonts w:ascii="Times New Roman" w:hAnsi="Times New Roman" w:cs="Times New Roman"/>
                <w:sz w:val="19"/>
                <w:szCs w:val="19"/>
              </w:rPr>
              <w:t>U.S. federal statutory income</w:t>
            </w:r>
          </w:p>
        </w:tc>
        <w:tc>
          <w:tcPr>
            <w:tcW w:w="7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35.0 %</w:t>
            </w:r>
          </w:p>
        </w:tc>
        <w:tc>
          <w:tcPr>
            <w:tcW w:w="76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35.0 %</w:t>
            </w:r>
          </w:p>
        </w:tc>
        <w:tc>
          <w:tcPr>
            <w:tcW w:w="78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35.0 %</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23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tax rate</w:t>
            </w:r>
          </w:p>
        </w:tc>
        <w:tc>
          <w:tcPr>
            <w:tcW w:w="76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Country mix impacts of</w:t>
            </w:r>
          </w:p>
        </w:tc>
        <w:tc>
          <w:tcPr>
            <w:tcW w:w="7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(10.9)%</w:t>
            </w:r>
          </w:p>
        </w:tc>
        <w:tc>
          <w:tcPr>
            <w:tcW w:w="76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(7.7)%</w:t>
            </w:r>
          </w:p>
        </w:tc>
        <w:tc>
          <w:tcPr>
            <w:tcW w:w="7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foreign operations</w:t>
            </w:r>
          </w:p>
        </w:tc>
        <w:tc>
          <w:tcPr>
            <w:tcW w:w="7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23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Changes in uncertain tax</w:t>
            </w:r>
          </w:p>
        </w:tc>
        <w:tc>
          <w:tcPr>
            <w:tcW w:w="7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(1.5)%</w:t>
            </w:r>
          </w:p>
        </w:tc>
        <w:tc>
          <w:tcPr>
            <w:tcW w:w="76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w:t>
            </w:r>
          </w:p>
        </w:tc>
        <w:tc>
          <w:tcPr>
            <w:tcW w:w="78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23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positions</w:t>
            </w:r>
          </w:p>
        </w:tc>
        <w:tc>
          <w:tcPr>
            <w:tcW w:w="76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Impairment adjustments</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w:t>
            </w:r>
          </w:p>
        </w:tc>
        <w:tc>
          <w:tcPr>
            <w:tcW w:w="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0.6 %</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3.8 %</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0"/>
        </w:trPr>
        <w:tc>
          <w:tcPr>
            <w:tcW w:w="23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0" w:lineRule="exact"/>
              <w:ind w:left="60"/>
              <w:rPr>
                <w:rFonts w:ascii="Times New Roman" w:hAnsi="Times New Roman" w:cs="Times New Roman"/>
                <w:sz w:val="24"/>
                <w:szCs w:val="24"/>
              </w:rPr>
            </w:pPr>
            <w:r>
              <w:rPr>
                <w:rFonts w:ascii="Times New Roman" w:hAnsi="Times New Roman" w:cs="Times New Roman"/>
                <w:sz w:val="19"/>
                <w:szCs w:val="19"/>
              </w:rPr>
              <w:t>Holding gain on joint</w:t>
            </w:r>
          </w:p>
        </w:tc>
        <w:tc>
          <w:tcPr>
            <w:tcW w:w="7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w:t>
            </w:r>
          </w:p>
        </w:tc>
        <w:tc>
          <w:tcPr>
            <w:tcW w:w="76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23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venture buy-out</w:t>
            </w:r>
          </w:p>
        </w:tc>
        <w:tc>
          <w:tcPr>
            <w:tcW w:w="76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23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Other</w:t>
            </w: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(1.2)%</w:t>
            </w:r>
          </w:p>
        </w:tc>
        <w:tc>
          <w:tcPr>
            <w:tcW w:w="7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23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8"/>
        </w:trPr>
        <w:tc>
          <w:tcPr>
            <w:tcW w:w="23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67" w:lineRule="exact"/>
              <w:ind w:left="60"/>
              <w:rPr>
                <w:rFonts w:ascii="Times New Roman" w:hAnsi="Times New Roman" w:cs="Times New Roman"/>
                <w:sz w:val="24"/>
                <w:szCs w:val="24"/>
              </w:rPr>
            </w:pPr>
            <w:r>
              <w:rPr>
                <w:rFonts w:ascii="Times New Roman" w:hAnsi="Times New Roman" w:cs="Times New Roman"/>
                <w:b/>
                <w:bCs/>
                <w:sz w:val="19"/>
                <w:szCs w:val="19"/>
              </w:rPr>
              <w:t>EFFECTIVE INCOME</w:t>
            </w:r>
          </w:p>
        </w:tc>
        <w:tc>
          <w:tcPr>
            <w:tcW w:w="7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21.4 %</w:t>
            </w:r>
          </w:p>
        </w:tc>
        <w:tc>
          <w:tcPr>
            <w:tcW w:w="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23.1 %</w:t>
            </w:r>
          </w:p>
        </w:tc>
        <w:tc>
          <w:tcPr>
            <w:tcW w:w="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7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27.0 %</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8"/>
        </w:trPr>
        <w:tc>
          <w:tcPr>
            <w:tcW w:w="23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TAX RATE</w:t>
            </w:r>
          </w:p>
        </w:tc>
        <w:tc>
          <w:tcPr>
            <w:tcW w:w="76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vMerge/>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1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120"/>
        <w:rPr>
          <w:rFonts w:ascii="Times New Roman" w:hAnsi="Times New Roman" w:cs="Times New Roman"/>
          <w:sz w:val="24"/>
          <w:szCs w:val="24"/>
        </w:rPr>
      </w:pPr>
      <w:r>
        <w:rPr>
          <w:rFonts w:ascii="Times New Roman" w:hAnsi="Times New Roman" w:cs="Times New Roman"/>
          <w:sz w:val="19"/>
          <w:szCs w:val="19"/>
        </w:rPr>
        <w:t>Changes in uncertain tax positions represent changes in our net liability related to prior year tax positions.</w:t>
      </w:r>
    </w:p>
    <w:p w:rsidR="00000000" w:rsidRDefault="0057438D">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left="20"/>
        <w:rPr>
          <w:rFonts w:ascii="Times New Roman" w:hAnsi="Times New Roman" w:cs="Times New Roman"/>
          <w:sz w:val="24"/>
          <w:szCs w:val="24"/>
        </w:rPr>
      </w:pPr>
      <w:r>
        <w:rPr>
          <w:rFonts w:ascii="Times New Roman" w:hAnsi="Times New Roman" w:cs="Times New Roman"/>
          <w:sz w:val="19"/>
          <w:szCs w:val="19"/>
        </w:rPr>
        <w:t>Tax benefits to shareholders' equity totaled $716 for the year ended June 30, 2014. This primarily relates to the tax effects of net investment hedges, excess tax benefits from the exercise of stock options and the impacts of certain adjustments to pension</w:t>
      </w:r>
      <w:r>
        <w:rPr>
          <w:rFonts w:ascii="Times New Roman" w:hAnsi="Times New Roman" w:cs="Times New Roman"/>
          <w:sz w:val="19"/>
          <w:szCs w:val="19"/>
        </w:rPr>
        <w:t xml:space="preserve"> and other retiree benefit obligations recorded in shareholders' equity. Tax costs charged to shareholders' equity totaled $503 for the year ended June 30, 2013. This primarily relates to the impact of certain adjustments to pension obligations recorded in</w:t>
      </w:r>
      <w:r>
        <w:rPr>
          <w:rFonts w:ascii="Times New Roman" w:hAnsi="Times New Roman" w:cs="Times New Roman"/>
          <w:sz w:val="19"/>
          <w:szCs w:val="19"/>
        </w:rPr>
        <w:t xml:space="preserve"> shareholders' equity, partially offset by excess tax benefits from the exercise of stock options.</w:t>
      </w:r>
    </w:p>
    <w:p w:rsidR="00000000" w:rsidRDefault="0057438D">
      <w:pPr>
        <w:pStyle w:val="DefaultParagraphFont"/>
        <w:widowControl w:val="0"/>
        <w:autoSpaceDE w:val="0"/>
        <w:autoSpaceDN w:val="0"/>
        <w:adjustRightInd w:val="0"/>
        <w:spacing w:after="0" w:line="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left="20" w:right="260"/>
        <w:rPr>
          <w:rFonts w:ascii="Times New Roman" w:hAnsi="Times New Roman" w:cs="Times New Roman"/>
          <w:sz w:val="24"/>
          <w:szCs w:val="24"/>
        </w:rPr>
      </w:pPr>
      <w:r>
        <w:rPr>
          <w:rFonts w:ascii="Times New Roman" w:hAnsi="Times New Roman" w:cs="Times New Roman"/>
          <w:sz w:val="19"/>
          <w:szCs w:val="19"/>
        </w:rPr>
        <w:t>We have undistributed earnings of foreign subsidiaries of approximately $44.0 billion at June 30, 2014, for which deferred taxes have not been provided. Suc</w:t>
      </w:r>
      <w:r>
        <w:rPr>
          <w:rFonts w:ascii="Times New Roman" w:hAnsi="Times New Roman" w:cs="Times New Roman"/>
          <w:sz w:val="19"/>
          <w:szCs w:val="19"/>
        </w:rPr>
        <w:t>h earnings are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346" w:left="840" w:header="720" w:footer="720" w:gutter="0"/>
          <w:cols w:num="2" w:space="420" w:equalWidth="0">
            <w:col w:w="4680" w:space="420"/>
            <w:col w:w="4680"/>
          </w:cols>
          <w:noEndnote/>
        </w:sectPr>
      </w:pPr>
    </w:p>
    <w:p w:rsidR="00000000" w:rsidRDefault="0057438D">
      <w:pPr>
        <w:pStyle w:val="DefaultParagraphFont"/>
        <w:widowControl w:val="0"/>
        <w:autoSpaceDE w:val="0"/>
        <w:autoSpaceDN w:val="0"/>
        <w:adjustRightInd w:val="0"/>
        <w:spacing w:after="0" w:line="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5580" w:header="720" w:footer="720" w:gutter="0"/>
          <w:cols w:space="420" w:equalWidth="0">
            <w:col w:w="5060" w:space="420"/>
          </w:cols>
          <w:noEndnote/>
        </w:sectPr>
      </w:pPr>
    </w:p>
    <w:p w:rsidR="00000000" w:rsidRDefault="0057438D">
      <w:pPr>
        <w:pStyle w:val="DefaultParagraphFont"/>
        <w:widowControl w:val="0"/>
        <w:tabs>
          <w:tab w:val="left" w:pos="360"/>
        </w:tabs>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7"/>
          <w:szCs w:val="17"/>
        </w:rPr>
        <w:t>72</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left="20" w:right="20"/>
        <w:rPr>
          <w:rFonts w:ascii="Times New Roman" w:hAnsi="Times New Roman" w:cs="Times New Roman"/>
          <w:sz w:val="24"/>
          <w:szCs w:val="24"/>
        </w:rPr>
      </w:pPr>
      <w:r>
        <w:rPr>
          <w:rFonts w:ascii="Times New Roman" w:hAnsi="Times New Roman" w:cs="Times New Roman"/>
          <w:sz w:val="19"/>
          <w:szCs w:val="19"/>
        </w:rPr>
        <w:t>considered indefinitely invested in the foreign subsidiaries. If such earnings were repatriated, additional tax expense may result. However, the calculation of the amount of deferred U.S. income tax on these earnings is not practicable because of the large</w:t>
      </w:r>
      <w:r>
        <w:rPr>
          <w:rFonts w:ascii="Times New Roman" w:hAnsi="Times New Roman" w:cs="Times New Roman"/>
          <w:sz w:val="19"/>
          <w:szCs w:val="19"/>
        </w:rPr>
        <w:t xml:space="preserve"> number of assumptions necessary to compute the tax.</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340"/>
        <w:rPr>
          <w:rFonts w:ascii="Times New Roman" w:hAnsi="Times New Roman" w:cs="Times New Roman"/>
          <w:sz w:val="24"/>
          <w:szCs w:val="24"/>
        </w:rPr>
      </w:pPr>
      <w:r>
        <w:rPr>
          <w:rFonts w:ascii="Times New Roman" w:hAnsi="Times New Roman" w:cs="Times New Roman"/>
          <w:sz w:val="19"/>
          <w:szCs w:val="19"/>
        </w:rPr>
        <w:t>A reconciliation of the beginning and ending liability for uncertain tax positions is as follows:</w:t>
      </w:r>
    </w:p>
    <w:p w:rsidR="00000000" w:rsidRDefault="0057438D">
      <w:pPr>
        <w:pStyle w:val="DefaultParagraphFont"/>
        <w:widowControl w:val="0"/>
        <w:autoSpaceDE w:val="0"/>
        <w:autoSpaceDN w:val="0"/>
        <w:adjustRightInd w:val="0"/>
        <w:spacing w:after="0" w:line="111"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400"/>
        <w:gridCol w:w="720"/>
        <w:gridCol w:w="80"/>
        <w:gridCol w:w="700"/>
        <w:gridCol w:w="80"/>
        <w:gridCol w:w="700"/>
        <w:gridCol w:w="20"/>
      </w:tblGrid>
      <w:tr w:rsidR="00000000">
        <w:tblPrEx>
          <w:tblCellMar>
            <w:top w:w="0" w:type="dxa"/>
            <w:left w:w="0" w:type="dxa"/>
            <w:bottom w:w="0" w:type="dxa"/>
            <w:right w:w="0" w:type="dxa"/>
          </w:tblCellMar>
        </w:tblPrEx>
        <w:trPr>
          <w:trHeight w:val="203"/>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7"/>
              <w:jc w:val="right"/>
              <w:rPr>
                <w:rFonts w:ascii="Times New Roman" w:hAnsi="Times New Roman" w:cs="Times New Roman"/>
                <w:sz w:val="24"/>
                <w:szCs w:val="24"/>
              </w:rPr>
            </w:pPr>
            <w:r>
              <w:rPr>
                <w:rFonts w:ascii="Times New Roman" w:hAnsi="Times New Roman" w:cs="Times New Roman"/>
                <w:b/>
                <w:bCs/>
                <w:sz w:val="15"/>
                <w:szCs w:val="15"/>
              </w:rPr>
              <w:t>2014</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b/>
                <w:bCs/>
                <w:sz w:val="15"/>
                <w:szCs w:val="15"/>
              </w:rPr>
              <w:t>2013</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b/>
                <w:bCs/>
                <w:sz w:val="15"/>
                <w:szCs w:val="15"/>
              </w:rPr>
              <w:t>2012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24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7"/>
        </w:trPr>
        <w:tc>
          <w:tcPr>
            <w:tcW w:w="2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BEGINNING OF YEAR</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$ 1,600</w:t>
            </w:r>
          </w:p>
        </w:tc>
        <w:tc>
          <w:tcPr>
            <w:tcW w:w="7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$ 1,773</w:t>
            </w:r>
          </w:p>
        </w:tc>
        <w:tc>
          <w:tcPr>
            <w:tcW w:w="7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$ 1,848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Increases in tax positions for</w:t>
            </w:r>
          </w:p>
        </w:tc>
        <w:tc>
          <w:tcPr>
            <w:tcW w:w="7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146</w:t>
            </w:r>
          </w:p>
        </w:tc>
        <w:tc>
          <w:tcPr>
            <w:tcW w:w="7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162</w:t>
            </w:r>
          </w:p>
        </w:tc>
        <w:tc>
          <w:tcPr>
            <w:tcW w:w="7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prior years</w:t>
            </w:r>
          </w:p>
        </w:tc>
        <w:tc>
          <w:tcPr>
            <w:tcW w:w="7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24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Decreases in tax positions for</w:t>
            </w:r>
          </w:p>
        </w:tc>
        <w:tc>
          <w:tcPr>
            <w:tcW w:w="7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(296)</w:t>
            </w:r>
          </w:p>
        </w:tc>
        <w:tc>
          <w:tcPr>
            <w:tcW w:w="78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(225)</w:t>
            </w:r>
          </w:p>
        </w:tc>
        <w:tc>
          <w:tcPr>
            <w:tcW w:w="78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2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prior years</w:t>
            </w:r>
          </w:p>
        </w:tc>
        <w:tc>
          <w:tcPr>
            <w:tcW w:w="72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Increases in tax positions for</w:t>
            </w:r>
          </w:p>
        </w:tc>
        <w:tc>
          <w:tcPr>
            <w:tcW w:w="7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142</w:t>
            </w:r>
          </w:p>
        </w:tc>
        <w:tc>
          <w:tcPr>
            <w:tcW w:w="7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188</w:t>
            </w:r>
          </w:p>
        </w:tc>
        <w:tc>
          <w:tcPr>
            <w:tcW w:w="7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current year</w:t>
            </w:r>
          </w:p>
        </w:tc>
        <w:tc>
          <w:tcPr>
            <w:tcW w:w="7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24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8" w:lineRule="exact"/>
              <w:ind w:left="40"/>
              <w:rPr>
                <w:rFonts w:ascii="Times New Roman" w:hAnsi="Times New Roman" w:cs="Times New Roman"/>
                <w:sz w:val="24"/>
                <w:szCs w:val="24"/>
              </w:rPr>
            </w:pPr>
            <w:r>
              <w:rPr>
                <w:rFonts w:ascii="Times New Roman" w:hAnsi="Times New Roman" w:cs="Times New Roman"/>
                <w:sz w:val="19"/>
                <w:szCs w:val="19"/>
              </w:rPr>
              <w:t>Settlements with taxing</w:t>
            </w:r>
          </w:p>
        </w:tc>
        <w:tc>
          <w:tcPr>
            <w:tcW w:w="7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(135)</w:t>
            </w:r>
          </w:p>
        </w:tc>
        <w:tc>
          <w:tcPr>
            <w:tcW w:w="78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(195)</w:t>
            </w:r>
          </w:p>
        </w:tc>
        <w:tc>
          <w:tcPr>
            <w:tcW w:w="78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2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authorities</w:t>
            </w:r>
          </w:p>
        </w:tc>
        <w:tc>
          <w:tcPr>
            <w:tcW w:w="72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gridSpan w:val="2"/>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Lapse in statute of limitations</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(33)</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(98)</w:t>
            </w: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2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Currency translation</w:t>
            </w: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w:t>
            </w:r>
          </w:p>
        </w:tc>
        <w:tc>
          <w:tcPr>
            <w:tcW w:w="7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w:t>
            </w:r>
          </w:p>
        </w:tc>
        <w:tc>
          <w:tcPr>
            <w:tcW w:w="7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7"/>
        </w:trPr>
        <w:tc>
          <w:tcPr>
            <w:tcW w:w="240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END OF YEAR</w:t>
            </w:r>
          </w:p>
        </w:tc>
        <w:tc>
          <w:tcPr>
            <w:tcW w:w="72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1,437</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1,600</w:t>
            </w:r>
          </w:p>
        </w:tc>
        <w:tc>
          <w:tcPr>
            <w:tcW w:w="80" w:type="dxa"/>
            <w:tcBorders>
              <w:top w:val="single" w:sz="8" w:space="0" w:color="E6E6E6"/>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1,773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2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1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left="20"/>
        <w:rPr>
          <w:rFonts w:ascii="Times New Roman" w:hAnsi="Times New Roman" w:cs="Times New Roman"/>
          <w:sz w:val="24"/>
          <w:szCs w:val="24"/>
        </w:rPr>
      </w:pPr>
      <w:r>
        <w:rPr>
          <w:rFonts w:ascii="Times New Roman" w:hAnsi="Times New Roman" w:cs="Times New Roman"/>
          <w:sz w:val="19"/>
          <w:szCs w:val="19"/>
        </w:rPr>
        <w:t xml:space="preserve">The Company is present in approximately 140 taxable jurisdictions and, at any point in time, has 50-60 jurisdictional audits underway at various stages of completion. We evaluate our tax positions and establish liabilities for uncertain tax positions that </w:t>
      </w:r>
      <w:r>
        <w:rPr>
          <w:rFonts w:ascii="Times New Roman" w:hAnsi="Times New Roman" w:cs="Times New Roman"/>
          <w:sz w:val="19"/>
          <w:szCs w:val="19"/>
        </w:rPr>
        <w:t>may be challenged by local authorities and may not be fully sustained, despite our belief that the underlying tax positions are fully supportable. Uncertain tax positions are reviewed on an ongoing basis and are adjusted in light of changing facts and circ</w:t>
      </w:r>
      <w:r>
        <w:rPr>
          <w:rFonts w:ascii="Times New Roman" w:hAnsi="Times New Roman" w:cs="Times New Roman"/>
          <w:sz w:val="19"/>
          <w:szCs w:val="19"/>
        </w:rPr>
        <w:t>umstances, including progress of tax audits, developments in case law and closing of statute of limitations. Such adjustments are reflected in the tax provision as appropriate. The Company is making a concerted effort to bring its audit inventory to a more</w:t>
      </w:r>
      <w:r>
        <w:rPr>
          <w:rFonts w:ascii="Times New Roman" w:hAnsi="Times New Roman" w:cs="Times New Roman"/>
          <w:sz w:val="19"/>
          <w:szCs w:val="19"/>
        </w:rPr>
        <w:t xml:space="preserve"> current position. We have done this by working with tax authorities to conduct audits for several open years at once. We have tax years open ranging from 2002 and forward. We are generally not able to reliably estimate the ultimate settlement amounts unti</w:t>
      </w:r>
      <w:r>
        <w:rPr>
          <w:rFonts w:ascii="Times New Roman" w:hAnsi="Times New Roman" w:cs="Times New Roman"/>
          <w:sz w:val="19"/>
          <w:szCs w:val="19"/>
        </w:rPr>
        <w:t>l the close of the audit. While we do not expect material changes, it is possible that the amount of unrecognized benefit with respect to our uncertain tax positions will significantly increase or decrease within the next 12 months related to the audits de</w:t>
      </w:r>
      <w:r>
        <w:rPr>
          <w:rFonts w:ascii="Times New Roman" w:hAnsi="Times New Roman" w:cs="Times New Roman"/>
          <w:sz w:val="19"/>
          <w:szCs w:val="19"/>
        </w:rPr>
        <w:t>scribed above. At this time, we are not able to make a reasonable estimate of the range of impact on the balance of uncertain tax positions or the impact on the effective tax rate related to these items.</w:t>
      </w:r>
    </w:p>
    <w:p w:rsidR="00000000" w:rsidRDefault="0057438D">
      <w:pPr>
        <w:pStyle w:val="DefaultParagraphFont"/>
        <w:widowControl w:val="0"/>
        <w:autoSpaceDE w:val="0"/>
        <w:autoSpaceDN w:val="0"/>
        <w:adjustRightInd w:val="0"/>
        <w:spacing w:after="0" w:line="8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left="20" w:right="20"/>
        <w:rPr>
          <w:rFonts w:ascii="Times New Roman" w:hAnsi="Times New Roman" w:cs="Times New Roman"/>
          <w:sz w:val="24"/>
          <w:szCs w:val="24"/>
        </w:rPr>
      </w:pPr>
      <w:r>
        <w:rPr>
          <w:rFonts w:ascii="Times New Roman" w:hAnsi="Times New Roman" w:cs="Times New Roman"/>
          <w:sz w:val="19"/>
          <w:szCs w:val="19"/>
        </w:rPr>
        <w:t>Included in the total liability for uncertain tax positions at June 30, 2014, is $1.1 billion that, depending on the ultimate resolution, could impact the effective tax rate in future periods.</w:t>
      </w:r>
    </w:p>
    <w:p w:rsidR="00000000" w:rsidRDefault="0057438D">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5" w:lineRule="auto"/>
        <w:ind w:left="20" w:right="20"/>
        <w:rPr>
          <w:rFonts w:ascii="Times New Roman" w:hAnsi="Times New Roman" w:cs="Times New Roman"/>
          <w:sz w:val="24"/>
          <w:szCs w:val="24"/>
        </w:rPr>
      </w:pPr>
      <w:r>
        <w:rPr>
          <w:rFonts w:ascii="Times New Roman" w:hAnsi="Times New Roman" w:cs="Times New Roman"/>
          <w:sz w:val="19"/>
          <w:szCs w:val="19"/>
        </w:rPr>
        <w:t>Accounting pronouncements require that, without discretion, we</w:t>
      </w:r>
      <w:r>
        <w:rPr>
          <w:rFonts w:ascii="Times New Roman" w:hAnsi="Times New Roman" w:cs="Times New Roman"/>
          <w:sz w:val="19"/>
          <w:szCs w:val="19"/>
        </w:rPr>
        <w:t xml:space="preserve"> recognize the additional accrual of any possible related interest and penalties relating to the underlying uncertain tax</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left="20"/>
        <w:rPr>
          <w:rFonts w:ascii="Times New Roman" w:hAnsi="Times New Roman" w:cs="Times New Roman"/>
          <w:sz w:val="24"/>
          <w:szCs w:val="24"/>
        </w:rPr>
      </w:pPr>
      <w:r>
        <w:rPr>
          <w:rFonts w:ascii="Times New Roman" w:hAnsi="Times New Roman" w:cs="Times New Roman"/>
          <w:sz w:val="19"/>
          <w:szCs w:val="19"/>
        </w:rPr>
        <w:t>position in income tax expense, unless the Company qualifies for a specific exception. As of June 30, 2014, 2013 and 2012, we had a</w:t>
      </w:r>
      <w:r>
        <w:rPr>
          <w:rFonts w:ascii="Times New Roman" w:hAnsi="Times New Roman" w:cs="Times New Roman"/>
          <w:sz w:val="19"/>
          <w:szCs w:val="19"/>
        </w:rPr>
        <w:t>ccrued interest of $411, $413 and $439 and accrued penalties of $32, $34 and $66, respectively, that are not included in the above table. During the fiscal years ended June 30, 2014, 2013 and 2012, we recognized $(6), $24 and $2 in interest benefit/(expens</w:t>
      </w:r>
      <w:r>
        <w:rPr>
          <w:rFonts w:ascii="Times New Roman" w:hAnsi="Times New Roman" w:cs="Times New Roman"/>
          <w:sz w:val="19"/>
          <w:szCs w:val="19"/>
        </w:rPr>
        <w:t>e) and $2, $32 and $10 in penalties benefit, respectively. The net benefits recognized resulted primarily from the favorable resolution of tax positions for prior years.</w:t>
      </w:r>
    </w:p>
    <w:p w:rsidR="00000000" w:rsidRDefault="0057438D">
      <w:pPr>
        <w:pStyle w:val="DefaultParagraphFont"/>
        <w:widowControl w:val="0"/>
        <w:autoSpaceDE w:val="0"/>
        <w:autoSpaceDN w:val="0"/>
        <w:adjustRightInd w:val="0"/>
        <w:spacing w:after="0" w:line="8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left="20" w:right="40"/>
        <w:rPr>
          <w:rFonts w:ascii="Times New Roman" w:hAnsi="Times New Roman" w:cs="Times New Roman"/>
          <w:sz w:val="24"/>
          <w:szCs w:val="24"/>
        </w:rPr>
      </w:pPr>
      <w:r>
        <w:rPr>
          <w:rFonts w:ascii="Times New Roman" w:hAnsi="Times New Roman" w:cs="Times New Roman"/>
          <w:sz w:val="19"/>
          <w:szCs w:val="19"/>
        </w:rPr>
        <w:t>Deferred income tax assets and liabilities were comprised of the following:</w:t>
      </w:r>
    </w:p>
    <w:p w:rsidR="00000000" w:rsidRDefault="0057438D">
      <w:pPr>
        <w:pStyle w:val="DefaultParagraphFont"/>
        <w:widowControl w:val="0"/>
        <w:autoSpaceDE w:val="0"/>
        <w:autoSpaceDN w:val="0"/>
        <w:adjustRightInd w:val="0"/>
        <w:spacing w:after="0" w:line="10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940"/>
        <w:gridCol w:w="220"/>
        <w:gridCol w:w="720"/>
        <w:gridCol w:w="80"/>
        <w:gridCol w:w="720"/>
        <w:gridCol w:w="20"/>
      </w:tblGrid>
      <w:tr w:rsidR="00000000">
        <w:tblPrEx>
          <w:tblCellMar>
            <w:top w:w="0" w:type="dxa"/>
            <w:left w:w="0" w:type="dxa"/>
            <w:bottom w:w="0" w:type="dxa"/>
            <w:right w:w="0" w:type="dxa"/>
          </w:tblCellMar>
        </w:tblPrEx>
        <w:trPr>
          <w:trHeight w:val="203"/>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Times New Roman" w:hAnsi="Times New Roman" w:cs="Times New Roman"/>
                <w:b/>
                <w:bCs/>
                <w:sz w:val="15"/>
                <w:szCs w:val="15"/>
              </w:rPr>
              <w:t>2014</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b/>
                <w:bCs/>
                <w:sz w:val="15"/>
                <w:szCs w:val="15"/>
              </w:rPr>
              <w:t>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29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2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DEFERRED TAX ASSETS</w:t>
            </w: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Pension and postretirement benefits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2,045</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$ 1,777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Stock-based compensation</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1,060</w:t>
            </w:r>
          </w:p>
        </w:tc>
        <w:tc>
          <w:tcPr>
            <w:tcW w:w="8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1,125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Loss and other carryforwards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1,211</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1,062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Goodwill and other intangible assets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49</w:t>
            </w:r>
          </w:p>
        </w:tc>
        <w:tc>
          <w:tcPr>
            <w:tcW w:w="8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60</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Accrued marketing and promotion</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258</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285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Fixed assets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115</w:t>
            </w:r>
          </w:p>
        </w:tc>
        <w:tc>
          <w:tcPr>
            <w:tcW w:w="8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sz w:val="19"/>
                <w:szCs w:val="19"/>
              </w:rPr>
              <w:t>Unrealized loss on financial and</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352</w:t>
            </w:r>
          </w:p>
        </w:tc>
        <w:tc>
          <w:tcPr>
            <w:tcW w:w="8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324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foreign exchange transactions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Accrued interest and taxes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66</w:t>
            </w:r>
          </w:p>
        </w:tc>
        <w:tc>
          <w:tcPr>
            <w:tcW w:w="8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Inventory</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35</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Other</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809</w:t>
            </w:r>
          </w:p>
        </w:tc>
        <w:tc>
          <w:tcPr>
            <w:tcW w:w="8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879</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Valuation allowances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(384)</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(341)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29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2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w:t>
            </w: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5,616</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5,367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1"/>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7"/>
        </w:trPr>
        <w:tc>
          <w:tcPr>
            <w:tcW w:w="2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DEFERRED TAX LIABILITIES</w:t>
            </w: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Goodwill and other intangible assets</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11,428</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$11,941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Fixed assets</w:t>
            </w:r>
          </w:p>
        </w:tc>
        <w:tc>
          <w:tcPr>
            <w:tcW w:w="2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1,665</w:t>
            </w:r>
          </w:p>
        </w:tc>
        <w:tc>
          <w:tcPr>
            <w:tcW w:w="8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1,718</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2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Other</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144</w:t>
            </w:r>
          </w:p>
        </w:tc>
        <w:tc>
          <w:tcPr>
            <w:tcW w:w="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315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29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2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w:t>
            </w:r>
          </w:p>
        </w:tc>
        <w:tc>
          <w:tcPr>
            <w:tcW w:w="2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13,237</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13,974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1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left="20" w:right="100"/>
        <w:rPr>
          <w:rFonts w:ascii="Times New Roman" w:hAnsi="Times New Roman" w:cs="Times New Roman"/>
          <w:sz w:val="24"/>
          <w:szCs w:val="24"/>
        </w:rPr>
      </w:pPr>
      <w:r>
        <w:rPr>
          <w:rFonts w:ascii="Times New Roman" w:hAnsi="Times New Roman" w:cs="Times New Roman"/>
          <w:sz w:val="19"/>
          <w:szCs w:val="19"/>
        </w:rPr>
        <w:t>Net operating loss carryforwards were $3.6 billion and $3.1 billion at June 30, 2014 and 2013, respectively. If unused, $1.5 billion will expire between 2015 and 2034. The remainder, totaling $2.1 billion at June 30, 2014, may be carried forward indefinite</w:t>
      </w:r>
      <w:r>
        <w:rPr>
          <w:rFonts w:ascii="Times New Roman" w:hAnsi="Times New Roman" w:cs="Times New Roman"/>
          <w:sz w:val="19"/>
          <w:szCs w:val="19"/>
        </w:rPr>
        <w:t>ly.</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i/>
          <w:iCs/>
          <w:sz w:val="19"/>
          <w:szCs w:val="19"/>
        </w:rPr>
        <w:t>NOTE 11</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COMMITMENTS AND CONTINGENCIES</w:t>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Guarantees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left="20" w:right="100"/>
        <w:rPr>
          <w:rFonts w:ascii="Times New Roman" w:hAnsi="Times New Roman" w:cs="Times New Roman"/>
          <w:sz w:val="24"/>
          <w:szCs w:val="24"/>
        </w:rPr>
      </w:pPr>
      <w:r>
        <w:rPr>
          <w:rFonts w:ascii="Times New Roman" w:hAnsi="Times New Roman" w:cs="Times New Roman"/>
          <w:sz w:val="19"/>
          <w:szCs w:val="19"/>
        </w:rPr>
        <w:t xml:space="preserve">In conjunction with certain transactions, primarily divestitures, we may provide routine indemnifications (e.g., indemnification for representations and warranties and retention </w:t>
      </w:r>
      <w:r>
        <w:rPr>
          <w:rFonts w:ascii="Times New Roman" w:hAnsi="Times New Roman" w:cs="Times New Roman"/>
          <w:sz w:val="19"/>
          <w:szCs w:val="19"/>
        </w:rPr>
        <w:t>of previously existing environmental, tax and employee liabilities) for which terms range in duration and, in some circumstances, are not explicitly defined. The maximum obligation under some indemnifications is also not explicitly stated and, as a result,</w:t>
      </w:r>
      <w:r>
        <w:rPr>
          <w:rFonts w:ascii="Times New Roman" w:hAnsi="Times New Roman" w:cs="Times New Roman"/>
          <w:sz w:val="19"/>
          <w:szCs w:val="19"/>
        </w:rPr>
        <w:t xml:space="preserve"> the overall amount of these obligations cannot be reasonably estimated. Other</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00" w:bottom="346" w:left="840" w:header="720" w:footer="720" w:gutter="0"/>
          <w:cols w:num="2" w:space="420" w:equalWidth="0">
            <w:col w:w="4680" w:space="420"/>
            <w:col w:w="4680"/>
          </w:cols>
          <w:noEndnote/>
        </w:sectPr>
      </w:pP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5620" w:bottom="346" w:left="860" w:header="720" w:footer="720" w:gutter="0"/>
          <w:cols w:space="420" w:equalWidth="0">
            <w:col w:w="5040" w:space="42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left="20" w:right="40"/>
        <w:rPr>
          <w:rFonts w:ascii="Times New Roman" w:hAnsi="Times New Roman" w:cs="Times New Roman"/>
          <w:sz w:val="24"/>
          <w:szCs w:val="24"/>
        </w:rPr>
      </w:pPr>
      <w:r>
        <w:rPr>
          <w:rFonts w:ascii="Times New Roman" w:hAnsi="Times New Roman" w:cs="Times New Roman"/>
          <w:sz w:val="19"/>
          <w:szCs w:val="19"/>
        </w:rPr>
        <w:t>than obligations recorde</w:t>
      </w:r>
      <w:r>
        <w:rPr>
          <w:rFonts w:ascii="Times New Roman" w:hAnsi="Times New Roman" w:cs="Times New Roman"/>
          <w:sz w:val="19"/>
          <w:szCs w:val="19"/>
        </w:rPr>
        <w:t xml:space="preserve">d as liabilities at the time of divestiture, we have not made significant payments for these indemnifications. We believe that if we were to incur a loss on any of these matters, the loss would not have a material effect on our financial position, results </w:t>
      </w:r>
      <w:r>
        <w:rPr>
          <w:rFonts w:ascii="Times New Roman" w:hAnsi="Times New Roman" w:cs="Times New Roman"/>
          <w:sz w:val="19"/>
          <w:szCs w:val="19"/>
        </w:rPr>
        <w:t>of operations or cash flows.</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left="20" w:right="260"/>
        <w:rPr>
          <w:rFonts w:ascii="Times New Roman" w:hAnsi="Times New Roman" w:cs="Times New Roman"/>
          <w:sz w:val="24"/>
          <w:szCs w:val="24"/>
        </w:rPr>
      </w:pPr>
      <w:r>
        <w:rPr>
          <w:rFonts w:ascii="Times New Roman" w:hAnsi="Times New Roman" w:cs="Times New Roman"/>
          <w:sz w:val="19"/>
          <w:szCs w:val="19"/>
        </w:rPr>
        <w:t>In certain situations, we guarantee loans for suppliers and customers. The total amount of guarantees issued under such arrangements is not material.</w:t>
      </w:r>
    </w:p>
    <w:p w:rsidR="00000000" w:rsidRDefault="0057438D">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Off-Balance Sheet Arrangements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left="20" w:right="220"/>
        <w:rPr>
          <w:rFonts w:ascii="Times New Roman" w:hAnsi="Times New Roman" w:cs="Times New Roman"/>
          <w:sz w:val="24"/>
          <w:szCs w:val="24"/>
        </w:rPr>
      </w:pPr>
      <w:r>
        <w:rPr>
          <w:rFonts w:ascii="Times New Roman" w:hAnsi="Times New Roman" w:cs="Times New Roman"/>
          <w:sz w:val="19"/>
          <w:szCs w:val="19"/>
        </w:rPr>
        <w:t>We do not have off-balance sheet financing arrangements, including variable interest entities, that have a material impact on our financial statements.</w:t>
      </w:r>
    </w:p>
    <w:p w:rsidR="00000000" w:rsidRDefault="0057438D">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Purchase Commitments and Operating Leases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left="20" w:right="80"/>
        <w:rPr>
          <w:rFonts w:ascii="Times New Roman" w:hAnsi="Times New Roman" w:cs="Times New Roman"/>
          <w:sz w:val="24"/>
          <w:szCs w:val="24"/>
        </w:rPr>
      </w:pPr>
      <w:r>
        <w:rPr>
          <w:rFonts w:ascii="Times New Roman" w:hAnsi="Times New Roman" w:cs="Times New Roman"/>
          <w:sz w:val="19"/>
          <w:szCs w:val="19"/>
        </w:rPr>
        <w:t>We have purchase commitments for materials, supplies, servic</w:t>
      </w:r>
      <w:r>
        <w:rPr>
          <w:rFonts w:ascii="Times New Roman" w:hAnsi="Times New Roman" w:cs="Times New Roman"/>
          <w:sz w:val="19"/>
          <w:szCs w:val="19"/>
        </w:rPr>
        <w:t>es and property, plant and equipment as part of the normal course of business. Commitments made under take-or-pay obligations are as follows:</w:t>
      </w:r>
    </w:p>
    <w:p w:rsidR="00000000" w:rsidRDefault="0057438D">
      <w:pPr>
        <w:pStyle w:val="DefaultParagraphFont"/>
        <w:widowControl w:val="0"/>
        <w:autoSpaceDE w:val="0"/>
        <w:autoSpaceDN w:val="0"/>
        <w:adjustRightInd w:val="0"/>
        <w:spacing w:after="0" w:line="155" w:lineRule="exact"/>
        <w:rPr>
          <w:rFonts w:ascii="Times New Roman" w:hAnsi="Times New Roman" w:cs="Times New Roman"/>
          <w:sz w:val="24"/>
          <w:szCs w:val="24"/>
        </w:rPr>
      </w:pPr>
    </w:p>
    <w:tbl>
      <w:tblPr>
        <w:tblW w:w="0" w:type="auto"/>
        <w:tblInd w:w="60" w:type="dxa"/>
        <w:tblLayout w:type="fixed"/>
        <w:tblCellMar>
          <w:left w:w="0" w:type="dxa"/>
          <w:right w:w="0" w:type="dxa"/>
        </w:tblCellMar>
        <w:tblLook w:val="0000" w:firstRow="0" w:lastRow="0" w:firstColumn="0" w:lastColumn="0" w:noHBand="0" w:noVBand="0"/>
      </w:tblPr>
      <w:tblGrid>
        <w:gridCol w:w="1020"/>
        <w:gridCol w:w="660"/>
        <w:gridCol w:w="620"/>
        <w:gridCol w:w="600"/>
        <w:gridCol w:w="580"/>
        <w:gridCol w:w="560"/>
        <w:gridCol w:w="480"/>
        <w:gridCol w:w="20"/>
      </w:tblGrid>
      <w:tr w:rsidR="00000000">
        <w:tblPrEx>
          <w:tblCellMar>
            <w:top w:w="0" w:type="dxa"/>
            <w:left w:w="0" w:type="dxa"/>
            <w:bottom w:w="0" w:type="dxa"/>
            <w:right w:w="0" w:type="dxa"/>
          </w:tblCellMar>
        </w:tblPrEx>
        <w:trPr>
          <w:trHeight w:val="172"/>
        </w:trPr>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rPr>
                <w:rFonts w:ascii="Times New Roman" w:hAnsi="Times New Roman" w:cs="Times New Roman"/>
                <w:sz w:val="24"/>
                <w:szCs w:val="24"/>
              </w:rPr>
            </w:pPr>
            <w:r>
              <w:rPr>
                <w:rFonts w:ascii="Times New Roman" w:hAnsi="Times New Roman" w:cs="Times New Roman"/>
                <w:b/>
                <w:bCs/>
                <w:sz w:val="15"/>
                <w:szCs w:val="15"/>
                <w:u w:val="single"/>
              </w:rPr>
              <w:t>Years ended</w:t>
            </w:r>
          </w:p>
        </w:tc>
        <w:tc>
          <w:tcPr>
            <w:tcW w:w="6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4"/>
              <w:jc w:val="right"/>
              <w:rPr>
                <w:rFonts w:ascii="Times New Roman" w:hAnsi="Times New Roman" w:cs="Times New Roman"/>
                <w:sz w:val="24"/>
                <w:szCs w:val="24"/>
              </w:rPr>
            </w:pPr>
            <w:r>
              <w:rPr>
                <w:rFonts w:ascii="Times New Roman" w:hAnsi="Times New Roman" w:cs="Times New Roman"/>
                <w:b/>
                <w:bCs/>
                <w:sz w:val="15"/>
                <w:szCs w:val="15"/>
              </w:rPr>
              <w:t>2015</w:t>
            </w:r>
          </w:p>
        </w:tc>
        <w:tc>
          <w:tcPr>
            <w:tcW w:w="6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4"/>
              <w:jc w:val="right"/>
              <w:rPr>
                <w:rFonts w:ascii="Times New Roman" w:hAnsi="Times New Roman" w:cs="Times New Roman"/>
                <w:sz w:val="24"/>
                <w:szCs w:val="24"/>
              </w:rPr>
            </w:pPr>
            <w:r>
              <w:rPr>
                <w:rFonts w:ascii="Times New Roman" w:hAnsi="Times New Roman" w:cs="Times New Roman"/>
                <w:b/>
                <w:bCs/>
                <w:sz w:val="15"/>
                <w:szCs w:val="15"/>
              </w:rPr>
              <w:t>2016</w:t>
            </w:r>
          </w:p>
        </w:tc>
        <w:tc>
          <w:tcPr>
            <w:tcW w:w="6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4"/>
              <w:jc w:val="right"/>
              <w:rPr>
                <w:rFonts w:ascii="Times New Roman" w:hAnsi="Times New Roman" w:cs="Times New Roman"/>
                <w:sz w:val="24"/>
                <w:szCs w:val="24"/>
              </w:rPr>
            </w:pPr>
            <w:r>
              <w:rPr>
                <w:rFonts w:ascii="Times New Roman" w:hAnsi="Times New Roman" w:cs="Times New Roman"/>
                <w:b/>
                <w:bCs/>
                <w:sz w:val="15"/>
                <w:szCs w:val="15"/>
              </w:rPr>
              <w:t>2017</w:t>
            </w:r>
          </w:p>
        </w:tc>
        <w:tc>
          <w:tcPr>
            <w:tcW w:w="5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4"/>
              <w:jc w:val="right"/>
              <w:rPr>
                <w:rFonts w:ascii="Times New Roman" w:hAnsi="Times New Roman" w:cs="Times New Roman"/>
                <w:sz w:val="24"/>
                <w:szCs w:val="24"/>
              </w:rPr>
            </w:pPr>
            <w:r>
              <w:rPr>
                <w:rFonts w:ascii="Times New Roman" w:hAnsi="Times New Roman" w:cs="Times New Roman"/>
                <w:b/>
                <w:bCs/>
                <w:sz w:val="15"/>
                <w:szCs w:val="15"/>
              </w:rPr>
              <w:t>2018</w:t>
            </w:r>
          </w:p>
        </w:tc>
        <w:tc>
          <w:tcPr>
            <w:tcW w:w="5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4"/>
              <w:jc w:val="right"/>
              <w:rPr>
                <w:rFonts w:ascii="Times New Roman" w:hAnsi="Times New Roman" w:cs="Times New Roman"/>
                <w:sz w:val="24"/>
                <w:szCs w:val="24"/>
              </w:rPr>
            </w:pPr>
            <w:r>
              <w:rPr>
                <w:rFonts w:ascii="Times New Roman" w:hAnsi="Times New Roman" w:cs="Times New Roman"/>
                <w:b/>
                <w:bCs/>
                <w:sz w:val="15"/>
                <w:szCs w:val="15"/>
              </w:rPr>
              <w:t>2019</w:t>
            </w:r>
          </w:p>
        </w:tc>
        <w:tc>
          <w:tcPr>
            <w:tcW w:w="4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left="24"/>
              <w:jc w:val="center"/>
              <w:rPr>
                <w:rFonts w:ascii="Times New Roman" w:hAnsi="Times New Roman" w:cs="Times New Roman"/>
                <w:sz w:val="24"/>
                <w:szCs w:val="24"/>
              </w:rPr>
            </w:pPr>
            <w:r>
              <w:rPr>
                <w:rFonts w:ascii="Times New Roman" w:hAnsi="Times New Roman" w:cs="Times New Roman"/>
                <w:b/>
                <w:bCs/>
                <w:w w:val="99"/>
                <w:sz w:val="15"/>
                <w:szCs w:val="15"/>
              </w:rPr>
              <w:t>There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0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6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4"/>
              <w:jc w:val="center"/>
              <w:rPr>
                <w:rFonts w:ascii="Times New Roman" w:hAnsi="Times New Roman" w:cs="Times New Roman"/>
                <w:sz w:val="24"/>
                <w:szCs w:val="24"/>
              </w:rPr>
            </w:pPr>
            <w:r>
              <w:rPr>
                <w:rFonts w:ascii="Times New Roman" w:hAnsi="Times New Roman" w:cs="Times New Roman"/>
                <w:b/>
                <w:bCs/>
                <w:sz w:val="15"/>
                <w:szCs w:val="15"/>
              </w:rPr>
              <w:t>after</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9" w:lineRule="exact"/>
        <w:rPr>
          <w:rFonts w:ascii="Times New Roman" w:hAnsi="Times New Roman" w:cs="Times New Roman"/>
          <w:sz w:val="24"/>
          <w:szCs w:val="24"/>
        </w:rPr>
      </w:pPr>
      <w:r>
        <w:rPr>
          <w:noProof/>
        </w:rPr>
        <mc:AlternateContent>
          <mc:Choice Requires="wps">
            <w:drawing>
              <wp:anchor distT="0" distB="0" distL="114300" distR="114300" simplePos="0" relativeHeight="251739136" behindDoc="1" locked="0" layoutInCell="0" allowOverlap="1">
                <wp:simplePos x="0" y="0"/>
                <wp:positionH relativeFrom="column">
                  <wp:posOffset>7620</wp:posOffset>
                </wp:positionH>
                <wp:positionV relativeFrom="paragraph">
                  <wp:posOffset>19685</wp:posOffset>
                </wp:positionV>
                <wp:extent cx="1818005" cy="302895"/>
                <wp:effectExtent l="0" t="0" r="0" b="0"/>
                <wp:wrapNone/>
                <wp:docPr id="4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8005" cy="30289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26" style="position:absolute;margin-left:.6pt;margin-top:1.55pt;width:143.15pt;height:23.8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EoBfQIAAP0EAAAOAAAAZHJzL2Uyb0RvYy54bWysVN1u0zAUvkfiHSzfd/kh7ZJo6bS1K0Ia&#10;MDF4ANd2GgvHNrbbdCDenWOnLR1wgRCp5J7jc/z5O3++ut73Eu24dUKrBmcXKUZcUc2E2jT408fV&#10;pMTIeaIYkVrxBj9xh6/nL19cDabmue60ZNwiAFGuHkyDO+9NnSSOdrwn7kIbrsDYatsTD6rdJMyS&#10;AdB7meRpOksGbZmxmnLnYHc5GvE84rctp/592zrukWwwcPNxtXFdhzWZX5F6Y4npBD3QIP/AoidC&#10;waUnqCXxBG2t+A2qF9Rqp1t/QXWf6LYVlMcYIJos/SWax44YHmOB5DhzSpP7f7D03e7BIsEaXBQY&#10;KdJDjT5A1ojaSI7KLCRoMK4Gv0fzYEOIztxr+tkhpRcduPEba/XQccKAVvRPnh0IioOjaD281Qzg&#10;ydbrmKt9a/sACFlA+1iSp1NJ+N4jCptZmZVpOsWIgu1VmpfVNFBKSH08bazzr7nuURAabIF8RCe7&#10;e+dH16NLZK+lYCshZVTsZr2QFu0ItMfdLPwO6O7cTargrHQ4NiKOO0AS7gi2QDeW+1uV5UV6m1eT&#10;1ay8nBSrYjqpLtNykmbVbTVLi6pYrr4HgllRd4Ixru6F4sfWy4q/K+1hCMamic2HhgZX03waY3/G&#10;3p0HmcbvT0H2wsMkStE3GDIOX3AidSjsnWJR9kTIUU6e048FgRwc/2NWYhuEyo8dtNbsCbrAaigS&#10;TCK8GSB02n7FaID5a7D7siWWYyTfKOikKiuKMLBRKaaXOSj23LI+txBFAarBHqNRXPhxyLfGik0H&#10;N2UxMUrfQPe1IjZG6MyRFfAOCsxYjODwHoQhPtej189Xa/4DAAD//wMAUEsDBBQABgAIAAAAIQBB&#10;roxT3AAAAAYBAAAPAAAAZHJzL2Rvd25yZXYueG1sTI7BTsMwEETvSPyDtUjcqNNASxriVAgViQNQ&#10;tfQDtsniBOJ1iN02/D3LCY6jGb15xXJ0nTrSEFrPBqaTBBRx5euWrYHd2+NVBipE5Bo7z2TgmwIs&#10;y/OzAvPan3hDx220SiAccjTQxNjnWoeqIYdh4nti6d794DBKHKyuBzwJ3HU6TZK5dtiyPDTY00ND&#10;1ef24AyMdr1Zfc2fX9arvrX4+uFvFv7JmMuL8f4OVKQx/o3hV1/UoRSnvT9wHVQnOZWhgespKGnT&#10;7HYGam9glmSgy0L/1y9/AAAA//8DAFBLAQItABQABgAIAAAAIQC2gziS/gAAAOEBAAATAAAAAAAA&#10;AAAAAAAAAAAAAABbQ29udGVudF9UeXBlc10ueG1sUEsBAi0AFAAGAAgAAAAhADj9If/WAAAAlAEA&#10;AAsAAAAAAAAAAAAAAAAALwEAAF9yZWxzLy5yZWxzUEsBAi0AFAAGAAgAAAAhAJPkSgF9AgAA/QQA&#10;AA4AAAAAAAAAAAAAAAAALgIAAGRycy9lMm9Eb2MueG1sUEsBAi0AFAAGAAgAAAAhAEGujFPcAAAA&#10;BgEAAA8AAAAAAAAAAAAAAAAA1wQAAGRycy9kb3ducmV2LnhtbFBLBQYAAAAABAAEAPMAAADgBQAA&#10;AAA=&#10;" o:allowincell="f" fillcolor="#e6e6e6" stroked="f"/>
            </w:pict>
          </mc:Fallback>
        </mc:AlternateContent>
      </w:r>
      <w:r>
        <w:rPr>
          <w:noProof/>
        </w:rPr>
        <mc:AlternateContent>
          <mc:Choice Requires="wps">
            <w:drawing>
              <wp:anchor distT="0" distB="0" distL="114300" distR="114300" simplePos="0" relativeHeight="251740160" behindDoc="1" locked="0" layoutInCell="0" allowOverlap="1">
                <wp:simplePos x="0" y="0"/>
                <wp:positionH relativeFrom="column">
                  <wp:posOffset>661670</wp:posOffset>
                </wp:positionH>
                <wp:positionV relativeFrom="paragraph">
                  <wp:posOffset>19050</wp:posOffset>
                </wp:positionV>
                <wp:extent cx="387985" cy="0"/>
                <wp:effectExtent l="0" t="0" r="0" b="0"/>
                <wp:wrapNone/>
                <wp:docPr id="43"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98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2"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pt,1.5pt" to="82.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bzvHgIAAEMEAAAOAAAAZHJzL2Uyb0RvYy54bWysU8GO2jAQvVfqP1i+QwgENkSEVUWgF9pF&#10;2u0HGNshVh3bsg0BVf33jh1AbHupqnIw48zMmzczz4vncyvRiVsntCpxOhxhxBXVTKhDib+9bQY5&#10;Rs4TxYjUipf4wh1+Xn78sOhMwce60ZJxiwBEuaIzJW68N0WSONrwlrihNlyBs9a2JR6u9pAwSzpA&#10;b2UyHo1mSactM1ZT7hx8rXonXkb8uubUv9S14x7JEgM3H08bz304k+WCFAdLTCPolQb5BxYtEQqK&#10;3qEq4gk6WvEHVCuo1U7Xfkh1m+i6FpTHHqCbdPRbN68NMTz2AsNx5j4m9/9g6dfTziLBSpxNMFKk&#10;hR1theIoH4fZdMYVELJSOxu6o2f1araafndI6VVD1IFHjm8XA3lpyEjepYSLM1Bh333RDGLI0es4&#10;qHNt2wAJI0DnuI/LfR/87BGFj5P8aZ5PMaI3V0KKW56xzn/mukXBKLEEzhGXnLbOBx6kuIWEMkpv&#10;hJRx21KhDsiO03QaM5yWggVviHP2sF9Ji04kCCb+YlfgeQwL0BVxTR8XXb2UrD4qFss0nLD11fZE&#10;yN4GWlKFQtAjEL1avVR+zEfzdb7Os0E2nq0H2aiqBp82q2ww26RP02pSrVZV+jNwTrOiEYxxFWjf&#10;ZJtmfyeL6wPqBXcX7n1AyXv0OEkge/uPpOOSw157hew1u+zsbfmg1Bh8fVXhKTzewX58+8tfAAAA&#10;//8DAFBLAwQUAAYACAAAACEAbGpRwdkAAAAHAQAADwAAAGRycy9kb3ducmV2LnhtbEyPwU7DMBBE&#10;70j8g7VI3KhDAxUNcSqEFIkrLULiZsfbJMJeh9hJw9+z5QLH0czOvil3i3dixjH2gRTcrjIQSE2w&#10;PbUK3g71zQOImDRZ7QKhgm+MsKsuL0pd2HCiV5z3qRVcQrHQCrqUhkLK2HTodVyFAYm9Yxi9TizH&#10;VtpRn7jcO7nOso30uif+0OkBnztsPveTZ4zczVszT6b++JLSNC/uYN9rpa6vlqdHEAmX9BeGMz7f&#10;QMVMJkxko3Css7s1RxXkPOnsb+5zEOZXy6qU//mrHwAAAP//AwBQSwECLQAUAAYACAAAACEAtoM4&#10;kv4AAADhAQAAEwAAAAAAAAAAAAAAAAAAAAAAW0NvbnRlbnRfVHlwZXNdLnhtbFBLAQItABQABgAI&#10;AAAAIQA4/SH/1gAAAJQBAAALAAAAAAAAAAAAAAAAAC8BAABfcmVscy8ucmVsc1BLAQItABQABgAI&#10;AAAAIQAx5bzvHgIAAEMEAAAOAAAAAAAAAAAAAAAAAC4CAABkcnMvZTJvRG9jLnhtbFBLAQItABQA&#10;BgAIAAAAIQBsalHB2QAAAAcBAAAPAAAAAAAAAAAAAAAAAHgEAABkcnMvZG93bnJldi54bWxQSwUG&#10;AAAAAAQABADzAAAAfgUAAAAA&#10;" o:allowincell="f" strokeweight=".33653mm"/>
            </w:pict>
          </mc:Fallback>
        </mc:AlternateContent>
      </w:r>
      <w:r>
        <w:rPr>
          <w:noProof/>
        </w:rPr>
        <mc:AlternateContent>
          <mc:Choice Requires="wps">
            <w:drawing>
              <wp:anchor distT="0" distB="0" distL="114300" distR="114300" simplePos="0" relativeHeight="251741184" behindDoc="1" locked="0" layoutInCell="0" allowOverlap="1">
                <wp:simplePos x="0" y="0"/>
                <wp:positionH relativeFrom="column">
                  <wp:posOffset>1098550</wp:posOffset>
                </wp:positionH>
                <wp:positionV relativeFrom="paragraph">
                  <wp:posOffset>19050</wp:posOffset>
                </wp:positionV>
                <wp:extent cx="351155" cy="0"/>
                <wp:effectExtent l="0" t="0" r="0" b="0"/>
                <wp:wrapNone/>
                <wp:docPr id="42"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115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5pt,1.5pt" to="114.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2DIHAIAAEMEAAAOAAAAZHJzL2Uyb0RvYy54bWysU8GO2jAQvVfqP1i+QxIIlI0Iq4pAL7RF&#10;2u0HGNshVh3bsg0BVf33jh2C2PZSVeVgxpmZN29mnpfPl1aiM7dOaFXibJxixBXVTKhjib+9bkcL&#10;jJwnihGpFS/xlTv8vHr/btmZgk90oyXjFgGIckVnStx4b4okcbThLXFjbbgCZ61tSzxc7TFhlnSA&#10;3spkkqbzpNOWGaspdw6+Vr0TryJ+XXPqv9a14x7JEgM3H08bz0M4k9WSFEdLTCPojQb5BxYtEQqK&#10;3qEq4gk6WfEHVCuo1U7Xfkx1m+i6FpTHHqCbLP2tm5eGGB57geE4cx+T+3+w9Mt5b5FgJc4nGCnS&#10;wo52QnG0mIbZdMYVELJWexu6oxf1YnaafndI6XVD1JFHjq9XA3lZyEjepISLM1Dh0H3WDGLIyes4&#10;qEtt2wAJI0CXuI/rfR/84hGFj9NZls1mGNHBlZBiyDPW+U9ctygYJZbAOeKS8875wIMUQ0goo/RW&#10;SBm3LRXqgOwEsGOG01Kw4A1xzh4Pa2nRmQTBxF/sCjyPYQG6Iq7p46Krl5LVJ8VimYYTtrnZngjZ&#10;20BLqlAIegSiN6uXyo+n9Gmz2CzyUT6Zb0Z5WlWjj9t1Pppvsw+zalqt11X2M3DO8qIRjHEVaA+y&#10;zfK/k8XtAfWCuwv3PqDkLXqcJJAd/iPpuOSw114hB82uezssH5Qag2+vKjyFxzvYj29/9QsAAP//&#10;AwBQSwMEFAAGAAgAAAAhAOkzEe7YAAAABwEAAA8AAABkcnMvZG93bnJldi54bWxMj0FLxDAQhe+C&#10;/yGM4M1NbUHX2nQRoeDVXVnwljRjW0wmtUm79d8760VPw+O9efNNtVu9EwtOcQik4HaTgUBqgx2o&#10;U/B2aG62IGLSZLULhAq+McKuvryodGnDiV5x2adOcAnFUivoUxpLKWPbo9dxE0Yk9j7C5HViOXXS&#10;TvrE5d7JPMvupNcD8YVej/jcY/u5nz1jFG55MMtsmvcvKU374g722Ch1fbU+PYJIuKa/MJzxeQdq&#10;ZjJhJhuFY31f8C9JwXmwn+fbAoT51bKu5H/++gcAAP//AwBQSwECLQAUAAYACAAAACEAtoM4kv4A&#10;AADhAQAAEwAAAAAAAAAAAAAAAAAAAAAAW0NvbnRlbnRfVHlwZXNdLnhtbFBLAQItABQABgAIAAAA&#10;IQA4/SH/1gAAAJQBAAALAAAAAAAAAAAAAAAAAC8BAABfcmVscy8ucmVsc1BLAQItABQABgAIAAAA&#10;IQD0J2DIHAIAAEMEAAAOAAAAAAAAAAAAAAAAAC4CAABkcnMvZTJvRG9jLnhtbFBLAQItABQABgAI&#10;AAAAIQDpMxHu2AAAAAcBAAAPAAAAAAAAAAAAAAAAAHYEAABkcnMvZG93bnJldi54bWxQSwUGAAAA&#10;AAQABADzAAAAewUAAAAA&#10;" o:allowincell="f" strokeweight=".33653mm"/>
            </w:pict>
          </mc:Fallback>
        </mc:AlternateContent>
      </w:r>
      <w:r>
        <w:rPr>
          <w:noProof/>
        </w:rPr>
        <mc:AlternateContent>
          <mc:Choice Requires="wps">
            <w:drawing>
              <wp:anchor distT="0" distB="0" distL="114300" distR="114300" simplePos="0" relativeHeight="251742208" behindDoc="1" locked="0" layoutInCell="0" allowOverlap="1">
                <wp:simplePos x="0" y="0"/>
                <wp:positionH relativeFrom="column">
                  <wp:posOffset>1498600</wp:posOffset>
                </wp:positionH>
                <wp:positionV relativeFrom="paragraph">
                  <wp:posOffset>19050</wp:posOffset>
                </wp:positionV>
                <wp:extent cx="327025" cy="0"/>
                <wp:effectExtent l="0" t="0" r="0" b="0"/>
                <wp:wrapNone/>
                <wp:docPr id="41"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02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1.5pt" to="143.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bXaHgIAAEMEAAAOAAAAZHJzL2Uyb0RvYy54bWysU02P2jAQvVfqf7B8h3xsYNmIsKoI9EK7&#10;SLv9AcZ2iFXHtmxDQFX/e8cOILa9VFU5mHFm5s2bmef586mT6MitE1pVOBunGHFFNRNqX+Fvb+vR&#10;DCPniWJEasUrfOYOPy8+fpj3puS5brVk3CIAUa7sTYVb702ZJI62vCNurA1X4Gy07YiHq90nzJIe&#10;0DuZ5Gk6TXptmbGacufgaz048SLiNw2n/qVpHPdIVhi4+XjaeO7CmSzmpNxbYlpBLzTIP7DoiFBQ&#10;9AZVE0/QwYo/oDpBrXa68WOqu0Q3jaA89gDdZOlv3by2xPDYCwzHmduY3P+DpV+PW4sEq3CRYaRI&#10;BzvaCMXRrAiz6Y0rIWSptjZ0R0/q1Ww0/e6Q0suWqD2PHN/OBvKykJG8SwkXZ6DCrv+iGcSQg9dx&#10;UKfGdgESRoBOcR/n2z74ySMKHx/yxzSfYESvroSU1zxjnf/MdYeCUWEJnCMuOW6cDzxIeQ0JZZRe&#10;CynjtqVCPZDNs2wSM5yWggVviHN2v1tKi44kCCb+YlfguQ8L0DVx7RAXXYOUrD4oFsu0nLDVxfZE&#10;yMEGWlKFQtAjEL1Yg1R+PKVPq9lqVoyKfLoaFWldjz6tl8Vous4eJ/VDvVzW2c/AOSvKVjDGVaB9&#10;lW1W/J0sLg9oENxNuLcBJe/R4ySB7PU/ko5LDnsdFLLT7Ly11+WDUmPw5VWFp3B/B/v+7S9+AQAA&#10;//8DAFBLAwQUAAYACAAAACEAzdga2NoAAAAHAQAADwAAAGRycy9kb3ducmV2LnhtbEyPQUvEMBCF&#10;74L/IYzgzU1tcV1r00WEgld3RfCWNGNbTCa1Sbv13zt60dPweG/efFPtV+/EglMcAim43mQgkNpg&#10;B+oUvBybqx2ImDRZ7QKhgi+MsK/Pzypd2nCiZ1wOqRNcQrHUCvqUxlLK2PboddyEEYm99zB5nVhO&#10;nbSTPnG5dzLPsq30eiC+0OsRH3tsPw6zZ4zCLXdmmU3z9imlaZ/c0b42Sl1erA/3IBKu6S8MP/i8&#10;AzUzmTCTjcIpyIst/5IUFDzYz3e3NyDMr5Z1Jf/z198AAAD//wMAUEsBAi0AFAAGAAgAAAAhALaD&#10;OJL+AAAA4QEAABMAAAAAAAAAAAAAAAAAAAAAAFtDb250ZW50X1R5cGVzXS54bWxQSwECLQAUAAYA&#10;CAAAACEAOP0h/9YAAACUAQAACwAAAAAAAAAAAAAAAAAvAQAAX3JlbHMvLnJlbHNQSwECLQAUAAYA&#10;CAAAACEAKX212h4CAABDBAAADgAAAAAAAAAAAAAAAAAuAgAAZHJzL2Uyb0RvYy54bWxQSwECLQAU&#10;AAYACAAAACEAzdga2NoAAAAHAQAADwAAAAAAAAAAAAAAAAB4BAAAZHJzL2Rvd25yZXYueG1sUEsF&#10;BgAAAAAEAAQA8wAAAH8FAAAAAA==&#10;" o:allowincell="f" strokeweight=".33653mm"/>
            </w:pict>
          </mc:Fallback>
        </mc:AlternateContent>
      </w:r>
      <w:r>
        <w:rPr>
          <w:noProof/>
        </w:rPr>
        <mc:AlternateContent>
          <mc:Choice Requires="wps">
            <w:drawing>
              <wp:anchor distT="0" distB="0" distL="114300" distR="114300" simplePos="0" relativeHeight="251743232" behindDoc="1" locked="0" layoutInCell="0" allowOverlap="1">
                <wp:simplePos x="0" y="0"/>
                <wp:positionH relativeFrom="column">
                  <wp:posOffset>1825625</wp:posOffset>
                </wp:positionH>
                <wp:positionV relativeFrom="paragraph">
                  <wp:posOffset>19685</wp:posOffset>
                </wp:positionV>
                <wp:extent cx="751840" cy="302895"/>
                <wp:effectExtent l="0" t="0" r="0" b="0"/>
                <wp:wrapNone/>
                <wp:docPr id="4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30289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26" style="position:absolute;margin-left:143.75pt;margin-top:1.55pt;width:59.2pt;height:23.8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NzWfQIAAPwEAAAOAAAAZHJzL2Uyb0RvYy54bWysVNuO0zAQfUfiHyy/d3MhbZNo09XeipAW&#10;WLHwAa7tNBaObWy36YL4d8ZOW1rgASFaybE94+MzM2d8ebXrJdpy64RWDc4uUoy4opoJtW7wp4/L&#10;SYmR80QxIrXiDX7mDl8tXr64HEzNc91pybhFAKJcPZgGd96bOkkc7XhP3IU2XIGx1bYnHpZ2nTBL&#10;BkDvZZKn6SwZtGXGasqdg9270YgXEb9tOfXv29Zxj2SDgZuPo43jKozJ4pLUa0tMJ+ieBvkHFj0R&#10;Ci49Qt0RT9DGit+gekGtdrr1F1T3iW5bQXmMAaLJ0l+ieeqI4TEWSI4zxzS5/wdL320fLRKswQWk&#10;R5EeavQBskbUWnJUTkOCBuNq8HsyjzaE6MyDpp8dUvq2Azd+ba0eOk4Y0MqCf3J2ICwcHEWr4a1m&#10;AE82Xsdc7VrbB0DIAtrFkjwfS8J3HlHYnE+zMjCjYHqV5mUVGSWkPhw21vnXXPcoTBpsgXsEJ9sH&#10;5wMZUh9cInktBVsKKePCrle30qItAXXcz8I/8ocYT92kCs5Kh2Mj4rgDHOGOYAtsY7W/VVlepDd5&#10;NVnOyvmkWBbTSTVPy0maVTfVLC2q4m75PRDMiroTjHH1IBQ/KC8r/q6y+x4YNRO1h4YGV9N8GmM/&#10;Y+9Og0zj709B9sJDI0rRN7g8OpE61PVeMQib1J4IOc6Tc/oxy5CDwzdmJaogFH4U0EqzZxCB1VAk&#10;qCc8GTDptP2K0QDt12D3ZUMsx0i+USCkKitC2X1cFNN5Dgt7almdWoiiANVgj9E4vfVjj2+MFesO&#10;bspiYpS+BvG1IgojCHNktZcstFiMYP8chB4+XUevn4/W4gcAAAD//wMAUEsDBBQABgAIAAAAIQBR&#10;c0Gu3wAAAAgBAAAPAAAAZHJzL2Rvd25yZXYueG1sTI/BTsMwEETvSPyDtUjcqN3SlDRkUyFUJA5A&#10;1cIHuPHiBOJ1iN02/D3mBMfRjGbelKvRdeJIQ2g9I0wnCgRx7U3LFuHt9eEqBxGiZqM7z4TwTQFW&#10;1flZqQvjT7yl4y5akUo4FBqhibEvpAx1Q06Hie+Jk/fuB6djkoOVZtCnVO46OVNqIZ1uOS00uqf7&#10;hurP3cEhjHazXX8tnp436761+uXDz5f+EfHyYry7BRFpjH9h+MVP6FAlpr0/sAmiQ5jlN1mKIlxP&#10;QSR/rrIliD1CpnKQVSn/H6h+AAAA//8DAFBLAQItABQABgAIAAAAIQC2gziS/gAAAOEBAAATAAAA&#10;AAAAAAAAAAAAAAAAAABbQ29udGVudF9UeXBlc10ueG1sUEsBAi0AFAAGAAgAAAAhADj9If/WAAAA&#10;lAEAAAsAAAAAAAAAAAAAAAAALwEAAF9yZWxzLy5yZWxzUEsBAi0AFAAGAAgAAAAhAOHA3NZ9AgAA&#10;/AQAAA4AAAAAAAAAAAAAAAAALgIAAGRycy9lMm9Eb2MueG1sUEsBAi0AFAAGAAgAAAAhAFFzQa7f&#10;AAAACAEAAA8AAAAAAAAAAAAAAAAA1wQAAGRycy9kb3ducmV2LnhtbFBLBQYAAAAABAAEAPMAAADj&#10;BQAAAAA=&#10;" o:allowincell="f" fillcolor="#e6e6e6" stroked="f"/>
            </w:pict>
          </mc:Fallback>
        </mc:AlternateContent>
      </w:r>
      <w:r>
        <w:rPr>
          <w:noProof/>
        </w:rPr>
        <mc:AlternateContent>
          <mc:Choice Requires="wps">
            <w:drawing>
              <wp:anchor distT="0" distB="0" distL="114300" distR="114300" simplePos="0" relativeHeight="251744256" behindDoc="1" locked="0" layoutInCell="0" allowOverlap="1">
                <wp:simplePos x="0" y="0"/>
                <wp:positionH relativeFrom="column">
                  <wp:posOffset>1873885</wp:posOffset>
                </wp:positionH>
                <wp:positionV relativeFrom="paragraph">
                  <wp:posOffset>19050</wp:posOffset>
                </wp:positionV>
                <wp:extent cx="327660" cy="0"/>
                <wp:effectExtent l="0" t="0" r="0" b="0"/>
                <wp:wrapNone/>
                <wp:docPr id="39"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55pt,1.5pt" to="173.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FHgIAAEMEAAAOAAAAZHJzL2Uyb0RvYy54bWysU8GO2jAQvVfqP1i5QxLIZiEirKoEetl2&#10;kXb7AcZ2iFXHtmxDQFX/vWOHILa9VFU5mHFm5s2bmefV07kT6MSM5UqWUTpNIsQkUZTLQxl9e9tO&#10;FhGyDkuKhZKsjC7MRk/rjx9WvS7YTLVKUGYQgEhb9LqMWud0EceWtKzDdqo0k+BslOmwg6s5xNTg&#10;HtA7Ec+SJI97Zag2ijBr4Ws9OKN1wG8aRtxL01jmkCgj4ObCacK592e8XuHiYLBuObnSwP/AosNc&#10;QtEbVI0dRkfD/4DqODHKqsZNiepi1TScsNADdJMmv3Xz2mLNQi8wHKtvY7L/D5Z8Pe0M4rSM5ssI&#10;SdzBjp65ZGiR+9n02hYQUsmd8d2Rs3zVz4p8t0iqqsXywALHt4uGvNRnxO9S/MVqqLDvvygKMfjo&#10;VBjUuTGdh4QRoHPYx+W2D3Z2iMDH+ewxz2FrZHTFuBjztLHuM1Md8kYZCeAccPHp2TrPAxdjiC8j&#10;1ZYLEbYtJOqB7CxNH0KGVYJT7/Vx1hz2lTDohL1gwi90BZ77MA9dY9sOccE1SMmoo6ShTMsw3Vxt&#10;h7kYbKAlpC8EPQLRqzVI5ccyWW4Wm0U2yWb5ZpIldT35tK2ySb5NHx/qeV1VdfrTc06zouWUMulp&#10;j7JNs7+TxfUBDYK7Cfc2oPg9epgkkB3/A+mwZL/XQSF7RS87My4flBqCr6/KP4X7O9j3b3/9CwAA&#10;//8DAFBLAwQUAAYACAAAACEALWfOfdoAAAAHAQAADwAAAGRycy9kb3ducmV2LnhtbEyPwU7DMBBE&#10;70j8g7VI3KjTBgoNcSqEFIkrLULiZsdLEmGvQ+yk4e9ZuMBxNLOzb8r94p2YcYx9IAXrVQYCqQm2&#10;p1bBy7G+ugMRkyarXSBU8IUR9tX5WakLG070jPMhtYJLKBZaQZfSUEgZmw69jqswILH3HkavE8ux&#10;lXbUJy73Tm6ybCu97ok/dHrAxw6bj8PkGSN3887Mk6nfPqU0zZM72tdaqcuL5eEeRMIl/YXhB59v&#10;oGImEyayUTgFm93NmqMKcp7Efn69vQVhfrWsSvmfv/oGAAD//wMAUEsBAi0AFAAGAAgAAAAhALaD&#10;OJL+AAAA4QEAABMAAAAAAAAAAAAAAAAAAAAAAFtDb250ZW50X1R5cGVzXS54bWxQSwECLQAUAAYA&#10;CAAAACEAOP0h/9YAAACUAQAACwAAAAAAAAAAAAAAAAAvAQAAX3JlbHMvLnJlbHNQSwECLQAUAAYA&#10;CAAAACEAYfwQBR4CAABDBAAADgAAAAAAAAAAAAAAAAAuAgAAZHJzL2Uyb0RvYy54bWxQSwECLQAU&#10;AAYACAAAACEALWfOfdoAAAAHAQAADwAAAAAAAAAAAAAAAAB4BAAAZHJzL2Rvd25yZXYueG1sUEsF&#10;BgAAAAAEAAQA8wAAAH8FAAAAAA==&#10;" o:allowincell="f" strokeweight=".33653mm"/>
            </w:pict>
          </mc:Fallback>
        </mc:AlternateContent>
      </w:r>
      <w:r>
        <w:rPr>
          <w:noProof/>
        </w:rPr>
        <mc:AlternateContent>
          <mc:Choice Requires="wps">
            <w:drawing>
              <wp:anchor distT="0" distB="0" distL="114300" distR="114300" simplePos="0" relativeHeight="251745280" behindDoc="1" locked="0" layoutInCell="0" allowOverlap="1">
                <wp:simplePos x="0" y="0"/>
                <wp:positionH relativeFrom="column">
                  <wp:posOffset>2249805</wp:posOffset>
                </wp:positionH>
                <wp:positionV relativeFrom="paragraph">
                  <wp:posOffset>19050</wp:posOffset>
                </wp:positionV>
                <wp:extent cx="327660" cy="0"/>
                <wp:effectExtent l="0" t="0" r="0" b="0"/>
                <wp:wrapNone/>
                <wp:docPr id="38"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15pt,1.5pt" to="202.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zGHgIAAEMEAAAOAAAAZHJzL2Uyb0RvYy54bWysU8GO2jAQvVfqP1i5QxLIAhsRVlUCvdAu&#10;0m4/wNgOserYlm0IqOq/d+wQxLaXarUczDgz8+bNvPHy6dwKdGLGciWLKB0nEWKSKMrloYh+vG5G&#10;iwhZhyXFQklWRBdmo6fV50/LTudsoholKDMIQKTNO11EjXM6j2NLGtZiO1aaSXDWyrTYwdUcYmpw&#10;B+itiCdJMos7Zag2ijBr4WvVO6NVwK9rRtxzXVvmkCgi4ObCacK592e8WuL8YLBuOLnSwO9g0WIu&#10;oegNqsIOo6Ph/0C1nBhlVe3GRLWxqmtOWOgBukmTv7p5abBmoRcYjtW3MdmPgyXfTzuDOC2iKSgl&#10;cQsabblkaDH3s+m0zSGklDvjuyNn+aK3ivy0SKqywfLAAsfXi4a81GfEb1L8xWqosO++KQox+OhU&#10;GNS5Nq2HhBGgc9DjctODnR0i8HE6mc9moBoZXDHOhzxtrPvKVIu8UUQCOAdcfNpa53ngfAjxZaTa&#10;cCGC2kKiDshO0vQhZFglOPVeH2fNYV8Kg07YL0z4ha7Acx/moStsmz4uuPpVMuooaSjTMEzXV9th&#10;LnobaAnpC0GPQPRq9avy6zF5XC/Wi2yUTWbrUZZU1ejLpsxGs006f6imVVlW6W/POc3yhlPKpKc9&#10;rG2a/d9aXB9Qv3C3xb0NKH6LHiYJZIf/QDqI7HXtN2Sv6GVnBvFhU0Pw9VX5p3B/B/v+7a/+AAAA&#10;//8DAFBLAwQUAAYACAAAACEA2bILD9oAAAAHAQAADwAAAGRycy9kb3ducmV2LnhtbEyPQU/DMAyF&#10;70j8h8hI3FgK3RDrmk4IqRJXNoTELWlMWy1xSpN25d9juMDNT+/5+XO5X7wTM46xD6TgdpWBQGqC&#10;7alV8Hqsbx5AxKTJahcIFXxhhH11eVHqwoYzveB8SK3gEoqFVtClNBRSxqZDr+MqDEjsfYTR68Ry&#10;bKUd9ZnLvZN3WXYvve6JL3R6wKcOm9Nh8oyRu3lr5snU759SmubZHe1brdT11fK4A5FwSX9h+MHn&#10;HaiYyYSJbBROQb5Z5xzlgV9if51ttiDMr5ZVKf/zV98AAAD//wMAUEsBAi0AFAAGAAgAAAAhALaD&#10;OJL+AAAA4QEAABMAAAAAAAAAAAAAAAAAAAAAAFtDb250ZW50X1R5cGVzXS54bWxQSwECLQAUAAYA&#10;CAAAACEAOP0h/9YAAACUAQAACwAAAAAAAAAAAAAAAAAvAQAAX3JlbHMvLnJlbHNQSwECLQAUAAYA&#10;CAAAACEAHKjsxh4CAABDBAAADgAAAAAAAAAAAAAAAAAuAgAAZHJzL2Uyb0RvYy54bWxQSwECLQAU&#10;AAYACAAAACEA2bILD9oAAAAHAQAADwAAAAAAAAAAAAAAAAB4BAAAZHJzL2Rvd25yZXYueG1sUEsF&#10;BgAAAAAEAAQA8wAAAH8FAAAAAA==&#10;" o:allowincell="f" strokeweight=".33653mm"/>
            </w:pict>
          </mc:Fallback>
        </mc:AlternateContent>
      </w:r>
      <w:r>
        <w:rPr>
          <w:noProof/>
        </w:rPr>
        <mc:AlternateContent>
          <mc:Choice Requires="wps">
            <w:drawing>
              <wp:anchor distT="0" distB="0" distL="114300" distR="114300" simplePos="0" relativeHeight="251746304" behindDoc="1" locked="0" layoutInCell="0" allowOverlap="1">
                <wp:simplePos x="0" y="0"/>
                <wp:positionH relativeFrom="column">
                  <wp:posOffset>2577465</wp:posOffset>
                </wp:positionH>
                <wp:positionV relativeFrom="paragraph">
                  <wp:posOffset>19685</wp:posOffset>
                </wp:positionV>
                <wp:extent cx="387985" cy="302895"/>
                <wp:effectExtent l="0" t="0" r="0" b="0"/>
                <wp:wrapNone/>
                <wp:docPr id="37"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985" cy="30289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026" style="position:absolute;margin-left:202.95pt;margin-top:1.55pt;width:30.55pt;height:23.8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7AfgIAAPwEAAAOAAAAZHJzL2Uyb0RvYy54bWysVNuO2yAQfa/Uf0C8Z31ZJ7GtdVZ7S1Vp&#10;26667QcQwDEqBgokzm7Vf++AkzTb9qGqmkgYmOFwZuYMF5e7XqItt05o1eDsLMWIK6qZUOsGf/60&#10;nJQYOU8UI1Ir3uAn7vDl4vWri8HUPNedloxbBCDK1YNpcOe9qZPE0Y73xJ1pwxUYW2174mFp1wmz&#10;ZAD0XiZ5ms6SQVtmrKbcOdi9HY14EfHbllP/oW0d90g2GLj5ONo4rsKYLC5IvbbEdILuaZB/YNET&#10;oeDSI9Qt8QRtrPgNqhfUaqdbf0Z1n+i2FZTHGCCaLP0lmseOGB5jgeQ4c0yT+3+w9P32wSLBGnw+&#10;x0iRHmr0EbJG1FpyVJYhQYNxNfg9mgcbQnTmXtMvDil904Ebv7JWDx0nDGhlwT95cSAsHBxFq+Gd&#10;ZgBPNl7HXO1a2wdAyALaxZI8HUvCdx5R2Dwv51U5xYiC6TzNy2oabyD14bCxzr/hukdh0mAL3CM4&#10;2d47H8iQ+uASyWsp2FJIGRd2vbqRFm0JqONuFv57dHfqJlVwVjocGxHHHeAIdwRbYBur/a3K8iK9&#10;zqvJclbOJ8WymE6qeVpO0qy6rmZpURW3y++BYFbUnWCMq3uh+EF5WfF3ld33wKiZqD00NLia5tMY&#10;+wv27jTINP7+FGQvPDSiFH2Dy6MTqUNd7xSDsEntiZDjPHlJP2YZcnD4xqxEFYTCjwJaafYEIrAa&#10;igSNCE8GTDptnzEaoP0a7L5uiOUYybcKhFRlRRH6NS6K6TyHhT21rE4tRFGAarDHaJze+LHHN8aK&#10;dQc3ZTExSl+B+FoRhRGEObLaSxZaLEawfw5CD5+uo9fPR2vxAwAA//8DAFBLAwQUAAYACAAAACEA&#10;x4oFkd8AAAAIAQAADwAAAGRycy9kb3ducmV2LnhtbEyPwU7DMBBE70j8g7VI3KhdSEMbsqkQKhIH&#10;StXCB7jx4gRiO8RuG/6e5QTH0Yxm3pTL0XXiSENsg0eYThQI8nUwrbcIb6+PV3MQMWlvdBc8IXxT&#10;hGV1flbqwoST39Jxl6zgEh8LjdCk1BdSxrohp+Mk9OTZew+D04nlYKUZ9InLXSevlcql063nhUb3&#10;9NBQ/bk7OITRbrarr/x5vVn1rdUvHyFbhCfEy4vx/g5EojH9heEXn9GhYqZ9OHgTRYeQqdmCowg3&#10;UxDsZ/ktf9sjzNQcZFXK/weqHwAAAP//AwBQSwECLQAUAAYACAAAACEAtoM4kv4AAADhAQAAEwAA&#10;AAAAAAAAAAAAAAAAAAAAW0NvbnRlbnRfVHlwZXNdLnhtbFBLAQItABQABgAIAAAAIQA4/SH/1gAA&#10;AJQBAAALAAAAAAAAAAAAAAAAAC8BAABfcmVscy8ucmVsc1BLAQItABQABgAIAAAAIQB/qx7AfgIA&#10;APwEAAAOAAAAAAAAAAAAAAAAAC4CAABkcnMvZTJvRG9jLnhtbFBLAQItABQABgAIAAAAIQDHigWR&#10;3wAAAAgBAAAPAAAAAAAAAAAAAAAAANgEAABkcnMvZG93bnJldi54bWxQSwUGAAAAAAQABADzAAAA&#10;5AUAAAAA&#10;" o:allowincell="f" fillcolor="#e6e6e6" stroked="f"/>
            </w:pict>
          </mc:Fallback>
        </mc:AlternateContent>
      </w:r>
      <w:r>
        <w:rPr>
          <w:noProof/>
        </w:rPr>
        <mc:AlternateContent>
          <mc:Choice Requires="wps">
            <w:drawing>
              <wp:anchor distT="0" distB="0" distL="114300" distR="114300" simplePos="0" relativeHeight="251747328" behindDoc="1" locked="0" layoutInCell="0" allowOverlap="1">
                <wp:simplePos x="0" y="0"/>
                <wp:positionH relativeFrom="column">
                  <wp:posOffset>2625725</wp:posOffset>
                </wp:positionH>
                <wp:positionV relativeFrom="paragraph">
                  <wp:posOffset>19050</wp:posOffset>
                </wp:positionV>
                <wp:extent cx="339090" cy="0"/>
                <wp:effectExtent l="0" t="0" r="0" b="0"/>
                <wp:wrapNone/>
                <wp:docPr id="3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9090"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75pt,1.5pt" to="233.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ZTwHQIAAEMEAAAOAAAAZHJzL2Uyb0RvYy54bWysU8GO2jAQvVfqP1i+QxJgKU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7OMVKk&#10;hR3thOJosQyz6YzLIaRUexu6oxf1YnaafndI6bIh6sgjx9ergbwsZCRvUsLFGahw6D5rBjHk5HUc&#10;1KW2bYCEEaBL3Mf1vg9+8YjCx+l0mS5ha3RwJSQf8ox1/hPXLQpGgSVwjrjkvHM+8CD5EBLKKL0V&#10;UsZtS4U6IDvJsqeY4bQULHhDnLPHQyktOpMgmPiLXYHnMSxAV8Q1fVx09VKy+qRYLNNwwjY32xMh&#10;extoSRUKQY9A9Gb1UvkB3W4Wm8VsNJvMN6NZWlWjj9tyNppvsw9P1bQqyyr7GThns7wRjHEVaA+y&#10;zWZ/J4vbA+oFdxfufUDJW/Q4SSA7/EfScclhr71CDppd93ZYPig1Bt9eVXgKj3ewH9/++hcAAAD/&#10;/wMAUEsDBBQABgAIAAAAIQD8df6z2gAAAAcBAAAPAAAAZHJzL2Rvd25yZXYueG1sTI/BTsMwEETv&#10;SPyDtUjcqFNSIprGqRBSJK60FRI3J16SqPY6xE4a/p6FCxxHMzv7ptgvzooZx9B7UrBeJSCQGm96&#10;ahWcjtXdI4gQNRltPaGCLwywL6+vCp0bf6FXnA+xFVxCIdcKuhiHXMrQdOh0WPkBib0PPzodWY6t&#10;NKO+cLmz8j5JMul0T/yh0wM+d9icD5NjjNTO23qe6ur9U8q6ebFH81YpdXuzPO1ARFziXxh+8PkG&#10;Smaq/UQmCKtgs04fOKog5Unsb7JsC6L+1bIs5H/+8hsAAP//AwBQSwECLQAUAAYACAAAACEAtoM4&#10;kv4AAADhAQAAEwAAAAAAAAAAAAAAAAAAAAAAW0NvbnRlbnRfVHlwZXNdLnhtbFBLAQItABQABgAI&#10;AAAAIQA4/SH/1gAAAJQBAAALAAAAAAAAAAAAAAAAAC8BAABfcmVscy8ucmVsc1BLAQItABQABgAI&#10;AAAAIQBVSZTwHQIAAEMEAAAOAAAAAAAAAAAAAAAAAC4CAABkcnMvZTJvRG9jLnhtbFBLAQItABQA&#10;BgAIAAAAIQD8df6z2gAAAAcBAAAPAAAAAAAAAAAAAAAAAHcEAABkcnMvZG93bnJldi54bWxQSwUG&#10;AAAAAAQABADzAAAAfgUAAAAA&#10;" o:allowincell="f" strokeweight=".33653mm"/>
            </w:pict>
          </mc:Fallback>
        </mc:AlternateContent>
      </w:r>
    </w:p>
    <w:tbl>
      <w:tblPr>
        <w:tblW w:w="0" w:type="auto"/>
        <w:tblInd w:w="60" w:type="dxa"/>
        <w:tblLayout w:type="fixed"/>
        <w:tblCellMar>
          <w:left w:w="0" w:type="dxa"/>
          <w:right w:w="0" w:type="dxa"/>
        </w:tblCellMar>
        <w:tblLook w:val="0000" w:firstRow="0" w:lastRow="0" w:firstColumn="0" w:lastColumn="0" w:noHBand="0" w:noVBand="0"/>
      </w:tblPr>
      <w:tblGrid>
        <w:gridCol w:w="1620"/>
        <w:gridCol w:w="640"/>
        <w:gridCol w:w="580"/>
        <w:gridCol w:w="600"/>
        <w:gridCol w:w="580"/>
        <w:gridCol w:w="520"/>
      </w:tblGrid>
      <w:tr w:rsidR="00000000">
        <w:tblPrEx>
          <w:tblCellMar>
            <w:top w:w="0" w:type="dxa"/>
            <w:left w:w="0" w:type="dxa"/>
            <w:bottom w:w="0" w:type="dxa"/>
            <w:right w:w="0" w:type="dxa"/>
          </w:tblCellMar>
        </w:tblPrEx>
        <w:trPr>
          <w:trHeight w:val="218"/>
        </w:trPr>
        <w:tc>
          <w:tcPr>
            <w:tcW w:w="1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Purchase</w:t>
            </w: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r>
      <w:tr w:rsidR="00000000">
        <w:tblPrEx>
          <w:tblCellMar>
            <w:top w:w="0" w:type="dxa"/>
            <w:left w:w="0" w:type="dxa"/>
            <w:bottom w:w="0" w:type="dxa"/>
            <w:right w:w="0" w:type="dxa"/>
          </w:tblCellMar>
        </w:tblPrEx>
        <w:trPr>
          <w:trHeight w:val="250"/>
        </w:trPr>
        <w:tc>
          <w:tcPr>
            <w:tcW w:w="1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obligations  </w:t>
            </w:r>
            <w:r>
              <w:rPr>
                <w:rFonts w:ascii="Times New Roman" w:hAnsi="Times New Roman" w:cs="Times New Roman"/>
                <w:sz w:val="17"/>
                <w:szCs w:val="17"/>
              </w:rPr>
              <w:t>$ 1,068</w:t>
            </w: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sz w:val="17"/>
                <w:szCs w:val="17"/>
              </w:rPr>
              <w:t>$ 268</w:t>
            </w: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sz w:val="17"/>
                <w:szCs w:val="17"/>
              </w:rPr>
              <w:t>$ 164</w:t>
            </w:r>
          </w:p>
        </w:tc>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
              <w:jc w:val="right"/>
              <w:rPr>
                <w:rFonts w:ascii="Times New Roman" w:hAnsi="Times New Roman" w:cs="Times New Roman"/>
                <w:sz w:val="24"/>
                <w:szCs w:val="24"/>
              </w:rPr>
            </w:pPr>
            <w:r>
              <w:rPr>
                <w:rFonts w:ascii="Times New Roman" w:hAnsi="Times New Roman" w:cs="Times New Roman"/>
                <w:sz w:val="17"/>
                <w:szCs w:val="17"/>
              </w:rPr>
              <w:t>$  92</w:t>
            </w:r>
          </w:p>
        </w:tc>
        <w:tc>
          <w:tcPr>
            <w:tcW w:w="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  72</w:t>
            </w:r>
          </w:p>
        </w:tc>
        <w:tc>
          <w:tcPr>
            <w:tcW w:w="5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7"/>
                <w:szCs w:val="17"/>
              </w:rPr>
              <w:t>$ 321</w:t>
            </w:r>
          </w:p>
        </w:tc>
      </w:tr>
    </w:tbl>
    <w:p w:rsidR="00000000" w:rsidRDefault="0057438D">
      <w:pPr>
        <w:pStyle w:val="DefaultParagraphFont"/>
        <w:widowControl w:val="0"/>
        <w:autoSpaceDE w:val="0"/>
        <w:autoSpaceDN w:val="0"/>
        <w:adjustRightInd w:val="0"/>
        <w:spacing w:after="0" w:line="17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left="20"/>
        <w:rPr>
          <w:rFonts w:ascii="Times New Roman" w:hAnsi="Times New Roman" w:cs="Times New Roman"/>
          <w:sz w:val="24"/>
          <w:szCs w:val="24"/>
        </w:rPr>
      </w:pPr>
      <w:r>
        <w:rPr>
          <w:rFonts w:ascii="Times New Roman" w:hAnsi="Times New Roman" w:cs="Times New Roman"/>
          <w:sz w:val="19"/>
          <w:szCs w:val="19"/>
        </w:rPr>
        <w:t>Such amounts represent future purchases in line with expected usage to obtain favorable pricing. Approximately 19% of our purchase commitments relate to service contracts for information technology, human resources management and facilities management acti</w:t>
      </w:r>
      <w:r>
        <w:rPr>
          <w:rFonts w:ascii="Times New Roman" w:hAnsi="Times New Roman" w:cs="Times New Roman"/>
          <w:sz w:val="19"/>
          <w:szCs w:val="19"/>
        </w:rPr>
        <w:t>vities that have been outsourced to third-party suppliers. Due to the proprietary nature of many of our materials and processes, certain supply contracts contain penalty provisions for early termination. We do not expect to incur penalty payments under the</w:t>
      </w:r>
      <w:r>
        <w:rPr>
          <w:rFonts w:ascii="Times New Roman" w:hAnsi="Times New Roman" w:cs="Times New Roman"/>
          <w:sz w:val="19"/>
          <w:szCs w:val="19"/>
        </w:rPr>
        <w:t>se provisions that would materially affect our financial position, results of operations or cash flows.</w:t>
      </w:r>
    </w:p>
    <w:p w:rsidR="00000000" w:rsidRDefault="0057438D">
      <w:pPr>
        <w:pStyle w:val="DefaultParagraphFont"/>
        <w:widowControl w:val="0"/>
        <w:autoSpaceDE w:val="0"/>
        <w:autoSpaceDN w:val="0"/>
        <w:adjustRightInd w:val="0"/>
        <w:spacing w:after="0" w:line="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left="20" w:right="220"/>
        <w:rPr>
          <w:rFonts w:ascii="Times New Roman" w:hAnsi="Times New Roman" w:cs="Times New Roman"/>
          <w:sz w:val="24"/>
          <w:szCs w:val="24"/>
        </w:rPr>
      </w:pPr>
      <w:r>
        <w:rPr>
          <w:rFonts w:ascii="Times New Roman" w:hAnsi="Times New Roman" w:cs="Times New Roman"/>
          <w:sz w:val="19"/>
          <w:szCs w:val="19"/>
        </w:rPr>
        <w:t>We also lease certain property and equipment for varying periods. Future minimum rental commitments under non-cancelable operating leases, net of guara</w:t>
      </w:r>
      <w:r>
        <w:rPr>
          <w:rFonts w:ascii="Times New Roman" w:hAnsi="Times New Roman" w:cs="Times New Roman"/>
          <w:sz w:val="19"/>
          <w:szCs w:val="19"/>
        </w:rPr>
        <w:t>nteed sublease income, are as follows:</w:t>
      </w:r>
    </w:p>
    <w:p w:rsidR="00000000" w:rsidRDefault="0057438D">
      <w:pPr>
        <w:pStyle w:val="DefaultParagraphFont"/>
        <w:widowControl w:val="0"/>
        <w:autoSpaceDE w:val="0"/>
        <w:autoSpaceDN w:val="0"/>
        <w:adjustRightInd w:val="0"/>
        <w:spacing w:after="0" w:line="10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980"/>
        <w:gridCol w:w="540"/>
        <w:gridCol w:w="80"/>
        <w:gridCol w:w="560"/>
        <w:gridCol w:w="80"/>
        <w:gridCol w:w="540"/>
        <w:gridCol w:w="80"/>
        <w:gridCol w:w="560"/>
        <w:gridCol w:w="80"/>
        <w:gridCol w:w="540"/>
        <w:gridCol w:w="80"/>
        <w:gridCol w:w="560"/>
        <w:gridCol w:w="20"/>
      </w:tblGrid>
      <w:tr w:rsidR="00000000">
        <w:tblPrEx>
          <w:tblCellMar>
            <w:top w:w="0" w:type="dxa"/>
            <w:left w:w="0" w:type="dxa"/>
            <w:bottom w:w="0" w:type="dxa"/>
            <w:right w:w="0" w:type="dxa"/>
          </w:tblCellMar>
        </w:tblPrEx>
        <w:trPr>
          <w:trHeight w:val="172"/>
        </w:trPr>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Years ended</w:t>
            </w:r>
          </w:p>
        </w:tc>
        <w:tc>
          <w:tcPr>
            <w:tcW w:w="5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4"/>
              <w:jc w:val="right"/>
              <w:rPr>
                <w:rFonts w:ascii="Times New Roman" w:hAnsi="Times New Roman" w:cs="Times New Roman"/>
                <w:sz w:val="24"/>
                <w:szCs w:val="24"/>
              </w:rPr>
            </w:pPr>
            <w:r>
              <w:rPr>
                <w:rFonts w:ascii="Times New Roman" w:hAnsi="Times New Roman" w:cs="Times New Roman"/>
                <w:b/>
                <w:bCs/>
                <w:sz w:val="15"/>
                <w:szCs w:val="15"/>
              </w:rPr>
              <w:t>2015</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4"/>
              <w:jc w:val="right"/>
              <w:rPr>
                <w:rFonts w:ascii="Times New Roman" w:hAnsi="Times New Roman" w:cs="Times New Roman"/>
                <w:sz w:val="24"/>
                <w:szCs w:val="24"/>
              </w:rPr>
            </w:pPr>
            <w:r>
              <w:rPr>
                <w:rFonts w:ascii="Times New Roman" w:hAnsi="Times New Roman" w:cs="Times New Roman"/>
                <w:b/>
                <w:bCs/>
                <w:sz w:val="15"/>
                <w:szCs w:val="15"/>
              </w:rPr>
              <w:t>2016</w:t>
            </w:r>
          </w:p>
        </w:tc>
        <w:tc>
          <w:tcPr>
            <w:tcW w:w="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4"/>
              <w:jc w:val="right"/>
              <w:rPr>
                <w:rFonts w:ascii="Times New Roman" w:hAnsi="Times New Roman" w:cs="Times New Roman"/>
                <w:sz w:val="24"/>
                <w:szCs w:val="24"/>
              </w:rPr>
            </w:pPr>
            <w:r>
              <w:rPr>
                <w:rFonts w:ascii="Times New Roman" w:hAnsi="Times New Roman" w:cs="Times New Roman"/>
                <w:b/>
                <w:bCs/>
                <w:sz w:val="15"/>
                <w:szCs w:val="15"/>
              </w:rPr>
              <w:t>2017</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4"/>
              <w:jc w:val="right"/>
              <w:rPr>
                <w:rFonts w:ascii="Times New Roman" w:hAnsi="Times New Roman" w:cs="Times New Roman"/>
                <w:sz w:val="24"/>
                <w:szCs w:val="24"/>
              </w:rPr>
            </w:pPr>
            <w:r>
              <w:rPr>
                <w:rFonts w:ascii="Times New Roman" w:hAnsi="Times New Roman" w:cs="Times New Roman"/>
                <w:b/>
                <w:bCs/>
                <w:sz w:val="15"/>
                <w:szCs w:val="15"/>
              </w:rPr>
              <w:t>2018</w:t>
            </w:r>
          </w:p>
        </w:tc>
        <w:tc>
          <w:tcPr>
            <w:tcW w:w="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2019</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There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9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June 30</w:t>
            </w:r>
          </w:p>
        </w:tc>
        <w:tc>
          <w:tcPr>
            <w:tcW w:w="5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vMerge/>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vMerge/>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vMerge/>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after</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8"/>
        </w:trPr>
        <w:tc>
          <w:tcPr>
            <w:tcW w:w="9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8" w:lineRule="exact"/>
              <w:ind w:left="60"/>
              <w:rPr>
                <w:rFonts w:ascii="Times New Roman" w:hAnsi="Times New Roman" w:cs="Times New Roman"/>
                <w:sz w:val="24"/>
                <w:szCs w:val="24"/>
              </w:rPr>
            </w:pPr>
            <w:r>
              <w:rPr>
                <w:rFonts w:ascii="Times New Roman" w:hAnsi="Times New Roman" w:cs="Times New Roman"/>
                <w:sz w:val="19"/>
                <w:szCs w:val="19"/>
              </w:rPr>
              <w:t>Operati</w:t>
            </w:r>
            <w:r>
              <w:rPr>
                <w:rFonts w:ascii="Times New Roman" w:hAnsi="Times New Roman" w:cs="Times New Roman"/>
                <w:sz w:val="19"/>
                <w:szCs w:val="19"/>
              </w:rPr>
              <w:t>ng</w:t>
            </w:r>
          </w:p>
        </w:tc>
        <w:tc>
          <w:tcPr>
            <w:tcW w:w="5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$ 288</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$ 273</w:t>
            </w:r>
          </w:p>
        </w:tc>
        <w:tc>
          <w:tcPr>
            <w:tcW w:w="62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$ 236</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$ 216</w:t>
            </w:r>
          </w:p>
        </w:tc>
        <w:tc>
          <w:tcPr>
            <w:tcW w:w="62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$ 188</w:t>
            </w:r>
          </w:p>
        </w:tc>
        <w:tc>
          <w:tcPr>
            <w:tcW w:w="640" w:type="dxa"/>
            <w:gridSpan w:val="2"/>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$ 743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9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leases</w:t>
            </w:r>
          </w:p>
        </w:tc>
        <w:tc>
          <w:tcPr>
            <w:tcW w:w="54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6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2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60" w:type="dxa"/>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2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40" w:type="dxa"/>
            <w:gridSpan w:val="2"/>
            <w:vMerge/>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9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9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9"/>
          <w:szCs w:val="19"/>
        </w:rPr>
        <w:t>Litigation</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left="20" w:right="140"/>
        <w:rPr>
          <w:rFonts w:ascii="Times New Roman" w:hAnsi="Times New Roman" w:cs="Times New Roman"/>
          <w:sz w:val="24"/>
          <w:szCs w:val="24"/>
        </w:rPr>
      </w:pPr>
      <w:r>
        <w:rPr>
          <w:rFonts w:ascii="Times New Roman" w:hAnsi="Times New Roman" w:cs="Times New Roman"/>
          <w:sz w:val="19"/>
          <w:szCs w:val="19"/>
        </w:rPr>
        <w:t>We are subject to various legal proceedings and claims arising out of our business which cover a wide range of matters such as antitrust, trade and other governmental regulations, product liability, patent and trademark matters, advertisi</w:t>
      </w:r>
      <w:r>
        <w:rPr>
          <w:rFonts w:ascii="Times New Roman" w:hAnsi="Times New Roman" w:cs="Times New Roman"/>
          <w:sz w:val="19"/>
          <w:szCs w:val="19"/>
        </w:rPr>
        <w:t>ng, contracts, environmental issues, labor and employments matters and income and other taxes.</w:t>
      </w:r>
    </w:p>
    <w:p w:rsidR="00000000" w:rsidRDefault="0057438D">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left="20" w:right="40"/>
        <w:jc w:val="both"/>
        <w:rPr>
          <w:rFonts w:ascii="Times New Roman" w:hAnsi="Times New Roman" w:cs="Times New Roman"/>
          <w:sz w:val="24"/>
          <w:szCs w:val="24"/>
        </w:rPr>
      </w:pPr>
      <w:r>
        <w:rPr>
          <w:rFonts w:ascii="Times New Roman" w:hAnsi="Times New Roman" w:cs="Times New Roman"/>
          <w:sz w:val="19"/>
          <w:szCs w:val="19"/>
        </w:rPr>
        <w:t>As previously disclosed, the Company has had a number of antitrust matters in Europe. These matters involve a number of other consumer products companies and/or retail</w:t>
      </w: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 xml:space="preserve">The Procter &amp; Gamble Company  </w:t>
      </w:r>
      <w:r>
        <w:rPr>
          <w:rFonts w:ascii="Times New Roman" w:hAnsi="Times New Roman" w:cs="Times New Roman"/>
          <w:sz w:val="19"/>
          <w:szCs w:val="19"/>
        </w:rPr>
        <w:t>73</w:t>
      </w: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left="3"/>
        <w:rPr>
          <w:rFonts w:ascii="Times New Roman" w:hAnsi="Times New Roman" w:cs="Times New Roman"/>
          <w:sz w:val="24"/>
          <w:szCs w:val="24"/>
        </w:rPr>
      </w:pPr>
      <w:r>
        <w:rPr>
          <w:rFonts w:ascii="Times New Roman" w:hAnsi="Times New Roman" w:cs="Times New Roman"/>
          <w:sz w:val="19"/>
          <w:szCs w:val="19"/>
        </w:rPr>
        <w:t>customers. Several regulatory authorities in Europe h</w:t>
      </w:r>
      <w:r>
        <w:rPr>
          <w:rFonts w:ascii="Times New Roman" w:hAnsi="Times New Roman" w:cs="Times New Roman"/>
          <w:sz w:val="19"/>
          <w:szCs w:val="19"/>
        </w:rPr>
        <w:t>ave issued separate decisions pursuant to their investigations alleging that the Company, along with several other companies, engaged in violations of competition laws in those countries. Many of these matters have concluded and the fines have been paid. F</w:t>
      </w:r>
      <w:r>
        <w:rPr>
          <w:rFonts w:ascii="Times New Roman" w:hAnsi="Times New Roman" w:cs="Times New Roman"/>
          <w:sz w:val="19"/>
          <w:szCs w:val="19"/>
        </w:rPr>
        <w:t>or ongoing matters, the Company has accrued liabilities for competition law violations totaling $225 as of June 30, 2014. While the ultimate resolution of these matters may result in fines or costs in excess of the amounts reserved, we do not expect any su</w:t>
      </w:r>
      <w:r>
        <w:rPr>
          <w:rFonts w:ascii="Times New Roman" w:hAnsi="Times New Roman" w:cs="Times New Roman"/>
          <w:sz w:val="19"/>
          <w:szCs w:val="19"/>
        </w:rPr>
        <w:t>ch incremental losses to materially impact our financial statements in the period in which they are accrued and paid, respectively.</w:t>
      </w:r>
    </w:p>
    <w:p w:rsidR="00000000" w:rsidRDefault="0057438D">
      <w:pPr>
        <w:pStyle w:val="DefaultParagraphFont"/>
        <w:widowControl w:val="0"/>
        <w:autoSpaceDE w:val="0"/>
        <w:autoSpaceDN w:val="0"/>
        <w:adjustRightInd w:val="0"/>
        <w:spacing w:after="0" w:line="9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left="3" w:right="120"/>
        <w:rPr>
          <w:rFonts w:ascii="Times New Roman" w:hAnsi="Times New Roman" w:cs="Times New Roman"/>
          <w:sz w:val="24"/>
          <w:szCs w:val="24"/>
        </w:rPr>
      </w:pPr>
      <w:r>
        <w:rPr>
          <w:rFonts w:ascii="Times New Roman" w:hAnsi="Times New Roman" w:cs="Times New Roman"/>
          <w:sz w:val="19"/>
          <w:szCs w:val="19"/>
        </w:rPr>
        <w:t>With respect to other litigation and claims, while considerable uncertainty exists, in the opinion of management and our co</w:t>
      </w:r>
      <w:r>
        <w:rPr>
          <w:rFonts w:ascii="Times New Roman" w:hAnsi="Times New Roman" w:cs="Times New Roman"/>
          <w:sz w:val="19"/>
          <w:szCs w:val="19"/>
        </w:rPr>
        <w:t>unsel, the ultimate resolution of the various lawsuits and claims will not materially affect our financial position, results of operations or cash flows.</w:t>
      </w:r>
    </w:p>
    <w:p w:rsidR="00000000" w:rsidRDefault="0057438D">
      <w:pPr>
        <w:pStyle w:val="DefaultParagraphFont"/>
        <w:widowControl w:val="0"/>
        <w:autoSpaceDE w:val="0"/>
        <w:autoSpaceDN w:val="0"/>
        <w:adjustRightInd w:val="0"/>
        <w:spacing w:after="0" w:line="7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left="3" w:right="160"/>
        <w:rPr>
          <w:rFonts w:ascii="Times New Roman" w:hAnsi="Times New Roman" w:cs="Times New Roman"/>
          <w:sz w:val="24"/>
          <w:szCs w:val="24"/>
        </w:rPr>
      </w:pPr>
      <w:r>
        <w:rPr>
          <w:rFonts w:ascii="Times New Roman" w:hAnsi="Times New Roman" w:cs="Times New Roman"/>
          <w:sz w:val="19"/>
          <w:szCs w:val="19"/>
        </w:rPr>
        <w:t>We are also subject to contingencies pursuant to environmental laws and regulations that in the futur</w:t>
      </w:r>
      <w:r>
        <w:rPr>
          <w:rFonts w:ascii="Times New Roman" w:hAnsi="Times New Roman" w:cs="Times New Roman"/>
          <w:sz w:val="19"/>
          <w:szCs w:val="19"/>
        </w:rPr>
        <w:t>e may require us to take action to correct the effects on the environment of prior manufacturing and waste disposal practices. Based on currently available information, we do not believe the ultimate resolution of environmental remediation will have a mate</w:t>
      </w:r>
      <w:r>
        <w:rPr>
          <w:rFonts w:ascii="Times New Roman" w:hAnsi="Times New Roman" w:cs="Times New Roman"/>
          <w:sz w:val="19"/>
          <w:szCs w:val="19"/>
        </w:rPr>
        <w:t>rial effect on our financial position, results of operations or cash flows.</w:t>
      </w:r>
    </w:p>
    <w:p w:rsidR="00000000" w:rsidRDefault="0057438D">
      <w:pPr>
        <w:pStyle w:val="DefaultParagraphFont"/>
        <w:widowControl w:val="0"/>
        <w:autoSpaceDE w:val="0"/>
        <w:autoSpaceDN w:val="0"/>
        <w:adjustRightInd w:val="0"/>
        <w:spacing w:after="0" w:line="13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3"/>
        <w:rPr>
          <w:rFonts w:ascii="Times New Roman" w:hAnsi="Times New Roman" w:cs="Times New Roman"/>
          <w:sz w:val="24"/>
          <w:szCs w:val="24"/>
        </w:rPr>
      </w:pPr>
      <w:r>
        <w:rPr>
          <w:rFonts w:ascii="Times New Roman" w:hAnsi="Times New Roman" w:cs="Times New Roman"/>
          <w:b/>
          <w:bCs/>
          <w:i/>
          <w:iCs/>
          <w:sz w:val="19"/>
          <w:szCs w:val="19"/>
        </w:rPr>
        <w:t>NOTE 12</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3"/>
        <w:rPr>
          <w:rFonts w:ascii="Times New Roman" w:hAnsi="Times New Roman" w:cs="Times New Roman"/>
          <w:sz w:val="24"/>
          <w:szCs w:val="24"/>
        </w:rPr>
      </w:pPr>
      <w:r>
        <w:rPr>
          <w:rFonts w:ascii="Times New Roman" w:hAnsi="Times New Roman" w:cs="Times New Roman"/>
          <w:b/>
          <w:bCs/>
          <w:sz w:val="19"/>
          <w:szCs w:val="19"/>
        </w:rPr>
        <w:t>SEGMENT INFORMATION</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left="3"/>
        <w:rPr>
          <w:rFonts w:ascii="Times New Roman" w:hAnsi="Times New Roman" w:cs="Times New Roman"/>
          <w:sz w:val="24"/>
          <w:szCs w:val="24"/>
        </w:rPr>
      </w:pPr>
      <w:r>
        <w:rPr>
          <w:rFonts w:ascii="Times New Roman" w:hAnsi="Times New Roman" w:cs="Times New Roman"/>
          <w:sz w:val="19"/>
          <w:szCs w:val="19"/>
        </w:rPr>
        <w:t>Effective July 1, 2013, we reorganized our Global Business Unit (GBU) structure, which resulted in changes to our reporting segments. We reorganized our GBUs into four industry-based sectors, comprised of 1) Global Beauty, 2) Global Health and Grooming, 3)</w:t>
      </w:r>
      <w:r>
        <w:rPr>
          <w:rFonts w:ascii="Times New Roman" w:hAnsi="Times New Roman" w:cs="Times New Roman"/>
          <w:sz w:val="19"/>
          <w:szCs w:val="19"/>
        </w:rPr>
        <w:t xml:space="preserve"> Global Fabric and Home Care and 4) Global Baby, Feminine and Family Care. In April 2014, we announced our decision to exit our Pet Care business. On July 31, 2014, the Company completed the divestiture of its Pet Care operations in North America, Latin Am</w:t>
      </w:r>
      <w:r>
        <w:rPr>
          <w:rFonts w:ascii="Times New Roman" w:hAnsi="Times New Roman" w:cs="Times New Roman"/>
          <w:sz w:val="19"/>
          <w:szCs w:val="19"/>
        </w:rPr>
        <w:t>erica and other selected markets. The Company is pursuing alternate plans to sell its Pet Care business in the other markets, primarily the European Union countries. This GBU is reported as a discontinued operation for all periods presented.</w:t>
      </w:r>
    </w:p>
    <w:p w:rsidR="00000000" w:rsidRDefault="0057438D">
      <w:pPr>
        <w:pStyle w:val="DefaultParagraphFont"/>
        <w:widowControl w:val="0"/>
        <w:autoSpaceDE w:val="0"/>
        <w:autoSpaceDN w:val="0"/>
        <w:adjustRightInd w:val="0"/>
        <w:spacing w:after="0" w:line="8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left="3" w:right="20"/>
        <w:rPr>
          <w:rFonts w:ascii="Times New Roman" w:hAnsi="Times New Roman" w:cs="Times New Roman"/>
          <w:sz w:val="24"/>
          <w:szCs w:val="24"/>
        </w:rPr>
      </w:pPr>
      <w:r>
        <w:rPr>
          <w:rFonts w:ascii="Times New Roman" w:hAnsi="Times New Roman" w:cs="Times New Roman"/>
          <w:sz w:val="19"/>
          <w:szCs w:val="19"/>
        </w:rPr>
        <w:t>Under U.S. GA</w:t>
      </w:r>
      <w:r>
        <w:rPr>
          <w:rFonts w:ascii="Times New Roman" w:hAnsi="Times New Roman" w:cs="Times New Roman"/>
          <w:sz w:val="19"/>
          <w:szCs w:val="19"/>
        </w:rPr>
        <w:t>AP, the remaining GBUs underlying the four sectors are aggregated into five reportable segments: 1) Beauty, 2) Grooming, 3) Health Care, 4) Fabric Care and Home Care and 5) Baby, Feminine and Family Care. As a result of the organizational changes, Feminine</w:t>
      </w:r>
      <w:r>
        <w:rPr>
          <w:rFonts w:ascii="Times New Roman" w:hAnsi="Times New Roman" w:cs="Times New Roman"/>
          <w:sz w:val="19"/>
          <w:szCs w:val="19"/>
        </w:rPr>
        <w:t xml:space="preserve"> Care transitioned from Health Care to Baby, Feminine and Family Care for all periods presented. Our five reportable segments are comprised of:</w:t>
      </w:r>
    </w:p>
    <w:p w:rsidR="00000000" w:rsidRDefault="0057438D">
      <w:pPr>
        <w:pStyle w:val="DefaultParagraphFont"/>
        <w:widowControl w:val="0"/>
        <w:autoSpaceDE w:val="0"/>
        <w:autoSpaceDN w:val="0"/>
        <w:adjustRightInd w:val="0"/>
        <w:spacing w:after="0" w:line="309" w:lineRule="exact"/>
        <w:rPr>
          <w:rFonts w:ascii="Times New Roman" w:hAnsi="Times New Roman" w:cs="Times New Roman"/>
          <w:sz w:val="24"/>
          <w:szCs w:val="24"/>
        </w:rPr>
      </w:pPr>
    </w:p>
    <w:p w:rsidR="00000000" w:rsidRDefault="0057438D">
      <w:pPr>
        <w:pStyle w:val="DefaultParagraphFont"/>
        <w:widowControl w:val="0"/>
        <w:numPr>
          <w:ilvl w:val="0"/>
          <w:numId w:val="22"/>
        </w:numPr>
        <w:tabs>
          <w:tab w:val="clear" w:pos="720"/>
          <w:tab w:val="num" w:pos="343"/>
        </w:tabs>
        <w:overflowPunct w:val="0"/>
        <w:autoSpaceDE w:val="0"/>
        <w:autoSpaceDN w:val="0"/>
        <w:adjustRightInd w:val="0"/>
        <w:spacing w:after="0" w:line="264" w:lineRule="auto"/>
        <w:ind w:left="343" w:right="200" w:hanging="343"/>
        <w:rPr>
          <w:rFonts w:ascii="Times New Roman" w:hAnsi="Times New Roman" w:cs="Times New Roman"/>
          <w:sz w:val="19"/>
          <w:szCs w:val="19"/>
        </w:rPr>
      </w:pPr>
      <w:r>
        <w:rPr>
          <w:rFonts w:ascii="Times New Roman" w:hAnsi="Times New Roman" w:cs="Times New Roman"/>
          <w:b/>
          <w:bCs/>
          <w:i/>
          <w:iCs/>
          <w:sz w:val="19"/>
          <w:szCs w:val="19"/>
        </w:rPr>
        <w:t>Beauty</w:t>
      </w:r>
      <w:r>
        <w:rPr>
          <w:rFonts w:ascii="Times New Roman" w:hAnsi="Times New Roman" w:cs="Times New Roman"/>
          <w:sz w:val="19"/>
          <w:szCs w:val="19"/>
        </w:rPr>
        <w:t>: Beauty Care (Antiperspirant and Deodorant,</w:t>
      </w:r>
      <w:r>
        <w:rPr>
          <w:rFonts w:ascii="Times New Roman" w:hAnsi="Times New Roman" w:cs="Times New Roman"/>
          <w:b/>
          <w:bCs/>
          <w:i/>
          <w:iCs/>
          <w:sz w:val="19"/>
          <w:szCs w:val="19"/>
        </w:rPr>
        <w:t xml:space="preserve"> </w:t>
      </w:r>
      <w:r>
        <w:rPr>
          <w:rFonts w:ascii="Times New Roman" w:hAnsi="Times New Roman" w:cs="Times New Roman"/>
          <w:sz w:val="19"/>
          <w:szCs w:val="19"/>
        </w:rPr>
        <w:t>Cosmetics, Personal Cleansing, Skin Care); Hair Care and C</w:t>
      </w:r>
      <w:r>
        <w:rPr>
          <w:rFonts w:ascii="Times New Roman" w:hAnsi="Times New Roman" w:cs="Times New Roman"/>
          <w:sz w:val="19"/>
          <w:szCs w:val="19"/>
        </w:rPr>
        <w:t>olor; Prestige (SKII, Fragrances); Salon Professional;</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346" w:left="840" w:header="720" w:footer="720" w:gutter="0"/>
          <w:cols w:num="2" w:space="437" w:equalWidth="0">
            <w:col w:w="4680" w:space="437"/>
            <w:col w:w="4663"/>
          </w:cols>
          <w:noEndnote/>
        </w:sectPr>
      </w:pPr>
    </w:p>
    <w:p w:rsidR="00000000" w:rsidRDefault="0057438D">
      <w:pPr>
        <w:pStyle w:val="DefaultParagraphFont"/>
        <w:widowControl w:val="0"/>
        <w:autoSpaceDE w:val="0"/>
        <w:autoSpaceDN w:val="0"/>
        <w:adjustRightInd w:val="0"/>
        <w:spacing w:after="0" w:line="14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5580" w:header="720" w:footer="720" w:gutter="0"/>
          <w:cols w:space="437" w:equalWidth="0">
            <w:col w:w="5060" w:space="437"/>
          </w:cols>
          <w:noEndnote/>
        </w:sectPr>
      </w:pPr>
    </w:p>
    <w:p w:rsidR="00000000" w:rsidRDefault="0057438D">
      <w:pPr>
        <w:pStyle w:val="DefaultParagraphFont"/>
        <w:widowControl w:val="0"/>
        <w:tabs>
          <w:tab w:val="left" w:pos="345"/>
        </w:tabs>
        <w:autoSpaceDE w:val="0"/>
        <w:autoSpaceDN w:val="0"/>
        <w:adjustRightInd w:val="0"/>
        <w:spacing w:after="0" w:line="240" w:lineRule="auto"/>
        <w:ind w:left="5"/>
        <w:rPr>
          <w:rFonts w:ascii="Times New Roman" w:hAnsi="Times New Roman" w:cs="Times New Roman"/>
          <w:sz w:val="24"/>
          <w:szCs w:val="24"/>
        </w:rPr>
      </w:pPr>
      <w:r>
        <w:rPr>
          <w:rFonts w:ascii="Times New Roman" w:hAnsi="Times New Roman" w:cs="Times New Roman"/>
          <w:sz w:val="17"/>
          <w:szCs w:val="17"/>
        </w:rPr>
        <w:t>74</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5" w:lineRule="exact"/>
        <w:rPr>
          <w:rFonts w:ascii="Times New Roman" w:hAnsi="Times New Roman" w:cs="Times New Roman"/>
          <w:sz w:val="24"/>
          <w:szCs w:val="24"/>
        </w:rPr>
      </w:pPr>
    </w:p>
    <w:p w:rsidR="00000000" w:rsidRDefault="0057438D">
      <w:pPr>
        <w:pStyle w:val="DefaultParagraphFont"/>
        <w:widowControl w:val="0"/>
        <w:numPr>
          <w:ilvl w:val="0"/>
          <w:numId w:val="23"/>
        </w:numPr>
        <w:tabs>
          <w:tab w:val="clear" w:pos="720"/>
          <w:tab w:val="num" w:pos="345"/>
        </w:tabs>
        <w:overflowPunct w:val="0"/>
        <w:autoSpaceDE w:val="0"/>
        <w:autoSpaceDN w:val="0"/>
        <w:adjustRightInd w:val="0"/>
        <w:spacing w:after="0" w:line="289" w:lineRule="auto"/>
        <w:ind w:left="345" w:right="300" w:hanging="345"/>
        <w:jc w:val="both"/>
        <w:rPr>
          <w:rFonts w:ascii="Times New Roman" w:hAnsi="Times New Roman" w:cs="Times New Roman"/>
          <w:sz w:val="19"/>
          <w:szCs w:val="19"/>
        </w:rPr>
      </w:pPr>
      <w:r>
        <w:rPr>
          <w:rFonts w:ascii="Times New Roman" w:hAnsi="Times New Roman" w:cs="Times New Roman"/>
          <w:b/>
          <w:bCs/>
          <w:i/>
          <w:iCs/>
          <w:sz w:val="19"/>
          <w:szCs w:val="19"/>
        </w:rPr>
        <w:t>Grooming</w:t>
      </w:r>
      <w:r>
        <w:rPr>
          <w:rFonts w:ascii="Times New Roman" w:hAnsi="Times New Roman" w:cs="Times New Roman"/>
          <w:sz w:val="19"/>
          <w:szCs w:val="19"/>
        </w:rPr>
        <w:t>: Shave Care (Blades and Razors, Pre- and</w:t>
      </w:r>
      <w:r>
        <w:rPr>
          <w:rFonts w:ascii="Times New Roman" w:hAnsi="Times New Roman" w:cs="Times New Roman"/>
          <w:b/>
          <w:bCs/>
          <w:i/>
          <w:iCs/>
          <w:sz w:val="19"/>
          <w:szCs w:val="19"/>
        </w:rPr>
        <w:t xml:space="preserve"> </w:t>
      </w:r>
      <w:r>
        <w:rPr>
          <w:rFonts w:ascii="Times New Roman" w:hAnsi="Times New Roman" w:cs="Times New Roman"/>
          <w:sz w:val="19"/>
          <w:szCs w:val="19"/>
        </w:rPr>
        <w:t>Post-Shave Products); Appliances;</w:t>
      </w:r>
    </w:p>
    <w:p w:rsidR="00000000" w:rsidRDefault="0057438D">
      <w:pPr>
        <w:pStyle w:val="DefaultParagraphFont"/>
        <w:widowControl w:val="0"/>
        <w:autoSpaceDE w:val="0"/>
        <w:autoSpaceDN w:val="0"/>
        <w:adjustRightInd w:val="0"/>
        <w:spacing w:after="0" w:line="161" w:lineRule="exact"/>
        <w:rPr>
          <w:rFonts w:ascii="Times New Roman" w:hAnsi="Times New Roman" w:cs="Times New Roman"/>
          <w:sz w:val="19"/>
          <w:szCs w:val="19"/>
        </w:rPr>
      </w:pPr>
    </w:p>
    <w:p w:rsidR="00000000" w:rsidRDefault="0057438D">
      <w:pPr>
        <w:pStyle w:val="DefaultParagraphFont"/>
        <w:widowControl w:val="0"/>
        <w:numPr>
          <w:ilvl w:val="0"/>
          <w:numId w:val="23"/>
        </w:numPr>
        <w:tabs>
          <w:tab w:val="clear" w:pos="720"/>
          <w:tab w:val="num" w:pos="345"/>
        </w:tabs>
        <w:overflowPunct w:val="0"/>
        <w:autoSpaceDE w:val="0"/>
        <w:autoSpaceDN w:val="0"/>
        <w:adjustRightInd w:val="0"/>
        <w:spacing w:after="0" w:line="264" w:lineRule="auto"/>
        <w:ind w:left="345" w:right="140" w:hanging="345"/>
        <w:rPr>
          <w:rFonts w:ascii="Times New Roman" w:hAnsi="Times New Roman" w:cs="Times New Roman"/>
          <w:sz w:val="19"/>
          <w:szCs w:val="19"/>
        </w:rPr>
      </w:pPr>
      <w:r>
        <w:rPr>
          <w:rFonts w:ascii="Times New Roman" w:hAnsi="Times New Roman" w:cs="Times New Roman"/>
          <w:b/>
          <w:bCs/>
          <w:i/>
          <w:iCs/>
          <w:sz w:val="19"/>
          <w:szCs w:val="19"/>
        </w:rPr>
        <w:t>Health Care</w:t>
      </w:r>
      <w:r>
        <w:rPr>
          <w:rFonts w:ascii="Times New Roman" w:hAnsi="Times New Roman" w:cs="Times New Roman"/>
          <w:sz w:val="19"/>
          <w:szCs w:val="19"/>
        </w:rPr>
        <w:t>: Personal Health Care (Gastrointestinal,</w:t>
      </w:r>
      <w:r>
        <w:rPr>
          <w:rFonts w:ascii="Times New Roman" w:hAnsi="Times New Roman" w:cs="Times New Roman"/>
          <w:b/>
          <w:bCs/>
          <w:i/>
          <w:iCs/>
          <w:sz w:val="19"/>
          <w:szCs w:val="19"/>
        </w:rPr>
        <w:t xml:space="preserve"> </w:t>
      </w:r>
      <w:r>
        <w:rPr>
          <w:rFonts w:ascii="Times New Roman" w:hAnsi="Times New Roman" w:cs="Times New Roman"/>
          <w:sz w:val="19"/>
          <w:szCs w:val="19"/>
        </w:rPr>
        <w:t>Rapid Diagnostics, Respiratory, Other Personal Health Care, Vitamins/Minerals/Supplements); Oral Care (Toothbrush, Toothpast</w:t>
      </w:r>
      <w:r>
        <w:rPr>
          <w:rFonts w:ascii="Times New Roman" w:hAnsi="Times New Roman" w:cs="Times New Roman"/>
          <w:sz w:val="19"/>
          <w:szCs w:val="19"/>
        </w:rPr>
        <w:t>e, Other Oral Care);</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19"/>
          <w:szCs w:val="19"/>
        </w:rPr>
      </w:pPr>
    </w:p>
    <w:p w:rsidR="00000000" w:rsidRDefault="0057438D">
      <w:pPr>
        <w:pStyle w:val="DefaultParagraphFont"/>
        <w:widowControl w:val="0"/>
        <w:numPr>
          <w:ilvl w:val="0"/>
          <w:numId w:val="23"/>
        </w:numPr>
        <w:tabs>
          <w:tab w:val="clear" w:pos="720"/>
          <w:tab w:val="num" w:pos="345"/>
        </w:tabs>
        <w:overflowPunct w:val="0"/>
        <w:autoSpaceDE w:val="0"/>
        <w:autoSpaceDN w:val="0"/>
        <w:adjustRightInd w:val="0"/>
        <w:spacing w:after="0" w:line="283" w:lineRule="auto"/>
        <w:ind w:left="345" w:right="360" w:hanging="345"/>
        <w:rPr>
          <w:rFonts w:ascii="Times New Roman" w:hAnsi="Times New Roman" w:cs="Times New Roman"/>
          <w:sz w:val="18"/>
          <w:szCs w:val="18"/>
        </w:rPr>
      </w:pPr>
      <w:r>
        <w:rPr>
          <w:rFonts w:ascii="Times New Roman" w:hAnsi="Times New Roman" w:cs="Times New Roman"/>
          <w:b/>
          <w:bCs/>
          <w:i/>
          <w:iCs/>
          <w:sz w:val="18"/>
          <w:szCs w:val="18"/>
        </w:rPr>
        <w:t>Fabric Care and Home Care</w:t>
      </w:r>
      <w:r>
        <w:rPr>
          <w:rFonts w:ascii="Times New Roman" w:hAnsi="Times New Roman" w:cs="Times New Roman"/>
          <w:sz w:val="18"/>
          <w:szCs w:val="18"/>
        </w:rPr>
        <w:t>: Fabric Care (Laundry</w:t>
      </w:r>
      <w:r>
        <w:rPr>
          <w:rFonts w:ascii="Times New Roman" w:hAnsi="Times New Roman" w:cs="Times New Roman"/>
          <w:b/>
          <w:bCs/>
          <w:i/>
          <w:iCs/>
          <w:sz w:val="18"/>
          <w:szCs w:val="18"/>
        </w:rPr>
        <w:t xml:space="preserve"> </w:t>
      </w:r>
      <w:r>
        <w:rPr>
          <w:rFonts w:ascii="Times New Roman" w:hAnsi="Times New Roman" w:cs="Times New Roman"/>
          <w:sz w:val="18"/>
          <w:szCs w:val="18"/>
        </w:rPr>
        <w:t>Additives, Fabric Enhancers, Laundry Detergents); Home Care (Air Care, Dish Care, Surface Care); Personal Power (Batteries); Professional;</w:t>
      </w:r>
    </w:p>
    <w:p w:rsidR="00000000" w:rsidRDefault="0057438D">
      <w:pPr>
        <w:pStyle w:val="DefaultParagraphFont"/>
        <w:widowControl w:val="0"/>
        <w:autoSpaceDE w:val="0"/>
        <w:autoSpaceDN w:val="0"/>
        <w:adjustRightInd w:val="0"/>
        <w:spacing w:after="0" w:line="169" w:lineRule="exact"/>
        <w:rPr>
          <w:rFonts w:ascii="Times New Roman" w:hAnsi="Times New Roman" w:cs="Times New Roman"/>
          <w:sz w:val="18"/>
          <w:szCs w:val="18"/>
        </w:rPr>
      </w:pPr>
    </w:p>
    <w:p w:rsidR="00000000" w:rsidRDefault="0057438D">
      <w:pPr>
        <w:pStyle w:val="DefaultParagraphFont"/>
        <w:widowControl w:val="0"/>
        <w:numPr>
          <w:ilvl w:val="0"/>
          <w:numId w:val="23"/>
        </w:numPr>
        <w:tabs>
          <w:tab w:val="clear" w:pos="720"/>
          <w:tab w:val="num" w:pos="345"/>
        </w:tabs>
        <w:overflowPunct w:val="0"/>
        <w:autoSpaceDE w:val="0"/>
        <w:autoSpaceDN w:val="0"/>
        <w:adjustRightInd w:val="0"/>
        <w:spacing w:after="0" w:line="264" w:lineRule="auto"/>
        <w:ind w:left="345" w:right="240" w:hanging="345"/>
        <w:rPr>
          <w:rFonts w:ascii="Times New Roman" w:hAnsi="Times New Roman" w:cs="Times New Roman"/>
          <w:sz w:val="19"/>
          <w:szCs w:val="19"/>
        </w:rPr>
      </w:pPr>
      <w:r>
        <w:rPr>
          <w:rFonts w:ascii="Times New Roman" w:hAnsi="Times New Roman" w:cs="Times New Roman"/>
          <w:b/>
          <w:bCs/>
          <w:i/>
          <w:iCs/>
          <w:sz w:val="19"/>
          <w:szCs w:val="19"/>
        </w:rPr>
        <w:t>Baby, Feminine and Family Care</w:t>
      </w:r>
      <w:r>
        <w:rPr>
          <w:rFonts w:ascii="Times New Roman" w:hAnsi="Times New Roman" w:cs="Times New Roman"/>
          <w:sz w:val="19"/>
          <w:szCs w:val="19"/>
        </w:rPr>
        <w:t>: Baby Care (Baby</w:t>
      </w:r>
      <w:r>
        <w:rPr>
          <w:rFonts w:ascii="Times New Roman" w:hAnsi="Times New Roman" w:cs="Times New Roman"/>
          <w:b/>
          <w:bCs/>
          <w:i/>
          <w:iCs/>
          <w:sz w:val="19"/>
          <w:szCs w:val="19"/>
        </w:rPr>
        <w:t xml:space="preserve"> </w:t>
      </w:r>
      <w:r>
        <w:rPr>
          <w:rFonts w:ascii="Times New Roman" w:hAnsi="Times New Roman" w:cs="Times New Roman"/>
          <w:sz w:val="19"/>
          <w:szCs w:val="19"/>
        </w:rPr>
        <w:t>Wipes, Diapers and Pants); Feminine Care (Feminine Care, Incontinence); Family Care (Paper Towels, Tissues, Toilet Paper).</w:t>
      </w:r>
    </w:p>
    <w:p w:rsidR="00000000" w:rsidRDefault="0057438D">
      <w:pPr>
        <w:pStyle w:val="DefaultParagraphFont"/>
        <w:widowControl w:val="0"/>
        <w:autoSpaceDE w:val="0"/>
        <w:autoSpaceDN w:val="0"/>
        <w:adjustRightInd w:val="0"/>
        <w:spacing w:after="0" w:line="7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3" w:lineRule="auto"/>
        <w:ind w:left="5"/>
        <w:rPr>
          <w:rFonts w:ascii="Times New Roman" w:hAnsi="Times New Roman" w:cs="Times New Roman"/>
          <w:sz w:val="24"/>
          <w:szCs w:val="24"/>
        </w:rPr>
      </w:pPr>
      <w:r>
        <w:rPr>
          <w:rFonts w:ascii="Times New Roman" w:hAnsi="Times New Roman" w:cs="Times New Roman"/>
          <w:sz w:val="19"/>
          <w:szCs w:val="19"/>
        </w:rPr>
        <w:t>The accounting policies of the segments are generally the same as those described in Note 1. Differences between t</w:t>
      </w:r>
      <w:r>
        <w:rPr>
          <w:rFonts w:ascii="Times New Roman" w:hAnsi="Times New Roman" w:cs="Times New Roman"/>
          <w:sz w:val="19"/>
          <w:szCs w:val="19"/>
        </w:rPr>
        <w:t>hese policies and U.S. GAAP primarily reflect income taxes, which are reflected in the segments using applicable blended statutory rates. Adjustments to arrive at our effective tax rate are included in Corporate. Previously, we also had a difference in the</w:t>
      </w:r>
      <w:r>
        <w:rPr>
          <w:rFonts w:ascii="Times New Roman" w:hAnsi="Times New Roman" w:cs="Times New Roman"/>
          <w:sz w:val="19"/>
          <w:szCs w:val="19"/>
        </w:rPr>
        <w:t xml:space="preserve"> treatment of certain unconsolidated investees. Certain unconsolidated investees that are managed as integral parts of our businesses were reflected as consolidated subsidiaries in management reporting and segment results, with full recognition of the indi</w:t>
      </w:r>
      <w:r>
        <w:rPr>
          <w:rFonts w:ascii="Times New Roman" w:hAnsi="Times New Roman" w:cs="Times New Roman"/>
          <w:sz w:val="19"/>
          <w:szCs w:val="19"/>
        </w:rPr>
        <w:t>vidual income statement line items through before-tax earnings. Eliminations to adjust these line items to U.S. GAAP were included in Corporate. In determining after-tax earnings for the businesses, we eliminated the share of earnings applicable to other o</w:t>
      </w:r>
      <w:r>
        <w:rPr>
          <w:rFonts w:ascii="Times New Roman" w:hAnsi="Times New Roman" w:cs="Times New Roman"/>
          <w:sz w:val="19"/>
          <w:szCs w:val="19"/>
        </w:rPr>
        <w:t xml:space="preserve">wnership interests, in a manner similar to noncontrolling interest, and applied statutory tax rates. During the final quarter of fiscal 2014, we changed our management accounting for unconsolidated investees within our segments, which had no impact to our </w:t>
      </w:r>
      <w:r>
        <w:rPr>
          <w:rFonts w:ascii="Times New Roman" w:hAnsi="Times New Roman" w:cs="Times New Roman"/>
          <w:sz w:val="19"/>
          <w:szCs w:val="19"/>
        </w:rPr>
        <w:t>consolidated financial statements. Pursuant to this change, segment results no longer include full recognition of the individual income statement line items of unconsolidated investees, and resulting eliminations of such amounts are no longer included in c</w:t>
      </w:r>
      <w:r>
        <w:rPr>
          <w:rFonts w:ascii="Times New Roman" w:hAnsi="Times New Roman" w:cs="Times New Roman"/>
          <w:sz w:val="19"/>
          <w:szCs w:val="19"/>
        </w:rPr>
        <w:t>orporate. All periods have been adjusted to reflect this change.</w:t>
      </w:r>
    </w:p>
    <w:p w:rsidR="00000000" w:rsidRDefault="0057438D">
      <w:pPr>
        <w:pStyle w:val="DefaultParagraphFont"/>
        <w:widowControl w:val="0"/>
        <w:autoSpaceDE w:val="0"/>
        <w:autoSpaceDN w:val="0"/>
        <w:adjustRightInd w:val="0"/>
        <w:spacing w:after="0" w:line="8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left="5" w:right="80"/>
        <w:rPr>
          <w:rFonts w:ascii="Times New Roman" w:hAnsi="Times New Roman" w:cs="Times New Roman"/>
          <w:sz w:val="24"/>
          <w:szCs w:val="24"/>
        </w:rPr>
      </w:pPr>
      <w:r>
        <w:rPr>
          <w:rFonts w:ascii="Times New Roman" w:hAnsi="Times New Roman" w:cs="Times New Roman"/>
          <w:sz w:val="19"/>
          <w:szCs w:val="19"/>
        </w:rPr>
        <w:t xml:space="preserve">Corporate includes certain operating and non-operating activities that are not reflected in the operating results used internally to measure and evaluate the businesses, as well as items to </w:t>
      </w:r>
      <w:r>
        <w:rPr>
          <w:rFonts w:ascii="Times New Roman" w:hAnsi="Times New Roman" w:cs="Times New Roman"/>
          <w:sz w:val="19"/>
          <w:szCs w:val="19"/>
        </w:rPr>
        <w:t>adjust management reporting principles to U.S. GAAP. Operating activities in Corporate include the results of incidental businesses managed at the corporate level. Operating elements also include certain employee benefit costs, the costs of certain restruc</w:t>
      </w:r>
      <w:r>
        <w:rPr>
          <w:rFonts w:ascii="Times New Roman" w:hAnsi="Times New Roman" w:cs="Times New Roman"/>
          <w:sz w:val="19"/>
          <w:szCs w:val="19"/>
        </w:rPr>
        <w:t>turing-type activities to maintain a competitive cost structure, including manufacturing and workforce optimization, and other general Corporate items. The non-operating elements in Corporate primarily include interest expense, certain acquisition and dive</w:t>
      </w:r>
      <w:r>
        <w:rPr>
          <w:rFonts w:ascii="Times New Roman" w:hAnsi="Times New Roman" w:cs="Times New Roman"/>
          <w:sz w:val="19"/>
          <w:szCs w:val="19"/>
        </w:rPr>
        <w:t>stiture gains and interest and investing income.</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36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right="80"/>
        <w:rPr>
          <w:rFonts w:ascii="Times New Roman" w:hAnsi="Times New Roman" w:cs="Times New Roman"/>
          <w:sz w:val="24"/>
          <w:szCs w:val="24"/>
        </w:rPr>
      </w:pPr>
      <w:r>
        <w:rPr>
          <w:rFonts w:ascii="Times New Roman" w:hAnsi="Times New Roman" w:cs="Times New Roman"/>
          <w:sz w:val="19"/>
          <w:szCs w:val="19"/>
        </w:rPr>
        <w:t>Total assets for the reportable segments include those assets managed by the reportable segment, primarily inventory, fixed assets and intangible assets. Other assets, primarily including cash, accounts receivable, investment securities and goodwill, are i</w:t>
      </w:r>
      <w:r>
        <w:rPr>
          <w:rFonts w:ascii="Times New Roman" w:hAnsi="Times New Roman" w:cs="Times New Roman"/>
          <w:sz w:val="19"/>
          <w:szCs w:val="19"/>
        </w:rPr>
        <w:t>ncluded in Corporate.</w:t>
      </w:r>
    </w:p>
    <w:p w:rsidR="00000000" w:rsidRDefault="0057438D">
      <w:pPr>
        <w:pStyle w:val="DefaultParagraphFont"/>
        <w:widowControl w:val="0"/>
        <w:autoSpaceDE w:val="0"/>
        <w:autoSpaceDN w:val="0"/>
        <w:adjustRightInd w:val="0"/>
        <w:spacing w:after="0" w:line="7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180"/>
        <w:rPr>
          <w:rFonts w:ascii="Times New Roman" w:hAnsi="Times New Roman" w:cs="Times New Roman"/>
          <w:sz w:val="24"/>
          <w:szCs w:val="24"/>
        </w:rPr>
      </w:pPr>
      <w:r>
        <w:rPr>
          <w:rFonts w:ascii="Times New Roman" w:hAnsi="Times New Roman" w:cs="Times New Roman"/>
          <w:sz w:val="19"/>
          <w:szCs w:val="19"/>
        </w:rPr>
        <w:t>Our business units are comprised of similar product categories. In 2014, 2013 and 2012, nine business units individually accounted for 5% or more of consolidated net sales as follows:</w:t>
      </w:r>
    </w:p>
    <w:p w:rsidR="00000000" w:rsidRDefault="0057438D">
      <w:pPr>
        <w:pStyle w:val="DefaultParagraphFont"/>
        <w:widowControl w:val="0"/>
        <w:autoSpaceDE w:val="0"/>
        <w:autoSpaceDN w:val="0"/>
        <w:adjustRightInd w:val="0"/>
        <w:spacing w:after="0" w:line="193" w:lineRule="exact"/>
        <w:rPr>
          <w:rFonts w:ascii="Times New Roman" w:hAnsi="Times New Roman" w:cs="Times New Roman"/>
          <w:sz w:val="24"/>
          <w:szCs w:val="24"/>
        </w:rPr>
      </w:pPr>
    </w:p>
    <w:tbl>
      <w:tblPr>
        <w:tblW w:w="0" w:type="auto"/>
        <w:tblInd w:w="60" w:type="dxa"/>
        <w:tblLayout w:type="fixed"/>
        <w:tblCellMar>
          <w:left w:w="0" w:type="dxa"/>
          <w:right w:w="0" w:type="dxa"/>
        </w:tblCellMar>
        <w:tblLook w:val="0000" w:firstRow="0" w:lastRow="0" w:firstColumn="0" w:lastColumn="0" w:noHBand="0" w:noVBand="0"/>
      </w:tblPr>
      <w:tblGrid>
        <w:gridCol w:w="1940"/>
        <w:gridCol w:w="660"/>
        <w:gridCol w:w="60"/>
        <w:gridCol w:w="680"/>
        <w:gridCol w:w="80"/>
        <w:gridCol w:w="640"/>
      </w:tblGrid>
      <w:tr w:rsidR="00000000">
        <w:tblPrEx>
          <w:tblCellMar>
            <w:top w:w="0" w:type="dxa"/>
            <w:left w:w="0" w:type="dxa"/>
            <w:bottom w:w="0" w:type="dxa"/>
            <w:right w:w="0" w:type="dxa"/>
          </w:tblCellMar>
        </w:tblPrEx>
        <w:trPr>
          <w:trHeight w:val="218"/>
        </w:trPr>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12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Times New Roman" w:hAnsi="Times New Roman" w:cs="Times New Roman"/>
                <w:b/>
                <w:bCs/>
                <w:sz w:val="19"/>
                <w:szCs w:val="19"/>
              </w:rPr>
              <w:t>% of Sales by Business</w:t>
            </w:r>
          </w:p>
        </w:tc>
      </w:tr>
      <w:tr w:rsidR="00000000">
        <w:tblPrEx>
          <w:tblCellMar>
            <w:top w:w="0" w:type="dxa"/>
            <w:left w:w="0" w:type="dxa"/>
            <w:bottom w:w="0" w:type="dxa"/>
            <w:right w:w="0" w:type="dxa"/>
          </w:tblCellMar>
        </w:tblPrEx>
        <w:trPr>
          <w:trHeight w:val="270"/>
        </w:trPr>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Unit</w:t>
            </w: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42"/>
        </w:trPr>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5"/>
                <w:szCs w:val="15"/>
                <w:u w:val="single"/>
              </w:rPr>
              <w:t>Years ended June 30</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2014</w:t>
            </w:r>
          </w:p>
        </w:tc>
        <w:tc>
          <w:tcPr>
            <w:tcW w:w="7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2013</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2012</w:t>
            </w:r>
          </w:p>
        </w:tc>
      </w:tr>
      <w:tr w:rsidR="00000000">
        <w:tblPrEx>
          <w:tblCellMar>
            <w:top w:w="0" w:type="dxa"/>
            <w:left w:w="0" w:type="dxa"/>
            <w:bottom w:w="0" w:type="dxa"/>
            <w:right w:w="0" w:type="dxa"/>
          </w:tblCellMar>
        </w:tblPrEx>
        <w:trPr>
          <w:trHeight w:val="25"/>
        </w:trPr>
        <w:tc>
          <w:tcPr>
            <w:tcW w:w="19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Fabric Care</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9"/>
                <w:szCs w:val="19"/>
              </w:rPr>
              <w:t>20%</w:t>
            </w:r>
          </w:p>
        </w:tc>
        <w:tc>
          <w:tcPr>
            <w:tcW w:w="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7"/>
                <w:sz w:val="19"/>
                <w:szCs w:val="19"/>
              </w:rPr>
              <w:t>20%</w:t>
            </w:r>
          </w:p>
        </w:tc>
        <w:tc>
          <w:tcPr>
            <w:tcW w:w="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7"/>
                <w:sz w:val="19"/>
                <w:szCs w:val="19"/>
              </w:rPr>
              <w:t>20%</w:t>
            </w:r>
          </w:p>
        </w:tc>
      </w:tr>
      <w:tr w:rsidR="00000000">
        <w:tblPrEx>
          <w:tblCellMar>
            <w:top w:w="0" w:type="dxa"/>
            <w:left w:w="0" w:type="dxa"/>
            <w:bottom w:w="0" w:type="dxa"/>
            <w:right w:w="0" w:type="dxa"/>
          </w:tblCellMar>
        </w:tblPrEx>
        <w:trPr>
          <w:trHeight w:val="255"/>
        </w:trPr>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Baby Care</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9"/>
                <w:szCs w:val="19"/>
              </w:rPr>
              <w:t>13%</w:t>
            </w:r>
          </w:p>
        </w:tc>
        <w:tc>
          <w:tcPr>
            <w:tcW w:w="7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7"/>
                <w:sz w:val="19"/>
                <w:szCs w:val="19"/>
              </w:rPr>
              <w:t>13%</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7"/>
                <w:sz w:val="19"/>
                <w:szCs w:val="19"/>
              </w:rPr>
              <w:t>13%</w:t>
            </w:r>
          </w:p>
        </w:tc>
      </w:tr>
      <w:tr w:rsidR="00000000">
        <w:tblPrEx>
          <w:tblCellMar>
            <w:top w:w="0" w:type="dxa"/>
            <w:left w:w="0" w:type="dxa"/>
            <w:bottom w:w="0" w:type="dxa"/>
            <w:right w:w="0" w:type="dxa"/>
          </w:tblCellMar>
        </w:tblPrEx>
        <w:trPr>
          <w:trHeight w:val="31"/>
        </w:trPr>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Hair Care and Color</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9"/>
                <w:szCs w:val="19"/>
              </w:rPr>
              <w:t>11%</w:t>
            </w:r>
          </w:p>
        </w:tc>
        <w:tc>
          <w:tcPr>
            <w:tcW w:w="7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7"/>
                <w:sz w:val="19"/>
                <w:szCs w:val="19"/>
              </w:rPr>
              <w:t>11%</w:t>
            </w:r>
          </w:p>
        </w:tc>
        <w:tc>
          <w:tcPr>
            <w:tcW w:w="7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7"/>
                <w:sz w:val="19"/>
                <w:szCs w:val="19"/>
              </w:rPr>
              <w:t>12%</w:t>
            </w:r>
          </w:p>
        </w:tc>
      </w:tr>
      <w:tr w:rsidR="00000000">
        <w:tblPrEx>
          <w:tblCellMar>
            <w:top w:w="0" w:type="dxa"/>
            <w:left w:w="0" w:type="dxa"/>
            <w:bottom w:w="0" w:type="dxa"/>
            <w:right w:w="0" w:type="dxa"/>
          </w:tblCellMar>
        </w:tblPrEx>
        <w:trPr>
          <w:trHeight w:val="255"/>
        </w:trPr>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Shave Care</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8"/>
                <w:sz w:val="19"/>
                <w:szCs w:val="19"/>
              </w:rPr>
              <w:t>9%</w:t>
            </w:r>
          </w:p>
        </w:tc>
        <w:tc>
          <w:tcPr>
            <w:tcW w:w="7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9%</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9%</w:t>
            </w:r>
          </w:p>
        </w:tc>
      </w:tr>
      <w:tr w:rsidR="00000000">
        <w:tblPrEx>
          <w:tblCellMar>
            <w:top w:w="0" w:type="dxa"/>
            <w:left w:w="0" w:type="dxa"/>
            <w:bottom w:w="0" w:type="dxa"/>
            <w:right w:w="0" w:type="dxa"/>
          </w:tblCellMar>
        </w:tblPrEx>
        <w:trPr>
          <w:trHeight w:val="31"/>
        </w:trPr>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Beauty Care</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8"/>
                <w:sz w:val="19"/>
                <w:szCs w:val="19"/>
              </w:rPr>
              <w:t>7%</w:t>
            </w:r>
          </w:p>
        </w:tc>
        <w:tc>
          <w:tcPr>
            <w:tcW w:w="7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7%</w:t>
            </w:r>
          </w:p>
        </w:tc>
        <w:tc>
          <w:tcPr>
            <w:tcW w:w="7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7%</w:t>
            </w:r>
          </w:p>
        </w:tc>
      </w:tr>
      <w:tr w:rsidR="00000000">
        <w:tblPrEx>
          <w:tblCellMar>
            <w:top w:w="0" w:type="dxa"/>
            <w:left w:w="0" w:type="dxa"/>
            <w:bottom w:w="0" w:type="dxa"/>
            <w:right w:w="0" w:type="dxa"/>
          </w:tblCellMar>
        </w:tblPrEx>
        <w:trPr>
          <w:trHeight w:val="255"/>
        </w:trPr>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Home Care</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8"/>
                <w:sz w:val="19"/>
                <w:szCs w:val="19"/>
              </w:rPr>
              <w:t>7%</w:t>
            </w:r>
          </w:p>
        </w:tc>
        <w:tc>
          <w:tcPr>
            <w:tcW w:w="7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7%</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7%</w:t>
            </w:r>
          </w:p>
        </w:tc>
      </w:tr>
      <w:tr w:rsidR="00000000">
        <w:tblPrEx>
          <w:tblCellMar>
            <w:top w:w="0" w:type="dxa"/>
            <w:left w:w="0" w:type="dxa"/>
            <w:bottom w:w="0" w:type="dxa"/>
            <w:right w:w="0" w:type="dxa"/>
          </w:tblCellMar>
        </w:tblPrEx>
        <w:trPr>
          <w:trHeight w:val="31"/>
        </w:trPr>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Family Care</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8"/>
                <w:sz w:val="19"/>
                <w:szCs w:val="19"/>
              </w:rPr>
              <w:t>7%</w:t>
            </w:r>
          </w:p>
        </w:tc>
        <w:tc>
          <w:tcPr>
            <w:tcW w:w="7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7%</w:t>
            </w:r>
          </w:p>
        </w:tc>
        <w:tc>
          <w:tcPr>
            <w:tcW w:w="7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6%</w:t>
            </w:r>
          </w:p>
        </w:tc>
      </w:tr>
      <w:tr w:rsidR="00000000">
        <w:tblPrEx>
          <w:tblCellMar>
            <w:top w:w="0" w:type="dxa"/>
            <w:left w:w="0" w:type="dxa"/>
            <w:bottom w:w="0" w:type="dxa"/>
            <w:right w:w="0" w:type="dxa"/>
          </w:tblCellMar>
        </w:tblPrEx>
        <w:trPr>
          <w:trHeight w:val="255"/>
        </w:trPr>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Oral Care</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8"/>
                <w:sz w:val="19"/>
                <w:szCs w:val="19"/>
              </w:rPr>
              <w:t>7%</w:t>
            </w:r>
          </w:p>
        </w:tc>
        <w:tc>
          <w:tcPr>
            <w:tcW w:w="7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6%</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6%</w:t>
            </w:r>
          </w:p>
        </w:tc>
      </w:tr>
      <w:tr w:rsidR="00000000">
        <w:tblPrEx>
          <w:tblCellMar>
            <w:top w:w="0" w:type="dxa"/>
            <w:left w:w="0" w:type="dxa"/>
            <w:bottom w:w="0" w:type="dxa"/>
            <w:right w:w="0" w:type="dxa"/>
          </w:tblCellMar>
        </w:tblPrEx>
        <w:trPr>
          <w:trHeight w:val="31"/>
        </w:trPr>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Feminine Care</w:t>
            </w:r>
          </w:p>
        </w:tc>
        <w:tc>
          <w:tcPr>
            <w:tcW w:w="6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8"/>
                <w:sz w:val="19"/>
                <w:szCs w:val="19"/>
              </w:rPr>
              <w:t>5%</w:t>
            </w:r>
          </w:p>
        </w:tc>
        <w:tc>
          <w:tcPr>
            <w:tcW w:w="7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5%</w:t>
            </w:r>
          </w:p>
        </w:tc>
        <w:tc>
          <w:tcPr>
            <w:tcW w:w="72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5%</w:t>
            </w:r>
          </w:p>
        </w:tc>
      </w:tr>
      <w:tr w:rsidR="00000000">
        <w:tblPrEx>
          <w:tblCellMar>
            <w:top w:w="0" w:type="dxa"/>
            <w:left w:w="0" w:type="dxa"/>
            <w:bottom w:w="0" w:type="dxa"/>
            <w:right w:w="0" w:type="dxa"/>
          </w:tblCellMar>
        </w:tblPrEx>
        <w:trPr>
          <w:trHeight w:val="255"/>
        </w:trPr>
        <w:tc>
          <w:tcPr>
            <w:tcW w:w="1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19"/>
                <w:szCs w:val="19"/>
              </w:rPr>
              <w:t>All Other</w:t>
            </w:r>
          </w:p>
        </w:tc>
        <w:tc>
          <w:tcPr>
            <w:tcW w:w="6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i/>
                <w:iCs/>
                <w:sz w:val="19"/>
                <w:szCs w:val="19"/>
              </w:rPr>
              <w:t>14%</w:t>
            </w:r>
          </w:p>
        </w:tc>
        <w:tc>
          <w:tcPr>
            <w:tcW w:w="7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i/>
                <w:iCs/>
                <w:w w:val="97"/>
                <w:sz w:val="19"/>
                <w:szCs w:val="19"/>
              </w:rPr>
              <w:t>15%</w:t>
            </w:r>
          </w:p>
        </w:tc>
        <w:tc>
          <w:tcPr>
            <w:tcW w:w="7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i/>
                <w:iCs/>
                <w:w w:val="97"/>
                <w:sz w:val="19"/>
                <w:szCs w:val="19"/>
              </w:rPr>
              <w:t>15%</w:t>
            </w:r>
          </w:p>
        </w:tc>
      </w:tr>
      <w:tr w:rsidR="00000000">
        <w:tblPrEx>
          <w:tblCellMar>
            <w:top w:w="0" w:type="dxa"/>
            <w:left w:w="0" w:type="dxa"/>
            <w:bottom w:w="0" w:type="dxa"/>
            <w:right w:w="0" w:type="dxa"/>
          </w:tblCellMar>
        </w:tblPrEx>
        <w:trPr>
          <w:trHeight w:val="21"/>
        </w:trPr>
        <w:tc>
          <w:tcPr>
            <w:tcW w:w="19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3"/>
        </w:trPr>
        <w:tc>
          <w:tcPr>
            <w:tcW w:w="1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19"/>
                <w:szCs w:val="19"/>
              </w:rPr>
              <w:t>Total</w:t>
            </w: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100%</w:t>
            </w: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100%</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100%</w:t>
            </w:r>
          </w:p>
        </w:tc>
      </w:tr>
      <w:tr w:rsidR="00000000">
        <w:tblPrEx>
          <w:tblCellMar>
            <w:top w:w="0" w:type="dxa"/>
            <w:left w:w="0" w:type="dxa"/>
            <w:bottom w:w="0" w:type="dxa"/>
            <w:right w:w="0" w:type="dxa"/>
          </w:tblCellMar>
        </w:tblPrEx>
        <w:trPr>
          <w:trHeight w:val="23"/>
        </w:trPr>
        <w:tc>
          <w:tcPr>
            <w:tcW w:w="1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4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ind w:right="20"/>
        <w:rPr>
          <w:rFonts w:ascii="Times New Roman" w:hAnsi="Times New Roman" w:cs="Times New Roman"/>
          <w:sz w:val="24"/>
          <w:szCs w:val="24"/>
        </w:rPr>
      </w:pPr>
      <w:r>
        <w:rPr>
          <w:rFonts w:ascii="Times New Roman" w:hAnsi="Times New Roman" w:cs="Times New Roman"/>
          <w:sz w:val="19"/>
          <w:szCs w:val="19"/>
        </w:rPr>
        <w:t>The Company had net sales in the U.S. of $29.4 billion, $29.2 billion and $28.4 billion for the years ended June 30, 2014, 2013 and 2012, respectively. Long-lived assets in the U.S. totaled $8.7 billion and $9.1 billion as of June 30, 2014 and 2013, respec</w:t>
      </w:r>
      <w:r>
        <w:rPr>
          <w:rFonts w:ascii="Times New Roman" w:hAnsi="Times New Roman" w:cs="Times New Roman"/>
          <w:sz w:val="19"/>
          <w:szCs w:val="19"/>
        </w:rPr>
        <w:t>tively. Long-lived assets consists of property, plant and equipment. No other country's net sales or long-lived assets exceed 10% of the Company totals.</w:t>
      </w:r>
    </w:p>
    <w:p w:rsidR="00000000" w:rsidRDefault="0057438D">
      <w:pPr>
        <w:pStyle w:val="DefaultParagraphFont"/>
        <w:widowControl w:val="0"/>
        <w:autoSpaceDE w:val="0"/>
        <w:autoSpaceDN w:val="0"/>
        <w:adjustRightInd w:val="0"/>
        <w:spacing w:after="0" w:line="13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rPr>
          <w:rFonts w:ascii="Times New Roman" w:hAnsi="Times New Roman" w:cs="Times New Roman"/>
          <w:sz w:val="24"/>
          <w:szCs w:val="24"/>
        </w:rPr>
      </w:pPr>
      <w:r>
        <w:rPr>
          <w:rFonts w:ascii="Times New Roman" w:hAnsi="Times New Roman" w:cs="Times New Roman"/>
          <w:sz w:val="19"/>
          <w:szCs w:val="19"/>
        </w:rPr>
        <w:t>Our largest customer, Wal-Mart Stores, Inc. and its affiliates, accounted for approximately 14% of consolidated net sales in 2014, 2013 and 2012.</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20" w:bottom="346" w:left="855" w:header="720" w:footer="720" w:gutter="0"/>
          <w:cols w:num="2" w:space="440" w:equalWidth="0">
            <w:col w:w="4665" w:space="440"/>
            <w:col w:w="4640"/>
          </w:cols>
          <w:noEndnote/>
        </w:sectPr>
      </w:pPr>
    </w:p>
    <w:p w:rsidR="00000000" w:rsidRDefault="0057438D">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w:t>
      </w:r>
      <w:r>
        <w:rPr>
          <w:rFonts w:ascii="Times New Roman" w:hAnsi="Times New Roman" w:cs="Times New Roman"/>
          <w:sz w:val="15"/>
          <w:szCs w:val="15"/>
        </w:rPr>
        <w:t>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5620" w:bottom="346" w:left="860" w:header="720" w:footer="720" w:gutter="0"/>
          <w:cols w:space="440" w:equalWidth="0">
            <w:col w:w="5040" w:space="440"/>
          </w:cols>
          <w:noEndnote/>
        </w:sectPr>
      </w:pPr>
    </w:p>
    <w:tbl>
      <w:tblPr>
        <w:tblW w:w="0" w:type="auto"/>
        <w:tblInd w:w="5" w:type="dxa"/>
        <w:tblLayout w:type="fixed"/>
        <w:tblCellMar>
          <w:left w:w="0" w:type="dxa"/>
          <w:right w:w="0" w:type="dxa"/>
        </w:tblCellMar>
        <w:tblLook w:val="0000" w:firstRow="0" w:lastRow="0" w:firstColumn="0" w:lastColumn="0" w:noHBand="0" w:noVBand="0"/>
      </w:tblPr>
      <w:tblGrid>
        <w:gridCol w:w="3160"/>
        <w:gridCol w:w="20"/>
        <w:gridCol w:w="640"/>
        <w:gridCol w:w="780"/>
        <w:gridCol w:w="20"/>
        <w:gridCol w:w="1040"/>
        <w:gridCol w:w="280"/>
        <w:gridCol w:w="780"/>
        <w:gridCol w:w="280"/>
        <w:gridCol w:w="780"/>
        <w:gridCol w:w="880"/>
        <w:gridCol w:w="260"/>
        <w:gridCol w:w="820"/>
        <w:gridCol w:w="20"/>
        <w:gridCol w:w="20"/>
      </w:tblGrid>
      <w:tr w:rsidR="00000000">
        <w:tblPrEx>
          <w:tblCellMar>
            <w:top w:w="0" w:type="dxa"/>
            <w:left w:w="0" w:type="dxa"/>
            <w:bottom w:w="0" w:type="dxa"/>
            <w:right w:w="0" w:type="dxa"/>
          </w:tblCellMar>
        </w:tblPrEx>
        <w:trPr>
          <w:trHeight w:val="250"/>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76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380"/>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75</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53"/>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15"/>
                <w:szCs w:val="15"/>
              </w:rPr>
              <w:t>Earnings /</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w w:val="96"/>
                <w:sz w:val="15"/>
                <w:szCs w:val="15"/>
              </w:rPr>
              <w:t>(Loss)</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from</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Continuing</w:t>
            </w:r>
          </w:p>
        </w:tc>
        <w:tc>
          <w:tcPr>
            <w:tcW w:w="106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Net Earnings</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Operations</w:t>
            </w:r>
          </w:p>
        </w:tc>
        <w:tc>
          <w:tcPr>
            <w:tcW w:w="106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6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Depreciation</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w w:val="98"/>
                <w:sz w:val="15"/>
                <w:szCs w:val="15"/>
              </w:rPr>
              <w:t>Before</w:t>
            </w: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 (Loss) from</w:t>
            </w:r>
          </w:p>
        </w:tc>
        <w:tc>
          <w:tcPr>
            <w:tcW w:w="106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6"/>
              <w:jc w:val="right"/>
              <w:rPr>
                <w:rFonts w:ascii="Times New Roman" w:hAnsi="Times New Roman" w:cs="Times New Roman"/>
                <w:sz w:val="24"/>
                <w:szCs w:val="24"/>
              </w:rPr>
            </w:pPr>
            <w:r>
              <w:rPr>
                <w:rFonts w:ascii="Times New Roman" w:hAnsi="Times New Roman" w:cs="Times New Roman"/>
                <w:b/>
                <w:bCs/>
                <w:sz w:val="15"/>
                <w:szCs w:val="15"/>
              </w:rPr>
              <w:t>Total</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4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rPr>
              <w:t>Capital</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31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Global Segment Results</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5"/>
                <w:szCs w:val="15"/>
              </w:rPr>
              <w:t>Net Sales</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Income</w:t>
            </w: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w w:val="99"/>
                <w:sz w:val="15"/>
                <w:szCs w:val="15"/>
              </w:rPr>
              <w:t>Continuing</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206"/>
              <w:jc w:val="center"/>
              <w:rPr>
                <w:rFonts w:ascii="Times New Roman" w:hAnsi="Times New Roman" w:cs="Times New Roman"/>
                <w:sz w:val="24"/>
                <w:szCs w:val="24"/>
              </w:rPr>
            </w:pPr>
            <w:r>
              <w:rPr>
                <w:rFonts w:ascii="Times New Roman" w:hAnsi="Times New Roman" w:cs="Times New Roman"/>
                <w:b/>
                <w:bCs/>
                <w:w w:val="99"/>
                <w:sz w:val="15"/>
                <w:szCs w:val="15"/>
              </w:rPr>
              <w:t>and</w:t>
            </w:r>
          </w:p>
        </w:tc>
        <w:tc>
          <w:tcPr>
            <w:tcW w:w="8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4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2"/>
        </w:trPr>
        <w:tc>
          <w:tcPr>
            <w:tcW w:w="31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Taxes</w:t>
            </w: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Operations</w:t>
            </w: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Amortization</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6"/>
              <w:jc w:val="right"/>
              <w:rPr>
                <w:rFonts w:ascii="Times New Roman" w:hAnsi="Times New Roman" w:cs="Times New Roman"/>
                <w:sz w:val="24"/>
                <w:szCs w:val="24"/>
              </w:rPr>
            </w:pPr>
            <w:r>
              <w:rPr>
                <w:rFonts w:ascii="Times New Roman" w:hAnsi="Times New Roman" w:cs="Times New Roman"/>
                <w:b/>
                <w:bCs/>
                <w:sz w:val="15"/>
                <w:szCs w:val="15"/>
              </w:rPr>
              <w:t>Assets</w:t>
            </w:r>
          </w:p>
        </w:tc>
        <w:tc>
          <w:tcPr>
            <w:tcW w:w="110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15"/>
                <w:szCs w:val="15"/>
              </w:rPr>
              <w:t>Expenditures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316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BEAUTY</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single" w:sz="8" w:space="0" w:color="E6E6E6"/>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9"/>
                <w:szCs w:val="19"/>
              </w:rPr>
              <w:t>2014</w:t>
            </w:r>
          </w:p>
        </w:tc>
        <w:tc>
          <w:tcPr>
            <w:tcW w:w="78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$ 19,507</w:t>
            </w:r>
          </w:p>
        </w:tc>
        <w:tc>
          <w:tcPr>
            <w:tcW w:w="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4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b/>
                <w:bCs/>
                <w:sz w:val="19"/>
                <w:szCs w:val="19"/>
              </w:rPr>
              <w:t>$   3,530</w:t>
            </w:r>
          </w:p>
        </w:tc>
        <w:tc>
          <w:tcPr>
            <w:tcW w:w="28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New Roman" w:hAnsi="Times New Roman" w:cs="Times New Roman"/>
                <w:b/>
                <w:bCs/>
                <w:sz w:val="19"/>
                <w:szCs w:val="19"/>
              </w:rPr>
              <w:t>$</w:t>
            </w:r>
          </w:p>
        </w:tc>
        <w:tc>
          <w:tcPr>
            <w:tcW w:w="78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b/>
                <w:bCs/>
                <w:sz w:val="19"/>
                <w:szCs w:val="19"/>
              </w:rPr>
              <w:t>2,739</w:t>
            </w:r>
          </w:p>
        </w:tc>
        <w:tc>
          <w:tcPr>
            <w:tcW w:w="28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37"/>
              <w:jc w:val="right"/>
              <w:rPr>
                <w:rFonts w:ascii="Times New Roman" w:hAnsi="Times New Roman" w:cs="Times New Roman"/>
                <w:sz w:val="24"/>
                <w:szCs w:val="24"/>
              </w:rPr>
            </w:pPr>
            <w:r>
              <w:rPr>
                <w:rFonts w:ascii="Times New Roman" w:hAnsi="Times New Roman" w:cs="Times New Roman"/>
                <w:b/>
                <w:bCs/>
                <w:sz w:val="19"/>
                <w:szCs w:val="19"/>
              </w:rPr>
              <w:t>$</w:t>
            </w:r>
          </w:p>
        </w:tc>
        <w:tc>
          <w:tcPr>
            <w:tcW w:w="78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394</w:t>
            </w:r>
          </w:p>
        </w:tc>
        <w:tc>
          <w:tcPr>
            <w:tcW w:w="88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  8,576</w:t>
            </w:r>
          </w:p>
        </w:tc>
        <w:tc>
          <w:tcPr>
            <w:tcW w:w="26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19"/>
                <w:szCs w:val="19"/>
              </w:rPr>
              <w:t>$</w:t>
            </w:r>
          </w:p>
        </w:tc>
        <w:tc>
          <w:tcPr>
            <w:tcW w:w="820" w:type="dxa"/>
            <w:tcBorders>
              <w:top w:val="single" w:sz="8" w:space="0" w:color="auto"/>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502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2013</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19,956</w:t>
            </w: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sz w:val="19"/>
                <w:szCs w:val="19"/>
              </w:rPr>
              <w:t>3,215</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2,474</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375</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8,396</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541</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2012</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20,318</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sz w:val="19"/>
                <w:szCs w:val="19"/>
              </w:rPr>
              <w:t>3,196</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2,390</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379</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8,357</w:t>
            </w:r>
          </w:p>
        </w:tc>
        <w:tc>
          <w:tcPr>
            <w:tcW w:w="2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569</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1"/>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GROOMING</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9"/>
                <w:szCs w:val="19"/>
              </w:rPr>
              <w:t>2014</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8,009</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b/>
                <w:bCs/>
                <w:sz w:val="19"/>
                <w:szCs w:val="19"/>
              </w:rPr>
              <w:t>2,589</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b/>
                <w:bCs/>
                <w:sz w:val="19"/>
                <w:szCs w:val="19"/>
              </w:rPr>
              <w:t>1,954</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576</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23,767</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369</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3"/>
        </w:trPr>
        <w:tc>
          <w:tcPr>
            <w:tcW w:w="3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2013</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8,038</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sz w:val="19"/>
                <w:szCs w:val="19"/>
              </w:rPr>
              <w:t>2,458</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1,837</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603</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23,971</w:t>
            </w:r>
          </w:p>
        </w:tc>
        <w:tc>
          <w:tcPr>
            <w:tcW w:w="2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378</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2012</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8,339</w:t>
            </w: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sz w:val="19"/>
                <w:szCs w:val="19"/>
              </w:rPr>
              <w:t>2,395</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1,807</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623</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24,518</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392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7"/>
        </w:trPr>
        <w:tc>
          <w:tcPr>
            <w:tcW w:w="3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HEALTH CARE</w:t>
            </w:r>
          </w:p>
        </w:tc>
        <w:tc>
          <w:tcPr>
            <w:tcW w:w="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9"/>
                <w:szCs w:val="19"/>
              </w:rPr>
              <w:t>2014</w:t>
            </w: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7,798</w:t>
            </w:r>
          </w:p>
        </w:tc>
        <w:tc>
          <w:tcPr>
            <w:tcW w:w="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b/>
                <w:bCs/>
                <w:sz w:val="19"/>
                <w:szCs w:val="19"/>
              </w:rPr>
              <w:t>1,597</w:t>
            </w: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b/>
                <w:bCs/>
                <w:sz w:val="19"/>
                <w:szCs w:val="19"/>
              </w:rPr>
              <w:t>1,083</w:t>
            </w: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199</w:t>
            </w:r>
          </w:p>
        </w:tc>
        <w:tc>
          <w:tcPr>
            <w:tcW w:w="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5,879</w:t>
            </w:r>
          </w:p>
        </w:tc>
        <w:tc>
          <w:tcPr>
            <w:tcW w:w="2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253</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2013</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7,684</w:t>
            </w: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sz w:val="19"/>
                <w:szCs w:val="19"/>
              </w:rPr>
              <w:t>1,582</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1,093</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191</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5,933</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248</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2012</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7,235</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sz w:val="19"/>
                <w:szCs w:val="19"/>
              </w:rPr>
              <w:t>1,520</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1,022</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186</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5,832</w:t>
            </w:r>
          </w:p>
        </w:tc>
        <w:tc>
          <w:tcPr>
            <w:tcW w:w="2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251</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1"/>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FABRIC CARE AND HOME CARE</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9"/>
                <w:szCs w:val="19"/>
              </w:rPr>
              <w:t>2014</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26,060</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b/>
                <w:bCs/>
                <w:sz w:val="19"/>
                <w:szCs w:val="19"/>
              </w:rPr>
              <w:t>4,678</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b/>
                <w:bCs/>
                <w:sz w:val="19"/>
                <w:szCs w:val="19"/>
              </w:rPr>
              <w:t>3,039</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625</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11,384</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1,154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3"/>
        </w:trPr>
        <w:tc>
          <w:tcPr>
            <w:tcW w:w="3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2013</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25,862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sz w:val="19"/>
                <w:szCs w:val="19"/>
              </w:rPr>
              <w:t>4,757</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3,089</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639</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11,231</w:t>
            </w:r>
          </w:p>
        </w:tc>
        <w:tc>
          <w:tcPr>
            <w:tcW w:w="2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1,064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2012</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25,580</w:t>
            </w: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sz w:val="19"/>
                <w:szCs w:val="19"/>
              </w:rPr>
              <w:t>4,485</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2,816</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627</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10,647</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965</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3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97" w:lineRule="exact"/>
              <w:ind w:left="60"/>
              <w:rPr>
                <w:rFonts w:ascii="Times New Roman" w:hAnsi="Times New Roman" w:cs="Times New Roman"/>
                <w:sz w:val="24"/>
                <w:szCs w:val="24"/>
              </w:rPr>
            </w:pPr>
            <w:r>
              <w:rPr>
                <w:rFonts w:ascii="Times New Roman" w:hAnsi="Times New Roman" w:cs="Times New Roman"/>
                <w:b/>
                <w:bCs/>
                <w:sz w:val="19"/>
                <w:szCs w:val="19"/>
              </w:rPr>
              <w:t>BABY, FEMININE AND FAMILY</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9"/>
                <w:szCs w:val="19"/>
              </w:rPr>
              <w:t>2014</w:t>
            </w:r>
          </w:p>
        </w:tc>
        <w:tc>
          <w:tcPr>
            <w:tcW w:w="7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20,950</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4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b/>
                <w:bCs/>
                <w:sz w:val="19"/>
                <w:szCs w:val="19"/>
              </w:rPr>
              <w:t>4,310</w:t>
            </w: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b/>
                <w:bCs/>
                <w:sz w:val="19"/>
                <w:szCs w:val="19"/>
              </w:rPr>
              <w:t>2,940</w:t>
            </w: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908</w:t>
            </w:r>
          </w:p>
        </w:tc>
        <w:tc>
          <w:tcPr>
            <w:tcW w:w="8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10,946</w:t>
            </w:r>
          </w:p>
        </w:tc>
        <w:tc>
          <w:tcPr>
            <w:tcW w:w="2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2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1,317</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3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CARE</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4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2013</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20,479</w:t>
            </w: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sz w:val="19"/>
                <w:szCs w:val="19"/>
              </w:rPr>
              <w:t>4,507</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3,047</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837</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10,926</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1,560</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2012</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19,714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sz w:val="19"/>
                <w:szCs w:val="19"/>
              </w:rPr>
              <w:t>4,271</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2,927</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753</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9,203</w:t>
            </w:r>
          </w:p>
        </w:tc>
        <w:tc>
          <w:tcPr>
            <w:tcW w:w="2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1,495</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7"/>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CORPORATE</w:t>
            </w:r>
            <w:r>
              <w:rPr>
                <w:rFonts w:ascii="Times New Roman" w:hAnsi="Times New Roman" w:cs="Times New Roman"/>
                <w:b/>
                <w:bCs/>
                <w:sz w:val="19"/>
                <w:szCs w:val="19"/>
                <w:vertAlign w:val="superscript"/>
              </w:rPr>
              <w:t>(1)</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9"/>
                <w:szCs w:val="19"/>
              </w:rPr>
              <w:t>2014</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738</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(1,819)</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(48)</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439</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83,714</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253</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2013</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562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(1,827)</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(239)</w:t>
            </w: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337</w:t>
            </w:r>
          </w:p>
        </w:tc>
        <w:tc>
          <w:tcPr>
            <w:tcW w:w="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78,806</w:t>
            </w:r>
          </w:p>
        </w:tc>
        <w:tc>
          <w:tcPr>
            <w:tcW w:w="2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217</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2012</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820</w:t>
            </w: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(3,339)</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(1,812)</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636</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73,687</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292</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7"/>
        </w:trPr>
        <w:tc>
          <w:tcPr>
            <w:tcW w:w="3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 COMPANY</w:t>
            </w:r>
          </w:p>
        </w:tc>
        <w:tc>
          <w:tcPr>
            <w:tcW w:w="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9"/>
                <w:szCs w:val="19"/>
              </w:rPr>
              <w:t>2014</w:t>
            </w: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83,062</w:t>
            </w:r>
          </w:p>
        </w:tc>
        <w:tc>
          <w:tcPr>
            <w:tcW w:w="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b/>
                <w:bCs/>
                <w:sz w:val="19"/>
                <w:szCs w:val="19"/>
              </w:rPr>
              <w:t>14,885</w:t>
            </w: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b/>
                <w:bCs/>
                <w:sz w:val="19"/>
                <w:szCs w:val="19"/>
              </w:rPr>
              <w:t>11,707</w:t>
            </w: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b/>
                <w:bCs/>
                <w:sz w:val="19"/>
                <w:szCs w:val="19"/>
              </w:rPr>
              <w:t>3,141</w:t>
            </w:r>
          </w:p>
        </w:tc>
        <w:tc>
          <w:tcPr>
            <w:tcW w:w="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144,266</w:t>
            </w:r>
          </w:p>
        </w:tc>
        <w:tc>
          <w:tcPr>
            <w:tcW w:w="2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3,848</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2013</w:t>
            </w: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82,581</w:t>
            </w: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sz w:val="19"/>
                <w:szCs w:val="19"/>
              </w:rPr>
              <w:t>14,692</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11,301</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2,982</w:t>
            </w: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139,263</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4,008</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3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2012</w:t>
            </w: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82,006</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0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2"/>
              <w:jc w:val="right"/>
              <w:rPr>
                <w:rFonts w:ascii="Times New Roman" w:hAnsi="Times New Roman" w:cs="Times New Roman"/>
                <w:sz w:val="24"/>
                <w:szCs w:val="24"/>
              </w:rPr>
            </w:pPr>
            <w:r>
              <w:rPr>
                <w:rFonts w:ascii="Times New Roman" w:hAnsi="Times New Roman" w:cs="Times New Roman"/>
                <w:sz w:val="19"/>
                <w:szCs w:val="19"/>
              </w:rPr>
              <w:t>12,528</w:t>
            </w: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9,150</w:t>
            </w: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9"/>
                <w:szCs w:val="19"/>
              </w:rPr>
              <w:t>3,204</w:t>
            </w:r>
          </w:p>
        </w:tc>
        <w:tc>
          <w:tcPr>
            <w:tcW w:w="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132,244</w:t>
            </w:r>
          </w:p>
        </w:tc>
        <w:tc>
          <w:tcPr>
            <w:tcW w:w="2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3,964</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3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57" w:lineRule="exact"/>
        <w:rPr>
          <w:rFonts w:ascii="Times New Roman" w:hAnsi="Times New Roman" w:cs="Times New Roman"/>
          <w:sz w:val="24"/>
          <w:szCs w:val="24"/>
        </w:rPr>
      </w:pPr>
    </w:p>
    <w:p w:rsidR="00000000" w:rsidRDefault="0057438D">
      <w:pPr>
        <w:pStyle w:val="DefaultParagraphFont"/>
        <w:widowControl w:val="0"/>
        <w:numPr>
          <w:ilvl w:val="0"/>
          <w:numId w:val="24"/>
        </w:numPr>
        <w:tabs>
          <w:tab w:val="clear" w:pos="720"/>
          <w:tab w:val="num" w:pos="345"/>
        </w:tabs>
        <w:overflowPunct w:val="0"/>
        <w:autoSpaceDE w:val="0"/>
        <w:autoSpaceDN w:val="0"/>
        <w:adjustRightInd w:val="0"/>
        <w:spacing w:after="0" w:line="199" w:lineRule="auto"/>
        <w:ind w:left="345" w:right="560" w:hanging="345"/>
        <w:jc w:val="both"/>
        <w:rPr>
          <w:rFonts w:ascii="Times New Roman" w:hAnsi="Times New Roman" w:cs="Times New Roman"/>
          <w:sz w:val="25"/>
          <w:szCs w:val="25"/>
          <w:vertAlign w:val="superscript"/>
        </w:rPr>
      </w:pPr>
      <w:r>
        <w:rPr>
          <w:rFonts w:ascii="Times New Roman" w:hAnsi="Times New Roman" w:cs="Times New Roman"/>
          <w:sz w:val="15"/>
          <w:szCs w:val="15"/>
        </w:rPr>
        <w:t>The Corporate reportable segment includes depreciation and amortization, total assets and capital expenditures of the Snacks business prior to its divestiture effective May 31, 2012 and of the Pet Care business.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346" w:left="855" w:header="720" w:footer="720" w:gutter="0"/>
          <w:cols w:space="720" w:equalWidth="0">
            <w:col w:w="9765"/>
          </w:cols>
          <w:noEndnote/>
        </w:sectPr>
      </w:pPr>
      <w:r>
        <w:rPr>
          <w:noProof/>
        </w:rPr>
        <mc:AlternateContent>
          <mc:Choice Requires="wps">
            <w:drawing>
              <wp:anchor distT="0" distB="0" distL="114300" distR="114300" simplePos="0" relativeHeight="251748352" behindDoc="1" locked="0" layoutInCell="0" allowOverlap="1">
                <wp:simplePos x="0" y="0"/>
                <wp:positionH relativeFrom="column">
                  <wp:posOffset>0</wp:posOffset>
                </wp:positionH>
                <wp:positionV relativeFrom="paragraph">
                  <wp:posOffset>92710</wp:posOffset>
                </wp:positionV>
                <wp:extent cx="6206490" cy="0"/>
                <wp:effectExtent l="0" t="0" r="0" b="0"/>
                <wp:wrapNone/>
                <wp:docPr id="35"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6490" cy="0"/>
                        </a:xfrm>
                        <a:prstGeom prst="line">
                          <a:avLst/>
                        </a:prstGeom>
                        <a:noFill/>
                        <a:ln w="242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0"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488.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vFCHwIAAEQEAAAOAAAAZHJzL2Uyb0RvYy54bWysU82O2jAQvlfqO1i+Q342SyEirCoCvWxb&#10;pN0+gLEdYtWxLdsQUNV379ghiG0vVdUcnLFn5ptv/pZP506iE7dOaFXhbJpixBXVTKhDhb+9bidz&#10;jJwnihGpFa/whTv8tHr/btmbkue61ZJxiwBEubI3FW69N2WSONryjripNlyBstG2Ix6u9pAwS3pA&#10;72SSp+ks6bVlxmrKnYPXelDiVcRvGk7916Zx3CNZYeDm42njuQ9nslqS8mCJaQW90iD/wKIjQkHQ&#10;G1RNPEFHK/6A6gS12unGT6nuEt00gvKYA2STpb9l89ISw2MuUBxnbmVy/w+WfjntLBKswg+PGCnS&#10;QY+eheJoEWvTG1eCyVrtbMiOntWLedb0u0NKr1uiDjxyfL0Y8MtCNZM3LuHiDETY9581Axty9DoW&#10;6tzYLkBCCdA59uNy6wc/e0ThcZanswKIIDrqElKOjsY6/4nrDgWhwhJIR2ByenY+ECHlaBLiKL0V&#10;UsZ2S4X6CudFXhTRw2kpWNAGO2cP+7W06ETCxMQvpgWae7MAXRPXDnZRNcyS1UfFYpiWE7a5yp4I&#10;OchAS6oQCJIEoldpmJUfi3SxmW/mxaTIZ5tJkdb15ON2XUxm2+zDY/1Qr9d19jNwzoqyFYxxFWiP&#10;c5sVfzcX1w0aJu42ubcCJW/RYyWB7PiPpGOXQ2PDorlyr9llZ8fuw6hG4+tahV24v4N8v/yrXwAA&#10;AP//AwBQSwMEFAAGAAgAAAAhAEko1WXbAAAABgEAAA8AAABkcnMvZG93bnJldi54bWxMj0tvwjAQ&#10;hO+V+h+srdRbcXgISoiDEFKl9hgeKkcTL0mEvY5iA+Hfd6seynFmVjPfZsveWXHFLjSeFAwHCQik&#10;0puGKgW77cfbO4gQNRltPaGCOwZY5s9PmU6Nv1GB102sBJdQSLWCOsY2lTKUNTodBr5F4uzkO6cj&#10;y66SptM3LndWjpJkKp1uiBdq3eK6xvK8uTgFNPRhdBgfvu7FeF4Vn4ndfp/2Sr2+9KsFiIh9/D+G&#10;X3xGh5yZjv5CJgirgB+J7E6mIDidz2YTEMc/Q+aZfMTPfwAAAP//AwBQSwECLQAUAAYACAAAACEA&#10;toM4kv4AAADhAQAAEwAAAAAAAAAAAAAAAAAAAAAAW0NvbnRlbnRfVHlwZXNdLnhtbFBLAQItABQA&#10;BgAIAAAAIQA4/SH/1gAAAJQBAAALAAAAAAAAAAAAAAAAAC8BAABfcmVscy8ucmVsc1BLAQItABQA&#10;BgAIAAAAIQC9GvFCHwIAAEQEAAAOAAAAAAAAAAAAAAAAAC4CAABkcnMvZTJvRG9jLnhtbFBLAQIt&#10;ABQABgAIAAAAIQBJKNVl2wAAAAYBAAAPAAAAAAAAAAAAAAAAAHkEAABkcnMvZG93bnJldi54bWxQ&#10;SwUGAAAAAAQABADzAAAAgQUAAAAA&#10;" o:allowincell="f" strokeweight=".67344mm"/>
            </w:pict>
          </mc:Fallback>
        </mc:AlternateConten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0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NOTE 13</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DISCONTINUED OPERATIONS</w:t>
      </w:r>
    </w:p>
    <w:p w:rsidR="00000000" w:rsidRDefault="0057438D">
      <w:pPr>
        <w:pStyle w:val="DefaultParagraphFont"/>
        <w:widowControl w:val="0"/>
        <w:autoSpaceDE w:val="0"/>
        <w:autoSpaceDN w:val="0"/>
        <w:adjustRightInd w:val="0"/>
        <w:spacing w:after="0" w:line="18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On July 31, 2014, the Company completed the divestiture of its Pet Care operatio</w:t>
      </w:r>
      <w:r>
        <w:rPr>
          <w:rFonts w:ascii="Times New Roman" w:hAnsi="Times New Roman" w:cs="Times New Roman"/>
          <w:sz w:val="19"/>
          <w:szCs w:val="19"/>
        </w:rPr>
        <w:t>ns in North America, Latin America, and other selected countries to Mars, Incorporated (Mars) for $2.9 billion in an all-cash transaction. Under the terms of the agreement, Mars acquired our branded pet care products, our manufacturing facilities in the Un</w:t>
      </w:r>
      <w:r>
        <w:rPr>
          <w:rFonts w:ascii="Times New Roman" w:hAnsi="Times New Roman" w:cs="Times New Roman"/>
          <w:sz w:val="19"/>
          <w:szCs w:val="19"/>
        </w:rPr>
        <w:t>ited States and the majority of the employees working in the Pet Care business. The agreement includes an option for Mars to acquire the Pet Care business in several additional countries. The one-time earnings impact from the divestiture is not expected to</w:t>
      </w:r>
      <w:r>
        <w:rPr>
          <w:rFonts w:ascii="Times New Roman" w:hAnsi="Times New Roman" w:cs="Times New Roman"/>
          <w:sz w:val="19"/>
          <w:szCs w:val="19"/>
        </w:rPr>
        <w:t xml:space="preserve"> be material and will be reflected in fiscal 2015 results. The European Union countries are not included in the agreement with Mars. The Company is pursuing alternate plans to sell its Pet Care business in these markets.</w:t>
      </w:r>
    </w:p>
    <w:p w:rsidR="00000000" w:rsidRDefault="0057438D">
      <w:pPr>
        <w:pStyle w:val="DefaultParagraphFont"/>
        <w:widowControl w:val="0"/>
        <w:autoSpaceDE w:val="0"/>
        <w:autoSpaceDN w:val="0"/>
        <w:adjustRightInd w:val="0"/>
        <w:spacing w:after="0" w:line="14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120"/>
        <w:rPr>
          <w:rFonts w:ascii="Times New Roman" w:hAnsi="Times New Roman" w:cs="Times New Roman"/>
          <w:sz w:val="24"/>
          <w:szCs w:val="24"/>
        </w:rPr>
      </w:pPr>
      <w:r>
        <w:rPr>
          <w:rFonts w:ascii="Times New Roman" w:hAnsi="Times New Roman" w:cs="Times New Roman"/>
          <w:sz w:val="19"/>
          <w:szCs w:val="19"/>
        </w:rPr>
        <w:t>The Pet Care business had historic</w:t>
      </w:r>
      <w:r>
        <w:rPr>
          <w:rFonts w:ascii="Times New Roman" w:hAnsi="Times New Roman" w:cs="Times New Roman"/>
          <w:sz w:val="19"/>
          <w:szCs w:val="19"/>
        </w:rPr>
        <w:t>ally been part of the Company’s Health Care reportable segment. In accordance with applicable accounting guidance for the disposal of</w:t>
      </w:r>
    </w:p>
    <w:p w:rsidR="00000000" w:rsidRDefault="0057438D">
      <w:pPr>
        <w:pStyle w:val="DefaultParagraphFont"/>
        <w:widowControl w:val="0"/>
        <w:autoSpaceDE w:val="0"/>
        <w:autoSpaceDN w:val="0"/>
        <w:adjustRightInd w:val="0"/>
        <w:spacing w:after="0" w:line="337"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overflowPunct w:val="0"/>
        <w:autoSpaceDE w:val="0"/>
        <w:autoSpaceDN w:val="0"/>
        <w:adjustRightInd w:val="0"/>
        <w:spacing w:after="0" w:line="257" w:lineRule="auto"/>
        <w:ind w:right="20"/>
        <w:rPr>
          <w:rFonts w:ascii="Times New Roman" w:hAnsi="Times New Roman" w:cs="Times New Roman"/>
          <w:sz w:val="24"/>
          <w:szCs w:val="24"/>
        </w:rPr>
      </w:pPr>
      <w:r>
        <w:rPr>
          <w:rFonts w:ascii="Times New Roman" w:hAnsi="Times New Roman" w:cs="Times New Roman"/>
          <w:sz w:val="19"/>
          <w:szCs w:val="19"/>
        </w:rPr>
        <w:t>long-lived assets, the results of the Pet Care business are presented as discontinued operations and, as such, have been</w:t>
      </w:r>
      <w:r>
        <w:rPr>
          <w:rFonts w:ascii="Times New Roman" w:hAnsi="Times New Roman" w:cs="Times New Roman"/>
          <w:sz w:val="19"/>
          <w:szCs w:val="19"/>
        </w:rPr>
        <w:t xml:space="preserve"> excluded from both continuing operations and segment results for all periods presented. Additionally, the Pet Care balance sheet positions as of June 30, 2014 are presented as assets and liabilities held for sale in the Consolidated Balance Sheets.</w:t>
      </w:r>
    </w:p>
    <w:p w:rsidR="00000000" w:rsidRDefault="0057438D">
      <w:pPr>
        <w:pStyle w:val="DefaultParagraphFont"/>
        <w:widowControl w:val="0"/>
        <w:autoSpaceDE w:val="0"/>
        <w:autoSpaceDN w:val="0"/>
        <w:adjustRightInd w:val="0"/>
        <w:spacing w:after="0" w:line="13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rPr>
          <w:rFonts w:ascii="Times New Roman" w:hAnsi="Times New Roman" w:cs="Times New Roman"/>
          <w:sz w:val="24"/>
          <w:szCs w:val="24"/>
        </w:rPr>
      </w:pPr>
      <w:r>
        <w:rPr>
          <w:rFonts w:ascii="Times New Roman" w:hAnsi="Times New Roman" w:cs="Times New Roman"/>
          <w:sz w:val="19"/>
          <w:szCs w:val="19"/>
        </w:rPr>
        <w:t>In fiscal 2012, the Company completed the divestiture of our global Snacks business to The Kellogg Company (Kellogg) for $2.7 billion of cash. Under the terms of the agreement, Kellogg acquired our branded snacks products, our manufacturing facilities in B</w:t>
      </w:r>
      <w:r>
        <w:rPr>
          <w:rFonts w:ascii="Times New Roman" w:hAnsi="Times New Roman" w:cs="Times New Roman"/>
          <w:sz w:val="19"/>
          <w:szCs w:val="19"/>
        </w:rPr>
        <w:t>elgium and the United States and the majority of the employees working on the snacks business. The Company recorded an after-tax gain on the transaction of $1.4 billion, which is included in net earnings from discontinued operations in the Consolidated Sta</w:t>
      </w:r>
      <w:r>
        <w:rPr>
          <w:rFonts w:ascii="Times New Roman" w:hAnsi="Times New Roman" w:cs="Times New Roman"/>
          <w:sz w:val="19"/>
          <w:szCs w:val="19"/>
        </w:rPr>
        <w:t>tement of Earnings for the year ended June 30, 2012.</w:t>
      </w:r>
    </w:p>
    <w:p w:rsidR="00000000" w:rsidRDefault="0057438D">
      <w:pPr>
        <w:pStyle w:val="DefaultParagraphFont"/>
        <w:widowControl w:val="0"/>
        <w:autoSpaceDE w:val="0"/>
        <w:autoSpaceDN w:val="0"/>
        <w:adjustRightInd w:val="0"/>
        <w:spacing w:after="0" w:line="14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3" w:lineRule="auto"/>
        <w:ind w:right="80"/>
        <w:rPr>
          <w:rFonts w:ascii="Times New Roman" w:hAnsi="Times New Roman" w:cs="Times New Roman"/>
          <w:sz w:val="24"/>
          <w:szCs w:val="24"/>
        </w:rPr>
      </w:pPr>
      <w:r>
        <w:rPr>
          <w:rFonts w:ascii="Times New Roman" w:hAnsi="Times New Roman" w:cs="Times New Roman"/>
          <w:sz w:val="19"/>
          <w:szCs w:val="19"/>
        </w:rPr>
        <w:t>The Snacks business had historically been part of the Company's former Snacks and Pet Care reportable segment. In accordance with the applicable accounting guidance for the disposal of long-lived assets</w:t>
      </w:r>
      <w:r>
        <w:rPr>
          <w:rFonts w:ascii="Times New Roman" w:hAnsi="Times New Roman" w:cs="Times New Roman"/>
          <w:sz w:val="19"/>
          <w:szCs w:val="19"/>
        </w:rPr>
        <w:t>, the results of the Snacks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900" w:bottom="346" w:left="860" w:header="720" w:footer="720" w:gutter="0"/>
          <w:cols w:num="2" w:space="440" w:equalWidth="0">
            <w:col w:w="4660" w:space="440"/>
            <w:col w:w="4660"/>
          </w:cols>
          <w:noEndnote/>
        </w:sectPr>
      </w:pPr>
    </w:p>
    <w:p w:rsidR="00000000" w:rsidRDefault="0057438D">
      <w:pPr>
        <w:pStyle w:val="DefaultParagraphFont"/>
        <w:widowControl w:val="0"/>
        <w:autoSpaceDE w:val="0"/>
        <w:autoSpaceDN w:val="0"/>
        <w:adjustRightInd w:val="0"/>
        <w:spacing w:after="0" w:line="6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5580" w:header="720" w:footer="720" w:gutter="0"/>
          <w:cols w:space="440" w:equalWidth="0">
            <w:col w:w="5060" w:space="44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76</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5280"/>
        <w:rPr>
          <w:rFonts w:ascii="Times New Roman" w:hAnsi="Times New Roman" w:cs="Times New Roman"/>
          <w:sz w:val="24"/>
          <w:szCs w:val="24"/>
        </w:rPr>
      </w:pPr>
      <w:r>
        <w:rPr>
          <w:rFonts w:ascii="Times New Roman" w:hAnsi="Times New Roman" w:cs="Times New Roman"/>
          <w:sz w:val="19"/>
          <w:szCs w:val="19"/>
        </w:rPr>
        <w:t>business are presented as discontinued oper</w:t>
      </w:r>
      <w:r>
        <w:rPr>
          <w:rFonts w:ascii="Times New Roman" w:hAnsi="Times New Roman" w:cs="Times New Roman"/>
          <w:sz w:val="19"/>
          <w:szCs w:val="19"/>
        </w:rPr>
        <w:t>ations and, as such, have been excluded from both continuing operations and segment results for all years presented.</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1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220"/>
        <w:rPr>
          <w:rFonts w:ascii="Times New Roman" w:hAnsi="Times New Roman" w:cs="Times New Roman"/>
          <w:sz w:val="24"/>
          <w:szCs w:val="24"/>
        </w:rPr>
      </w:pPr>
      <w:r>
        <w:rPr>
          <w:rFonts w:ascii="Times New Roman" w:hAnsi="Times New Roman" w:cs="Times New Roman"/>
          <w:sz w:val="19"/>
          <w:szCs w:val="19"/>
        </w:rPr>
        <w:t>Following is selected financial information included in net earnings from discontinued operations for the pet care and snacks businesses:</w:t>
      </w:r>
    </w:p>
    <w:p w:rsidR="00000000" w:rsidRDefault="0057438D">
      <w:pPr>
        <w:pStyle w:val="DefaultParagraphFont"/>
        <w:widowControl w:val="0"/>
        <w:autoSpaceDE w:val="0"/>
        <w:autoSpaceDN w:val="0"/>
        <w:adjustRightInd w:val="0"/>
        <w:spacing w:after="0" w:line="9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740"/>
        <w:gridCol w:w="980"/>
        <w:gridCol w:w="160"/>
        <w:gridCol w:w="800"/>
        <w:gridCol w:w="160"/>
        <w:gridCol w:w="160"/>
        <w:gridCol w:w="940"/>
        <w:gridCol w:w="160"/>
        <w:gridCol w:w="160"/>
        <w:gridCol w:w="780"/>
        <w:gridCol w:w="140"/>
        <w:gridCol w:w="300"/>
        <w:gridCol w:w="700"/>
        <w:gridCol w:w="160"/>
        <w:gridCol w:w="160"/>
        <w:gridCol w:w="780"/>
        <w:gridCol w:w="140"/>
        <w:gridCol w:w="240"/>
        <w:gridCol w:w="760"/>
        <w:gridCol w:w="20"/>
        <w:gridCol w:w="20"/>
      </w:tblGrid>
      <w:tr w:rsidR="00000000">
        <w:tblPrEx>
          <w:tblCellMar>
            <w:top w:w="0" w:type="dxa"/>
            <w:left w:w="0" w:type="dxa"/>
            <w:bottom w:w="0" w:type="dxa"/>
            <w:right w:w="0" w:type="dxa"/>
          </w:tblCellMar>
        </w:tblPrEx>
        <w:trPr>
          <w:trHeight w:val="172"/>
        </w:trPr>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1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Earnings from</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Gain on Sale</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w w:val="99"/>
                <w:sz w:val="15"/>
                <w:szCs w:val="15"/>
              </w:rPr>
              <w:t>Income Tax</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2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ind w:right="40"/>
              <w:jc w:val="center"/>
              <w:rPr>
                <w:rFonts w:ascii="Times New Roman" w:hAnsi="Times New Roman" w:cs="Times New Roman"/>
                <w:sz w:val="24"/>
                <w:szCs w:val="24"/>
              </w:rPr>
            </w:pPr>
            <w:r>
              <w:rPr>
                <w:rFonts w:ascii="Times New Roman" w:hAnsi="Times New Roman" w:cs="Times New Roman"/>
                <w:b/>
                <w:bCs/>
                <w:sz w:val="15"/>
                <w:szCs w:val="15"/>
              </w:rPr>
              <w:t>Net Earnings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10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4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15"/>
                <w:szCs w:val="15"/>
              </w:rPr>
              <w:t>Income Tax</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207"/>
              <w:jc w:val="center"/>
              <w:rPr>
                <w:rFonts w:ascii="Times New Roman" w:hAnsi="Times New Roman" w:cs="Times New Roman"/>
                <w:sz w:val="24"/>
                <w:szCs w:val="24"/>
              </w:rPr>
            </w:pPr>
            <w:r>
              <w:rPr>
                <w:rFonts w:ascii="Times New Roman" w:hAnsi="Times New Roman" w:cs="Times New Roman"/>
                <w:b/>
                <w:bCs/>
                <w:w w:val="95"/>
                <w:sz w:val="15"/>
                <w:szCs w:val="15"/>
              </w:rPr>
              <w:t>of</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108"/>
              <w:jc w:val="center"/>
              <w:rPr>
                <w:rFonts w:ascii="Times New Roman" w:hAnsi="Times New Roman" w:cs="Times New Roman"/>
                <w:sz w:val="24"/>
                <w:szCs w:val="24"/>
              </w:rPr>
            </w:pPr>
            <w:r>
              <w:rPr>
                <w:rFonts w:ascii="Times New Roman" w:hAnsi="Times New Roman" w:cs="Times New Roman"/>
                <w:b/>
                <w:bCs/>
                <w:w w:val="99"/>
                <w:sz w:val="15"/>
                <w:szCs w:val="15"/>
              </w:rPr>
              <w:t>Benefit/</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280"/>
              <w:jc w:val="center"/>
              <w:rPr>
                <w:rFonts w:ascii="Times New Roman" w:hAnsi="Times New Roman" w:cs="Times New Roman"/>
                <w:sz w:val="24"/>
                <w:szCs w:val="24"/>
              </w:rPr>
            </w:pPr>
            <w:r>
              <w:rPr>
                <w:rFonts w:ascii="Times New Roman" w:hAnsi="Times New Roman" w:cs="Times New Roman"/>
                <w:b/>
                <w:bCs/>
                <w:sz w:val="15"/>
                <w:szCs w:val="15"/>
              </w:rPr>
              <w:t>from</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7"/>
              <w:jc w:val="right"/>
              <w:rPr>
                <w:rFonts w:ascii="Times New Roman" w:hAnsi="Times New Roman" w:cs="Times New Roman"/>
                <w:sz w:val="24"/>
                <w:szCs w:val="24"/>
              </w:rPr>
            </w:pPr>
            <w:r>
              <w:rPr>
                <w:rFonts w:ascii="Times New Roman" w:hAnsi="Times New Roman" w:cs="Times New Roman"/>
                <w:b/>
                <w:bCs/>
                <w:sz w:val="15"/>
                <w:szCs w:val="15"/>
              </w:rPr>
              <w:t>Net Sales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1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Discontinued</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4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Discontinued</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(Expense)</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2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40"/>
              <w:jc w:val="center"/>
              <w:rPr>
                <w:rFonts w:ascii="Times New Roman" w:hAnsi="Times New Roman" w:cs="Times New Roman"/>
                <w:sz w:val="24"/>
                <w:szCs w:val="24"/>
              </w:rPr>
            </w:pPr>
            <w:r>
              <w:rPr>
                <w:rFonts w:ascii="Times New Roman" w:hAnsi="Times New Roman" w:cs="Times New Roman"/>
                <w:b/>
                <w:bCs/>
                <w:sz w:val="15"/>
                <w:szCs w:val="15"/>
              </w:rPr>
              <w:t>Discontinued</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7"/>
              <w:jc w:val="center"/>
              <w:rPr>
                <w:rFonts w:ascii="Times New Roman" w:hAnsi="Times New Roman" w:cs="Times New Roman"/>
                <w:sz w:val="24"/>
                <w:szCs w:val="24"/>
              </w:rPr>
            </w:pPr>
            <w:r>
              <w:rPr>
                <w:rFonts w:ascii="Times New Roman" w:hAnsi="Times New Roman" w:cs="Times New Roman"/>
                <w:b/>
                <w:bCs/>
                <w:sz w:val="15"/>
                <w:szCs w:val="15"/>
              </w:rPr>
              <w:t>Operations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7"/>
              <w:jc w:val="right"/>
              <w:rPr>
                <w:rFonts w:ascii="Times New Roman" w:hAnsi="Times New Roman" w:cs="Times New Roman"/>
                <w:sz w:val="24"/>
                <w:szCs w:val="24"/>
              </w:rPr>
            </w:pPr>
            <w:r>
              <w:rPr>
                <w:rFonts w:ascii="Times New Roman" w:hAnsi="Times New Roman" w:cs="Times New Roman"/>
                <w:b/>
                <w:bCs/>
                <w:sz w:val="15"/>
                <w:szCs w:val="15"/>
              </w:rPr>
              <w:t>Expense</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Operations</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8"/>
              <w:jc w:val="center"/>
              <w:rPr>
                <w:rFonts w:ascii="Times New Roman" w:hAnsi="Times New Roman" w:cs="Times New Roman"/>
                <w:sz w:val="24"/>
                <w:szCs w:val="24"/>
              </w:rPr>
            </w:pPr>
            <w:r>
              <w:rPr>
                <w:rFonts w:ascii="Times New Roman" w:hAnsi="Times New Roman" w:cs="Times New Roman"/>
                <w:b/>
                <w:bCs/>
                <w:w w:val="99"/>
                <w:sz w:val="15"/>
                <w:szCs w:val="15"/>
              </w:rPr>
              <w:t>on Sale</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2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0"/>
              <w:jc w:val="center"/>
              <w:rPr>
                <w:rFonts w:ascii="Times New Roman" w:hAnsi="Times New Roman" w:cs="Times New Roman"/>
                <w:sz w:val="24"/>
                <w:szCs w:val="24"/>
              </w:rPr>
            </w:pPr>
            <w:r>
              <w:rPr>
                <w:rFonts w:ascii="Times New Roman" w:hAnsi="Times New Roman" w:cs="Times New Roman"/>
                <w:b/>
                <w:bCs/>
                <w:sz w:val="15"/>
                <w:szCs w:val="15"/>
              </w:rPr>
              <w:t>Operations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7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PET CARE</w:t>
            </w:r>
          </w:p>
        </w:tc>
        <w:tc>
          <w:tcPr>
            <w:tcW w:w="9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2014</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1,475</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130</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19"/>
                <w:szCs w:val="19"/>
              </w:rPr>
              <w:t>$</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(52)</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9"/>
              <w:jc w:val="right"/>
              <w:rPr>
                <w:rFonts w:ascii="Times New Roman" w:hAnsi="Times New Roman" w:cs="Times New Roman"/>
                <w:sz w:val="24"/>
                <w:szCs w:val="24"/>
              </w:rPr>
            </w:pPr>
            <w:r>
              <w:rPr>
                <w:rFonts w:ascii="Times New Roman" w:hAnsi="Times New Roman" w:cs="Times New Roman"/>
                <w:b/>
                <w:bCs/>
                <w:sz w:val="19"/>
                <w:szCs w:val="19"/>
              </w:rPr>
              <w:t>$</w:t>
            </w: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9"/>
              <w:jc w:val="right"/>
              <w:rPr>
                <w:rFonts w:ascii="Times New Roman" w:hAnsi="Times New Roman" w:cs="Times New Roman"/>
                <w:sz w:val="24"/>
                <w:szCs w:val="24"/>
              </w:rPr>
            </w:pPr>
            <w:r>
              <w:rPr>
                <w:rFonts w:ascii="Times New Roman" w:hAnsi="Times New Roman" w:cs="Times New Roman"/>
                <w:b/>
                <w:bCs/>
                <w:sz w:val="19"/>
                <w:szCs w:val="19"/>
              </w:rPr>
              <w:t>$</w:t>
            </w: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78</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2013</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1,586</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151</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(50)</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101</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2012</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1,674</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257</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(90)</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167</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SNACKS</w:t>
            </w: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2014</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b/>
                <w:bCs/>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2013</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sz w:val="19"/>
                <w:szCs w:val="19"/>
              </w:rPr>
              <w: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2012</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1,440</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266</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(96)</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1,899</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(482)</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1,587</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17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TOTAL</w:t>
            </w:r>
          </w:p>
        </w:tc>
        <w:tc>
          <w:tcPr>
            <w:tcW w:w="9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2014</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1,475</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130</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(52)</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w:t>
            </w:r>
          </w:p>
        </w:tc>
        <w:tc>
          <w:tcPr>
            <w:tcW w:w="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78</w:t>
            </w:r>
          </w:p>
        </w:tc>
        <w:tc>
          <w:tcPr>
            <w:tcW w:w="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5"/>
        </w:trPr>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2013</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1,586</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151</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(50)</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w:t>
            </w: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101</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7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1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2012</w:t>
            </w: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3,114</w:t>
            </w: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523</w:t>
            </w: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(186)</w:t>
            </w: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1,899</w:t>
            </w: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(482)</w:t>
            </w: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1,754</w:t>
            </w: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
        </w:trPr>
        <w:tc>
          <w:tcPr>
            <w:tcW w:w="17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9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At June 30, 2014, the major components of assets and liabilities of the Pet Care business held for sale were as follows:</w:t>
      </w:r>
    </w:p>
    <w:p w:rsidR="00000000" w:rsidRDefault="0057438D">
      <w:pPr>
        <w:pStyle w:val="DefaultParagraphFont"/>
        <w:widowControl w:val="0"/>
        <w:autoSpaceDE w:val="0"/>
        <w:autoSpaceDN w:val="0"/>
        <w:adjustRightInd w:val="0"/>
        <w:spacing w:after="0" w:line="35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720"/>
        <w:gridCol w:w="340"/>
        <w:gridCol w:w="1680"/>
      </w:tblGrid>
      <w:tr w:rsidR="00000000">
        <w:tblPrEx>
          <w:tblCellMar>
            <w:top w:w="0" w:type="dxa"/>
            <w:left w:w="0" w:type="dxa"/>
            <w:bottom w:w="0" w:type="dxa"/>
            <w:right w:w="0" w:type="dxa"/>
          </w:tblCellMar>
        </w:tblPrEx>
        <w:trPr>
          <w:trHeight w:val="203"/>
        </w:trPr>
        <w:tc>
          <w:tcPr>
            <w:tcW w:w="7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86"/>
              <w:jc w:val="right"/>
              <w:rPr>
                <w:rFonts w:ascii="Times New Roman" w:hAnsi="Times New Roman" w:cs="Times New Roman"/>
                <w:sz w:val="24"/>
                <w:szCs w:val="24"/>
              </w:rPr>
            </w:pPr>
            <w:r>
              <w:rPr>
                <w:rFonts w:ascii="Times New Roman" w:hAnsi="Times New Roman" w:cs="Times New Roman"/>
                <w:b/>
                <w:bCs/>
                <w:sz w:val="15"/>
                <w:szCs w:val="15"/>
              </w:rPr>
              <w:t>Jun</w:t>
            </w:r>
            <w:r>
              <w:rPr>
                <w:rFonts w:ascii="Times New Roman" w:hAnsi="Times New Roman" w:cs="Times New Roman"/>
                <w:b/>
                <w:bCs/>
                <w:sz w:val="15"/>
                <w:szCs w:val="15"/>
              </w:rPr>
              <w:t>e 30, 2014</w:t>
            </w:r>
          </w:p>
        </w:tc>
      </w:tr>
      <w:tr w:rsidR="00000000">
        <w:tblPrEx>
          <w:tblCellMar>
            <w:top w:w="0" w:type="dxa"/>
            <w:left w:w="0" w:type="dxa"/>
            <w:bottom w:w="0" w:type="dxa"/>
            <w:right w:w="0" w:type="dxa"/>
          </w:tblCellMar>
        </w:tblPrEx>
        <w:trPr>
          <w:trHeight w:val="25"/>
        </w:trPr>
        <w:tc>
          <w:tcPr>
            <w:tcW w:w="77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6"/>
        </w:trPr>
        <w:tc>
          <w:tcPr>
            <w:tcW w:w="7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Inventories</w:t>
            </w:r>
          </w:p>
        </w:tc>
        <w:tc>
          <w:tcPr>
            <w:tcW w:w="3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w:t>
            </w:r>
          </w:p>
        </w:tc>
        <w:tc>
          <w:tcPr>
            <w:tcW w:w="1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122</w:t>
            </w:r>
          </w:p>
        </w:tc>
      </w:tr>
      <w:tr w:rsidR="00000000">
        <w:tblPrEx>
          <w:tblCellMar>
            <w:top w:w="0" w:type="dxa"/>
            <w:left w:w="0" w:type="dxa"/>
            <w:bottom w:w="0" w:type="dxa"/>
            <w:right w:w="0" w:type="dxa"/>
          </w:tblCellMar>
        </w:tblPrEx>
        <w:trPr>
          <w:trHeight w:val="255"/>
        </w:trPr>
        <w:tc>
          <w:tcPr>
            <w:tcW w:w="7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Prepaid expenses and other current assets</w:t>
            </w: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w:t>
            </w:r>
          </w:p>
        </w:tc>
      </w:tr>
      <w:tr w:rsidR="00000000">
        <w:tblPrEx>
          <w:tblCellMar>
            <w:top w:w="0" w:type="dxa"/>
            <w:left w:w="0" w:type="dxa"/>
            <w:bottom w:w="0" w:type="dxa"/>
            <w:right w:w="0" w:type="dxa"/>
          </w:tblCellMar>
        </w:tblPrEx>
        <w:trPr>
          <w:trHeight w:val="31"/>
        </w:trPr>
        <w:tc>
          <w:tcPr>
            <w:tcW w:w="7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7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Property, plant and equipment, net</w:t>
            </w:r>
          </w:p>
        </w:tc>
        <w:tc>
          <w:tcPr>
            <w:tcW w:w="3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441</w:t>
            </w:r>
          </w:p>
        </w:tc>
      </w:tr>
      <w:tr w:rsidR="00000000">
        <w:tblPrEx>
          <w:tblCellMar>
            <w:top w:w="0" w:type="dxa"/>
            <w:left w:w="0" w:type="dxa"/>
            <w:bottom w:w="0" w:type="dxa"/>
            <w:right w:w="0" w:type="dxa"/>
          </w:tblCellMar>
        </w:tblPrEx>
        <w:trPr>
          <w:trHeight w:val="255"/>
        </w:trPr>
        <w:tc>
          <w:tcPr>
            <w:tcW w:w="7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Goodwill and intangible assets, net</w:t>
            </w: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2,258</w:t>
            </w:r>
          </w:p>
        </w:tc>
      </w:tr>
      <w:tr w:rsidR="00000000">
        <w:tblPrEx>
          <w:tblCellMar>
            <w:top w:w="0" w:type="dxa"/>
            <w:left w:w="0" w:type="dxa"/>
            <w:bottom w:w="0" w:type="dxa"/>
            <w:right w:w="0" w:type="dxa"/>
          </w:tblCellMar>
        </w:tblPrEx>
        <w:trPr>
          <w:trHeight w:val="31"/>
        </w:trPr>
        <w:tc>
          <w:tcPr>
            <w:tcW w:w="7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7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Other noncurrent assets</w:t>
            </w:r>
          </w:p>
        </w:tc>
        <w:tc>
          <w:tcPr>
            <w:tcW w:w="3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14</w:t>
            </w:r>
          </w:p>
        </w:tc>
      </w:tr>
      <w:tr w:rsidR="00000000">
        <w:tblPrEx>
          <w:tblCellMar>
            <w:top w:w="0" w:type="dxa"/>
            <w:left w:w="0" w:type="dxa"/>
            <w:bottom w:w="0" w:type="dxa"/>
            <w:right w:w="0" w:type="dxa"/>
          </w:tblCellMar>
        </w:tblPrEx>
        <w:trPr>
          <w:trHeight w:val="265"/>
        </w:trPr>
        <w:tc>
          <w:tcPr>
            <w:tcW w:w="7720" w:type="dxa"/>
            <w:tcBorders>
              <w:top w:val="single" w:sz="8" w:space="0" w:color="E6E6E6"/>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19"/>
                <w:szCs w:val="19"/>
              </w:rPr>
              <w:t>Total assets held for sale</w:t>
            </w:r>
          </w:p>
        </w:tc>
        <w:tc>
          <w:tcPr>
            <w:tcW w:w="34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80" w:type="dxa"/>
            <w:tcBorders>
              <w:top w:val="single" w:sz="8" w:space="0" w:color="auto"/>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2,849</w:t>
            </w:r>
          </w:p>
        </w:tc>
      </w:tr>
      <w:tr w:rsidR="00000000">
        <w:tblPrEx>
          <w:tblCellMar>
            <w:top w:w="0" w:type="dxa"/>
            <w:left w:w="0" w:type="dxa"/>
            <w:bottom w:w="0" w:type="dxa"/>
            <w:right w:w="0" w:type="dxa"/>
          </w:tblCellMar>
        </w:tblPrEx>
        <w:trPr>
          <w:trHeight w:val="258"/>
        </w:trPr>
        <w:tc>
          <w:tcPr>
            <w:tcW w:w="7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55"/>
        </w:trPr>
        <w:tc>
          <w:tcPr>
            <w:tcW w:w="7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Accounts payable</w:t>
            </w: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63</w:t>
            </w:r>
          </w:p>
        </w:tc>
      </w:tr>
      <w:tr w:rsidR="00000000">
        <w:tblPrEx>
          <w:tblCellMar>
            <w:top w:w="0" w:type="dxa"/>
            <w:left w:w="0" w:type="dxa"/>
            <w:bottom w:w="0" w:type="dxa"/>
            <w:right w:w="0" w:type="dxa"/>
          </w:tblCellMar>
        </w:tblPrEx>
        <w:trPr>
          <w:trHeight w:val="31"/>
        </w:trPr>
        <w:tc>
          <w:tcPr>
            <w:tcW w:w="7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7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Accrued and other liabilities</w:t>
            </w:r>
          </w:p>
        </w:tc>
        <w:tc>
          <w:tcPr>
            <w:tcW w:w="3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13</w:t>
            </w:r>
          </w:p>
        </w:tc>
      </w:tr>
      <w:tr w:rsidR="00000000">
        <w:tblPrEx>
          <w:tblCellMar>
            <w:top w:w="0" w:type="dxa"/>
            <w:left w:w="0" w:type="dxa"/>
            <w:bottom w:w="0" w:type="dxa"/>
            <w:right w:w="0" w:type="dxa"/>
          </w:tblCellMar>
        </w:tblPrEx>
        <w:trPr>
          <w:trHeight w:val="256"/>
        </w:trPr>
        <w:tc>
          <w:tcPr>
            <w:tcW w:w="7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Noncurrent deferred tax liabilities</w:t>
            </w:r>
          </w:p>
        </w:tc>
        <w:tc>
          <w:tcPr>
            <w:tcW w:w="3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584</w:t>
            </w:r>
          </w:p>
        </w:tc>
      </w:tr>
      <w:tr w:rsidR="00000000">
        <w:tblPrEx>
          <w:tblCellMar>
            <w:top w:w="0" w:type="dxa"/>
            <w:left w:w="0" w:type="dxa"/>
            <w:bottom w:w="0" w:type="dxa"/>
            <w:right w:w="0" w:type="dxa"/>
          </w:tblCellMar>
        </w:tblPrEx>
        <w:trPr>
          <w:trHeight w:val="21"/>
        </w:trPr>
        <w:tc>
          <w:tcPr>
            <w:tcW w:w="77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5"/>
        </w:trPr>
        <w:tc>
          <w:tcPr>
            <w:tcW w:w="7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19"/>
                <w:szCs w:val="19"/>
              </w:rPr>
              <w:t>Total liabilities held for sale</w:t>
            </w:r>
          </w:p>
        </w:tc>
        <w:tc>
          <w:tcPr>
            <w:tcW w:w="34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8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660</w:t>
            </w: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20" w:bottom="346" w:left="860" w:header="720" w:footer="720" w:gutter="0"/>
          <w:cols w:space="720" w:equalWidth="0">
            <w:col w:w="974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3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5620" w:bottom="346" w:left="860" w:header="720" w:footer="720" w:gutter="0"/>
          <w:cols w:space="720" w:equalWidth="0">
            <w:col w:w="5040"/>
          </w:cols>
          <w:noEndnote/>
        </w:sectPr>
      </w:pPr>
    </w:p>
    <w:p w:rsidR="00000000" w:rsidRDefault="0057438D">
      <w:pPr>
        <w:pStyle w:val="DefaultParagraphFont"/>
        <w:widowControl w:val="0"/>
        <w:autoSpaceDE w:val="0"/>
        <w:autoSpaceDN w:val="0"/>
        <w:adjustRightInd w:val="0"/>
        <w:spacing w:after="0" w:line="240" w:lineRule="auto"/>
        <w:ind w:left="7380"/>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77</w:t>
      </w:r>
    </w:p>
    <w:p w:rsidR="00000000" w:rsidRDefault="0057438D">
      <w:pPr>
        <w:pStyle w:val="DefaultParagraphFont"/>
        <w:widowControl w:val="0"/>
        <w:autoSpaceDE w:val="0"/>
        <w:autoSpaceDN w:val="0"/>
        <w:adjustRightInd w:val="0"/>
        <w:spacing w:after="0" w:line="35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19"/>
          <w:szCs w:val="19"/>
        </w:rPr>
        <w:t>NOTE 14</w:t>
      </w:r>
    </w:p>
    <w:p w:rsidR="00000000" w:rsidRDefault="0057438D">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QUARTERLY RESULTS (UNAUDITED)</w:t>
      </w:r>
    </w:p>
    <w:p w:rsidR="00000000" w:rsidRDefault="0057438D">
      <w:pPr>
        <w:pStyle w:val="DefaultParagraphFont"/>
        <w:widowControl w:val="0"/>
        <w:autoSpaceDE w:val="0"/>
        <w:autoSpaceDN w:val="0"/>
        <w:adjustRightInd w:val="0"/>
        <w:spacing w:after="0" w:line="188" w:lineRule="exact"/>
        <w:rPr>
          <w:rFonts w:ascii="Times New Roman" w:hAnsi="Times New Roman" w:cs="Times New Roman"/>
          <w:sz w:val="24"/>
          <w:szCs w:val="24"/>
        </w:rPr>
      </w:pPr>
    </w:p>
    <w:tbl>
      <w:tblPr>
        <w:tblW w:w="0" w:type="auto"/>
        <w:tblInd w:w="40" w:type="dxa"/>
        <w:tblLayout w:type="fixed"/>
        <w:tblCellMar>
          <w:left w:w="0" w:type="dxa"/>
          <w:right w:w="0" w:type="dxa"/>
        </w:tblCellMar>
        <w:tblLook w:val="0000" w:firstRow="0" w:lastRow="0" w:firstColumn="0" w:lastColumn="0" w:noHBand="0" w:noVBand="0"/>
      </w:tblPr>
      <w:tblGrid>
        <w:gridCol w:w="2880"/>
        <w:gridCol w:w="1800"/>
        <w:gridCol w:w="940"/>
        <w:gridCol w:w="80"/>
        <w:gridCol w:w="960"/>
        <w:gridCol w:w="220"/>
        <w:gridCol w:w="940"/>
        <w:gridCol w:w="100"/>
        <w:gridCol w:w="900"/>
        <w:gridCol w:w="240"/>
        <w:gridCol w:w="860"/>
      </w:tblGrid>
      <w:tr w:rsidR="00000000">
        <w:tblPrEx>
          <w:tblCellMar>
            <w:top w:w="0" w:type="dxa"/>
            <w:left w:w="0" w:type="dxa"/>
            <w:bottom w:w="0" w:type="dxa"/>
            <w:right w:w="0" w:type="dxa"/>
          </w:tblCellMar>
        </w:tblPrEx>
        <w:trPr>
          <w:trHeight w:val="203"/>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u w:val="single"/>
              </w:rPr>
              <w:t>Quarters Ended</w:t>
            </w:r>
          </w:p>
        </w:tc>
        <w:tc>
          <w:tcPr>
            <w:tcW w:w="1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8"/>
              <w:jc w:val="right"/>
              <w:rPr>
                <w:rFonts w:ascii="Times New Roman" w:hAnsi="Times New Roman" w:cs="Times New Roman"/>
                <w:sz w:val="24"/>
                <w:szCs w:val="24"/>
              </w:rPr>
            </w:pPr>
            <w:r>
              <w:rPr>
                <w:rFonts w:ascii="Times New Roman" w:hAnsi="Times New Roman" w:cs="Times New Roman"/>
                <w:b/>
                <w:bCs/>
                <w:sz w:val="15"/>
                <w:szCs w:val="15"/>
              </w:rPr>
              <w:t>Sept 30</w:t>
            </w: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94"/>
              <w:jc w:val="right"/>
              <w:rPr>
                <w:rFonts w:ascii="Times New Roman" w:hAnsi="Times New Roman" w:cs="Times New Roman"/>
                <w:sz w:val="24"/>
                <w:szCs w:val="24"/>
              </w:rPr>
            </w:pPr>
            <w:r>
              <w:rPr>
                <w:rFonts w:ascii="Times New Roman" w:hAnsi="Times New Roman" w:cs="Times New Roman"/>
                <w:b/>
                <w:bCs/>
                <w:sz w:val="15"/>
                <w:szCs w:val="15"/>
              </w:rPr>
              <w:t>Dec 31</w:t>
            </w: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54"/>
              <w:jc w:val="right"/>
              <w:rPr>
                <w:rFonts w:ascii="Times New Roman" w:hAnsi="Times New Roman" w:cs="Times New Roman"/>
                <w:sz w:val="24"/>
                <w:szCs w:val="24"/>
              </w:rPr>
            </w:pPr>
            <w:r>
              <w:rPr>
                <w:rFonts w:ascii="Times New Roman" w:hAnsi="Times New Roman" w:cs="Times New Roman"/>
                <w:b/>
                <w:bCs/>
                <w:sz w:val="15"/>
                <w:szCs w:val="15"/>
              </w:rPr>
              <w:t>Mar 31</w:t>
            </w: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54"/>
              <w:jc w:val="right"/>
              <w:rPr>
                <w:rFonts w:ascii="Times New Roman" w:hAnsi="Times New Roman" w:cs="Times New Roman"/>
                <w:sz w:val="24"/>
                <w:szCs w:val="24"/>
              </w:rPr>
            </w:pPr>
            <w:r>
              <w:rPr>
                <w:rFonts w:ascii="Times New Roman" w:hAnsi="Times New Roman" w:cs="Times New Roman"/>
                <w:b/>
                <w:bCs/>
                <w:sz w:val="15"/>
                <w:szCs w:val="15"/>
              </w:rPr>
              <w:t>Jun 30</w:t>
            </w: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5"/>
                <w:szCs w:val="15"/>
              </w:rPr>
              <w:t>Total Year</w:t>
            </w:r>
          </w:p>
        </w:tc>
      </w:tr>
      <w:tr w:rsidR="00000000">
        <w:tblPrEx>
          <w:tblCellMar>
            <w:top w:w="0" w:type="dxa"/>
            <w:left w:w="0" w:type="dxa"/>
            <w:bottom w:w="0" w:type="dxa"/>
            <w:right w:w="0" w:type="dxa"/>
          </w:tblCellMar>
        </w:tblPrEx>
        <w:trPr>
          <w:trHeight w:val="25"/>
        </w:trPr>
        <w:tc>
          <w:tcPr>
            <w:tcW w:w="28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7"/>
        </w:trPr>
        <w:tc>
          <w:tcPr>
            <w:tcW w:w="2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NET SALES</w:t>
            </w:r>
          </w:p>
        </w:tc>
        <w:tc>
          <w:tcPr>
            <w:tcW w:w="1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9"/>
                <w:szCs w:val="19"/>
              </w:rPr>
              <w:t>2013-2014</w:t>
            </w: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Times New Roman" w:hAnsi="Times New Roman" w:cs="Times New Roman"/>
                <w:b/>
                <w:bCs/>
                <w:sz w:val="19"/>
                <w:szCs w:val="19"/>
              </w:rPr>
              <w:t>$ 20,830</w:t>
            </w: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b/>
                <w:bCs/>
                <w:sz w:val="19"/>
                <w:szCs w:val="19"/>
              </w:rPr>
              <w:t>$ 21,897</w:t>
            </w: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b/>
                <w:bCs/>
                <w:sz w:val="19"/>
                <w:szCs w:val="19"/>
              </w:rPr>
              <w:t>$ 20,178</w:t>
            </w:r>
          </w:p>
        </w:tc>
        <w:tc>
          <w:tcPr>
            <w:tcW w:w="1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b/>
                <w:bCs/>
                <w:sz w:val="19"/>
                <w:szCs w:val="19"/>
              </w:rPr>
              <w:t>$ 20,157</w:t>
            </w:r>
          </w:p>
        </w:tc>
        <w:tc>
          <w:tcPr>
            <w:tcW w:w="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b/>
                <w:bCs/>
                <w:sz w:val="19"/>
                <w:szCs w:val="19"/>
              </w:rPr>
              <w:t>$83,062</w:t>
            </w:r>
          </w:p>
        </w:tc>
      </w:tr>
      <w:tr w:rsidR="00000000">
        <w:tblPrEx>
          <w:tblCellMar>
            <w:top w:w="0" w:type="dxa"/>
            <w:left w:w="0" w:type="dxa"/>
            <w:bottom w:w="0" w:type="dxa"/>
            <w:right w:w="0" w:type="dxa"/>
          </w:tblCellMar>
        </w:tblPrEx>
        <w:trPr>
          <w:trHeight w:val="255"/>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2012-2013</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Times New Roman" w:hAnsi="Times New Roman" w:cs="Times New Roman"/>
                <w:sz w:val="19"/>
                <w:szCs w:val="19"/>
              </w:rPr>
              <w:t>20,342</w:t>
            </w:r>
          </w:p>
        </w:tc>
        <w:tc>
          <w:tcPr>
            <w:tcW w:w="10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sz w:val="19"/>
                <w:szCs w:val="19"/>
              </w:rPr>
              <w:t>21,737</w:t>
            </w:r>
          </w:p>
        </w:tc>
        <w:tc>
          <w:tcPr>
            <w:tcW w:w="11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sz w:val="19"/>
                <w:szCs w:val="19"/>
              </w:rPr>
              <w:t>20,205</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sz w:val="19"/>
                <w:szCs w:val="19"/>
              </w:rPr>
              <w:t>20,297</w:t>
            </w:r>
          </w:p>
        </w:tc>
        <w:tc>
          <w:tcPr>
            <w:tcW w:w="11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sz w:val="19"/>
                <w:szCs w:val="19"/>
              </w:rPr>
              <w:t>82,581</w:t>
            </w:r>
          </w:p>
        </w:tc>
      </w:tr>
      <w:tr w:rsidR="00000000">
        <w:tblPrEx>
          <w:tblCellMar>
            <w:top w:w="0" w:type="dxa"/>
            <w:left w:w="0" w:type="dxa"/>
            <w:bottom w:w="0" w:type="dxa"/>
            <w:right w:w="0" w:type="dxa"/>
          </w:tblCellMar>
        </w:tblPrEx>
        <w:trPr>
          <w:trHeight w:val="31"/>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28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OPERATING INCOME</w:t>
            </w:r>
          </w:p>
        </w:tc>
        <w:tc>
          <w:tcPr>
            <w:tcW w:w="18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9"/>
                <w:szCs w:val="19"/>
              </w:rPr>
              <w:t>2013-2014</w:t>
            </w:r>
          </w:p>
        </w:tc>
        <w:tc>
          <w:tcPr>
            <w:tcW w:w="9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Times New Roman" w:hAnsi="Times New Roman" w:cs="Times New Roman"/>
                <w:b/>
                <w:bCs/>
                <w:sz w:val="19"/>
                <w:szCs w:val="19"/>
              </w:rPr>
              <w:t>4,120</w:t>
            </w:r>
          </w:p>
        </w:tc>
        <w:tc>
          <w:tcPr>
            <w:tcW w:w="104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b/>
                <w:bCs/>
                <w:sz w:val="19"/>
                <w:szCs w:val="19"/>
              </w:rPr>
              <w:t>4,523</w:t>
            </w:r>
          </w:p>
        </w:tc>
        <w:tc>
          <w:tcPr>
            <w:tcW w:w="11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b/>
                <w:bCs/>
                <w:sz w:val="19"/>
                <w:szCs w:val="19"/>
              </w:rPr>
              <w:t>3,405</w:t>
            </w:r>
          </w:p>
        </w:tc>
        <w:tc>
          <w:tcPr>
            <w:tcW w:w="10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b/>
                <w:bCs/>
                <w:sz w:val="19"/>
                <w:szCs w:val="19"/>
              </w:rPr>
              <w:t>3,240</w:t>
            </w:r>
          </w:p>
        </w:tc>
        <w:tc>
          <w:tcPr>
            <w:tcW w:w="110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b/>
                <w:bCs/>
                <w:sz w:val="19"/>
                <w:szCs w:val="19"/>
              </w:rPr>
              <w:t>15,288</w:t>
            </w:r>
          </w:p>
        </w:tc>
      </w:tr>
      <w:tr w:rsidR="00000000">
        <w:tblPrEx>
          <w:tblCellMar>
            <w:top w:w="0" w:type="dxa"/>
            <w:left w:w="0" w:type="dxa"/>
            <w:bottom w:w="0" w:type="dxa"/>
            <w:right w:w="0" w:type="dxa"/>
          </w:tblCellMar>
        </w:tblPrEx>
        <w:trPr>
          <w:trHeight w:val="286"/>
        </w:trPr>
        <w:tc>
          <w:tcPr>
            <w:tcW w:w="2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sz w:val="19"/>
                <w:szCs w:val="19"/>
              </w:rPr>
              <w:t>2012-2013</w:t>
            </w:r>
          </w:p>
        </w:tc>
        <w:tc>
          <w:tcPr>
            <w:tcW w:w="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8"/>
              <w:jc w:val="right"/>
              <w:rPr>
                <w:rFonts w:ascii="Times New Roman" w:hAnsi="Times New Roman" w:cs="Times New Roman"/>
                <w:sz w:val="24"/>
                <w:szCs w:val="24"/>
              </w:rPr>
            </w:pPr>
            <w:r>
              <w:rPr>
                <w:rFonts w:ascii="Times New Roman" w:hAnsi="Times New Roman" w:cs="Times New Roman"/>
                <w:sz w:val="19"/>
                <w:szCs w:val="19"/>
              </w:rPr>
              <w:t>3,889</w:t>
            </w:r>
          </w:p>
        </w:tc>
        <w:tc>
          <w:tcPr>
            <w:tcW w:w="10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sz w:val="19"/>
                <w:szCs w:val="19"/>
              </w:rPr>
              <w:t>4,429</w:t>
            </w:r>
          </w:p>
        </w:tc>
        <w:tc>
          <w:tcPr>
            <w:tcW w:w="11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sz w:val="19"/>
                <w:szCs w:val="19"/>
              </w:rPr>
              <w:t>3,361</w:t>
            </w:r>
          </w:p>
        </w:tc>
        <w:tc>
          <w:tcPr>
            <w:tcW w:w="10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sz w:val="19"/>
                <w:szCs w:val="19"/>
              </w:rPr>
              <w:t>2,651</w:t>
            </w:r>
          </w:p>
        </w:tc>
        <w:tc>
          <w:tcPr>
            <w:tcW w:w="11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14"/>
              <w:jc w:val="right"/>
              <w:rPr>
                <w:rFonts w:ascii="Times New Roman" w:hAnsi="Times New Roman" w:cs="Times New Roman"/>
                <w:sz w:val="24"/>
                <w:szCs w:val="24"/>
              </w:rPr>
            </w:pPr>
            <w:r>
              <w:rPr>
                <w:rFonts w:ascii="Times New Roman" w:hAnsi="Times New Roman" w:cs="Times New Roman"/>
                <w:vertAlign w:val="superscript"/>
              </w:rPr>
              <w:t>(3)</w:t>
            </w:r>
            <w:r>
              <w:rPr>
                <w:rFonts w:ascii="Times New Roman" w:hAnsi="Times New Roman" w:cs="Times New Roman"/>
                <w:sz w:val="19"/>
                <w:szCs w:val="19"/>
              </w:rPr>
              <w:t xml:space="preserve">   14,330</w:t>
            </w:r>
          </w:p>
        </w:tc>
      </w:tr>
      <w:tr w:rsidR="00000000">
        <w:tblPrEx>
          <w:tblCellMar>
            <w:top w:w="0" w:type="dxa"/>
            <w:left w:w="0" w:type="dxa"/>
            <w:bottom w:w="0" w:type="dxa"/>
            <w:right w:w="0" w:type="dxa"/>
          </w:tblCellMar>
        </w:tblPrEx>
        <w:trPr>
          <w:trHeight w:val="255"/>
        </w:trPr>
        <w:tc>
          <w:tcPr>
            <w:tcW w:w="2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GROSS MARGIN</w:t>
            </w:r>
          </w:p>
        </w:tc>
        <w:tc>
          <w:tcPr>
            <w:tcW w:w="1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9"/>
                <w:szCs w:val="19"/>
              </w:rPr>
              <w:t>2013-2014</w:t>
            </w: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49.2%</w:t>
            </w:r>
          </w:p>
        </w:tc>
        <w:tc>
          <w:tcPr>
            <w:tcW w:w="104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50.3%</w:t>
            </w:r>
          </w:p>
        </w:tc>
        <w:tc>
          <w:tcPr>
            <w:tcW w:w="116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48.6%</w:t>
            </w:r>
          </w:p>
        </w:tc>
        <w:tc>
          <w:tcPr>
            <w:tcW w:w="100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47.2%</w:t>
            </w:r>
          </w:p>
        </w:tc>
        <w:tc>
          <w:tcPr>
            <w:tcW w:w="110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48.9%</w:t>
            </w:r>
          </w:p>
        </w:tc>
      </w:tr>
      <w:tr w:rsidR="00000000">
        <w:tblPrEx>
          <w:tblCellMar>
            <w:top w:w="0" w:type="dxa"/>
            <w:left w:w="0" w:type="dxa"/>
            <w:bottom w:w="0" w:type="dxa"/>
            <w:right w:w="0" w:type="dxa"/>
          </w:tblCellMar>
        </w:tblPrEx>
        <w:trPr>
          <w:trHeight w:val="31"/>
        </w:trPr>
        <w:tc>
          <w:tcPr>
            <w:tcW w:w="28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700" w:bottom="346" w:left="860" w:header="720" w:footer="720" w:gutter="0"/>
          <w:cols w:space="720" w:equalWidth="0">
            <w:col w:w="9960"/>
          </w:cols>
          <w:noEndnote/>
        </w:sectPr>
      </w:pPr>
    </w:p>
    <w:p w:rsidR="00000000" w:rsidRDefault="0057438D">
      <w:pPr>
        <w:pStyle w:val="DefaultParagraphFont"/>
        <w:widowControl w:val="0"/>
        <w:autoSpaceDE w:val="0"/>
        <w:autoSpaceDN w:val="0"/>
        <w:adjustRightInd w:val="0"/>
        <w:spacing w:after="0" w:line="5"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640"/>
        <w:gridCol w:w="1000"/>
        <w:gridCol w:w="1040"/>
        <w:gridCol w:w="260"/>
        <w:gridCol w:w="720"/>
      </w:tblGrid>
      <w:tr w:rsidR="00000000">
        <w:tblPrEx>
          <w:tblCellMar>
            <w:top w:w="0" w:type="dxa"/>
            <w:left w:w="0" w:type="dxa"/>
            <w:bottom w:w="0" w:type="dxa"/>
            <w:right w:w="0" w:type="dxa"/>
          </w:tblCellMar>
        </w:tblPrEx>
        <w:trPr>
          <w:trHeight w:val="250"/>
        </w:trPr>
        <w:tc>
          <w:tcPr>
            <w:tcW w:w="3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sz w:val="19"/>
                <w:szCs w:val="19"/>
              </w:rPr>
              <w:t>2012-2013</w:t>
            </w: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50.3 %</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51.2 %</w:t>
            </w:r>
          </w:p>
        </w:tc>
      </w:tr>
      <w:tr w:rsidR="00000000">
        <w:tblPrEx>
          <w:tblCellMar>
            <w:top w:w="0" w:type="dxa"/>
            <w:left w:w="0" w:type="dxa"/>
            <w:bottom w:w="0" w:type="dxa"/>
            <w:right w:w="0" w:type="dxa"/>
          </w:tblCellMar>
        </w:tblPrEx>
        <w:trPr>
          <w:trHeight w:val="31"/>
        </w:trPr>
        <w:tc>
          <w:tcPr>
            <w:tcW w:w="3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7"/>
        </w:trPr>
        <w:tc>
          <w:tcPr>
            <w:tcW w:w="36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NET EARNINGS:</w:t>
            </w:r>
          </w:p>
        </w:tc>
        <w:tc>
          <w:tcPr>
            <w:tcW w:w="10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55"/>
        </w:trPr>
        <w:tc>
          <w:tcPr>
            <w:tcW w:w="3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earnings from continuing operations</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9"/>
                <w:szCs w:val="19"/>
              </w:rPr>
              <w:t>2013-2014</w:t>
            </w: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b/>
                <w:bCs/>
                <w:sz w:val="19"/>
                <w:szCs w:val="19"/>
              </w:rPr>
              <w:t>$  3,039</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9"/>
                <w:szCs w:val="19"/>
              </w:rPr>
              <w:t>$</w:t>
            </w: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3,454</w:t>
            </w:r>
          </w:p>
        </w:tc>
      </w:tr>
      <w:tr w:rsidR="00000000">
        <w:tblPrEx>
          <w:tblCellMar>
            <w:top w:w="0" w:type="dxa"/>
            <w:left w:w="0" w:type="dxa"/>
            <w:bottom w:w="0" w:type="dxa"/>
            <w:right w:w="0" w:type="dxa"/>
          </w:tblCellMar>
        </w:tblPrEx>
        <w:trPr>
          <w:trHeight w:val="31"/>
        </w:trPr>
        <w:tc>
          <w:tcPr>
            <w:tcW w:w="3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sz w:val="19"/>
                <w:szCs w:val="19"/>
              </w:rPr>
              <w:t>2012-2013</w:t>
            </w:r>
          </w:p>
        </w:tc>
        <w:tc>
          <w:tcPr>
            <w:tcW w:w="1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sz w:val="19"/>
                <w:szCs w:val="19"/>
              </w:rPr>
              <w:t>2,812</w:t>
            </w:r>
          </w:p>
        </w:tc>
        <w:tc>
          <w:tcPr>
            <w:tcW w:w="2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sz w:val="19"/>
                <w:szCs w:val="19"/>
              </w:rPr>
              <w:t>4,034</w:t>
            </w:r>
          </w:p>
        </w:tc>
      </w:tr>
      <w:tr w:rsidR="00000000">
        <w:tblPrEx>
          <w:tblCellMar>
            <w:top w:w="0" w:type="dxa"/>
            <w:left w:w="0" w:type="dxa"/>
            <w:bottom w:w="0" w:type="dxa"/>
            <w:right w:w="0" w:type="dxa"/>
          </w:tblCellMar>
        </w:tblPrEx>
        <w:trPr>
          <w:trHeight w:val="255"/>
        </w:trPr>
        <w:tc>
          <w:tcPr>
            <w:tcW w:w="3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earnings from discontinued operations</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9"/>
                <w:szCs w:val="19"/>
              </w:rPr>
              <w:t>2013-2014</w:t>
            </w: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b/>
                <w:bCs/>
                <w:sz w:val="19"/>
                <w:szCs w:val="19"/>
              </w:rPr>
              <w:t>18</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18</w:t>
            </w:r>
          </w:p>
        </w:tc>
      </w:tr>
      <w:tr w:rsidR="00000000">
        <w:tblPrEx>
          <w:tblCellMar>
            <w:top w:w="0" w:type="dxa"/>
            <w:left w:w="0" w:type="dxa"/>
            <w:bottom w:w="0" w:type="dxa"/>
            <w:right w:w="0" w:type="dxa"/>
          </w:tblCellMar>
        </w:tblPrEx>
        <w:trPr>
          <w:trHeight w:val="31"/>
        </w:trPr>
        <w:tc>
          <w:tcPr>
            <w:tcW w:w="3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sz w:val="19"/>
                <w:szCs w:val="19"/>
              </w:rPr>
              <w:t>2012-2013</w:t>
            </w:r>
          </w:p>
        </w:tc>
        <w:tc>
          <w:tcPr>
            <w:tcW w:w="1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sz w:val="19"/>
                <w:szCs w:val="19"/>
              </w:rPr>
              <w:t>41</w:t>
            </w:r>
          </w:p>
        </w:tc>
        <w:tc>
          <w:tcPr>
            <w:tcW w:w="2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sz w:val="19"/>
                <w:szCs w:val="19"/>
              </w:rPr>
              <w:t>42</w:t>
            </w:r>
          </w:p>
        </w:tc>
      </w:tr>
      <w:tr w:rsidR="00000000">
        <w:tblPrEx>
          <w:tblCellMar>
            <w:top w:w="0" w:type="dxa"/>
            <w:left w:w="0" w:type="dxa"/>
            <w:bottom w:w="0" w:type="dxa"/>
            <w:right w:w="0" w:type="dxa"/>
          </w:tblCellMar>
        </w:tblPrEx>
        <w:trPr>
          <w:trHeight w:val="255"/>
        </w:trPr>
        <w:tc>
          <w:tcPr>
            <w:tcW w:w="3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earnings attributable to Procter &amp; Gamble</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9"/>
                <w:szCs w:val="19"/>
              </w:rPr>
              <w:t>2013-2014</w:t>
            </w: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b/>
                <w:bCs/>
                <w:sz w:val="19"/>
                <w:szCs w:val="19"/>
              </w:rPr>
              <w:t>3,027</w:t>
            </w: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3,428</w:t>
            </w:r>
          </w:p>
        </w:tc>
      </w:tr>
      <w:tr w:rsidR="00000000">
        <w:tblPrEx>
          <w:tblCellMar>
            <w:top w:w="0" w:type="dxa"/>
            <w:left w:w="0" w:type="dxa"/>
            <w:bottom w:w="0" w:type="dxa"/>
            <w:right w:w="0" w:type="dxa"/>
          </w:tblCellMar>
        </w:tblPrEx>
        <w:trPr>
          <w:trHeight w:val="31"/>
        </w:trPr>
        <w:tc>
          <w:tcPr>
            <w:tcW w:w="3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6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sz w:val="19"/>
                <w:szCs w:val="19"/>
              </w:rPr>
              <w:t>2012-2013</w:t>
            </w:r>
          </w:p>
        </w:tc>
        <w:tc>
          <w:tcPr>
            <w:tcW w:w="10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65"/>
              <w:jc w:val="right"/>
              <w:rPr>
                <w:rFonts w:ascii="Times New Roman" w:hAnsi="Times New Roman" w:cs="Times New Roman"/>
                <w:sz w:val="24"/>
                <w:szCs w:val="24"/>
              </w:rPr>
            </w:pPr>
            <w:r>
              <w:rPr>
                <w:rFonts w:ascii="Times New Roman" w:hAnsi="Times New Roman" w:cs="Times New Roman"/>
                <w:sz w:val="19"/>
                <w:szCs w:val="19"/>
              </w:rPr>
              <w:t>2,814</w:t>
            </w:r>
          </w:p>
        </w:tc>
        <w:tc>
          <w:tcPr>
            <w:tcW w:w="2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sz w:val="19"/>
                <w:szCs w:val="19"/>
              </w:rPr>
              <w:t>4,057</w:t>
            </w:r>
          </w:p>
        </w:tc>
      </w:tr>
      <w:tr w:rsidR="00000000">
        <w:tblPrEx>
          <w:tblCellMar>
            <w:top w:w="0" w:type="dxa"/>
            <w:left w:w="0" w:type="dxa"/>
            <w:bottom w:w="0" w:type="dxa"/>
            <w:right w:w="0" w:type="dxa"/>
          </w:tblCellMar>
        </w:tblPrEx>
        <w:trPr>
          <w:trHeight w:val="178"/>
        </w:trPr>
        <w:tc>
          <w:tcPr>
            <w:tcW w:w="3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8" w:lineRule="exact"/>
              <w:ind w:left="60"/>
              <w:rPr>
                <w:rFonts w:ascii="Times New Roman" w:hAnsi="Times New Roman" w:cs="Times New Roman"/>
                <w:sz w:val="24"/>
                <w:szCs w:val="24"/>
              </w:rPr>
            </w:pPr>
            <w:r>
              <w:rPr>
                <w:rFonts w:ascii="Times New Roman" w:hAnsi="Times New Roman" w:cs="Times New Roman"/>
                <w:b/>
                <w:bCs/>
                <w:sz w:val="19"/>
                <w:szCs w:val="19"/>
              </w:rPr>
              <w:t>DILUTED NET EARNINGS PER</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280"/>
        </w:trPr>
        <w:tc>
          <w:tcPr>
            <w:tcW w:w="3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 xml:space="preserve">COMMON SHARE: </w:t>
            </w:r>
            <w:r>
              <w:rPr>
                <w:rFonts w:ascii="Times New Roman" w:hAnsi="Times New Roman" w:cs="Times New Roman"/>
                <w:b/>
                <w:bCs/>
                <w:sz w:val="24"/>
                <w:szCs w:val="24"/>
                <w:vertAlign w:val="superscript"/>
              </w:rPr>
              <w:t>(1)</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bl>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0"/>
          <w:szCs w:val="10"/>
        </w:rPr>
        <w:t>(2)</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0"/>
          <w:szCs w:val="10"/>
        </w:rPr>
        <w:t>(2)</w:t>
      </w:r>
    </w:p>
    <w:p w:rsidR="00000000" w:rsidRDefault="0057438D">
      <w:pPr>
        <w:pStyle w:val="DefaultParagraphFont"/>
        <w:widowControl w:val="0"/>
        <w:autoSpaceDE w:val="0"/>
        <w:autoSpaceDN w:val="0"/>
        <w:adjustRightInd w:val="0"/>
        <w:spacing w:after="0" w:line="5"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50.0 %     47.9 %      49.9 %</w:t>
      </w:r>
    </w:p>
    <w:p w:rsidR="00000000" w:rsidRDefault="0057438D">
      <w:pPr>
        <w:pStyle w:val="DefaultParagraphFont"/>
        <w:widowControl w:val="0"/>
        <w:autoSpaceDE w:val="0"/>
        <w:autoSpaceDN w:val="0"/>
        <w:adjustRightInd w:val="0"/>
        <w:spacing w:after="0" w:line="331" w:lineRule="exact"/>
        <w:rPr>
          <w:rFonts w:ascii="Times New Roman" w:hAnsi="Times New Roman" w:cs="Times New Roman"/>
          <w:sz w:val="24"/>
          <w:szCs w:val="24"/>
        </w:rPr>
      </w:pPr>
      <w:r>
        <w:rPr>
          <w:noProof/>
        </w:rPr>
        <mc:AlternateContent>
          <mc:Choice Requires="wps">
            <w:drawing>
              <wp:anchor distT="0" distB="0" distL="114300" distR="114300" simplePos="0" relativeHeight="251749376" behindDoc="1" locked="0" layoutInCell="0" allowOverlap="1">
                <wp:simplePos x="0" y="0"/>
                <wp:positionH relativeFrom="column">
                  <wp:posOffset>-161290</wp:posOffset>
                </wp:positionH>
                <wp:positionV relativeFrom="paragraph">
                  <wp:posOffset>40005</wp:posOffset>
                </wp:positionV>
                <wp:extent cx="2072005" cy="169545"/>
                <wp:effectExtent l="0" t="0" r="0" b="0"/>
                <wp:wrapNone/>
                <wp:docPr id="34"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2005" cy="16954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2.7pt;margin-top:3.15pt;width:163.15pt;height:13.3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K8RfQIAAP0EAAAOAAAAZHJzL2Uyb0RvYy54bWysVNuO0zAQfUfiHyy/d5OUpNtETVd7K0Iq&#10;sGLhA1zbaSwc29hu04L4d8ZOW1rgASFaybE94+MzM2c8u9l1Em25dUKrGmdXKUZcUc2EWtf408fF&#10;aIqR80QxIrXiNd5zh2/mL1/MelPxsW61ZNwiAFGu6k2NW+9NlSSOtrwj7kobrsDYaNsRD0u7Tpgl&#10;PaB3Mhmn6STptWXGasqdg92HwYjnEb9pOPXvm8Zxj2SNgZuPo43jKozJfEaqtSWmFfRAg/wDi44I&#10;BZeeoB6IJ2hjxW9QnaBWO934K6q7RDeNoDzGANFk6S/RPLfE8BgLJMeZU5rc/4Ol77ZPFglW41c5&#10;Rop0UKMPkDWi1pKjMgsJ6o2rwO/ZPNkQojNLTT87pPR9C2781lrdt5wwoBX9k4sDYeHgKFr1bzUD&#10;eLLxOuZq19guAEIW0C6WZH8qCd95RGFznF5DmQuMKNiySVnkRaCUkOp42ljnX3PdoTCpsQXyEZ1s&#10;l84PrkeXyF5LwRZCyriw69W9tGhLQB6Pk/A/oLtzN6mCs9Lh2IA47ABJuCPYAt1Y7m9lNs7Tu3E5&#10;Wkym16N8kRej8jqdjtKsvCsnaV7mD4vvgWCWV61gjKulUPwovSz/u9IemmAQTRQf6mtcFuMixn7B&#10;3p0Hmcbfn4LshIdOlKKr8fTkRKpQ2EfFIGxSeSLkME8u6ceCQA6O35iVKINQ+UFBK832oAKroUjQ&#10;ifBmwKTV9itGPfRfjd2XDbEcI/lGgZLKLM9Dw8ZFXoAKMLLnltW5hSgKUDX2GA3Tez80+cZYsW7h&#10;piwmRulbUF8jojCCMgdWwDssoMdiBIf3IDTx+Tp6/Xy15j8AAAD//wMAUEsDBBQABgAIAAAAIQCV&#10;XQG93wAAAAgBAAAPAAAAZHJzL2Rvd25yZXYueG1sTI/BTsMwEETvSPyDtUjcWpumRDSNUyFUJA5A&#10;1cIHuPHWCcTrELtt+HuWE9xmNaOZt+Vq9J044RDbQBpupgoEUh1sS07D+9vj5A5ETIas6QKhhm+M&#10;sKouL0pT2HCmLZ52yQkuoVgYDU1KfSFlrBv0Jk5Dj8TeIQzeJD4HJ+1gzlzuOzlTKpfetMQLjenx&#10;ocH6c3f0Gka32a6/8ueXzbpvnXn9CPNFeNL6+mq8X4JIOKa/MPziMzpUzLQPR7JRdBoms9s5RzXk&#10;GQj2M6UWIPYsMgWyKuX/B6ofAAAA//8DAFBLAQItABQABgAIAAAAIQC2gziS/gAAAOEBAAATAAAA&#10;AAAAAAAAAAAAAAAAAABbQ29udGVudF9UeXBlc10ueG1sUEsBAi0AFAAGAAgAAAAhADj9If/WAAAA&#10;lAEAAAsAAAAAAAAAAAAAAAAALwEAAF9yZWxzLy5yZWxzUEsBAi0AFAAGAAgAAAAhAMvUrxF9AgAA&#10;/QQAAA4AAAAAAAAAAAAAAAAALgIAAGRycy9lMm9Eb2MueG1sUEsBAi0AFAAGAAgAAAAhAJVdAb3f&#10;AAAACAEAAA8AAAAAAAAAAAAAAAAA1wQAAGRycy9kb3ducmV2LnhtbFBLBQYAAAAABAAEAPMAAADj&#10;BQAAAAA=&#10;" o:allowincell="f" fillcolor="#e6e6e6" stroked="f"/>
            </w:pict>
          </mc:Fallback>
        </mc:AlternateContent>
      </w:r>
    </w:p>
    <w:tbl>
      <w:tblPr>
        <w:tblW w:w="0" w:type="auto"/>
        <w:tblLayout w:type="fixed"/>
        <w:tblCellMar>
          <w:left w:w="0" w:type="dxa"/>
          <w:right w:w="0" w:type="dxa"/>
        </w:tblCellMar>
        <w:tblLook w:val="0000" w:firstRow="0" w:lastRow="0" w:firstColumn="0" w:lastColumn="0" w:noHBand="0" w:noVBand="0"/>
      </w:tblPr>
      <w:tblGrid>
        <w:gridCol w:w="880"/>
        <w:gridCol w:w="1000"/>
        <w:gridCol w:w="280"/>
        <w:gridCol w:w="640"/>
      </w:tblGrid>
      <w:tr w:rsidR="00000000">
        <w:tblPrEx>
          <w:tblCellMar>
            <w:top w:w="0" w:type="dxa"/>
            <w:left w:w="0" w:type="dxa"/>
            <w:bottom w:w="0" w:type="dxa"/>
            <w:right w:w="0" w:type="dxa"/>
          </w:tblCellMar>
        </w:tblPrEx>
        <w:trPr>
          <w:trHeight w:val="254"/>
        </w:trPr>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9"/>
                <w:szCs w:val="19"/>
              </w:rPr>
              <w:t>$  2,603</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9"/>
                <w:szCs w:val="19"/>
              </w:rPr>
              <w:t>$ 2,611</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$11,707</w:t>
            </w:r>
          </w:p>
        </w:tc>
      </w:tr>
      <w:tr w:rsidR="00000000">
        <w:tblPrEx>
          <w:tblCellMar>
            <w:top w:w="0" w:type="dxa"/>
            <w:left w:w="0" w:type="dxa"/>
            <w:bottom w:w="0" w:type="dxa"/>
            <w:right w:w="0" w:type="dxa"/>
          </w:tblCellMar>
        </w:tblPrEx>
        <w:trPr>
          <w:trHeight w:val="286"/>
        </w:trPr>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sz w:val="19"/>
                <w:szCs w:val="19"/>
              </w:rPr>
              <w:t>2,562</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sz w:val="19"/>
                <w:szCs w:val="19"/>
              </w:rPr>
              <w:t>1,893</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(3)</w:t>
            </w: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11,301</w:t>
            </w:r>
          </w:p>
        </w:tc>
      </w:tr>
      <w:tr w:rsidR="00000000">
        <w:tblPrEx>
          <w:tblCellMar>
            <w:top w:w="0" w:type="dxa"/>
            <w:left w:w="0" w:type="dxa"/>
            <w:bottom w:w="0" w:type="dxa"/>
            <w:right w:w="0" w:type="dxa"/>
          </w:tblCellMar>
        </w:tblPrEx>
        <w:trPr>
          <w:trHeight w:val="286"/>
        </w:trPr>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9"/>
                <w:szCs w:val="19"/>
              </w:rPr>
              <w:t>33</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9"/>
                <w:szCs w:val="19"/>
              </w:rPr>
              <w:t>9</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78</w:t>
            </w:r>
          </w:p>
        </w:tc>
      </w:tr>
      <w:tr w:rsidR="00000000">
        <w:tblPrEx>
          <w:tblCellMar>
            <w:top w:w="0" w:type="dxa"/>
            <w:left w:w="0" w:type="dxa"/>
            <w:bottom w:w="0" w:type="dxa"/>
            <w:right w:w="0" w:type="dxa"/>
          </w:tblCellMar>
        </w:tblPrEx>
        <w:trPr>
          <w:trHeight w:val="287"/>
        </w:trPr>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sz w:val="19"/>
                <w:szCs w:val="19"/>
              </w:rPr>
              <w:t>29</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5"/>
              <w:jc w:val="right"/>
              <w:rPr>
                <w:rFonts w:ascii="Times New Roman" w:hAnsi="Times New Roman" w:cs="Times New Roman"/>
                <w:sz w:val="24"/>
                <w:szCs w:val="24"/>
              </w:rPr>
            </w:pPr>
            <w:r>
              <w:rPr>
                <w:rFonts w:ascii="Times New Roman" w:hAnsi="Times New Roman" w:cs="Times New Roman"/>
                <w:sz w:val="19"/>
                <w:szCs w:val="19"/>
              </w:rPr>
              <w:t>(11)</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101</w:t>
            </w:r>
          </w:p>
        </w:tc>
      </w:tr>
      <w:tr w:rsidR="00000000">
        <w:tblPrEx>
          <w:tblCellMar>
            <w:top w:w="0" w:type="dxa"/>
            <w:left w:w="0" w:type="dxa"/>
            <w:bottom w:w="0" w:type="dxa"/>
            <w:right w:w="0" w:type="dxa"/>
          </w:tblCellMar>
        </w:tblPrEx>
        <w:trPr>
          <w:trHeight w:val="286"/>
        </w:trPr>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9"/>
                <w:szCs w:val="19"/>
              </w:rPr>
              <w:t>2,609</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9"/>
                <w:szCs w:val="19"/>
              </w:rPr>
              <w:t>2,579</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11,643</w:t>
            </w:r>
          </w:p>
        </w:tc>
      </w:tr>
      <w:tr w:rsidR="00000000">
        <w:tblPrEx>
          <w:tblCellMar>
            <w:top w:w="0" w:type="dxa"/>
            <w:left w:w="0" w:type="dxa"/>
            <w:bottom w:w="0" w:type="dxa"/>
            <w:right w:w="0" w:type="dxa"/>
          </w:tblCellMar>
        </w:tblPrEx>
        <w:trPr>
          <w:trHeight w:val="286"/>
        </w:trPr>
        <w:tc>
          <w:tcPr>
            <w:tcW w:w="8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sz w:val="19"/>
                <w:szCs w:val="19"/>
              </w:rPr>
              <w:t>2,566</w:t>
            </w:r>
          </w:p>
        </w:tc>
        <w:tc>
          <w:tcPr>
            <w:tcW w:w="1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sz w:val="19"/>
                <w:szCs w:val="19"/>
              </w:rPr>
              <w:t>1,875</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(3)</w:t>
            </w:r>
          </w:p>
        </w:tc>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11,312</w:t>
            </w: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700" w:bottom="346" w:left="900" w:header="720" w:footer="720" w:gutter="0"/>
          <w:cols w:num="3" w:space="60" w:equalWidth="0">
            <w:col w:w="6660" w:space="80"/>
            <w:col w:w="120" w:space="60"/>
            <w:col w:w="3000"/>
          </w:cols>
          <w:noEndnote/>
        </w:sectPr>
      </w:pPr>
      <w:r>
        <w:rPr>
          <w:noProof/>
        </w:rPr>
        <mc:AlternateContent>
          <mc:Choice Requires="wps">
            <w:drawing>
              <wp:anchor distT="0" distB="0" distL="114300" distR="114300" simplePos="0" relativeHeight="251750400" behindDoc="1" locked="0" layoutInCell="0" allowOverlap="1">
                <wp:simplePos x="0" y="0"/>
                <wp:positionH relativeFrom="column">
                  <wp:posOffset>-161290</wp:posOffset>
                </wp:positionH>
                <wp:positionV relativeFrom="paragraph">
                  <wp:posOffset>-889000</wp:posOffset>
                </wp:positionV>
                <wp:extent cx="2072005" cy="182245"/>
                <wp:effectExtent l="0" t="0" r="0" b="0"/>
                <wp:wrapNone/>
                <wp:docPr id="33"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2005" cy="18224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26" style="position:absolute;margin-left:-12.7pt;margin-top:-70pt;width:163.15pt;height:14.3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0lfwIAAP0EAAAOAAAAZHJzL2Uyb0RvYy54bWysVG1v2yAQ/j5p/wHxPfVLnTS24lRt2kyT&#10;uq1atx9AAMdoGBiQOO20/74DJ1my7cM0LZEwcMfDc3fPMbvedRJtuXVCqxpnFylGXFHNhFrX+POn&#10;5WiKkfNEMSK14jV+5g5fz1+/mvWm4rlutWTcIgBRrupNjVvvTZUkjra8I+5CG67A2GjbEQ9Lu06Y&#10;JT2gdzLJ03SS9NoyYzXlzsHu3WDE84jfNJz6D03juEeyxsDNx9HGcRXGZD4j1doS0wq6p0H+gUVH&#10;hIJLj1B3xBO0seI3qE5Qq51u/AXVXaKbRlAeY4BosvSXaJ5aYniMBZLjzDFN7v/B0vfbR4sEq/Hl&#10;JUaKdFCjj5A1otaSozIPCeqNq8DvyTzaEKIzD5p+cUjpRQtu/MZa3becMKCVBf/k7EBYODiKVv07&#10;zQCebLyOudo1tguAkAW0iyV5PpaE7zyisJmnV1DmMUYUbNk0z4txvIJUh9PGOv+G6w6FSY0tkI/o&#10;ZPvgfGBDqoNLZK+lYEshZVzY9WohLdoSkMf9JPz36O7UTargrHQ4NiAOO0AS7gi2QDeW+1uZ5UV6&#10;m5ej5WR6NSqWxXhUXqXTUZqVt+UkLcribvk9EMyKqhWMcfUgFD9ILyv+rrT7JhhEE8WH+hqX43wc&#10;Yz9j706DTOPvT0F2wkMnStHVeHp0IlUo7L1iEDapPBFymCfn9GOWIQeHb8xKlEGo/KCglWbPoAKr&#10;oUjQifBmwKTV9gWjHvqvxu7rhliOkXyrQEllVhShYeOiGIMKMLKnltWphSgKUDX2GA3ThR+afGOs&#10;WLdwUxYTo/QNqK8RURhBmQOrvWahx2IE+/cgNPHpOnr9fLXmPwAAAP//AwBQSwMEFAAGAAgAAAAh&#10;ACXIvWziAAAADQEAAA8AAABkcnMvZG93bnJldi54bWxMj8FOwzAQRO9I/IO1SNxaO22oaIhTIVQk&#10;DkDVwgds48UJxHaI3Tb8PdsT3HZ3RrNvytXoOnGkIbbBa8imCgT5OpjWWw3vb4+TWxAxoTfYBU8a&#10;fijCqrq8KLEw4eS3dNwlKzjExwI1NCn1hZSxbshhnIaePGsfYXCYeB2sNAOeONx1cqbUQjpsPX9o&#10;sKeHhuqv3cFpGO1mu/5ePL9s1n1r8fUz5MvwpPX11Xh/ByLRmP7McMZndKiYaR8O3kTRaZjMbnK2&#10;8pDliluxZa7UEsT+fMqyOciqlP9bVL8AAAD//wMAUEsBAi0AFAAGAAgAAAAhALaDOJL+AAAA4QEA&#10;ABMAAAAAAAAAAAAAAAAAAAAAAFtDb250ZW50X1R5cGVzXS54bWxQSwECLQAUAAYACAAAACEAOP0h&#10;/9YAAACUAQAACwAAAAAAAAAAAAAAAAAvAQAAX3JlbHMvLnJlbHNQSwECLQAUAAYACAAAACEAPrvd&#10;JX8CAAD9BAAADgAAAAAAAAAAAAAAAAAuAgAAZHJzL2Uyb0RvYy54bWxQSwECLQAUAAYACAAAACEA&#10;Jci9bOIAAAANAQAADwAAAAAAAAAAAAAAAADZBAAAZHJzL2Rvd25yZXYueG1sUEsFBgAAAAAEAAQA&#10;8wAAAOgFAAAAAA==&#10;" o:allowincell="f" fillcolor="#e6e6e6" stroked="f"/>
            </w:pict>
          </mc:Fallback>
        </mc:AlternateContent>
      </w:r>
      <w:r>
        <w:rPr>
          <w:noProof/>
        </w:rPr>
        <mc:AlternateContent>
          <mc:Choice Requires="wps">
            <w:drawing>
              <wp:anchor distT="0" distB="0" distL="114300" distR="114300" simplePos="0" relativeHeight="251751424" behindDoc="1" locked="0" layoutInCell="0" allowOverlap="1">
                <wp:simplePos x="0" y="0"/>
                <wp:positionH relativeFrom="column">
                  <wp:posOffset>-161290</wp:posOffset>
                </wp:positionH>
                <wp:positionV relativeFrom="paragraph">
                  <wp:posOffset>-525145</wp:posOffset>
                </wp:positionV>
                <wp:extent cx="2072005" cy="181610"/>
                <wp:effectExtent l="0" t="0" r="0" b="0"/>
                <wp:wrapNone/>
                <wp:docPr id="3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2005" cy="181610"/>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margin-left:-12.7pt;margin-top:-41.35pt;width:163.15pt;height:14.3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GI3gAIAAP0EAAAOAAAAZHJzL2Uyb0RvYy54bWysVG1v2yAQ/j5p/wHxPfVLnTS24lRt2kyT&#10;uq1atx9AAMdoGBiQOO20/74DJ1my7cM0LZEwcMfxPHfPMbvedRJtuXVCqxpnFylGXFHNhFrX+POn&#10;5WiKkfNEMSK14jV+5g5fz1+/mvWm4rlutWTcIgiiXNWbGrfemypJHG15R9yFNlyBsdG2Ix6Wdp0w&#10;S3qI3skkT9NJ0mvLjNWUOwe7d4MRz2P8puHUf2gaxz2SNQZsPo42jqswJvMZqdaWmFbQPQzyDyg6&#10;IhRcegx1RzxBGyt+C9UJarXTjb+gukt00wjKIwdgk6W/sHlqieGRCyTHmWOa3P8LS99vHy0SrMaX&#10;OUaKdFCjj5A1otaSo/IyJKg3rgK/J/NoA0VnHjT94pDSixbc+I21um85YQArC/7J2YGwcHAUrfp3&#10;mkF4svE65mrX2C4EhCygXSzJ87EkfOcRhc08vYIyjzGiYMum2SSLNUtIdThtrPNvuO5QmNTYAvgY&#10;nWwfnA9oSHVwiei1FGwppIwLu14tpEVbAvK4n4R/JAAkT92kCs5Kh2NDxGEHQMIdwRbgxnJ/K7O8&#10;SG/zcrScTK9GxbIYj8qrdDpKs/K2nKRFWdwtvweAWVG1gjGuHoTiB+llxd+Vdt8Eg2ii+FBf43Kc&#10;jyP3M/TulGQaf38i2QkPnShFV+Pp0YlUobD3igFtUnki5DBPzuHHLEMODt+YlSiDUPlBQSvNnkEF&#10;VkORoBPhzYBJq+0LRj30X43d1w2xHCP5VoGSyqwoQsPGRTEGFWBkTy2rUwtRFELV2GM0TBd+aPKN&#10;sWLdwk1ZTIzSN6C+RkRhBGUOqPaahR6LDPbvQWji03X0+vlqzX8AAAD//wMAUEsDBBQABgAIAAAA&#10;IQAPbSzP4QAAAAsBAAAPAAAAZHJzL2Rvd25yZXYueG1sTI/LTsMwEEX3SPyDNUjsWrshLW2IUyFU&#10;JBaUqo8PcJPBCcTjELtt+HuGFezmcXTnTL4cXCvO2IfGk4bJWIFAKn3VkNVw2D+P5iBCNFSZ1hNq&#10;+MYAy+L6KjdZ5S+0xfMuWsEhFDKjoY6xy6QMZY3OhLHvkHj37ntnIre9lVVvLhzuWpkoNZPONMQX&#10;atPhU43l5+7kNAx2s119zV7Xm1XXWPP24dOFf9H69mZ4fAARcYh/MPzqszoU7HT0J6qCaDWMkmnK&#10;KBfz5B4EE3dKLUAceTJNJyCLXP7/ofgBAAD//wMAUEsBAi0AFAAGAAgAAAAhALaDOJL+AAAA4QEA&#10;ABMAAAAAAAAAAAAAAAAAAAAAAFtDb250ZW50X1R5cGVzXS54bWxQSwECLQAUAAYACAAAACEAOP0h&#10;/9YAAACUAQAACwAAAAAAAAAAAAAAAAAvAQAAX3JlbHMvLnJlbHNQSwECLQAUAAYACAAAACEAVmBi&#10;N4ACAAD9BAAADgAAAAAAAAAAAAAAAAAuAgAAZHJzL2Uyb0RvYy54bWxQSwECLQAUAAYACAAAACEA&#10;D20sz+EAAAALAQAADwAAAAAAAAAAAAAAAADaBAAAZHJzL2Rvd25yZXYueG1sUEsFBgAAAAAEAAQA&#10;8wAAAOgFAAAAAA==&#10;" o:allowincell="f" fillcolor="#e6e6e6" stroked="f"/>
            </w:pict>
          </mc:Fallback>
        </mc:AlternateContent>
      </w:r>
      <w:r>
        <w:rPr>
          <w:noProof/>
        </w:rPr>
        <mc:AlternateContent>
          <mc:Choice Requires="wps">
            <w:drawing>
              <wp:anchor distT="0" distB="0" distL="114300" distR="114300" simplePos="0" relativeHeight="251752448" behindDoc="1" locked="0" layoutInCell="0" allowOverlap="1">
                <wp:simplePos x="0" y="0"/>
                <wp:positionH relativeFrom="column">
                  <wp:posOffset>-161290</wp:posOffset>
                </wp:positionH>
                <wp:positionV relativeFrom="paragraph">
                  <wp:posOffset>-161290</wp:posOffset>
                </wp:positionV>
                <wp:extent cx="2072005" cy="180975"/>
                <wp:effectExtent l="0" t="0" r="0" b="0"/>
                <wp:wrapNone/>
                <wp:docPr id="31"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2005" cy="18097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12.7pt;margin-top:-12.7pt;width:163.15pt;height:14.2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twfQIAAP0EAAAOAAAAZHJzL2Uyb0RvYy54bWysVNuO0zAQfUfiHyy/d5OU9JJo09XeipAK&#10;rFj4ANd2EgvHNrbbtCD+nbHTlhZ4QIhWcmzP+PjMzBlf3+w6ibbcOqFVhbOrFCOuqGZCNRX+9HE5&#10;mmPkPFGMSK14hffc4ZvFyxfXvSn5WLdaMm4RgChX9qbCrfemTBJHW94Rd6UNV2Cste2Ih6VtEmZJ&#10;D+idTMZpOk16bZmxmnLnYPdhMOJFxK9rTv37unbcI1lh4ObjaOO4DmOyuCZlY4lpBT3QIP/AoiNC&#10;waUnqAfiCdpY8RtUJ6jVTtf+iuou0XUtKI8xQDRZ+ks0zy0xPMYCyXHmlCb3/2Dpu+2TRYJV+FWG&#10;kSId1OgDZI2oRnJU5CFBvXEl+D2bJxtCdGal6WeHlL5vwY3fWqv7lhMGtLLgn1wcCAsHR9G6f6sZ&#10;wJON1zFXu9p2ARCygHaxJPtTSfjOIwqb43QGZZ5gRMGWzdNiNolXkPJ42ljnX3PdoTCpsAXyEZ1s&#10;V84HNqQ8ukT2Wgq2FFLGhW3W99KiLQF5PE7D/4Duzt2kCs5Kh2MD4rADJOGOYAt0Y7m/Fdk4T+/G&#10;xWg5nc9G+TKfjIpZOh+lWXFXTNO8yB+W3wPBLC9bwRhXK6H4UXpZ/nelPTTBIJooPtRXuJiMJzH2&#10;C/buPMg0/v4UZCc8dKIUXYXnJydShsI+KgZhk9ITIYd5ckk/ZhlycPzGrEQZhMoPClprtgcVWA1F&#10;gk6ENwMmrbZfMeqh/yrsvmyI5RjJNwqUVGR5Hho2LvIJqAAje25Zn1uIogBVYY/RML33Q5NvjBVN&#10;CzdlMTFK34L6ahGFEZQ5sDpoFnosRnB4D0ITn6+j189Xa/EDAAD//wMAUEsDBBQABgAIAAAAIQBO&#10;wKZZ3AAAAAkBAAAPAAAAZHJzL2Rvd25yZXYueG1sTI/BTsMwDIbvSLxDZCRuW7IxJlaaTggNiQNs&#10;2uABvMa0hcYpTbaVt8ccENx+y59+f86Xg2/VkfrYBLYwGRtQxGVwDVcWXl8eRjegYkJ22AYmC18U&#10;YVmcn+WYuXDiLR13qVJSwjFDC3VKXaZ1LGvyGMehI5bdW+g9Jhn7SrseT1LuWz01Zq49NiwXauzo&#10;vqbyY3fwFoZqs119zp+eN6uuqXD9HmaL8Gjt5cVwdwsq0ZD+YPjRF3UoxGkfDuyiai2MptczQX+D&#10;EFfGLEDtJUxAF7n+/0HxDQAA//8DAFBLAQItABQABgAIAAAAIQC2gziS/gAAAOEBAAATAAAAAAAA&#10;AAAAAAAAAAAAAABbQ29udGVudF9UeXBlc10ueG1sUEsBAi0AFAAGAAgAAAAhADj9If/WAAAAlAEA&#10;AAsAAAAAAAAAAAAAAAAALwEAAF9yZWxzLy5yZWxzUEsBAi0AFAAGAAgAAAAhAM0IC3B9AgAA/QQA&#10;AA4AAAAAAAAAAAAAAAAALgIAAGRycy9lMm9Eb2MueG1sUEsBAi0AFAAGAAgAAAAhAE7AplncAAAA&#10;CQEAAA8AAAAAAAAAAAAAAAAA1wQAAGRycy9kb3ducmV2LnhtbFBLBQYAAAAABAAEAPMAAADgBQAA&#10;AAA=&#10;" o:allowincell="f" fillcolor="#e6e6e6" stroked="f"/>
            </w:pict>
          </mc:Fallback>
        </mc:AlternateContent>
      </w:r>
    </w:p>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4"/>
          <w:szCs w:val="24"/>
        </w:rPr>
      </w:pPr>
    </w:p>
    <w:tbl>
      <w:tblPr>
        <w:tblW w:w="0" w:type="auto"/>
        <w:tblInd w:w="45" w:type="dxa"/>
        <w:tblLayout w:type="fixed"/>
        <w:tblCellMar>
          <w:left w:w="0" w:type="dxa"/>
          <w:right w:w="0" w:type="dxa"/>
        </w:tblCellMar>
        <w:tblLook w:val="0000" w:firstRow="0" w:lastRow="0" w:firstColumn="0" w:lastColumn="0" w:noHBand="0" w:noVBand="0"/>
      </w:tblPr>
      <w:tblGrid>
        <w:gridCol w:w="3360"/>
        <w:gridCol w:w="1280"/>
        <w:gridCol w:w="320"/>
        <w:gridCol w:w="620"/>
        <w:gridCol w:w="400"/>
        <w:gridCol w:w="680"/>
        <w:gridCol w:w="1140"/>
        <w:gridCol w:w="1060"/>
        <w:gridCol w:w="1060"/>
      </w:tblGrid>
      <w:tr w:rsidR="00000000">
        <w:tblPrEx>
          <w:tblCellMar>
            <w:top w:w="0" w:type="dxa"/>
            <w:left w:w="0" w:type="dxa"/>
            <w:bottom w:w="0" w:type="dxa"/>
            <w:right w:w="0" w:type="dxa"/>
          </w:tblCellMar>
        </w:tblPrEx>
        <w:trPr>
          <w:trHeight w:val="266"/>
        </w:trPr>
        <w:tc>
          <w:tcPr>
            <w:tcW w:w="33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Earnings from continuing operations</w:t>
            </w:r>
          </w:p>
        </w:tc>
        <w:tc>
          <w:tcPr>
            <w:tcW w:w="1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9"/>
                <w:szCs w:val="19"/>
              </w:rPr>
              <w:t>2013-2014</w:t>
            </w:r>
          </w:p>
        </w:tc>
        <w:tc>
          <w:tcPr>
            <w:tcW w:w="3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9"/>
                <w:szCs w:val="19"/>
              </w:rPr>
              <w:t>$</w:t>
            </w:r>
          </w:p>
        </w:tc>
        <w:tc>
          <w:tcPr>
            <w:tcW w:w="6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b/>
                <w:bCs/>
                <w:sz w:val="19"/>
                <w:szCs w:val="19"/>
              </w:rPr>
              <w:t>1.03</w:t>
            </w:r>
          </w:p>
        </w:tc>
        <w:tc>
          <w:tcPr>
            <w:tcW w:w="4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45"/>
              <w:jc w:val="right"/>
              <w:rPr>
                <w:rFonts w:ascii="Times New Roman" w:hAnsi="Times New Roman" w:cs="Times New Roman"/>
                <w:sz w:val="24"/>
                <w:szCs w:val="24"/>
              </w:rPr>
            </w:pPr>
            <w:r>
              <w:rPr>
                <w:rFonts w:ascii="Times New Roman" w:hAnsi="Times New Roman" w:cs="Times New Roman"/>
                <w:b/>
                <w:bCs/>
                <w:sz w:val="19"/>
                <w:szCs w:val="19"/>
              </w:rPr>
              <w:t>$</w:t>
            </w:r>
          </w:p>
        </w:tc>
        <w:tc>
          <w:tcPr>
            <w:tcW w:w="6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1.17</w:t>
            </w:r>
          </w:p>
        </w:tc>
        <w:tc>
          <w:tcPr>
            <w:tcW w:w="114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9"/>
                <w:szCs w:val="19"/>
              </w:rPr>
              <w:t>$   0.89</w:t>
            </w:r>
          </w:p>
        </w:tc>
        <w:tc>
          <w:tcPr>
            <w:tcW w:w="10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b/>
                <w:bCs/>
                <w:sz w:val="19"/>
                <w:szCs w:val="19"/>
              </w:rPr>
              <w:t>$  0.89</w:t>
            </w:r>
          </w:p>
        </w:tc>
        <w:tc>
          <w:tcPr>
            <w:tcW w:w="106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  3.98</w:t>
            </w:r>
          </w:p>
        </w:tc>
      </w:tr>
      <w:tr w:rsidR="00000000">
        <w:tblPrEx>
          <w:tblCellMar>
            <w:top w:w="0" w:type="dxa"/>
            <w:left w:w="0" w:type="dxa"/>
            <w:bottom w:w="0" w:type="dxa"/>
            <w:right w:w="0" w:type="dxa"/>
          </w:tblCellMar>
        </w:tblPrEx>
        <w:trPr>
          <w:trHeight w:val="255"/>
        </w:trPr>
        <w:tc>
          <w:tcPr>
            <w:tcW w:w="3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sz w:val="19"/>
                <w:szCs w:val="19"/>
              </w:rPr>
              <w:t>2012-2013</w:t>
            </w: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0.95</w:t>
            </w:r>
          </w:p>
        </w:tc>
        <w:tc>
          <w:tcPr>
            <w:tcW w:w="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sz w:val="19"/>
                <w:szCs w:val="19"/>
              </w:rPr>
              <w:t>1.38</w:t>
            </w: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sz w:val="19"/>
                <w:szCs w:val="19"/>
              </w:rPr>
              <w:t>0.87</w:t>
            </w: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sz w:val="19"/>
                <w:szCs w:val="19"/>
              </w:rPr>
              <w:t>0.64</w:t>
            </w: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sz w:val="19"/>
                <w:szCs w:val="19"/>
              </w:rPr>
              <w:t>3.83</w:t>
            </w:r>
          </w:p>
        </w:tc>
      </w:tr>
      <w:tr w:rsidR="00000000">
        <w:tblPrEx>
          <w:tblCellMar>
            <w:top w:w="0" w:type="dxa"/>
            <w:left w:w="0" w:type="dxa"/>
            <w:bottom w:w="0" w:type="dxa"/>
            <w:right w:w="0" w:type="dxa"/>
          </w:tblCellMar>
        </w:tblPrEx>
        <w:trPr>
          <w:trHeight w:val="31"/>
        </w:trPr>
        <w:tc>
          <w:tcPr>
            <w:tcW w:w="3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3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Earnings from discontinued operations</w:t>
            </w:r>
          </w:p>
        </w:tc>
        <w:tc>
          <w:tcPr>
            <w:tcW w:w="1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9"/>
                <w:szCs w:val="19"/>
              </w:rPr>
              <w:t>2013-2014</w:t>
            </w:r>
          </w:p>
        </w:tc>
        <w:tc>
          <w:tcPr>
            <w:tcW w:w="3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b/>
                <w:bCs/>
                <w:sz w:val="19"/>
                <w:szCs w:val="19"/>
              </w:rPr>
              <w:t>0.01</w:t>
            </w:r>
          </w:p>
        </w:tc>
        <w:tc>
          <w:tcPr>
            <w:tcW w:w="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0.01</w:t>
            </w:r>
          </w:p>
        </w:tc>
        <w:tc>
          <w:tcPr>
            <w:tcW w:w="1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9"/>
                <w:szCs w:val="19"/>
              </w:rPr>
              <w:t>0.01</w:t>
            </w:r>
          </w:p>
        </w:tc>
        <w:tc>
          <w:tcPr>
            <w:tcW w:w="1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b/>
                <w:bCs/>
                <w:sz w:val="19"/>
                <w:szCs w:val="19"/>
              </w:rPr>
              <w:t>—</w:t>
            </w:r>
          </w:p>
        </w:tc>
        <w:tc>
          <w:tcPr>
            <w:tcW w:w="1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0.03</w:t>
            </w:r>
          </w:p>
        </w:tc>
      </w:tr>
      <w:tr w:rsidR="00000000">
        <w:tblPrEx>
          <w:tblCellMar>
            <w:top w:w="0" w:type="dxa"/>
            <w:left w:w="0" w:type="dxa"/>
            <w:bottom w:w="0" w:type="dxa"/>
            <w:right w:w="0" w:type="dxa"/>
          </w:tblCellMar>
        </w:tblPrEx>
        <w:trPr>
          <w:trHeight w:val="255"/>
        </w:trPr>
        <w:tc>
          <w:tcPr>
            <w:tcW w:w="3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sz w:val="19"/>
                <w:szCs w:val="19"/>
              </w:rPr>
              <w:t>2012-2013</w:t>
            </w: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0.01</w:t>
            </w:r>
          </w:p>
        </w:tc>
        <w:tc>
          <w:tcPr>
            <w:tcW w:w="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sz w:val="19"/>
                <w:szCs w:val="19"/>
              </w:rPr>
              <w:t>0.01</w:t>
            </w: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sz w:val="19"/>
                <w:szCs w:val="19"/>
              </w:rPr>
              <w:t>0.01</w:t>
            </w: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sz w:val="19"/>
                <w:szCs w:val="19"/>
              </w:rPr>
              <w:t>—</w:t>
            </w: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sz w:val="19"/>
                <w:szCs w:val="19"/>
              </w:rPr>
              <w:t>0.03</w:t>
            </w:r>
          </w:p>
        </w:tc>
      </w:tr>
      <w:tr w:rsidR="00000000">
        <w:tblPrEx>
          <w:tblCellMar>
            <w:top w:w="0" w:type="dxa"/>
            <w:left w:w="0" w:type="dxa"/>
            <w:bottom w:w="0" w:type="dxa"/>
            <w:right w:w="0" w:type="dxa"/>
          </w:tblCellMar>
        </w:tblPrEx>
        <w:trPr>
          <w:trHeight w:val="31"/>
        </w:trPr>
        <w:tc>
          <w:tcPr>
            <w:tcW w:w="3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33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Net earnings</w:t>
            </w:r>
          </w:p>
        </w:tc>
        <w:tc>
          <w:tcPr>
            <w:tcW w:w="1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b/>
                <w:bCs/>
                <w:sz w:val="19"/>
                <w:szCs w:val="19"/>
              </w:rPr>
              <w:t>2013-2014</w:t>
            </w:r>
          </w:p>
        </w:tc>
        <w:tc>
          <w:tcPr>
            <w:tcW w:w="3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b/>
                <w:bCs/>
                <w:sz w:val="19"/>
                <w:szCs w:val="19"/>
              </w:rPr>
              <w:t>1.04</w:t>
            </w:r>
          </w:p>
        </w:tc>
        <w:tc>
          <w:tcPr>
            <w:tcW w:w="4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1.18</w:t>
            </w:r>
          </w:p>
        </w:tc>
        <w:tc>
          <w:tcPr>
            <w:tcW w:w="114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b/>
                <w:bCs/>
                <w:sz w:val="19"/>
                <w:szCs w:val="19"/>
              </w:rPr>
              <w:t>0.90</w:t>
            </w:r>
          </w:p>
        </w:tc>
        <w:tc>
          <w:tcPr>
            <w:tcW w:w="1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b/>
                <w:bCs/>
                <w:sz w:val="19"/>
                <w:szCs w:val="19"/>
              </w:rPr>
              <w:t>0.89</w:t>
            </w:r>
          </w:p>
        </w:tc>
        <w:tc>
          <w:tcPr>
            <w:tcW w:w="106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b/>
                <w:bCs/>
                <w:sz w:val="19"/>
                <w:szCs w:val="19"/>
              </w:rPr>
              <w:t>4.01</w:t>
            </w:r>
          </w:p>
        </w:tc>
      </w:tr>
      <w:tr w:rsidR="00000000">
        <w:tblPrEx>
          <w:tblCellMar>
            <w:top w:w="0" w:type="dxa"/>
            <w:left w:w="0" w:type="dxa"/>
            <w:bottom w:w="0" w:type="dxa"/>
            <w:right w:w="0" w:type="dxa"/>
          </w:tblCellMar>
        </w:tblPrEx>
        <w:trPr>
          <w:trHeight w:val="255"/>
        </w:trPr>
        <w:tc>
          <w:tcPr>
            <w:tcW w:w="3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
              <w:jc w:val="right"/>
              <w:rPr>
                <w:rFonts w:ascii="Times New Roman" w:hAnsi="Times New Roman" w:cs="Times New Roman"/>
                <w:sz w:val="24"/>
                <w:szCs w:val="24"/>
              </w:rPr>
            </w:pPr>
            <w:r>
              <w:rPr>
                <w:rFonts w:ascii="Times New Roman" w:hAnsi="Times New Roman" w:cs="Times New Roman"/>
                <w:sz w:val="19"/>
                <w:szCs w:val="19"/>
              </w:rPr>
              <w:t>2012-2013</w:t>
            </w: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New Roman" w:hAnsi="Times New Roman" w:cs="Times New Roman"/>
                <w:sz w:val="19"/>
                <w:szCs w:val="19"/>
              </w:rPr>
              <w:t>0.96</w:t>
            </w:r>
          </w:p>
        </w:tc>
        <w:tc>
          <w:tcPr>
            <w:tcW w:w="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sz w:val="19"/>
                <w:szCs w:val="19"/>
              </w:rPr>
              <w:t>1.39</w:t>
            </w:r>
          </w:p>
        </w:tc>
        <w:tc>
          <w:tcPr>
            <w:tcW w:w="1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New Roman" w:hAnsi="Times New Roman" w:cs="Times New Roman"/>
                <w:sz w:val="19"/>
                <w:szCs w:val="19"/>
              </w:rPr>
              <w:t>0.88</w:t>
            </w: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45"/>
              <w:jc w:val="right"/>
              <w:rPr>
                <w:rFonts w:ascii="Times New Roman" w:hAnsi="Times New Roman" w:cs="Times New Roman"/>
                <w:sz w:val="24"/>
                <w:szCs w:val="24"/>
              </w:rPr>
            </w:pPr>
            <w:r>
              <w:rPr>
                <w:rFonts w:ascii="Times New Roman" w:hAnsi="Times New Roman" w:cs="Times New Roman"/>
                <w:sz w:val="19"/>
                <w:szCs w:val="19"/>
              </w:rPr>
              <w:t>0.64</w:t>
            </w:r>
          </w:p>
        </w:tc>
        <w:tc>
          <w:tcPr>
            <w:tcW w:w="10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05"/>
              <w:jc w:val="right"/>
              <w:rPr>
                <w:rFonts w:ascii="Times New Roman" w:hAnsi="Times New Roman" w:cs="Times New Roman"/>
                <w:sz w:val="24"/>
                <w:szCs w:val="24"/>
              </w:rPr>
            </w:pPr>
            <w:r>
              <w:rPr>
                <w:rFonts w:ascii="Times New Roman" w:hAnsi="Times New Roman" w:cs="Times New Roman"/>
                <w:sz w:val="19"/>
                <w:szCs w:val="19"/>
              </w:rPr>
              <w:t>3.86</w:t>
            </w:r>
          </w:p>
        </w:tc>
      </w:tr>
    </w:tbl>
    <w:p w:rsidR="00000000" w:rsidRDefault="0057438D">
      <w:pPr>
        <w:pStyle w:val="DefaultParagraphFont"/>
        <w:widowControl w:val="0"/>
        <w:autoSpaceDE w:val="0"/>
        <w:autoSpaceDN w:val="0"/>
        <w:adjustRightInd w:val="0"/>
        <w:spacing w:after="0" w:line="15" w:lineRule="exact"/>
        <w:rPr>
          <w:rFonts w:ascii="Times New Roman" w:hAnsi="Times New Roman" w:cs="Times New Roman"/>
          <w:sz w:val="24"/>
          <w:szCs w:val="24"/>
        </w:rPr>
      </w:pPr>
    </w:p>
    <w:p w:rsidR="00000000" w:rsidRDefault="0057438D">
      <w:pPr>
        <w:pStyle w:val="DefaultParagraphFont"/>
        <w:widowControl w:val="0"/>
        <w:numPr>
          <w:ilvl w:val="0"/>
          <w:numId w:val="25"/>
        </w:numPr>
        <w:tabs>
          <w:tab w:val="clear" w:pos="720"/>
          <w:tab w:val="num" w:pos="345"/>
        </w:tabs>
        <w:overflowPunct w:val="0"/>
        <w:autoSpaceDE w:val="0"/>
        <w:autoSpaceDN w:val="0"/>
        <w:adjustRightInd w:val="0"/>
        <w:spacing w:after="0" w:line="239" w:lineRule="auto"/>
        <w:ind w:left="345" w:hanging="345"/>
        <w:jc w:val="both"/>
        <w:rPr>
          <w:rFonts w:ascii="Times New Roman" w:hAnsi="Times New Roman" w:cs="Times New Roman"/>
          <w:sz w:val="25"/>
          <w:szCs w:val="25"/>
          <w:vertAlign w:val="superscript"/>
        </w:rPr>
      </w:pPr>
      <w:r>
        <w:rPr>
          <w:rFonts w:ascii="Times New Roman" w:hAnsi="Times New Roman" w:cs="Times New Roman"/>
          <w:sz w:val="17"/>
          <w:szCs w:val="17"/>
        </w:rPr>
        <w:t>Diluted net earnings per share is calculated on earnings attributable to Procter &amp; Gamble.</w:t>
      </w:r>
    </w:p>
    <w:p w:rsidR="00000000" w:rsidRDefault="0057438D">
      <w:pPr>
        <w:pStyle w:val="DefaultParagraphFont"/>
        <w:widowControl w:val="0"/>
        <w:autoSpaceDE w:val="0"/>
        <w:autoSpaceDN w:val="0"/>
        <w:adjustRightInd w:val="0"/>
        <w:spacing w:after="0" w:line="5"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25"/>
        </w:numPr>
        <w:tabs>
          <w:tab w:val="clear" w:pos="720"/>
          <w:tab w:val="num" w:pos="345"/>
        </w:tabs>
        <w:overflowPunct w:val="0"/>
        <w:autoSpaceDE w:val="0"/>
        <w:autoSpaceDN w:val="0"/>
        <w:adjustRightInd w:val="0"/>
        <w:spacing w:after="0" w:line="214" w:lineRule="auto"/>
        <w:ind w:left="345" w:right="20" w:hanging="345"/>
        <w:jc w:val="both"/>
        <w:rPr>
          <w:rFonts w:ascii="Times New Roman" w:hAnsi="Times New Roman" w:cs="Times New Roman"/>
          <w:sz w:val="25"/>
          <w:szCs w:val="25"/>
          <w:vertAlign w:val="superscript"/>
        </w:rPr>
      </w:pPr>
      <w:r>
        <w:rPr>
          <w:rFonts w:ascii="Times New Roman" w:hAnsi="Times New Roman" w:cs="Times New Roman"/>
          <w:sz w:val="17"/>
          <w:szCs w:val="17"/>
        </w:rPr>
        <w:t>The Company acquired the balance of its Baby Care and Feminine Care joint venture in Iberia in October 2012 resulting in a non-operating gain of $623.</w:t>
      </w:r>
    </w:p>
    <w:p w:rsidR="00000000" w:rsidRDefault="0057438D">
      <w:pPr>
        <w:pStyle w:val="DefaultParagraphFont"/>
        <w:widowControl w:val="0"/>
        <w:autoSpaceDE w:val="0"/>
        <w:autoSpaceDN w:val="0"/>
        <w:adjustRightInd w:val="0"/>
        <w:spacing w:after="0" w:line="4" w:lineRule="exact"/>
        <w:rPr>
          <w:rFonts w:ascii="Times New Roman" w:hAnsi="Times New Roman" w:cs="Times New Roman"/>
          <w:sz w:val="25"/>
          <w:szCs w:val="25"/>
          <w:vertAlign w:val="superscript"/>
        </w:rPr>
      </w:pPr>
    </w:p>
    <w:p w:rsidR="00000000" w:rsidRDefault="0057438D">
      <w:pPr>
        <w:pStyle w:val="DefaultParagraphFont"/>
        <w:widowControl w:val="0"/>
        <w:numPr>
          <w:ilvl w:val="0"/>
          <w:numId w:val="25"/>
        </w:numPr>
        <w:tabs>
          <w:tab w:val="clear" w:pos="720"/>
          <w:tab w:val="num" w:pos="345"/>
        </w:tabs>
        <w:overflowPunct w:val="0"/>
        <w:autoSpaceDE w:val="0"/>
        <w:autoSpaceDN w:val="0"/>
        <w:adjustRightInd w:val="0"/>
        <w:spacing w:after="0" w:line="214" w:lineRule="auto"/>
        <w:ind w:left="345" w:right="100" w:hanging="345"/>
        <w:jc w:val="both"/>
        <w:rPr>
          <w:rFonts w:ascii="Times New Roman" w:hAnsi="Times New Roman" w:cs="Times New Roman"/>
          <w:sz w:val="25"/>
          <w:szCs w:val="25"/>
          <w:vertAlign w:val="superscript"/>
        </w:rPr>
      </w:pPr>
      <w:r>
        <w:rPr>
          <w:rFonts w:ascii="Times New Roman" w:hAnsi="Times New Roman" w:cs="Times New Roman"/>
          <w:sz w:val="17"/>
          <w:szCs w:val="17"/>
        </w:rPr>
        <w:t>During the fourth quarter of fiscal year 2013, the Company recorded before-tax goodwill and indefinite-lived intangible assets impairment charges of $308 ($290 after-tax). For additional details, see Note 2.</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700" w:bottom="346" w:left="855" w:header="720" w:footer="720" w:gutter="0"/>
          <w:cols w:space="60" w:equalWidth="0">
            <w:col w:w="9965" w:space="80"/>
          </w:cols>
          <w:noEndnote/>
        </w:sectPr>
      </w:pPr>
      <w:r>
        <w:rPr>
          <w:noProof/>
        </w:rPr>
        <mc:AlternateContent>
          <mc:Choice Requires="wps">
            <w:drawing>
              <wp:anchor distT="0" distB="0" distL="114300" distR="114300" simplePos="0" relativeHeight="251753472" behindDoc="1" locked="0" layoutInCell="0" allowOverlap="1">
                <wp:simplePos x="0" y="0"/>
                <wp:positionH relativeFrom="column">
                  <wp:posOffset>0</wp:posOffset>
                </wp:positionH>
                <wp:positionV relativeFrom="paragraph">
                  <wp:posOffset>306705</wp:posOffset>
                </wp:positionV>
                <wp:extent cx="6376035" cy="0"/>
                <wp:effectExtent l="0" t="0" r="0" b="0"/>
                <wp:wrapNone/>
                <wp:docPr id="30"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6035" cy="0"/>
                        </a:xfrm>
                        <a:prstGeom prst="line">
                          <a:avLst/>
                        </a:prstGeom>
                        <a:noFill/>
                        <a:ln w="242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15pt" to="502.0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8hHwIAAEQ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cwHkVa&#10;2NFWKI7mkzCbzrgCQlZqZ0N39KxezVbT7w4pvWqIOvDI8e1iIC8LGcm7lHBxBirsuy+aQQw5eh0H&#10;da5tGyBhBOgc93G574OfPaLwcTp+mqbjCUb05ktIcUs01vnPXLcoGCWWQDoCk9PW+UCEFLeQUEfp&#10;jZAyrlsq1JV4lI/yPGY4LQUL3hDn7GG/khadSFBM/MW2wPMYFqAr4po+Lrp6LVl9VCyWaThh66vt&#10;iZC9DbSkCoWgSSB6tXqt/Jin8/VsPcsH+Wi6HuRpVQ0+bVb5YLrJnibVuFqtquxn4JzlRSMY4yrQ&#10;vuk2y/9OF9cX1Cvurtz7gJL36HGSQPb2H0nHLYfF9hLZa3bZ2dv2Qaox+Pqswlt4vIP9+PiXvwAA&#10;AP//AwBQSwMEFAAGAAgAAAAhALXU/77bAAAABwEAAA8AAABkcnMvZG93bnJldi54bWxMj8FOwzAQ&#10;RO9I/IO1SNyonaZCJWRTISQkOKYtokc33iYR9jqK3Tb9e1xxgOPOjGbelqvJWXGiMfSeEbKZAkHc&#10;eNNzi7DdvD0sQYSo2WjrmRAuFGBV3d6UujD+zDWd1rEVqYRDoRG6GIdCytB05HSY+YE4eQc/Oh3T&#10;ObbSjPqcyp2Vc6UepdM9p4VOD/TaUfO9PjoEznyY7/Ldx6XOn9r6XdnN1+ET8f5uenkGEWmKf2G4&#10;4id0qBLT3h/ZBGER0iMRYbHMQVxdpRYZiP2vIqtS/uevfgAAAP//AwBQSwECLQAUAAYACAAAACEA&#10;toM4kv4AAADhAQAAEwAAAAAAAAAAAAAAAAAAAAAAW0NvbnRlbnRfVHlwZXNdLnhtbFBLAQItABQA&#10;BgAIAAAAIQA4/SH/1gAAAJQBAAALAAAAAAAAAAAAAAAAAC8BAABfcmVscy8ucmVsc1BLAQItABQA&#10;BgAIAAAAIQDatR8hHwIAAEQEAAAOAAAAAAAAAAAAAAAAAC4CAABkcnMvZTJvRG9jLnhtbFBLAQIt&#10;ABQABgAIAAAAIQC11P++2wAAAAcBAAAPAAAAAAAAAAAAAAAAAHkEAABkcnMvZG93bnJldi54bWxQ&#10;SwUGAAAAAAQABADzAAAAgQUAAAAA&#10;" o:allowincell="f" strokeweight=".67344mm"/>
            </w:pict>
          </mc:Fallback>
        </mc:AlternateConten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3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40"/>
        <w:rPr>
          <w:rFonts w:ascii="Times New Roman" w:hAnsi="Times New Roman" w:cs="Times New Roman"/>
          <w:sz w:val="24"/>
          <w:szCs w:val="24"/>
        </w:rPr>
      </w:pPr>
      <w:r>
        <w:rPr>
          <w:rFonts w:ascii="Times New Roman" w:hAnsi="Times New Roman" w:cs="Times New Roman"/>
          <w:sz w:val="19"/>
          <w:szCs w:val="19"/>
        </w:rPr>
        <w:t xml:space="preserve">Item </w:t>
      </w:r>
      <w:r>
        <w:rPr>
          <w:rFonts w:ascii="Times New Roman" w:hAnsi="Times New Roman" w:cs="Times New Roman"/>
          <w:sz w:val="19"/>
          <w:szCs w:val="19"/>
        </w:rPr>
        <w:t xml:space="preserve">9. </w:t>
      </w:r>
      <w:r>
        <w:rPr>
          <w:rFonts w:ascii="Times New Roman" w:hAnsi="Times New Roman" w:cs="Times New Roman"/>
          <w:sz w:val="19"/>
          <w:szCs w:val="19"/>
          <w:u w:val="single"/>
        </w:rPr>
        <w:t>Changes in and Disagreements with Accountants on</w:t>
      </w:r>
      <w:r>
        <w:rPr>
          <w:rFonts w:ascii="Times New Roman" w:hAnsi="Times New Roman" w:cs="Times New Roman"/>
          <w:sz w:val="19"/>
          <w:szCs w:val="19"/>
        </w:rPr>
        <w:t xml:space="preserve"> </w:t>
      </w:r>
      <w:r>
        <w:rPr>
          <w:rFonts w:ascii="Times New Roman" w:hAnsi="Times New Roman" w:cs="Times New Roman"/>
          <w:sz w:val="19"/>
          <w:szCs w:val="19"/>
          <w:u w:val="single"/>
        </w:rPr>
        <w:t>Accounting and Financial Disclosure.</w:t>
      </w:r>
    </w:p>
    <w:p w:rsidR="00000000" w:rsidRDefault="0057438D">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Not applicable.</w:t>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9A. </w:t>
      </w:r>
      <w:r>
        <w:rPr>
          <w:rFonts w:ascii="Times New Roman" w:hAnsi="Times New Roman" w:cs="Times New Roman"/>
          <w:sz w:val="19"/>
          <w:szCs w:val="19"/>
          <w:u w:val="single"/>
        </w:rPr>
        <w:t>Controls and Procedures.</w:t>
      </w:r>
    </w:p>
    <w:p w:rsidR="00000000" w:rsidRDefault="0057438D">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Evaluation of Disclosure Controls and Procedures.</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rPr>
          <w:rFonts w:ascii="Times New Roman" w:hAnsi="Times New Roman" w:cs="Times New Roman"/>
          <w:sz w:val="24"/>
          <w:szCs w:val="24"/>
        </w:rPr>
      </w:pPr>
      <w:r>
        <w:rPr>
          <w:rFonts w:ascii="Times New Roman" w:hAnsi="Times New Roman" w:cs="Times New Roman"/>
          <w:sz w:val="19"/>
          <w:szCs w:val="19"/>
        </w:rPr>
        <w:t>The Company's President and Chief Executive Officer, A. G. Lafley, and the Company's Chief Financial Officer, Jon R. Moeller, performed an evaluation of the Company's disclosure controls and procedures (as defined in Rules 13a-15(e) and 15d-15(e) of the Se</w:t>
      </w:r>
      <w:r>
        <w:rPr>
          <w:rFonts w:ascii="Times New Roman" w:hAnsi="Times New Roman" w:cs="Times New Roman"/>
          <w:sz w:val="19"/>
          <w:szCs w:val="19"/>
        </w:rPr>
        <w:t>curities Exchange Act of 1934 (Exchange Act)) as of the end of the period covered by this Annual Report on Form 10-K.</w:t>
      </w:r>
    </w:p>
    <w:p w:rsidR="00000000" w:rsidRDefault="0057438D">
      <w:pPr>
        <w:pStyle w:val="DefaultParagraphFont"/>
        <w:widowControl w:val="0"/>
        <w:autoSpaceDE w:val="0"/>
        <w:autoSpaceDN w:val="0"/>
        <w:adjustRightInd w:val="0"/>
        <w:spacing w:after="0" w:line="8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9" w:lineRule="auto"/>
        <w:ind w:right="80"/>
        <w:rPr>
          <w:rFonts w:ascii="Times New Roman" w:hAnsi="Times New Roman" w:cs="Times New Roman"/>
          <w:sz w:val="24"/>
          <w:szCs w:val="24"/>
        </w:rPr>
      </w:pPr>
      <w:r>
        <w:rPr>
          <w:rFonts w:ascii="Times New Roman" w:hAnsi="Times New Roman" w:cs="Times New Roman"/>
          <w:sz w:val="19"/>
          <w:szCs w:val="19"/>
        </w:rPr>
        <w:t>Messrs. Lafley and Moeller have concluded that the Company's disclosure controls and procedures were effective to ensure that information</w:t>
      </w:r>
      <w:r>
        <w:rPr>
          <w:rFonts w:ascii="Times New Roman" w:hAnsi="Times New Roman" w:cs="Times New Roman"/>
          <w:sz w:val="19"/>
          <w:szCs w:val="19"/>
        </w:rPr>
        <w:t xml:space="preserve"> required to be disclosed</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6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in reports we file or submit under the Exchange Act is</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20"/>
        <w:rPr>
          <w:rFonts w:ascii="Times New Roman" w:hAnsi="Times New Roman" w:cs="Times New Roman"/>
          <w:sz w:val="24"/>
          <w:szCs w:val="24"/>
        </w:rPr>
      </w:pPr>
      <w:r>
        <w:rPr>
          <w:rFonts w:ascii="Times New Roman" w:hAnsi="Times New Roman" w:cs="Times New Roman"/>
          <w:sz w:val="19"/>
          <w:szCs w:val="19"/>
        </w:rPr>
        <w:t>(1) recorded, processed, summarized and reported within the time periods specified in Securities and Exchange Commission rules and forms, and (2) accumulated and communic</w:t>
      </w:r>
      <w:r>
        <w:rPr>
          <w:rFonts w:ascii="Times New Roman" w:hAnsi="Times New Roman" w:cs="Times New Roman"/>
          <w:sz w:val="19"/>
          <w:szCs w:val="19"/>
        </w:rPr>
        <w:t>ated to our management, including Messrs. Lafley and Moeller, to allow their timely decisions regarding required disclosure.</w:t>
      </w:r>
    </w:p>
    <w:p w:rsidR="00000000" w:rsidRDefault="0057438D">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Changes in Internal Control over Financial Reporting.</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rPr>
          <w:rFonts w:ascii="Times New Roman" w:hAnsi="Times New Roman" w:cs="Times New Roman"/>
          <w:sz w:val="24"/>
          <w:szCs w:val="24"/>
        </w:rPr>
      </w:pPr>
      <w:r>
        <w:rPr>
          <w:rFonts w:ascii="Times New Roman" w:hAnsi="Times New Roman" w:cs="Times New Roman"/>
          <w:sz w:val="19"/>
          <w:szCs w:val="19"/>
        </w:rPr>
        <w:t>There were no changes in our internal control over financial reporting that occurred during the Company's fourth fiscal quarter that have materially affected, or are reasonably likely to materially affect, the Company's internal control over financial repo</w:t>
      </w:r>
      <w:r>
        <w:rPr>
          <w:rFonts w:ascii="Times New Roman" w:hAnsi="Times New Roman" w:cs="Times New Roman"/>
          <w:sz w:val="19"/>
          <w:szCs w:val="19"/>
        </w:rPr>
        <w:t>rting.</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9B. </w:t>
      </w:r>
      <w:r>
        <w:rPr>
          <w:rFonts w:ascii="Times New Roman" w:hAnsi="Times New Roman" w:cs="Times New Roman"/>
          <w:sz w:val="19"/>
          <w:szCs w:val="19"/>
          <w:u w:val="single"/>
        </w:rPr>
        <w:t>Other Information.</w:t>
      </w:r>
    </w:p>
    <w:p w:rsidR="00000000" w:rsidRDefault="0057438D">
      <w:pPr>
        <w:pStyle w:val="DefaultParagraphFont"/>
        <w:widowControl w:val="0"/>
        <w:autoSpaceDE w:val="0"/>
        <w:autoSpaceDN w:val="0"/>
        <w:adjustRightInd w:val="0"/>
        <w:spacing w:after="0" w:line="12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Not applicable.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900" w:bottom="346" w:left="860" w:header="720" w:footer="720" w:gutter="0"/>
          <w:cols w:num="2" w:space="460" w:equalWidth="0">
            <w:col w:w="4640" w:space="460"/>
            <w:col w:w="4660" w:space="6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2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5"/>
          <w:szCs w:val="15"/>
        </w:rPr>
        <w:t>Amounts in millions of dollars except per share amounts or as otherwise specified.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67" w:right="880" w:bottom="346" w:left="5580" w:header="720" w:footer="720" w:gutter="0"/>
          <w:cols w:space="460" w:equalWidth="0">
            <w:col w:w="5060" w:space="46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78</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u w:val="single"/>
        </w:rPr>
        <w:t>PART III</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5440" w:bottom="1440" w:left="860" w:header="720" w:footer="720" w:gutter="0"/>
          <w:cols w:space="720" w:equalWidth="0">
            <w:col w:w="522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1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540"/>
        <w:rPr>
          <w:rFonts w:ascii="Times New Roman" w:hAnsi="Times New Roman" w:cs="Times New Roman"/>
          <w:sz w:val="24"/>
          <w:szCs w:val="24"/>
        </w:rPr>
      </w:pPr>
      <w:r>
        <w:rPr>
          <w:rFonts w:ascii="Times New Roman" w:hAnsi="Times New Roman" w:cs="Times New Roman"/>
          <w:sz w:val="19"/>
          <w:szCs w:val="19"/>
        </w:rPr>
        <w:t xml:space="preserve">Item 10. </w:t>
      </w:r>
      <w:r>
        <w:rPr>
          <w:rFonts w:ascii="Times New Roman" w:hAnsi="Times New Roman" w:cs="Times New Roman"/>
          <w:sz w:val="19"/>
          <w:szCs w:val="19"/>
          <w:u w:val="single"/>
        </w:rPr>
        <w:t>Directors, Executive Officers and Corporate</w:t>
      </w:r>
      <w:r>
        <w:rPr>
          <w:rFonts w:ascii="Times New Roman" w:hAnsi="Times New Roman" w:cs="Times New Roman"/>
          <w:sz w:val="19"/>
          <w:szCs w:val="19"/>
        </w:rPr>
        <w:t xml:space="preserve"> </w:t>
      </w:r>
      <w:r>
        <w:rPr>
          <w:rFonts w:ascii="Times New Roman" w:hAnsi="Times New Roman" w:cs="Times New Roman"/>
          <w:sz w:val="19"/>
          <w:szCs w:val="19"/>
          <w:u w:val="single"/>
        </w:rPr>
        <w:t>Governance.</w:t>
      </w:r>
    </w:p>
    <w:p w:rsidR="00000000" w:rsidRDefault="0057438D">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2" w:lineRule="auto"/>
        <w:ind w:right="20"/>
        <w:rPr>
          <w:rFonts w:ascii="Times New Roman" w:hAnsi="Times New Roman" w:cs="Times New Roman"/>
          <w:sz w:val="24"/>
          <w:szCs w:val="24"/>
        </w:rPr>
      </w:pPr>
      <w:r>
        <w:rPr>
          <w:rFonts w:ascii="Times New Roman" w:hAnsi="Times New Roman" w:cs="Times New Roman"/>
          <w:sz w:val="18"/>
          <w:szCs w:val="18"/>
        </w:rPr>
        <w:t>The Board of Directors has determined that the following members of the Audit Committee are independent and are Audit Committee financial experts as defined</w:t>
      </w:r>
      <w:r>
        <w:rPr>
          <w:rFonts w:ascii="Times New Roman" w:hAnsi="Times New Roman" w:cs="Times New Roman"/>
          <w:sz w:val="18"/>
          <w:szCs w:val="18"/>
        </w:rPr>
        <w:t xml:space="preserve"> by SEC rules: Ms. Patricia A. Woertz (Chair) and Mr. Kenneth I. Chenault.</w:t>
      </w:r>
    </w:p>
    <w:p w:rsidR="00000000" w:rsidRDefault="0057438D">
      <w:pPr>
        <w:pStyle w:val="DefaultParagraphFont"/>
        <w:widowControl w:val="0"/>
        <w:autoSpaceDE w:val="0"/>
        <w:autoSpaceDN w:val="0"/>
        <w:adjustRightInd w:val="0"/>
        <w:spacing w:after="0" w:line="5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1" w:lineRule="auto"/>
        <w:rPr>
          <w:rFonts w:ascii="Times New Roman" w:hAnsi="Times New Roman" w:cs="Times New Roman"/>
          <w:sz w:val="24"/>
          <w:szCs w:val="24"/>
        </w:rPr>
      </w:pPr>
      <w:r>
        <w:rPr>
          <w:rFonts w:ascii="Times New Roman" w:hAnsi="Times New Roman" w:cs="Times New Roman"/>
          <w:sz w:val="19"/>
          <w:szCs w:val="19"/>
        </w:rPr>
        <w:t>The information required by this item is incorporated by reference to the following sections of the 2014 Proxy Statement filed pursuant to Regulation 14A: the section entitled Elec</w:t>
      </w:r>
      <w:r>
        <w:rPr>
          <w:rFonts w:ascii="Times New Roman" w:hAnsi="Times New Roman" w:cs="Times New Roman"/>
          <w:sz w:val="19"/>
          <w:szCs w:val="19"/>
        </w:rPr>
        <w:t xml:space="preserve">tion of Directors, up to and including the subsection entitled Nominees for Election of Directors with Terms Expiring in 2015, Corporate Governance, up to but not including the subsection entitled Board Engagement and Attendance; the section entitled Code </w:t>
      </w:r>
      <w:r>
        <w:rPr>
          <w:rFonts w:ascii="Times New Roman" w:hAnsi="Times New Roman" w:cs="Times New Roman"/>
          <w:sz w:val="19"/>
          <w:szCs w:val="19"/>
        </w:rPr>
        <w:t>of Ethics; and the section entitled Section 16(a) Beneficial Ownership Reporting Compliance. Pursuant to Instruction 3 of Item 401</w:t>
      </w:r>
    </w:p>
    <w:p w:rsidR="00000000" w:rsidRDefault="0057438D">
      <w:pPr>
        <w:pStyle w:val="DefaultParagraphFont"/>
        <w:widowControl w:val="0"/>
        <w:autoSpaceDE w:val="0"/>
        <w:autoSpaceDN w:val="0"/>
        <w:adjustRightInd w:val="0"/>
        <w:spacing w:after="0" w:line="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120"/>
        <w:rPr>
          <w:rFonts w:ascii="Times New Roman" w:hAnsi="Times New Roman" w:cs="Times New Roman"/>
          <w:sz w:val="24"/>
          <w:szCs w:val="24"/>
        </w:rPr>
      </w:pPr>
      <w:r>
        <w:rPr>
          <w:rFonts w:ascii="Times New Roman" w:hAnsi="Times New Roman" w:cs="Times New Roman"/>
          <w:sz w:val="19"/>
          <w:szCs w:val="19"/>
        </w:rPr>
        <w:t>(b) of Regulation S-K, Executive Officers of the Registrant are reported in Part I of this report.</w:t>
      </w:r>
    </w:p>
    <w:p w:rsidR="00000000" w:rsidRDefault="0057438D">
      <w:pPr>
        <w:pStyle w:val="DefaultParagraphFont"/>
        <w:widowControl w:val="0"/>
        <w:autoSpaceDE w:val="0"/>
        <w:autoSpaceDN w:val="0"/>
        <w:adjustRightInd w:val="0"/>
        <w:spacing w:after="0" w:line="10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11. </w:t>
      </w:r>
      <w:r>
        <w:rPr>
          <w:rFonts w:ascii="Times New Roman" w:hAnsi="Times New Roman" w:cs="Times New Roman"/>
          <w:sz w:val="19"/>
          <w:szCs w:val="19"/>
          <w:u w:val="single"/>
        </w:rPr>
        <w:t>Executive Compensation.</w:t>
      </w:r>
    </w:p>
    <w:p w:rsidR="00000000" w:rsidRDefault="0057438D">
      <w:pPr>
        <w:pStyle w:val="DefaultParagraphFont"/>
        <w:widowControl w:val="0"/>
        <w:autoSpaceDE w:val="0"/>
        <w:autoSpaceDN w:val="0"/>
        <w:adjustRightInd w:val="0"/>
        <w:spacing w:after="0" w:line="12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340"/>
        <w:rPr>
          <w:rFonts w:ascii="Times New Roman" w:hAnsi="Times New Roman" w:cs="Times New Roman"/>
          <w:sz w:val="24"/>
          <w:szCs w:val="24"/>
        </w:rPr>
      </w:pPr>
      <w:r>
        <w:rPr>
          <w:rFonts w:ascii="Times New Roman" w:hAnsi="Times New Roman" w:cs="Times New Roman"/>
          <w:sz w:val="19"/>
          <w:szCs w:val="19"/>
        </w:rPr>
        <w:t>The information required by this item is incorporated by reference to the following sections of the 2014 Proxy</w:t>
      </w:r>
    </w:p>
    <w:p w:rsidR="00000000" w:rsidRDefault="0057438D">
      <w:pPr>
        <w:pStyle w:val="DefaultParagraphFont"/>
        <w:widowControl w:val="0"/>
        <w:autoSpaceDE w:val="0"/>
        <w:autoSpaceDN w:val="0"/>
        <w:adjustRightInd w:val="0"/>
        <w:spacing w:after="0" w:line="24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overflowPunct w:val="0"/>
        <w:autoSpaceDE w:val="0"/>
        <w:autoSpaceDN w:val="0"/>
        <w:adjustRightInd w:val="0"/>
        <w:spacing w:after="0" w:line="258" w:lineRule="auto"/>
        <w:ind w:right="120"/>
        <w:rPr>
          <w:rFonts w:ascii="Times New Roman" w:hAnsi="Times New Roman" w:cs="Times New Roman"/>
          <w:sz w:val="24"/>
          <w:szCs w:val="24"/>
        </w:rPr>
      </w:pPr>
      <w:r>
        <w:rPr>
          <w:rFonts w:ascii="Times New Roman" w:hAnsi="Times New Roman" w:cs="Times New Roman"/>
          <w:sz w:val="19"/>
          <w:szCs w:val="19"/>
        </w:rPr>
        <w:t>Statement filed pursuant to Regulation 14A: the portion of the Corporate Governance section entitled Committees of the</w:t>
      </w:r>
      <w:r>
        <w:rPr>
          <w:rFonts w:ascii="Times New Roman" w:hAnsi="Times New Roman" w:cs="Times New Roman"/>
          <w:sz w:val="19"/>
          <w:szCs w:val="19"/>
        </w:rPr>
        <w:t xml:space="preserve"> Board and the portion beginning with Director Compensation up to but not including the section entitled Security Ownership of Management and Certain Beneficial Owners.</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120"/>
        <w:rPr>
          <w:rFonts w:ascii="Times New Roman" w:hAnsi="Times New Roman" w:cs="Times New Roman"/>
          <w:sz w:val="24"/>
          <w:szCs w:val="24"/>
        </w:rPr>
      </w:pPr>
      <w:r>
        <w:rPr>
          <w:rFonts w:ascii="Times New Roman" w:hAnsi="Times New Roman" w:cs="Times New Roman"/>
          <w:sz w:val="19"/>
          <w:szCs w:val="19"/>
        </w:rPr>
        <w:t xml:space="preserve">Item 12. </w:t>
      </w:r>
      <w:r>
        <w:rPr>
          <w:rFonts w:ascii="Times New Roman" w:hAnsi="Times New Roman" w:cs="Times New Roman"/>
          <w:sz w:val="19"/>
          <w:szCs w:val="19"/>
          <w:u w:val="single"/>
        </w:rPr>
        <w:t>Security Ownership of Certain Beneficial Owners</w:t>
      </w:r>
      <w:r>
        <w:rPr>
          <w:rFonts w:ascii="Times New Roman" w:hAnsi="Times New Roman" w:cs="Times New Roman"/>
          <w:sz w:val="19"/>
          <w:szCs w:val="19"/>
        </w:rPr>
        <w:t xml:space="preserve"> </w:t>
      </w:r>
      <w:r>
        <w:rPr>
          <w:rFonts w:ascii="Times New Roman" w:hAnsi="Times New Roman" w:cs="Times New Roman"/>
          <w:sz w:val="19"/>
          <w:szCs w:val="19"/>
          <w:u w:val="single"/>
        </w:rPr>
        <w:t>and Management and Related Stockholder Matters.</w:t>
      </w:r>
    </w:p>
    <w:p w:rsidR="00000000" w:rsidRDefault="0057438D">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rPr>
          <w:rFonts w:ascii="Times New Roman" w:hAnsi="Times New Roman" w:cs="Times New Roman"/>
          <w:sz w:val="24"/>
          <w:szCs w:val="24"/>
        </w:rPr>
      </w:pPr>
      <w:r>
        <w:rPr>
          <w:rFonts w:ascii="Times New Roman" w:hAnsi="Times New Roman" w:cs="Times New Roman"/>
          <w:sz w:val="19"/>
          <w:szCs w:val="19"/>
        </w:rPr>
        <w:t>The following table gives information about the Company's common stock that may be issued upon the exercise of options, warrants and rights under all of the Company's equity compensation plans as of June 30,</w:t>
      </w:r>
      <w:r>
        <w:rPr>
          <w:rFonts w:ascii="Times New Roman" w:hAnsi="Times New Roman" w:cs="Times New Roman"/>
          <w:sz w:val="19"/>
          <w:szCs w:val="19"/>
        </w:rPr>
        <w:t xml:space="preserve"> 2014. The table includes the following plans: The Procter &amp; Gamble 1992 Stock Plan; The Procter &amp; Gamble 1992 Stock Plan (Belgian Version); The Procter &amp; Gamble 1993 Non-Employee Directors' Stock Plan; The Procter &amp; Gamble Future Shares Plan; The Procter </w:t>
      </w:r>
      <w:r>
        <w:rPr>
          <w:rFonts w:ascii="Times New Roman" w:hAnsi="Times New Roman" w:cs="Times New Roman"/>
          <w:sz w:val="19"/>
          <w:szCs w:val="19"/>
        </w:rPr>
        <w:t>&amp; Gamble 2001 Stock and Incentive Compensation Plan; The Procter &amp; Gamble 2003 Non-Employee Directors' Stock Plan; The Gillette Company 2004 Long-Term Incentive Plan; The Procter &amp; Gamble 2009 Stock and Incentive Compensation Plan; and The Procter &amp; Gamble</w:t>
      </w:r>
      <w:r>
        <w:rPr>
          <w:rFonts w:ascii="Times New Roman" w:hAnsi="Times New Roman" w:cs="Times New Roman"/>
          <w:sz w:val="19"/>
          <w:szCs w:val="19"/>
        </w:rPr>
        <w:t xml:space="preserve"> 2013 Non-Employee Directors' Stock Plan.</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900" w:bottom="1440" w:left="860" w:header="720" w:footer="720" w:gutter="0"/>
          <w:cols w:num="2" w:space="460" w:equalWidth="0">
            <w:col w:w="4640" w:space="460"/>
            <w:col w:w="4660"/>
          </w:cols>
          <w:noEndnote/>
        </w:sectPr>
      </w:pPr>
    </w:p>
    <w:p w:rsidR="00000000" w:rsidRDefault="0057438D">
      <w:pPr>
        <w:pStyle w:val="DefaultParagraphFont"/>
        <w:widowControl w:val="0"/>
        <w:autoSpaceDE w:val="0"/>
        <w:autoSpaceDN w:val="0"/>
        <w:adjustRightInd w:val="0"/>
        <w:spacing w:after="0" w:line="95"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780"/>
        <w:gridCol w:w="1700"/>
        <w:gridCol w:w="280"/>
        <w:gridCol w:w="1580"/>
        <w:gridCol w:w="320"/>
        <w:gridCol w:w="2120"/>
        <w:gridCol w:w="20"/>
      </w:tblGrid>
      <w:tr w:rsidR="00000000">
        <w:tblPrEx>
          <w:tblCellMar>
            <w:top w:w="0" w:type="dxa"/>
            <w:left w:w="0" w:type="dxa"/>
            <w:bottom w:w="0" w:type="dxa"/>
            <w:right w:w="0" w:type="dxa"/>
          </w:tblCellMar>
        </w:tblPrEx>
        <w:trPr>
          <w:trHeight w:val="172"/>
        </w:trPr>
        <w:tc>
          <w:tcPr>
            <w:tcW w:w="3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90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4"/>
              <w:jc w:val="center"/>
              <w:rPr>
                <w:rFonts w:ascii="Times New Roman" w:hAnsi="Times New Roman" w:cs="Times New Roman"/>
                <w:sz w:val="24"/>
                <w:szCs w:val="24"/>
              </w:rPr>
            </w:pPr>
            <w:r>
              <w:rPr>
                <w:rFonts w:ascii="Times New Roman" w:hAnsi="Times New Roman" w:cs="Times New Roman"/>
                <w:b/>
                <w:bCs/>
                <w:w w:val="97"/>
                <w:sz w:val="15"/>
                <w:szCs w:val="15"/>
              </w:rPr>
              <w:t>(b)</w:t>
            </w:r>
          </w:p>
        </w:tc>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(c)</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3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7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(a)</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90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Number of securities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3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7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3" w:lineRule="exact"/>
              <w:ind w:right="284"/>
              <w:jc w:val="center"/>
              <w:rPr>
                <w:rFonts w:ascii="Times New Roman" w:hAnsi="Times New Roman" w:cs="Times New Roman"/>
                <w:sz w:val="24"/>
                <w:szCs w:val="24"/>
              </w:rPr>
            </w:pPr>
            <w:r>
              <w:rPr>
                <w:rFonts w:ascii="Times New Roman" w:hAnsi="Times New Roman" w:cs="Times New Roman"/>
                <w:b/>
                <w:bCs/>
                <w:w w:val="98"/>
                <w:sz w:val="15"/>
                <w:szCs w:val="15"/>
              </w:rPr>
              <w:t>Weighted-</w:t>
            </w:r>
          </w:p>
        </w:tc>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3" w:lineRule="exact"/>
              <w:jc w:val="center"/>
              <w:rPr>
                <w:rFonts w:ascii="Times New Roman" w:hAnsi="Times New Roman" w:cs="Times New Roman"/>
                <w:sz w:val="24"/>
                <w:szCs w:val="24"/>
              </w:rPr>
            </w:pPr>
            <w:r>
              <w:rPr>
                <w:rFonts w:ascii="Times New Roman" w:hAnsi="Times New Roman" w:cs="Times New Roman"/>
                <w:b/>
                <w:bCs/>
                <w:sz w:val="15"/>
                <w:szCs w:val="15"/>
              </w:rPr>
              <w:t>remaining available for</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3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Number of securities to</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284"/>
              <w:jc w:val="center"/>
              <w:rPr>
                <w:rFonts w:ascii="Times New Roman" w:hAnsi="Times New Roman" w:cs="Times New Roman"/>
                <w:sz w:val="24"/>
                <w:szCs w:val="24"/>
              </w:rPr>
            </w:pPr>
            <w:r>
              <w:rPr>
                <w:rFonts w:ascii="Times New Roman" w:hAnsi="Times New Roman" w:cs="Times New Roman"/>
                <w:b/>
                <w:bCs/>
                <w:sz w:val="15"/>
                <w:szCs w:val="15"/>
              </w:rPr>
              <w:t>average exercise</w:t>
            </w:r>
          </w:p>
        </w:tc>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future issuance under</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3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be issued upon exercise</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284"/>
              <w:jc w:val="center"/>
              <w:rPr>
                <w:rFonts w:ascii="Times New Roman" w:hAnsi="Times New Roman" w:cs="Times New Roman"/>
                <w:sz w:val="24"/>
                <w:szCs w:val="24"/>
              </w:rPr>
            </w:pPr>
            <w:r>
              <w:rPr>
                <w:rFonts w:ascii="Times New Roman" w:hAnsi="Times New Roman" w:cs="Times New Roman"/>
                <w:b/>
                <w:bCs/>
                <w:sz w:val="15"/>
                <w:szCs w:val="15"/>
              </w:rPr>
              <w:t>price of outstanding</w:t>
            </w:r>
          </w:p>
        </w:tc>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equity compensation plans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37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5"/>
                <w:szCs w:val="15"/>
              </w:rPr>
              <w:t>Plan Category</w:t>
            </w:r>
          </w:p>
        </w:tc>
        <w:tc>
          <w:tcPr>
            <w:tcW w:w="1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of outstanding options,</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ind w:right="284"/>
              <w:jc w:val="center"/>
              <w:rPr>
                <w:rFonts w:ascii="Times New Roman" w:hAnsi="Times New Roman" w:cs="Times New Roman"/>
                <w:sz w:val="24"/>
                <w:szCs w:val="24"/>
              </w:rPr>
            </w:pPr>
            <w:r>
              <w:rPr>
                <w:rFonts w:ascii="Times New Roman" w:hAnsi="Times New Roman" w:cs="Times New Roman"/>
                <w:b/>
                <w:bCs/>
                <w:sz w:val="15"/>
                <w:szCs w:val="15"/>
              </w:rPr>
              <w:t>options, warrants and</w:t>
            </w:r>
          </w:p>
        </w:tc>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b/>
                <w:bCs/>
                <w:sz w:val="15"/>
                <w:szCs w:val="15"/>
              </w:rPr>
              <w:t>(excluding securities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37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warrants and rights</w:t>
            </w: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9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4"/>
              <w:jc w:val="center"/>
              <w:rPr>
                <w:rFonts w:ascii="Times New Roman" w:hAnsi="Times New Roman" w:cs="Times New Roman"/>
                <w:sz w:val="24"/>
                <w:szCs w:val="24"/>
              </w:rPr>
            </w:pPr>
            <w:r>
              <w:rPr>
                <w:rFonts w:ascii="Times New Roman" w:hAnsi="Times New Roman" w:cs="Times New Roman"/>
                <w:b/>
                <w:bCs/>
                <w:sz w:val="15"/>
                <w:szCs w:val="15"/>
              </w:rPr>
              <w:t>rights</w:t>
            </w:r>
          </w:p>
        </w:tc>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reflected in column (a))</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37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5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1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7"/>
        </w:trPr>
        <w:tc>
          <w:tcPr>
            <w:tcW w:w="3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186" w:lineRule="exact"/>
              <w:ind w:left="60"/>
              <w:rPr>
                <w:rFonts w:ascii="Times New Roman" w:hAnsi="Times New Roman" w:cs="Times New Roman"/>
                <w:sz w:val="24"/>
                <w:szCs w:val="24"/>
              </w:rPr>
            </w:pPr>
            <w:r>
              <w:rPr>
                <w:rFonts w:ascii="Times New Roman" w:hAnsi="Times New Roman" w:cs="Times New Roman"/>
                <w:b/>
                <w:bCs/>
                <w:sz w:val="19"/>
                <w:szCs w:val="19"/>
              </w:rPr>
              <w:t>Equity compensation plans approved by</w:t>
            </w:r>
          </w:p>
        </w:tc>
        <w:tc>
          <w:tcPr>
            <w:tcW w:w="1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3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 xml:space="preserve">security holders </w:t>
            </w:r>
            <w:r>
              <w:rPr>
                <w:rFonts w:ascii="Times New Roman" w:hAnsi="Times New Roman" w:cs="Times New Roman"/>
                <w:b/>
                <w:bCs/>
                <w:sz w:val="15"/>
                <w:szCs w:val="15"/>
              </w:rPr>
              <w:t>(1)</w:t>
            </w:r>
          </w:p>
        </w:tc>
        <w:tc>
          <w:tcPr>
            <w:tcW w:w="170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5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9"/>
        </w:trPr>
        <w:tc>
          <w:tcPr>
            <w:tcW w:w="3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Options</w:t>
            </w:r>
          </w:p>
        </w:tc>
        <w:tc>
          <w:tcPr>
            <w:tcW w:w="1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280,075,306</w:t>
            </w:r>
          </w:p>
        </w:tc>
        <w:tc>
          <w:tcPr>
            <w:tcW w:w="186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
              <w:jc w:val="right"/>
              <w:rPr>
                <w:rFonts w:ascii="Times New Roman" w:hAnsi="Times New Roman" w:cs="Times New Roman"/>
                <w:sz w:val="24"/>
                <w:szCs w:val="24"/>
              </w:rPr>
            </w:pPr>
            <w:r>
              <w:rPr>
                <w:rFonts w:ascii="Times New Roman" w:hAnsi="Times New Roman" w:cs="Times New Roman"/>
                <w:sz w:val="19"/>
                <w:szCs w:val="19"/>
              </w:rPr>
              <w:t>$59.8321</w:t>
            </w: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6"/>
        </w:trPr>
        <w:tc>
          <w:tcPr>
            <w:tcW w:w="3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06" w:lineRule="exact"/>
              <w:ind w:left="60"/>
              <w:rPr>
                <w:rFonts w:ascii="Times New Roman" w:hAnsi="Times New Roman" w:cs="Times New Roman"/>
                <w:sz w:val="24"/>
                <w:szCs w:val="24"/>
              </w:rPr>
            </w:pPr>
            <w:r>
              <w:rPr>
                <w:rFonts w:ascii="Times New Roman" w:hAnsi="Times New Roman" w:cs="Times New Roman"/>
                <w:sz w:val="19"/>
                <w:szCs w:val="19"/>
              </w:rPr>
              <w:t>Restricted Stock Units (RSUs) / Performance</w:t>
            </w:r>
          </w:p>
        </w:tc>
        <w:tc>
          <w:tcPr>
            <w:tcW w:w="170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10,678,573</w:t>
            </w:r>
          </w:p>
        </w:tc>
        <w:tc>
          <w:tcPr>
            <w:tcW w:w="2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580" w:type="dxa"/>
            <w:vMerge w:val="restart"/>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N/A</w:t>
            </w:r>
          </w:p>
        </w:tc>
        <w:tc>
          <w:tcPr>
            <w:tcW w:w="3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3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Stock Units (PSUs)</w:t>
            </w:r>
          </w:p>
        </w:tc>
        <w:tc>
          <w:tcPr>
            <w:tcW w:w="170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580" w:type="dxa"/>
            <w:vMerge/>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8"/>
        </w:trPr>
        <w:tc>
          <w:tcPr>
            <w:tcW w:w="3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8" w:lineRule="exact"/>
              <w:ind w:left="60"/>
              <w:rPr>
                <w:rFonts w:ascii="Times New Roman" w:hAnsi="Times New Roman" w:cs="Times New Roman"/>
                <w:sz w:val="24"/>
                <w:szCs w:val="24"/>
              </w:rPr>
            </w:pPr>
            <w:r>
              <w:rPr>
                <w:rFonts w:ascii="Times New Roman" w:hAnsi="Times New Roman" w:cs="Times New Roman"/>
                <w:b/>
                <w:bCs/>
                <w:sz w:val="19"/>
                <w:szCs w:val="19"/>
              </w:rPr>
              <w:t>Equity compensation plans not approved by</w:t>
            </w:r>
          </w:p>
        </w:tc>
        <w:tc>
          <w:tcPr>
            <w:tcW w:w="1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4"/>
        </w:trPr>
        <w:tc>
          <w:tcPr>
            <w:tcW w:w="3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 xml:space="preserve">security holders </w:t>
            </w:r>
            <w:r>
              <w:rPr>
                <w:rFonts w:ascii="Times New Roman" w:hAnsi="Times New Roman" w:cs="Times New Roman"/>
                <w:b/>
                <w:bCs/>
                <w:sz w:val="15"/>
                <w:szCs w:val="15"/>
              </w:rPr>
              <w:t>(3)</w:t>
            </w:r>
          </w:p>
        </w:tc>
        <w:tc>
          <w:tcPr>
            <w:tcW w:w="1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1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37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7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7"/>
        </w:trPr>
        <w:tc>
          <w:tcPr>
            <w:tcW w:w="378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9"/>
                <w:szCs w:val="19"/>
              </w:rPr>
              <w:t>Options</w:t>
            </w:r>
          </w:p>
        </w:tc>
        <w:tc>
          <w:tcPr>
            <w:tcW w:w="170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9"/>
                <w:szCs w:val="19"/>
              </w:rPr>
              <w:t>11,550,407</w:t>
            </w:r>
          </w:p>
        </w:tc>
        <w:tc>
          <w:tcPr>
            <w:tcW w:w="1860" w:type="dxa"/>
            <w:gridSpan w:val="2"/>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
              <w:jc w:val="right"/>
              <w:rPr>
                <w:rFonts w:ascii="Times New Roman" w:hAnsi="Times New Roman" w:cs="Times New Roman"/>
                <w:sz w:val="24"/>
                <w:szCs w:val="24"/>
              </w:rPr>
            </w:pPr>
            <w:r>
              <w:rPr>
                <w:rFonts w:ascii="Times New Roman" w:hAnsi="Times New Roman" w:cs="Times New Roman"/>
                <w:sz w:val="19"/>
                <w:szCs w:val="19"/>
              </w:rPr>
              <w:t>57.8818</w:t>
            </w:r>
          </w:p>
        </w:tc>
        <w:tc>
          <w:tcPr>
            <w:tcW w:w="3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120" w:type="dxa"/>
            <w:tcBorders>
              <w:top w:val="nil"/>
              <w:left w:val="nil"/>
              <w:bottom w:val="nil"/>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5"/>
        </w:trPr>
        <w:tc>
          <w:tcPr>
            <w:tcW w:w="37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170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158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2120" w:type="dxa"/>
            <w:tcBorders>
              <w:top w:val="nil"/>
              <w:left w:val="nil"/>
              <w:bottom w:val="single" w:sz="8" w:space="0" w:color="E6E6E6"/>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5"/>
        </w:trPr>
        <w:tc>
          <w:tcPr>
            <w:tcW w:w="378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19"/>
                <w:szCs w:val="19"/>
              </w:rPr>
              <w:t>GRAND TOTAL</w:t>
            </w:r>
          </w:p>
        </w:tc>
        <w:tc>
          <w:tcPr>
            <w:tcW w:w="1700" w:type="dxa"/>
            <w:tcBorders>
              <w:top w:val="nil"/>
              <w:left w:val="nil"/>
              <w:bottom w:val="single" w:sz="8" w:space="0" w:color="auto"/>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19"/>
                <w:szCs w:val="19"/>
              </w:rPr>
              <w:t>302,304,286</w:t>
            </w:r>
          </w:p>
        </w:tc>
        <w:tc>
          <w:tcPr>
            <w:tcW w:w="1860" w:type="dxa"/>
            <w:gridSpan w:val="2"/>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1"/>
              <w:jc w:val="right"/>
              <w:rPr>
                <w:rFonts w:ascii="Times New Roman" w:hAnsi="Times New Roman" w:cs="Times New Roman"/>
                <w:sz w:val="24"/>
                <w:szCs w:val="24"/>
              </w:rPr>
            </w:pPr>
            <w:r>
              <w:rPr>
                <w:rFonts w:ascii="Times New Roman" w:hAnsi="Times New Roman" w:cs="Times New Roman"/>
                <w:b/>
                <w:bCs/>
                <w:sz w:val="19"/>
                <w:szCs w:val="19"/>
              </w:rPr>
              <w:t>59.7448</w:t>
            </w:r>
          </w:p>
        </w:tc>
        <w:tc>
          <w:tcPr>
            <w:tcW w:w="3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(5)</w:t>
            </w:r>
          </w:p>
        </w:tc>
        <w:tc>
          <w:tcPr>
            <w:tcW w:w="2120" w:type="dxa"/>
            <w:tcBorders>
              <w:top w:val="nil"/>
              <w:left w:val="nil"/>
              <w:bottom w:val="single" w:sz="8" w:space="0" w:color="E6E6E6"/>
              <w:right w:val="nil"/>
            </w:tcBorders>
            <w:shd w:val="clear" w:color="auto" w:fill="E6E6E6"/>
            <w:vAlign w:val="bottom"/>
          </w:tcPr>
          <w:p w:rsidR="00000000" w:rsidRDefault="0057438D">
            <w:pPr>
              <w:pStyle w:val="DefaultParagraphFont"/>
              <w:widowControl w:val="0"/>
              <w:autoSpaceDE w:val="0"/>
              <w:autoSpaceDN w:val="0"/>
              <w:adjustRightInd w:val="0"/>
              <w:spacing w:after="0" w:line="240" w:lineRule="auto"/>
              <w:ind w:right="2"/>
              <w:jc w:val="right"/>
              <w:rPr>
                <w:rFonts w:ascii="Times New Roman" w:hAnsi="Times New Roman" w:cs="Times New Roman"/>
                <w:sz w:val="24"/>
                <w:szCs w:val="24"/>
              </w:rPr>
            </w:pPr>
            <w:r>
              <w:rPr>
                <w:rFonts w:ascii="Times New Roman" w:hAnsi="Times New Roman" w:cs="Times New Roman"/>
                <w:b/>
                <w:bCs/>
                <w:sz w:val="19"/>
                <w:szCs w:val="19"/>
              </w:rPr>
              <w:t>26,684,466</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156" w:lineRule="exact"/>
        <w:rPr>
          <w:rFonts w:ascii="Times New Roman" w:hAnsi="Times New Roman" w:cs="Times New Roman"/>
          <w:sz w:val="24"/>
          <w:szCs w:val="24"/>
        </w:rPr>
      </w:pPr>
    </w:p>
    <w:p w:rsidR="00000000" w:rsidRDefault="0057438D">
      <w:pPr>
        <w:pStyle w:val="DefaultParagraphFont"/>
        <w:widowControl w:val="0"/>
        <w:numPr>
          <w:ilvl w:val="0"/>
          <w:numId w:val="26"/>
        </w:numPr>
        <w:tabs>
          <w:tab w:val="clear" w:pos="720"/>
          <w:tab w:val="num" w:pos="660"/>
        </w:tabs>
        <w:overflowPunct w:val="0"/>
        <w:autoSpaceDE w:val="0"/>
        <w:autoSpaceDN w:val="0"/>
        <w:adjustRightInd w:val="0"/>
        <w:spacing w:after="0" w:line="227" w:lineRule="auto"/>
        <w:ind w:left="660" w:right="80" w:hanging="386"/>
        <w:rPr>
          <w:rFonts w:ascii="Times New Roman" w:hAnsi="Times New Roman" w:cs="Times New Roman"/>
          <w:sz w:val="15"/>
          <w:szCs w:val="15"/>
        </w:rPr>
      </w:pPr>
      <w:r>
        <w:rPr>
          <w:rFonts w:ascii="Times New Roman" w:hAnsi="Times New Roman" w:cs="Times New Roman"/>
          <w:sz w:val="17"/>
          <w:szCs w:val="17"/>
        </w:rPr>
        <w:t>Includes The Procter &amp; Gamble 1992 Stock Plan; The Procter &amp; Gamble 1993 Non-Employee Directors Stock Plan; The Procter &amp; Gamble 200</w:t>
      </w:r>
      <w:r>
        <w:rPr>
          <w:rFonts w:ascii="Times New Roman" w:hAnsi="Times New Roman" w:cs="Times New Roman"/>
          <w:sz w:val="17"/>
          <w:szCs w:val="17"/>
        </w:rPr>
        <w:t>1 Stock and Incentive Compensation Plan; The Procter &amp; Gamble 2003 Non-Employee Directors Stock Plan; The Procter &amp; Gamble 2009 Stock and Incentive Compensation Plan; and The Procter &amp; Gamble 2013 Non-Employee Directors' Stock Plan.</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15"/>
          <w:szCs w:val="15"/>
        </w:rPr>
      </w:pPr>
    </w:p>
    <w:p w:rsidR="00000000" w:rsidRDefault="0057438D">
      <w:pPr>
        <w:pStyle w:val="DefaultParagraphFont"/>
        <w:widowControl w:val="0"/>
        <w:numPr>
          <w:ilvl w:val="0"/>
          <w:numId w:val="26"/>
        </w:numPr>
        <w:tabs>
          <w:tab w:val="clear" w:pos="720"/>
          <w:tab w:val="num" w:pos="660"/>
        </w:tabs>
        <w:overflowPunct w:val="0"/>
        <w:autoSpaceDE w:val="0"/>
        <w:autoSpaceDN w:val="0"/>
        <w:adjustRightInd w:val="0"/>
        <w:spacing w:after="0" w:line="223" w:lineRule="auto"/>
        <w:ind w:left="660" w:right="120" w:hanging="386"/>
        <w:rPr>
          <w:rFonts w:ascii="Times New Roman" w:hAnsi="Times New Roman" w:cs="Times New Roman"/>
          <w:sz w:val="15"/>
          <w:szCs w:val="15"/>
        </w:rPr>
      </w:pPr>
      <w:r>
        <w:rPr>
          <w:rFonts w:ascii="Times New Roman" w:hAnsi="Times New Roman" w:cs="Times New Roman"/>
          <w:sz w:val="17"/>
          <w:szCs w:val="17"/>
        </w:rPr>
        <w:t>Of the plans liste</w:t>
      </w:r>
      <w:r>
        <w:rPr>
          <w:rFonts w:ascii="Times New Roman" w:hAnsi="Times New Roman" w:cs="Times New Roman"/>
          <w:sz w:val="17"/>
          <w:szCs w:val="17"/>
        </w:rPr>
        <w:t>d in (1), only The Procter &amp; Gamble 2009 Stock and Incentive Compensation Plan and The Procter &amp; Gamble 2013 Non- Employee Directors Stock Plan allow for future grants of securities. The maximum number of shares that may be granted under these plans is 180</w:t>
      </w:r>
      <w:r>
        <w:rPr>
          <w:rFonts w:ascii="Times New Roman" w:hAnsi="Times New Roman" w:cs="Times New Roman"/>
          <w:sz w:val="17"/>
          <w:szCs w:val="17"/>
        </w:rPr>
        <w:t xml:space="preserve"> million shares. Stock options and stock appreciation rights are counted on a one for one basis while full value awards (such as RSUs and PSUs) will be counted as 2.88 shares for each share awarded. Total shares available for future issuance under these pl</w:t>
      </w:r>
      <w:r>
        <w:rPr>
          <w:rFonts w:ascii="Times New Roman" w:hAnsi="Times New Roman" w:cs="Times New Roman"/>
          <w:sz w:val="17"/>
          <w:szCs w:val="17"/>
        </w:rPr>
        <w:t>ans is 27 million.</w:t>
      </w:r>
    </w:p>
    <w:p w:rsidR="00000000" w:rsidRDefault="0057438D">
      <w:pPr>
        <w:pStyle w:val="DefaultParagraphFont"/>
        <w:widowControl w:val="0"/>
        <w:autoSpaceDE w:val="0"/>
        <w:autoSpaceDN w:val="0"/>
        <w:adjustRightInd w:val="0"/>
        <w:spacing w:after="0" w:line="46" w:lineRule="exact"/>
        <w:rPr>
          <w:rFonts w:ascii="Times New Roman" w:hAnsi="Times New Roman" w:cs="Times New Roman"/>
          <w:sz w:val="15"/>
          <w:szCs w:val="15"/>
        </w:rPr>
      </w:pPr>
    </w:p>
    <w:p w:rsidR="00000000" w:rsidRDefault="0057438D">
      <w:pPr>
        <w:pStyle w:val="DefaultParagraphFont"/>
        <w:widowControl w:val="0"/>
        <w:numPr>
          <w:ilvl w:val="0"/>
          <w:numId w:val="26"/>
        </w:numPr>
        <w:tabs>
          <w:tab w:val="clear" w:pos="720"/>
          <w:tab w:val="num" w:pos="660"/>
        </w:tabs>
        <w:overflowPunct w:val="0"/>
        <w:autoSpaceDE w:val="0"/>
        <w:autoSpaceDN w:val="0"/>
        <w:adjustRightInd w:val="0"/>
        <w:spacing w:after="0" w:line="247" w:lineRule="auto"/>
        <w:ind w:left="660" w:right="300" w:hanging="386"/>
        <w:jc w:val="both"/>
        <w:rPr>
          <w:rFonts w:ascii="Times New Roman" w:hAnsi="Times New Roman" w:cs="Times New Roman"/>
          <w:sz w:val="15"/>
          <w:szCs w:val="15"/>
        </w:rPr>
      </w:pPr>
      <w:r>
        <w:rPr>
          <w:rFonts w:ascii="Times New Roman" w:hAnsi="Times New Roman" w:cs="Times New Roman"/>
          <w:sz w:val="17"/>
          <w:szCs w:val="17"/>
        </w:rPr>
        <w:t>Includes The Procter &amp; Gamble 1992 Stock Plan (Belgian version); The Procter &amp; Gamble Future Shares Plan; and The Gillette Company 2004 Long-Term Incentive Plan.</w:t>
      </w:r>
    </w:p>
    <w:p w:rsidR="00000000" w:rsidRDefault="0057438D">
      <w:pPr>
        <w:pStyle w:val="DefaultParagraphFont"/>
        <w:widowControl w:val="0"/>
        <w:numPr>
          <w:ilvl w:val="0"/>
          <w:numId w:val="26"/>
        </w:numPr>
        <w:tabs>
          <w:tab w:val="clear" w:pos="720"/>
          <w:tab w:val="num" w:pos="660"/>
        </w:tabs>
        <w:overflowPunct w:val="0"/>
        <w:autoSpaceDE w:val="0"/>
        <w:autoSpaceDN w:val="0"/>
        <w:adjustRightInd w:val="0"/>
        <w:spacing w:after="0" w:line="192" w:lineRule="auto"/>
        <w:ind w:left="660" w:hanging="386"/>
        <w:jc w:val="both"/>
        <w:rPr>
          <w:rFonts w:ascii="Times New Roman" w:hAnsi="Times New Roman" w:cs="Times New Roman"/>
          <w:sz w:val="31"/>
          <w:szCs w:val="31"/>
          <w:vertAlign w:val="superscript"/>
        </w:rPr>
      </w:pPr>
      <w:r>
        <w:rPr>
          <w:rFonts w:ascii="Times New Roman" w:hAnsi="Times New Roman" w:cs="Times New Roman"/>
          <w:sz w:val="17"/>
          <w:szCs w:val="17"/>
        </w:rPr>
        <w:t>None of the plans listed in (3) allow for future grants of securit</w:t>
      </w:r>
      <w:r>
        <w:rPr>
          <w:rFonts w:ascii="Times New Roman" w:hAnsi="Times New Roman" w:cs="Times New Roman"/>
          <w:sz w:val="17"/>
          <w:szCs w:val="17"/>
        </w:rPr>
        <w:t>ies.</w:t>
      </w:r>
    </w:p>
    <w:p w:rsidR="00000000" w:rsidRDefault="0057438D">
      <w:pPr>
        <w:pStyle w:val="DefaultParagraphFont"/>
        <w:widowControl w:val="0"/>
        <w:autoSpaceDE w:val="0"/>
        <w:autoSpaceDN w:val="0"/>
        <w:adjustRightInd w:val="0"/>
        <w:spacing w:after="0" w:line="62" w:lineRule="exact"/>
        <w:rPr>
          <w:rFonts w:ascii="Times New Roman" w:hAnsi="Times New Roman" w:cs="Times New Roman"/>
          <w:sz w:val="31"/>
          <w:szCs w:val="31"/>
          <w:vertAlign w:val="superscript"/>
        </w:rPr>
      </w:pPr>
    </w:p>
    <w:p w:rsidR="00000000" w:rsidRDefault="0057438D">
      <w:pPr>
        <w:pStyle w:val="DefaultParagraphFont"/>
        <w:widowControl w:val="0"/>
        <w:numPr>
          <w:ilvl w:val="0"/>
          <w:numId w:val="26"/>
        </w:numPr>
        <w:tabs>
          <w:tab w:val="clear" w:pos="720"/>
          <w:tab w:val="num" w:pos="660"/>
        </w:tabs>
        <w:overflowPunct w:val="0"/>
        <w:autoSpaceDE w:val="0"/>
        <w:autoSpaceDN w:val="0"/>
        <w:adjustRightInd w:val="0"/>
        <w:spacing w:after="0" w:line="180" w:lineRule="auto"/>
        <w:ind w:left="660" w:hanging="386"/>
        <w:jc w:val="both"/>
        <w:rPr>
          <w:rFonts w:ascii="Times New Roman" w:hAnsi="Times New Roman" w:cs="Times New Roman"/>
          <w:sz w:val="26"/>
          <w:szCs w:val="26"/>
          <w:vertAlign w:val="superscript"/>
        </w:rPr>
      </w:pPr>
      <w:r>
        <w:rPr>
          <w:rFonts w:ascii="Times New Roman" w:hAnsi="Times New Roman" w:cs="Times New Roman"/>
          <w:sz w:val="15"/>
          <w:szCs w:val="15"/>
        </w:rPr>
        <w:t>Weighted average exercise price of outstanding options only.</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900" w:bottom="1440" w:left="840" w:header="720" w:footer="720" w:gutter="0"/>
          <w:cols w:space="460" w:equalWidth="0">
            <w:col w:w="9780" w:space="46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8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u w:val="single"/>
        </w:rPr>
        <w:t>The Procter &amp; Gamble 1992 Stock Plan (Belgian Version)</w:t>
      </w:r>
    </w:p>
    <w:p w:rsidR="00000000" w:rsidRDefault="0057438D">
      <w:pPr>
        <w:pStyle w:val="DefaultParagraphFont"/>
        <w:widowControl w:val="0"/>
        <w:autoSpaceDE w:val="0"/>
        <w:autoSpaceDN w:val="0"/>
        <w:adjustRightInd w:val="0"/>
        <w:spacing w:after="0" w:line="9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sz w:val="19"/>
          <w:szCs w:val="19"/>
        </w:rPr>
        <w:t>No further grants can be made under the plan, although unexercised stock options previously granted under this plan remain outstanding. This plan was approved by the Company's Board of Directors on February 14, 1997. Although the plan has not been submitte</w:t>
      </w:r>
      <w:r>
        <w:rPr>
          <w:rFonts w:ascii="Times New Roman" w:hAnsi="Times New Roman" w:cs="Times New Roman"/>
          <w:sz w:val="19"/>
          <w:szCs w:val="19"/>
        </w:rPr>
        <w:t>d to shareholders for approval, it is nearly identical to The Procter &amp; Gamble 1992 Stock Plan, approved by the Company's shareholders on October 13, 1992, except for a few minor changes designed to comply with the Belgian tax laws.</w:t>
      </w:r>
    </w:p>
    <w:p w:rsidR="00000000" w:rsidRDefault="0057438D">
      <w:pPr>
        <w:pStyle w:val="DefaultParagraphFont"/>
        <w:widowControl w:val="0"/>
        <w:autoSpaceDE w:val="0"/>
        <w:autoSpaceDN w:val="0"/>
        <w:adjustRightInd w:val="0"/>
        <w:spacing w:after="0" w:line="7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1" w:lineRule="auto"/>
        <w:ind w:right="300"/>
        <w:rPr>
          <w:rFonts w:ascii="Times New Roman" w:hAnsi="Times New Roman" w:cs="Times New Roman"/>
          <w:sz w:val="24"/>
          <w:szCs w:val="24"/>
        </w:rPr>
      </w:pPr>
      <w:r>
        <w:rPr>
          <w:rFonts w:ascii="Times New Roman" w:hAnsi="Times New Roman" w:cs="Times New Roman"/>
          <w:sz w:val="19"/>
          <w:szCs w:val="19"/>
        </w:rPr>
        <w:t xml:space="preserve">The plan was designed </w:t>
      </w:r>
      <w:r>
        <w:rPr>
          <w:rFonts w:ascii="Times New Roman" w:hAnsi="Times New Roman" w:cs="Times New Roman"/>
          <w:sz w:val="19"/>
          <w:szCs w:val="19"/>
        </w:rPr>
        <w:t>to attract, retain and motivate key Belgian employees. Under the plan, eligible participants were: (i) granted or offered the right to purchase stock options, (ii) granted stock appreciation rights and/or</w:t>
      </w:r>
    </w:p>
    <w:p w:rsidR="00000000" w:rsidRDefault="0057438D">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60"/>
        <w:rPr>
          <w:rFonts w:ascii="Times New Roman" w:hAnsi="Times New Roman" w:cs="Times New Roman"/>
          <w:sz w:val="24"/>
          <w:szCs w:val="24"/>
        </w:rPr>
      </w:pPr>
      <w:r>
        <w:rPr>
          <w:rFonts w:ascii="Times New Roman" w:hAnsi="Times New Roman" w:cs="Times New Roman"/>
          <w:sz w:val="19"/>
          <w:szCs w:val="19"/>
        </w:rPr>
        <w:t>(iii) granted shares of the Company's common stock. Except in the case of death of the recipient, all stock options and stock appreciation rights must vest in no less than one year from the date of grant and must expire no later than fifteen years from the</w:t>
      </w:r>
      <w:r>
        <w:rPr>
          <w:rFonts w:ascii="Times New Roman" w:hAnsi="Times New Roman" w:cs="Times New Roman"/>
          <w:sz w:val="19"/>
          <w:szCs w:val="19"/>
        </w:rPr>
        <w:t xml:space="preserve"> date of grant. The exercise price for all stock options granted under the plan is the average price of the Company's stock on the date of grant. If a recipient of a grant leaves the Company while holding an unexercised option or right, any unexercisable p</w:t>
      </w:r>
      <w:r>
        <w:rPr>
          <w:rFonts w:ascii="Times New Roman" w:hAnsi="Times New Roman" w:cs="Times New Roman"/>
          <w:sz w:val="19"/>
          <w:szCs w:val="19"/>
        </w:rPr>
        <w:t xml:space="preserve">ortions immediately become void, except in the case of death, and any exercisable portions become void within one month of departure, except in the case of death or retirement. Any common stock awarded under the plan may be subject to restrictions on sale </w:t>
      </w:r>
      <w:r>
        <w:rPr>
          <w:rFonts w:ascii="Times New Roman" w:hAnsi="Times New Roman" w:cs="Times New Roman"/>
          <w:sz w:val="19"/>
          <w:szCs w:val="19"/>
        </w:rPr>
        <w:t>or transfer while the recipient is employed, as the committee administering the plan may determine.</w:t>
      </w:r>
    </w:p>
    <w:p w:rsidR="00000000" w:rsidRDefault="0057438D">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u w:val="single"/>
        </w:rPr>
        <w:t>The Procter &amp; Gamble Future Shares Plan</w:t>
      </w:r>
    </w:p>
    <w:p w:rsidR="00000000" w:rsidRDefault="0057438D">
      <w:pPr>
        <w:pStyle w:val="DefaultParagraphFont"/>
        <w:widowControl w:val="0"/>
        <w:autoSpaceDE w:val="0"/>
        <w:autoSpaceDN w:val="0"/>
        <w:adjustRightInd w:val="0"/>
        <w:spacing w:after="0" w:line="9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5" w:lineRule="auto"/>
        <w:ind w:right="60"/>
        <w:rPr>
          <w:rFonts w:ascii="Times New Roman" w:hAnsi="Times New Roman" w:cs="Times New Roman"/>
          <w:sz w:val="24"/>
          <w:szCs w:val="24"/>
        </w:rPr>
      </w:pPr>
      <w:r>
        <w:rPr>
          <w:rFonts w:ascii="Times New Roman" w:hAnsi="Times New Roman" w:cs="Times New Roman"/>
          <w:sz w:val="19"/>
          <w:szCs w:val="19"/>
        </w:rPr>
        <w:t>On October 14, 1997, the Company's Board of Directors approved The Procter &amp; Gamble Future Shares Plan pursuant to</w:t>
      </w:r>
      <w:r>
        <w:rPr>
          <w:rFonts w:ascii="Times New Roman" w:hAnsi="Times New Roman" w:cs="Times New Roman"/>
          <w:sz w:val="19"/>
          <w:szCs w:val="19"/>
        </w:rPr>
        <w:t xml:space="preserve"> which options to purchase shares of the Company's common stock may be granted to employees worldwide. The purpose of this plan is to advance the interests of the Company by giving substantially all employees a stake in the Company's future growth and succ</w:t>
      </w:r>
      <w:r>
        <w:rPr>
          <w:rFonts w:ascii="Times New Roman" w:hAnsi="Times New Roman" w:cs="Times New Roman"/>
          <w:sz w:val="19"/>
          <w:szCs w:val="19"/>
        </w:rPr>
        <w:t>ess and to strengthen the alignment of interests between employees and the Company's shareholders through increased ownership of shares of the Company's stock. The plan has not been submitted to shareholders for approval.</w:t>
      </w:r>
    </w:p>
    <w:p w:rsidR="00000000" w:rsidRDefault="0057438D">
      <w:pPr>
        <w:pStyle w:val="DefaultParagraphFont"/>
        <w:widowControl w:val="0"/>
        <w:autoSpaceDE w:val="0"/>
        <w:autoSpaceDN w:val="0"/>
        <w:adjustRightInd w:val="0"/>
        <w:spacing w:after="0" w:line="1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20"/>
        <w:rPr>
          <w:rFonts w:ascii="Times New Roman" w:hAnsi="Times New Roman" w:cs="Times New Roman"/>
          <w:sz w:val="24"/>
          <w:szCs w:val="24"/>
        </w:rPr>
      </w:pPr>
      <w:r>
        <w:rPr>
          <w:rFonts w:ascii="Times New Roman" w:hAnsi="Times New Roman" w:cs="Times New Roman"/>
          <w:sz w:val="19"/>
          <w:szCs w:val="19"/>
        </w:rPr>
        <w:t>Subject to adjustment for changes</w:t>
      </w:r>
      <w:r>
        <w:rPr>
          <w:rFonts w:ascii="Times New Roman" w:hAnsi="Times New Roman" w:cs="Times New Roman"/>
          <w:sz w:val="19"/>
          <w:szCs w:val="19"/>
        </w:rPr>
        <w:t xml:space="preserve"> in the Company's capitalization, the number of shares to be granted under the plan is not to exceed 17 million shares. Under the plan's regulations, recipients are granted options to acquire 100 shares of the Company's common stock at an exercise price eq</w:t>
      </w:r>
      <w:r>
        <w:rPr>
          <w:rFonts w:ascii="Times New Roman" w:hAnsi="Times New Roman" w:cs="Times New Roman"/>
          <w:sz w:val="19"/>
          <w:szCs w:val="19"/>
        </w:rPr>
        <w:t>ual to the average price of the Company's common stock on the date of the grant. These options vest five years after the date of grant and expire ten years following the date of grant. If a recipient leaves the employ of the Company prior to the vesting da</w:t>
      </w:r>
      <w:r>
        <w:rPr>
          <w:rFonts w:ascii="Times New Roman" w:hAnsi="Times New Roman" w:cs="Times New Roman"/>
          <w:sz w:val="19"/>
          <w:szCs w:val="19"/>
        </w:rPr>
        <w:t>te for a reason other than disability, retirement or special separation (as defined in the plan), then the award is forfeited.</w:t>
      </w: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5"/>
          <w:szCs w:val="15"/>
        </w:rPr>
        <w:t xml:space="preserve">The Procter &amp; Gamble Company  </w:t>
      </w:r>
      <w:r>
        <w:rPr>
          <w:rFonts w:ascii="Times New Roman" w:hAnsi="Times New Roman" w:cs="Times New Roman"/>
          <w:sz w:val="19"/>
          <w:szCs w:val="19"/>
        </w:rPr>
        <w:t>79</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6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20"/>
        <w:rPr>
          <w:rFonts w:ascii="Times New Roman" w:hAnsi="Times New Roman" w:cs="Times New Roman"/>
          <w:sz w:val="24"/>
          <w:szCs w:val="24"/>
        </w:rPr>
      </w:pPr>
      <w:r>
        <w:rPr>
          <w:rFonts w:ascii="Times New Roman" w:hAnsi="Times New Roman" w:cs="Times New Roman"/>
          <w:sz w:val="19"/>
          <w:szCs w:val="19"/>
        </w:rPr>
        <w:t>At the time of the first grant following Board appro</w:t>
      </w:r>
      <w:r>
        <w:rPr>
          <w:rFonts w:ascii="Times New Roman" w:hAnsi="Times New Roman" w:cs="Times New Roman"/>
          <w:sz w:val="19"/>
          <w:szCs w:val="19"/>
        </w:rPr>
        <w:t>val of the plan, each employee of the Company not eligible for an award under the 1992 Stock Plan was granted options for 100 shares. From the date of this first grant through June 30, 2003, each new employee of the Company has also received options for 10</w:t>
      </w:r>
      <w:r>
        <w:rPr>
          <w:rFonts w:ascii="Times New Roman" w:hAnsi="Times New Roman" w:cs="Times New Roman"/>
          <w:sz w:val="19"/>
          <w:szCs w:val="19"/>
        </w:rPr>
        <w:t>0 shares. Following the grant of options on June 30, 2003, the Company suspended this part of the plan. The plan terminated on October 13, 2007.</w:t>
      </w:r>
    </w:p>
    <w:p w:rsidR="00000000" w:rsidRDefault="0057438D">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u w:val="single"/>
        </w:rPr>
        <w:t>The Gillette Company 2004 Long-Term Incentive Plan</w:t>
      </w:r>
    </w:p>
    <w:p w:rsidR="00000000" w:rsidRDefault="0057438D">
      <w:pPr>
        <w:pStyle w:val="DefaultParagraphFont"/>
        <w:widowControl w:val="0"/>
        <w:autoSpaceDE w:val="0"/>
        <w:autoSpaceDN w:val="0"/>
        <w:adjustRightInd w:val="0"/>
        <w:spacing w:after="0" w:line="9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1" w:lineRule="auto"/>
        <w:ind w:right="160"/>
        <w:rPr>
          <w:rFonts w:ascii="Times New Roman" w:hAnsi="Times New Roman" w:cs="Times New Roman"/>
          <w:sz w:val="24"/>
          <w:szCs w:val="24"/>
        </w:rPr>
      </w:pPr>
      <w:r>
        <w:rPr>
          <w:rFonts w:ascii="Times New Roman" w:hAnsi="Times New Roman" w:cs="Times New Roman"/>
          <w:sz w:val="19"/>
          <w:szCs w:val="19"/>
        </w:rPr>
        <w:t>Shareholders of The Gillette Company approved The Gillette</w:t>
      </w:r>
      <w:r>
        <w:rPr>
          <w:rFonts w:ascii="Times New Roman" w:hAnsi="Times New Roman" w:cs="Times New Roman"/>
          <w:sz w:val="19"/>
          <w:szCs w:val="19"/>
        </w:rPr>
        <w:t xml:space="preserve"> Company 2004 Long-Term Incentive Plan on May 20, 2004, and the plan was assumed by the Company upon the merger between The Procter &amp; Gamble Company</w:t>
      </w:r>
    </w:p>
    <w:p w:rsidR="00000000" w:rsidRDefault="0057438D">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80"/>
        <w:rPr>
          <w:rFonts w:ascii="Times New Roman" w:hAnsi="Times New Roman" w:cs="Times New Roman"/>
          <w:sz w:val="24"/>
          <w:szCs w:val="24"/>
        </w:rPr>
      </w:pPr>
      <w:r>
        <w:rPr>
          <w:rFonts w:ascii="Times New Roman" w:hAnsi="Times New Roman" w:cs="Times New Roman"/>
          <w:sz w:val="19"/>
          <w:szCs w:val="19"/>
        </w:rPr>
        <w:t>and The Gillette Company. All options became immediately vested and exercisable on October 1, 2005 as a re</w:t>
      </w:r>
      <w:r>
        <w:rPr>
          <w:rFonts w:ascii="Times New Roman" w:hAnsi="Times New Roman" w:cs="Times New Roman"/>
          <w:sz w:val="19"/>
          <w:szCs w:val="19"/>
        </w:rPr>
        <w:t xml:space="preserve">sult of the merger. After the merger, all outstanding options became options to purchase shares of The Procter &amp; Gamble Company subject to an exchange ratio of .975 shares of P&amp;G stock per share of Gillette stock. Only employees previously employed by The </w:t>
      </w:r>
      <w:r>
        <w:rPr>
          <w:rFonts w:ascii="Times New Roman" w:hAnsi="Times New Roman" w:cs="Times New Roman"/>
          <w:sz w:val="19"/>
          <w:szCs w:val="19"/>
        </w:rPr>
        <w:t>Gillette Company prior to October 1, 2005 are eligible to receive grants under this plan.</w:t>
      </w:r>
    </w:p>
    <w:p w:rsidR="00000000" w:rsidRDefault="0057438D">
      <w:pPr>
        <w:pStyle w:val="DefaultParagraphFont"/>
        <w:widowControl w:val="0"/>
        <w:autoSpaceDE w:val="0"/>
        <w:autoSpaceDN w:val="0"/>
        <w:adjustRightInd w:val="0"/>
        <w:spacing w:after="0" w:line="13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4" w:lineRule="auto"/>
        <w:ind w:right="60"/>
        <w:rPr>
          <w:rFonts w:ascii="Times New Roman" w:hAnsi="Times New Roman" w:cs="Times New Roman"/>
          <w:sz w:val="24"/>
          <w:szCs w:val="24"/>
        </w:rPr>
      </w:pPr>
      <w:r>
        <w:rPr>
          <w:rFonts w:ascii="Times New Roman" w:hAnsi="Times New Roman" w:cs="Times New Roman"/>
          <w:sz w:val="19"/>
          <w:szCs w:val="19"/>
        </w:rPr>
        <w:t xml:space="preserve">The plan was designed to attract, retain and motivate employees of The Gillette Company and, until the effective date of the merger between The Gillette Company and </w:t>
      </w:r>
      <w:r>
        <w:rPr>
          <w:rFonts w:ascii="Times New Roman" w:hAnsi="Times New Roman" w:cs="Times New Roman"/>
          <w:sz w:val="19"/>
          <w:szCs w:val="19"/>
        </w:rPr>
        <w:t>The Procter &amp; Gamble Company, non-employee members of the Gillette Board of Directors. Under the plan, eligible participants are: (i) granted or offered the right to purchase stock options, (ii) granted stock appreciation rights and/or (iii) granted shares</w:t>
      </w:r>
      <w:r>
        <w:rPr>
          <w:rFonts w:ascii="Times New Roman" w:hAnsi="Times New Roman" w:cs="Times New Roman"/>
          <w:sz w:val="19"/>
          <w:szCs w:val="19"/>
        </w:rPr>
        <w:t xml:space="preserve"> of the Company's common stock or restricted stock units (and dividend equivalents). Subject to adjustment for changes in the Company's capitalization and the addition of any shares authorized but not issued or redeemed under The Gillette Company 1971 Stoc</w:t>
      </w:r>
      <w:r>
        <w:rPr>
          <w:rFonts w:ascii="Times New Roman" w:hAnsi="Times New Roman" w:cs="Times New Roman"/>
          <w:sz w:val="19"/>
          <w:szCs w:val="19"/>
        </w:rPr>
        <w:t>k Option Plan, the number of shares to be granted under the plan is not to exceed 19,000,000 shares.</w:t>
      </w:r>
    </w:p>
    <w:p w:rsidR="00000000" w:rsidRDefault="0057438D">
      <w:pPr>
        <w:pStyle w:val="DefaultParagraphFont"/>
        <w:widowControl w:val="0"/>
        <w:autoSpaceDE w:val="0"/>
        <w:autoSpaceDN w:val="0"/>
        <w:adjustRightInd w:val="0"/>
        <w:spacing w:after="0" w:line="14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60"/>
        <w:rPr>
          <w:rFonts w:ascii="Times New Roman" w:hAnsi="Times New Roman" w:cs="Times New Roman"/>
          <w:sz w:val="24"/>
          <w:szCs w:val="24"/>
        </w:rPr>
      </w:pPr>
      <w:r>
        <w:rPr>
          <w:rFonts w:ascii="Times New Roman" w:hAnsi="Times New Roman" w:cs="Times New Roman"/>
          <w:sz w:val="19"/>
          <w:szCs w:val="19"/>
        </w:rPr>
        <w:t>Except in the case of death of the recipient, all stock options and stock appreciation rights must expire no later than ten years from the date of grant. The exercise price for all stock options granted under the plan must be equal to or greater than the f</w:t>
      </w:r>
      <w:r>
        <w:rPr>
          <w:rFonts w:ascii="Times New Roman" w:hAnsi="Times New Roman" w:cs="Times New Roman"/>
          <w:sz w:val="19"/>
          <w:szCs w:val="19"/>
        </w:rPr>
        <w:t>air market value of the Company's stock on the date of grant. Any common stock awarded under the plan may be subject to restrictions on sale or transfer while the recipient is employed, as the committee administering the plan may determine.</w:t>
      </w:r>
    </w:p>
    <w:p w:rsidR="00000000" w:rsidRDefault="0057438D">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6" w:lineRule="auto"/>
        <w:ind w:right="180"/>
        <w:rPr>
          <w:rFonts w:ascii="Times New Roman" w:hAnsi="Times New Roman" w:cs="Times New Roman"/>
          <w:sz w:val="24"/>
          <w:szCs w:val="24"/>
        </w:rPr>
      </w:pPr>
      <w:r>
        <w:rPr>
          <w:rFonts w:ascii="Times New Roman" w:hAnsi="Times New Roman" w:cs="Times New Roman"/>
          <w:sz w:val="19"/>
          <w:szCs w:val="19"/>
        </w:rPr>
        <w:t>If a recipient</w:t>
      </w:r>
      <w:r>
        <w:rPr>
          <w:rFonts w:ascii="Times New Roman" w:hAnsi="Times New Roman" w:cs="Times New Roman"/>
          <w:sz w:val="19"/>
          <w:szCs w:val="19"/>
        </w:rPr>
        <w:t xml:space="preserve"> of a grant leaves the Company while holding an unexercised option or right: (1) any unexercisable portions immediately become void, except in the case of death, retirement, special separation (as those terms are defined in the plan) or any grants as to wh</w:t>
      </w:r>
      <w:r>
        <w:rPr>
          <w:rFonts w:ascii="Times New Roman" w:hAnsi="Times New Roman" w:cs="Times New Roman"/>
          <w:sz w:val="19"/>
          <w:szCs w:val="19"/>
        </w:rPr>
        <w:t>ich the Compensation Committee of the Board of Directors has waived the termination provisions; and (2) any exercisable portions immediately become void, except in the case of</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555" w:left="860" w:header="720" w:footer="720" w:gutter="0"/>
          <w:cols w:num="2" w:space="440" w:equalWidth="0">
            <w:col w:w="4660" w:space="440"/>
            <w:col w:w="466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80</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8280" w:bottom="770" w:left="860" w:header="720" w:footer="720" w:gutter="0"/>
          <w:cols w:space="720" w:equalWidth="0">
            <w:col w:w="2380"/>
          </w:cols>
          <w:noEndnote/>
        </w:sectPr>
      </w:pP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right="180"/>
        <w:rPr>
          <w:rFonts w:ascii="Times New Roman" w:hAnsi="Times New Roman" w:cs="Times New Roman"/>
          <w:sz w:val="24"/>
          <w:szCs w:val="24"/>
        </w:rPr>
      </w:pPr>
      <w:r>
        <w:rPr>
          <w:rFonts w:ascii="Times New Roman" w:hAnsi="Times New Roman" w:cs="Times New Roman"/>
          <w:sz w:val="19"/>
          <w:szCs w:val="19"/>
        </w:rPr>
        <w:t>death, retirement, special separation, voluntary resignation that is not for Good Reason (as those terms are defined in the plan) or any grants as to which the Compensation Committee of the Board of Directors has waived the termin</w:t>
      </w:r>
      <w:r>
        <w:rPr>
          <w:rFonts w:ascii="Times New Roman" w:hAnsi="Times New Roman" w:cs="Times New Roman"/>
          <w:sz w:val="19"/>
          <w:szCs w:val="19"/>
        </w:rPr>
        <w:t>ation provisions.</w:t>
      </w:r>
    </w:p>
    <w:p w:rsidR="00000000" w:rsidRDefault="0057438D">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8" w:lineRule="auto"/>
        <w:ind w:right="20"/>
        <w:rPr>
          <w:rFonts w:ascii="Times New Roman" w:hAnsi="Times New Roman" w:cs="Times New Roman"/>
          <w:sz w:val="24"/>
          <w:szCs w:val="24"/>
        </w:rPr>
      </w:pPr>
      <w:r>
        <w:rPr>
          <w:rFonts w:ascii="Times New Roman" w:hAnsi="Times New Roman" w:cs="Times New Roman"/>
          <w:sz w:val="19"/>
          <w:szCs w:val="19"/>
        </w:rPr>
        <w:t>Additional information required by this item is incorporated by reference to the 2014 Proxy Statement filed pursuant to Regulation 14A, beginning with the section entitled Security Ownership of Management and Certain Beneficial Owners an</w:t>
      </w:r>
      <w:r>
        <w:rPr>
          <w:rFonts w:ascii="Times New Roman" w:hAnsi="Times New Roman" w:cs="Times New Roman"/>
          <w:sz w:val="19"/>
          <w:szCs w:val="19"/>
        </w:rPr>
        <w:t>d up to but not including the section entitled Section 16(a) Beneficial Ownership Reporting Compliance.</w:t>
      </w:r>
    </w:p>
    <w:p w:rsidR="00000000" w:rsidRDefault="0057438D">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13. </w:t>
      </w:r>
      <w:r>
        <w:rPr>
          <w:rFonts w:ascii="Times New Roman" w:hAnsi="Times New Roman" w:cs="Times New Roman"/>
          <w:sz w:val="19"/>
          <w:szCs w:val="19"/>
          <w:u w:val="single"/>
        </w:rPr>
        <w:t>Certain Relationships and Related Transactions and</w:t>
      </w:r>
    </w:p>
    <w:p w:rsidR="00000000" w:rsidRDefault="0057438D">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u w:val="single"/>
        </w:rPr>
        <w:t>Director Independence.</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r>
        <w:rPr>
          <w:noProof/>
        </w:rPr>
        <mc:AlternateContent>
          <mc:Choice Requires="wps">
            <w:drawing>
              <wp:anchor distT="0" distB="0" distL="114300" distR="114300" simplePos="0" relativeHeight="251754496" behindDoc="1" locked="0" layoutInCell="0" allowOverlap="1">
                <wp:simplePos x="0" y="0"/>
                <wp:positionH relativeFrom="column">
                  <wp:posOffset>-3175</wp:posOffset>
                </wp:positionH>
                <wp:positionV relativeFrom="paragraph">
                  <wp:posOffset>104140</wp:posOffset>
                </wp:positionV>
                <wp:extent cx="6205855" cy="0"/>
                <wp:effectExtent l="0" t="0" r="0" b="0"/>
                <wp:wrapNone/>
                <wp:docPr id="29"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5855" cy="0"/>
                        </a:xfrm>
                        <a:prstGeom prst="line">
                          <a:avLst/>
                        </a:prstGeom>
                        <a:noFill/>
                        <a:ln w="242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488.4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3l5HgIAAEQEAAAOAAAAZHJzL2Uyb0RvYy54bWysU8GO2jAQvVfqP1i+QxIaKESEVUWgF9pF&#10;2u0HGNshVh3bsg0BVf33jh2C2PZSVeVgxpmZN29mnpdPl1aiM7dOaFXibJxixBXVTKhjib+9bkdz&#10;jJwnihGpFS/xlTv8tHr/btmZgk90oyXjFgGIckVnStx4b4okcbThLXFjbbgCZ61tSzxc7TFhlnSA&#10;3spkkqazpNOWGaspdw6+Vr0TryJ+XXPqn+vacY9kiYGbj6eN5yGcyWpJiqMlphH0RoP8A4uWCAVF&#10;71AV8QSdrPgDqhXUaqdrP6a6TXRdC8pjD9BNlv7WzUtDDI+9wHCcuY/J/T9Y+vW8t0iwEk8WGCnS&#10;wo52QnG0mIXZdMYVELJWexu6oxf1YnaafndI6XVD1JFHjq9XA3lZyEjepISLM1Dh0H3RDGLIyes4&#10;qEtt2wAJI0CXuI/rfR/84hGFj7NJOp1PpxjRwZeQYkg01vnPXLcoGCWWQDoCk/PO+UCEFENIqKP0&#10;VkgZ1y0V6qDffJJPY4bTUrDgDXHOHg9radGZBMXEX2wLPI9hAboirunjoqvXktUnxWKZhhO2udme&#10;CNnbQEuqUAiaBKI3q9fKj0W62Mw383yUT2abUZ5W1ejTdp2PZtvs47T6UK3XVfYzcM7yohGMcRVo&#10;D7rN8r/Txe0F9Yq7K/c+oOQtepwkkB3+I+m45bDYXiIHza57O2wfpBqDb88qvIXHO9iPj3/1CwAA&#10;//8DAFBLAwQUAAYACAAAACEAmBypzNsAAAAHAQAADwAAAGRycy9kb3ducmV2LnhtbEyPwU7DMBBE&#10;70j8g7VI3FoHBAZCnKpCUEElDoSKsxMvSUS8jmw3Tf+eRRzguDOj2TfFanaDmDDE3pOGi2UGAqnx&#10;tqdWw+79aXELIiZD1gyeUMMRI6zK05PC5NYf6A2nKrWCSyjmRkOX0phLGZsOnYlLPyKx9+mDM4nP&#10;0EobzIHL3SAvs0xJZ3riD50Z8aHD5qvaOw3PdfZyfK0e1dSHad1swsdObTdan5/N63sQCef0F4Yf&#10;fEaHkplqvycbxaBhcc1BltUVCLbvbhQvqX8FWRbyP3/5DQAA//8DAFBLAQItABQABgAIAAAAIQC2&#10;gziS/gAAAOEBAAATAAAAAAAAAAAAAAAAAAAAAABbQ29udGVudF9UeXBlc10ueG1sUEsBAi0AFAAG&#10;AAgAAAAhADj9If/WAAAAlAEAAAsAAAAAAAAAAAAAAAAALwEAAF9yZWxzLy5yZWxzUEsBAi0AFAAG&#10;AAgAAAAhAPVXeXkeAgAARAQAAA4AAAAAAAAAAAAAAAAALgIAAGRycy9lMm9Eb2MueG1sUEsBAi0A&#10;FAAGAAgAAAAhAJgcqczbAAAABwEAAA8AAAAAAAAAAAAAAAAAeAQAAGRycy9kb3ducmV2LnhtbFBL&#10;BQYAAAAABAAEAPMAAACABQAAAAA=&#10;" o:allowincell="f" strokeweight=".67347mm"/>
            </w:pict>
          </mc:Fallback>
        </mc:AlternateContent>
      </w:r>
      <w:r>
        <w:rPr>
          <w:rFonts w:ascii="Times New Roman" w:hAnsi="Times New Roman" w:cs="Times New Roman"/>
          <w:sz w:val="24"/>
          <w:szCs w:val="24"/>
        </w:rPr>
        <w:br w:type="column"/>
      </w:r>
    </w:p>
    <w:p w:rsidR="00000000" w:rsidRDefault="0057438D">
      <w:pPr>
        <w:pStyle w:val="DefaultParagraphFont"/>
        <w:widowControl w:val="0"/>
        <w:overflowPunct w:val="0"/>
        <w:autoSpaceDE w:val="0"/>
        <w:autoSpaceDN w:val="0"/>
        <w:adjustRightInd w:val="0"/>
        <w:spacing w:after="0" w:line="260" w:lineRule="auto"/>
        <w:rPr>
          <w:rFonts w:ascii="Times New Roman" w:hAnsi="Times New Roman" w:cs="Times New Roman"/>
          <w:sz w:val="24"/>
          <w:szCs w:val="24"/>
        </w:rPr>
      </w:pPr>
      <w:r>
        <w:rPr>
          <w:rFonts w:ascii="Times New Roman" w:hAnsi="Times New Roman" w:cs="Times New Roman"/>
          <w:sz w:val="19"/>
          <w:szCs w:val="19"/>
        </w:rPr>
        <w:t>The information required by this item is incorporated by reference to the following sections of the 2014 Proxy Statement filed pursuant to Regulation 14A: the sections entitled Director Independence and Review and Approval of Transactions with Related Pers</w:t>
      </w:r>
      <w:r>
        <w:rPr>
          <w:rFonts w:ascii="Times New Roman" w:hAnsi="Times New Roman" w:cs="Times New Roman"/>
          <w:sz w:val="19"/>
          <w:szCs w:val="19"/>
        </w:rPr>
        <w:t>ons.</w:t>
      </w:r>
    </w:p>
    <w:p w:rsidR="00000000" w:rsidRDefault="0057438D">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14. </w:t>
      </w:r>
      <w:r>
        <w:rPr>
          <w:rFonts w:ascii="Times New Roman" w:hAnsi="Times New Roman" w:cs="Times New Roman"/>
          <w:sz w:val="19"/>
          <w:szCs w:val="19"/>
          <w:u w:val="single"/>
        </w:rPr>
        <w:t>Principal Accountant Fees and Services.</w:t>
      </w:r>
    </w:p>
    <w:p w:rsidR="00000000" w:rsidRDefault="0057438D">
      <w:pPr>
        <w:pStyle w:val="DefaultParagraphFont"/>
        <w:widowControl w:val="0"/>
        <w:autoSpaceDE w:val="0"/>
        <w:autoSpaceDN w:val="0"/>
        <w:adjustRightInd w:val="0"/>
        <w:spacing w:after="0" w:line="12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right="20"/>
        <w:rPr>
          <w:rFonts w:ascii="Times New Roman" w:hAnsi="Times New Roman" w:cs="Times New Roman"/>
          <w:sz w:val="24"/>
          <w:szCs w:val="24"/>
        </w:rPr>
      </w:pPr>
      <w:r>
        <w:rPr>
          <w:rFonts w:ascii="Times New Roman" w:hAnsi="Times New Roman" w:cs="Times New Roman"/>
          <w:sz w:val="19"/>
          <w:szCs w:val="19"/>
        </w:rPr>
        <w:t>The information required by this item is incorporated by reference to the 2014 Proxy Statement filed pursuant to Regulation 14A, beginning with the section entitled Report of the Audit Committee and e</w:t>
      </w:r>
      <w:r>
        <w:rPr>
          <w:rFonts w:ascii="Times New Roman" w:hAnsi="Times New Roman" w:cs="Times New Roman"/>
          <w:sz w:val="19"/>
          <w:szCs w:val="19"/>
        </w:rPr>
        <w:t>nding with the section entitled Services Provided by Deloitte.</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960" w:bottom="770" w:left="860" w:header="720" w:footer="720" w:gutter="0"/>
          <w:cols w:num="2" w:space="440" w:equalWidth="0">
            <w:col w:w="4660" w:space="440"/>
            <w:col w:w="460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6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00"/>
        <w:gridCol w:w="4940"/>
        <w:gridCol w:w="4360"/>
        <w:gridCol w:w="20"/>
      </w:tblGrid>
      <w:tr w:rsidR="00000000">
        <w:tblPrEx>
          <w:tblCellMar>
            <w:top w:w="0" w:type="dxa"/>
            <w:left w:w="0" w:type="dxa"/>
            <w:bottom w:w="0" w:type="dxa"/>
            <w:right w:w="0" w:type="dxa"/>
          </w:tblCellMar>
        </w:tblPrEx>
        <w:trPr>
          <w:trHeight w:val="250"/>
        </w:trPr>
        <w:tc>
          <w:tcPr>
            <w:tcW w:w="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140"/>
              <w:rPr>
                <w:rFonts w:ascii="Times New Roman" w:hAnsi="Times New Roman" w:cs="Times New Roman"/>
                <w:sz w:val="24"/>
                <w:szCs w:val="24"/>
              </w:rPr>
            </w:pPr>
            <w:r>
              <w:rPr>
                <w:rFonts w:ascii="Times New Roman" w:hAnsi="Times New Roman" w:cs="Times New Roman"/>
                <w:sz w:val="19"/>
                <w:szCs w:val="19"/>
                <w:u w:val="single"/>
              </w:rPr>
              <w:t>PART IV</w:t>
            </w:r>
          </w:p>
        </w:tc>
        <w:tc>
          <w:tcPr>
            <w:tcW w:w="43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   Consolidated Statements of Earnings - for years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9"/>
        </w:trPr>
        <w:tc>
          <w:tcPr>
            <w:tcW w:w="534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Item 15. </w:t>
            </w:r>
            <w:r>
              <w:rPr>
                <w:rFonts w:ascii="Times New Roman" w:hAnsi="Times New Roman" w:cs="Times New Roman"/>
                <w:sz w:val="19"/>
                <w:szCs w:val="19"/>
                <w:u w:val="single"/>
              </w:rPr>
              <w:t>Exhibits and Financial Statement Schedules.</w:t>
            </w:r>
          </w:p>
        </w:tc>
        <w:tc>
          <w:tcPr>
            <w:tcW w:w="43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534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ended June 30, 2014, 2013 and 2012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4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1.</w:t>
            </w:r>
          </w:p>
        </w:tc>
        <w:tc>
          <w:tcPr>
            <w:tcW w:w="494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9"/>
                <w:szCs w:val="19"/>
              </w:rPr>
              <w:t>Financial Statements:</w:t>
            </w:r>
          </w:p>
        </w:tc>
        <w:tc>
          <w:tcPr>
            <w:tcW w:w="4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   Consolidated Statements of Other Comprehensive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9"/>
        </w:trPr>
        <w:tc>
          <w:tcPr>
            <w:tcW w:w="4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494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43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Income - for years ended June 30, 2014, 2013 and 2012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0"/>
        </w:trPr>
        <w:tc>
          <w:tcPr>
            <w:tcW w:w="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4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43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   Consolidated Balance Sheets - as of June 30,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53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The following Consolidated Financial Statements of The</w:t>
            </w:r>
          </w:p>
        </w:tc>
        <w:tc>
          <w:tcPr>
            <w:tcW w:w="4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and 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53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Procter &amp; Gamble Company and subsidiaries, management's</w:t>
            </w:r>
          </w:p>
        </w:tc>
        <w:tc>
          <w:tcPr>
            <w:tcW w:w="4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   Consolidated Statements of Shareholders' Equity -</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53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report and the reports of the independent registered public</w:t>
            </w:r>
          </w:p>
        </w:tc>
        <w:tc>
          <w:tcPr>
            <w:tcW w:w="4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for years ended June 30, 2014, 2013 and 2012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53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accounting firm are incorporated by reference in Part II,</w:t>
            </w:r>
          </w:p>
        </w:tc>
        <w:tc>
          <w:tcPr>
            <w:tcW w:w="4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   Consolidated Statements of Cash Flows - for years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534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Item 8 of this Form 10-K.</w:t>
            </w:r>
          </w:p>
        </w:tc>
        <w:tc>
          <w:tcPr>
            <w:tcW w:w="4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ended June 30, 2014, 2013 and 2012</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4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3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   Notes to Consolidated Financial Statements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numPr>
          <w:ilvl w:val="0"/>
          <w:numId w:val="27"/>
        </w:numPr>
        <w:tabs>
          <w:tab w:val="clear" w:pos="720"/>
          <w:tab w:val="num" w:pos="680"/>
        </w:tabs>
        <w:overflowPunct w:val="0"/>
        <w:autoSpaceDE w:val="0"/>
        <w:autoSpaceDN w:val="0"/>
        <w:adjustRightInd w:val="0"/>
        <w:spacing w:after="0" w:line="228" w:lineRule="auto"/>
        <w:ind w:left="680" w:hanging="342"/>
        <w:jc w:val="both"/>
        <w:rPr>
          <w:rFonts w:ascii="Times New Roman" w:hAnsi="Times New Roman" w:cs="Times New Roman"/>
          <w:sz w:val="19"/>
          <w:szCs w:val="19"/>
        </w:rPr>
      </w:pPr>
      <w:r>
        <w:rPr>
          <w:rFonts w:ascii="Times New Roman" w:hAnsi="Times New Roman" w:cs="Times New Roman"/>
          <w:sz w:val="19"/>
          <w:szCs w:val="19"/>
        </w:rPr>
        <w:t>Management's Report on Internal Control over</w:t>
      </w:r>
    </w:p>
    <w:tbl>
      <w:tblPr>
        <w:tblW w:w="0" w:type="auto"/>
        <w:tblInd w:w="240" w:type="dxa"/>
        <w:tblLayout w:type="fixed"/>
        <w:tblCellMar>
          <w:left w:w="0" w:type="dxa"/>
          <w:right w:w="0" w:type="dxa"/>
        </w:tblCellMar>
        <w:tblLook w:val="0000" w:firstRow="0" w:lastRow="0" w:firstColumn="0" w:lastColumn="0" w:noHBand="0" w:noVBand="0"/>
      </w:tblPr>
      <w:tblGrid>
        <w:gridCol w:w="640"/>
        <w:gridCol w:w="1040"/>
        <w:gridCol w:w="2980"/>
        <w:gridCol w:w="620"/>
        <w:gridCol w:w="4160"/>
        <w:gridCol w:w="20"/>
      </w:tblGrid>
      <w:tr w:rsidR="00000000">
        <w:tblPrEx>
          <w:tblCellMar>
            <w:top w:w="0" w:type="dxa"/>
            <w:left w:w="0" w:type="dxa"/>
            <w:bottom w:w="0" w:type="dxa"/>
            <w:right w:w="0" w:type="dxa"/>
          </w:tblCellMar>
        </w:tblPrEx>
        <w:trPr>
          <w:trHeight w:val="263"/>
        </w:trPr>
        <w:tc>
          <w:tcPr>
            <w:tcW w:w="16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Financial Reporting</w:t>
            </w: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2.</w:t>
            </w:r>
          </w:p>
        </w:tc>
        <w:tc>
          <w:tcPr>
            <w:tcW w:w="4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9"/>
                <w:szCs w:val="19"/>
              </w:rPr>
              <w:t>Financial Statement Schedules:</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46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   Report of Independent Registered Public</w:t>
            </w:r>
          </w:p>
        </w:tc>
        <w:tc>
          <w:tcPr>
            <w:tcW w:w="47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These schedules are omitted because of the absence of the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1"/>
        </w:trPr>
        <w:tc>
          <w:tcPr>
            <w:tcW w:w="4660" w:type="dxa"/>
            <w:gridSpan w:val="3"/>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Accounting Firm on Internal Control over Financial</w:t>
            </w:r>
          </w:p>
        </w:tc>
        <w:tc>
          <w:tcPr>
            <w:tcW w:w="47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8"/>
        </w:trPr>
        <w:tc>
          <w:tcPr>
            <w:tcW w:w="4660" w:type="dxa"/>
            <w:gridSpan w:val="3"/>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7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conditions under which they are required or because the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1"/>
        </w:trPr>
        <w:tc>
          <w:tcPr>
            <w:tcW w:w="16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Reporting</w:t>
            </w: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47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8"/>
        </w:trPr>
        <w:tc>
          <w:tcPr>
            <w:tcW w:w="16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7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information is set forth in the Consolidated Financial</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1"/>
        </w:trPr>
        <w:tc>
          <w:tcPr>
            <w:tcW w:w="4660" w:type="dxa"/>
            <w:gridSpan w:val="3"/>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   Report of Independent Registered Public</w:t>
            </w:r>
          </w:p>
        </w:tc>
        <w:tc>
          <w:tcPr>
            <w:tcW w:w="47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8"/>
        </w:trPr>
        <w:tc>
          <w:tcPr>
            <w:tcW w:w="4660" w:type="dxa"/>
            <w:gridSpan w:val="3"/>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7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Statements or Notes thereto.</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2"/>
        </w:trPr>
        <w:tc>
          <w:tcPr>
            <w:tcW w:w="4660" w:type="dxa"/>
            <w:gridSpan w:val="3"/>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rPr>
              <w:t>Accounting Firm on Consolidated Financial Statements</w:t>
            </w:r>
          </w:p>
        </w:tc>
        <w:tc>
          <w:tcPr>
            <w:tcW w:w="47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8"/>
        </w:trPr>
        <w:tc>
          <w:tcPr>
            <w:tcW w:w="4660" w:type="dxa"/>
            <w:gridSpan w:val="3"/>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86"/>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6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620"/>
              <w:rPr>
                <w:rFonts w:ascii="Times New Roman" w:hAnsi="Times New Roman" w:cs="Times New Roman"/>
                <w:sz w:val="24"/>
                <w:szCs w:val="24"/>
              </w:rPr>
            </w:pPr>
            <w:r>
              <w:rPr>
                <w:rFonts w:ascii="Times New Roman" w:hAnsi="Times New Roman" w:cs="Times New Roman"/>
                <w:sz w:val="19"/>
                <w:szCs w:val="19"/>
                <w:u w:val="single"/>
              </w:rPr>
              <w:t>Exhibits:</w:t>
            </w:r>
          </w:p>
        </w:tc>
        <w:tc>
          <w:tcPr>
            <w:tcW w:w="4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2"/>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Exhibit</w:t>
            </w: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5"/>
              <w:jc w:val="right"/>
              <w:rPr>
                <w:rFonts w:ascii="Times New Roman" w:hAnsi="Times New Roman" w:cs="Times New Roman"/>
                <w:sz w:val="24"/>
                <w:szCs w:val="24"/>
              </w:rPr>
            </w:pPr>
            <w:r>
              <w:rPr>
                <w:rFonts w:ascii="Times New Roman" w:hAnsi="Times New Roman" w:cs="Times New Roman"/>
                <w:sz w:val="19"/>
                <w:szCs w:val="19"/>
              </w:rPr>
              <w:t>(3-1) -</w:t>
            </w: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Amended Articles of Incorporation (as amended by shareholders at the annual meeting on</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40"/>
              <w:rPr>
                <w:rFonts w:ascii="Times New Roman" w:hAnsi="Times New Roman" w:cs="Times New Roman"/>
                <w:sz w:val="24"/>
                <w:szCs w:val="24"/>
              </w:rPr>
            </w:pPr>
            <w:r>
              <w:rPr>
                <w:rFonts w:ascii="Times New Roman" w:hAnsi="Times New Roman" w:cs="Times New Roman"/>
                <w:sz w:val="19"/>
                <w:szCs w:val="19"/>
              </w:rPr>
              <w:t>October 11, 2011) (Incorporated by reference to Exhibit (3-1) of the Company's Form 10-Q for the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quarter ended September 30, 2011).</w:t>
            </w: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3"/>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5"/>
              <w:jc w:val="right"/>
              <w:rPr>
                <w:rFonts w:ascii="Times New Roman" w:hAnsi="Times New Roman" w:cs="Times New Roman"/>
                <w:sz w:val="24"/>
                <w:szCs w:val="24"/>
              </w:rPr>
            </w:pPr>
            <w:r>
              <w:rPr>
                <w:rFonts w:ascii="Times New Roman" w:hAnsi="Times New Roman" w:cs="Times New Roman"/>
                <w:sz w:val="19"/>
                <w:szCs w:val="19"/>
              </w:rPr>
              <w:t>(3-2) -</w:t>
            </w: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Regulations (as approved by the Board of Directors on December 10, 2013) (Incorporated by</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reference to Exhibit (3-2) of the Company's Form 10-Q for the quarter ending December 31, 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4"/>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Exhibit</w:t>
            </w: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5"/>
              <w:jc w:val="right"/>
              <w:rPr>
                <w:rFonts w:ascii="Times New Roman" w:hAnsi="Times New Roman" w:cs="Times New Roman"/>
                <w:sz w:val="24"/>
                <w:szCs w:val="24"/>
              </w:rPr>
            </w:pPr>
            <w:r>
              <w:rPr>
                <w:rFonts w:ascii="Times New Roman" w:hAnsi="Times New Roman" w:cs="Times New Roman"/>
                <w:sz w:val="19"/>
                <w:szCs w:val="19"/>
              </w:rPr>
              <w:t>(4) -</w:t>
            </w: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Registrant agrees to file a copy of documents defining the rights of holders of long-term debt upon</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9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request of the Commission.</w:t>
            </w:r>
          </w:p>
        </w:tc>
        <w:tc>
          <w:tcPr>
            <w:tcW w:w="6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1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3"/>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Exhibit</w:t>
            </w: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5"/>
              <w:jc w:val="right"/>
              <w:rPr>
                <w:rFonts w:ascii="Times New Roman" w:hAnsi="Times New Roman" w:cs="Times New Roman"/>
                <w:sz w:val="24"/>
                <w:szCs w:val="24"/>
              </w:rPr>
            </w:pPr>
            <w:r>
              <w:rPr>
                <w:rFonts w:ascii="Times New Roman" w:hAnsi="Times New Roman" w:cs="Times New Roman"/>
                <w:sz w:val="19"/>
                <w:szCs w:val="19"/>
              </w:rPr>
              <w:t>(10-1) -</w:t>
            </w: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The Procter &amp; Gamble 2001 Stock and Incentive Compensation Plan (as amended on August 17,</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40"/>
              <w:rPr>
                <w:rFonts w:ascii="Times New Roman" w:hAnsi="Times New Roman" w:cs="Times New Roman"/>
                <w:sz w:val="24"/>
                <w:szCs w:val="24"/>
              </w:rPr>
            </w:pPr>
            <w:r>
              <w:rPr>
                <w:rFonts w:ascii="Times New Roman" w:hAnsi="Times New Roman" w:cs="Times New Roman"/>
                <w:sz w:val="19"/>
                <w:szCs w:val="19"/>
              </w:rPr>
              <w:t>2007), which was originally adopted by shareholders at the annual meeting on October 9, 2001</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40"/>
              <w:rPr>
                <w:rFonts w:ascii="Times New Roman" w:hAnsi="Times New Roman" w:cs="Times New Roman"/>
                <w:sz w:val="24"/>
                <w:szCs w:val="24"/>
              </w:rPr>
            </w:pPr>
            <w:r>
              <w:rPr>
                <w:rFonts w:ascii="Times New Roman" w:hAnsi="Times New Roman" w:cs="Times New Roman"/>
                <w:sz w:val="19"/>
                <w:szCs w:val="19"/>
              </w:rPr>
              <w:t>(Incorporated by reference to Exhibit (10-1) of the Company's Form 10-Q for the quarter ended</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40"/>
              <w:rPr>
                <w:rFonts w:ascii="Times New Roman" w:hAnsi="Times New Roman" w:cs="Times New Roman"/>
                <w:sz w:val="24"/>
                <w:szCs w:val="24"/>
              </w:rPr>
            </w:pPr>
            <w:r>
              <w:rPr>
                <w:rFonts w:ascii="Times New Roman" w:hAnsi="Times New Roman" w:cs="Times New Roman"/>
                <w:sz w:val="19"/>
                <w:szCs w:val="19"/>
              </w:rPr>
              <w:t>March 31, 2013), and related correspondence and terms and conditions (Incorporated by reference to</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Exhibit (10-1) of the Company's Form 10-Q for the quarter ended December 31, 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3"/>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5"/>
              <w:jc w:val="right"/>
              <w:rPr>
                <w:rFonts w:ascii="Times New Roman" w:hAnsi="Times New Roman" w:cs="Times New Roman"/>
                <w:sz w:val="24"/>
                <w:szCs w:val="24"/>
              </w:rPr>
            </w:pPr>
            <w:r>
              <w:rPr>
                <w:rFonts w:ascii="Times New Roman" w:hAnsi="Times New Roman" w:cs="Times New Roman"/>
                <w:sz w:val="19"/>
                <w:szCs w:val="19"/>
              </w:rPr>
              <w:t>(10-2) -</w:t>
            </w: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The Procter &amp; Gamble 1992 Stock Plan (as amended December 11, 2001), which was originally</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40"/>
              <w:rPr>
                <w:rFonts w:ascii="Times New Roman" w:hAnsi="Times New Roman" w:cs="Times New Roman"/>
                <w:sz w:val="24"/>
                <w:szCs w:val="24"/>
              </w:rPr>
            </w:pPr>
            <w:r>
              <w:rPr>
                <w:rFonts w:ascii="Times New Roman" w:hAnsi="Times New Roman" w:cs="Times New Roman"/>
                <w:sz w:val="19"/>
                <w:szCs w:val="19"/>
              </w:rPr>
              <w:t>adopted by the shar</w:t>
            </w:r>
            <w:r>
              <w:rPr>
                <w:rFonts w:ascii="Times New Roman" w:hAnsi="Times New Roman" w:cs="Times New Roman"/>
                <w:sz w:val="19"/>
                <w:szCs w:val="19"/>
              </w:rPr>
              <w:t>eholders at the annual meeting on October 12, 1992 (Incorporated by reference to</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Exhibit (10-2) of the Company's Annual Report on Form 10-K for the year ended June 30, 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4"/>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85"/>
              <w:jc w:val="right"/>
              <w:rPr>
                <w:rFonts w:ascii="Times New Roman" w:hAnsi="Times New Roman" w:cs="Times New Roman"/>
                <w:sz w:val="24"/>
                <w:szCs w:val="24"/>
              </w:rPr>
            </w:pPr>
            <w:r>
              <w:rPr>
                <w:rFonts w:ascii="Times New Roman" w:hAnsi="Times New Roman" w:cs="Times New Roman"/>
                <w:sz w:val="19"/>
                <w:szCs w:val="19"/>
              </w:rPr>
              <w:t>(10-3) -</w:t>
            </w: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The Procter &amp; Gamble Executive Group Life Insurance Policy (Incorporated by reference to Exhibit</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6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76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rPr>
              <w:t>(10-3) of the Company's Annual Report on Form 10-K for the year ended June 30, 2013).*</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86" w:right="960" w:bottom="770" w:left="860" w:header="720" w:footer="720" w:gutter="0"/>
          <w:cols w:space="440" w:equalWidth="0">
            <w:col w:w="9700" w:space="44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81</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17"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26" w:lineRule="auto"/>
        <w:ind w:left="1100" w:right="100" w:hanging="1009"/>
        <w:rPr>
          <w:rFonts w:ascii="Times New Roman" w:hAnsi="Times New Roman" w:cs="Times New Roman"/>
          <w:sz w:val="24"/>
          <w:szCs w:val="24"/>
        </w:rPr>
      </w:pPr>
      <w:r>
        <w:rPr>
          <w:rFonts w:ascii="Times New Roman" w:hAnsi="Times New Roman" w:cs="Times New Roman"/>
          <w:sz w:val="19"/>
          <w:szCs w:val="19"/>
        </w:rPr>
        <w:t>(10-4) - The Procter &amp; Gamble Deferred Compensation Plan for Directors (as amended December 12, 2006), which was originally adopted by the Board of Directors on September 9, 1980 (Incorporated by reference to Exhibit (10-4) of the Company’s Annual Report</w:t>
      </w:r>
      <w:r>
        <w:rPr>
          <w:rFonts w:ascii="Times New Roman" w:hAnsi="Times New Roman" w:cs="Times New Roman"/>
          <w:sz w:val="19"/>
          <w:szCs w:val="19"/>
        </w:rPr>
        <w:t xml:space="preserve"> on Form 10-K for the year ended June 30, 2012).*</w:t>
      </w:r>
    </w:p>
    <w:p w:rsidR="00000000" w:rsidRDefault="0057438D">
      <w:pPr>
        <w:pStyle w:val="DefaultParagraphFont"/>
        <w:widowControl w:val="0"/>
        <w:autoSpaceDE w:val="0"/>
        <w:autoSpaceDN w:val="0"/>
        <w:adjustRightInd w:val="0"/>
        <w:spacing w:after="0" w:line="13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26" w:lineRule="auto"/>
        <w:ind w:left="1100" w:right="160" w:hanging="1009"/>
        <w:rPr>
          <w:rFonts w:ascii="Times New Roman" w:hAnsi="Times New Roman" w:cs="Times New Roman"/>
          <w:sz w:val="24"/>
          <w:szCs w:val="24"/>
        </w:rPr>
      </w:pPr>
      <w:r>
        <w:rPr>
          <w:rFonts w:ascii="Times New Roman" w:hAnsi="Times New Roman" w:cs="Times New Roman"/>
          <w:sz w:val="19"/>
          <w:szCs w:val="19"/>
        </w:rPr>
        <w:t xml:space="preserve">(10-5) - The Procter &amp; Gamble 1993 Non-Employee Directors' Stock Plan (as amended September 10, 2002), which was originally adopted by the shareholders at the annual meeting on October 11, 1994 (Incorporated by reference to Exhibit (10-5) of the Company's </w:t>
      </w:r>
      <w:r>
        <w:rPr>
          <w:rFonts w:ascii="Times New Roman" w:hAnsi="Times New Roman" w:cs="Times New Roman"/>
          <w:sz w:val="19"/>
          <w:szCs w:val="19"/>
        </w:rPr>
        <w:t>Annual Report on Form 10-K for the year ended June 30, 2013).*</w:t>
      </w:r>
    </w:p>
    <w:p w:rsidR="00000000" w:rsidRDefault="0057438D">
      <w:pPr>
        <w:pStyle w:val="DefaultParagraphFont"/>
        <w:widowControl w:val="0"/>
        <w:autoSpaceDE w:val="0"/>
        <w:autoSpaceDN w:val="0"/>
        <w:adjustRightInd w:val="0"/>
        <w:spacing w:after="0" w:line="13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1" w:lineRule="auto"/>
        <w:ind w:left="1100" w:right="80" w:hanging="1009"/>
        <w:jc w:val="both"/>
        <w:rPr>
          <w:rFonts w:ascii="Times New Roman" w:hAnsi="Times New Roman" w:cs="Times New Roman"/>
          <w:sz w:val="24"/>
          <w:szCs w:val="24"/>
        </w:rPr>
      </w:pPr>
      <w:r>
        <w:rPr>
          <w:rFonts w:ascii="Times New Roman" w:hAnsi="Times New Roman" w:cs="Times New Roman"/>
          <w:sz w:val="19"/>
          <w:szCs w:val="19"/>
        </w:rPr>
        <w:t>(10-6) - The Procter &amp; Gamble 1992 Stock Plan (Belgian Version) (as amended December 11, 2001), which was originally adopted by the Board of Directors on February 14, 1997 (Incorporated by ref</w:t>
      </w:r>
      <w:r>
        <w:rPr>
          <w:rFonts w:ascii="Times New Roman" w:hAnsi="Times New Roman" w:cs="Times New Roman"/>
          <w:sz w:val="19"/>
          <w:szCs w:val="19"/>
        </w:rPr>
        <w:t>erence to Exhibit (10-6) of the Company’s Annual Report on Form 10-K for the year ended June 30, 2013).*</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26" w:lineRule="auto"/>
        <w:ind w:left="1100" w:right="220" w:hanging="1009"/>
        <w:rPr>
          <w:rFonts w:ascii="Times New Roman" w:hAnsi="Times New Roman" w:cs="Times New Roman"/>
          <w:sz w:val="24"/>
          <w:szCs w:val="24"/>
        </w:rPr>
      </w:pPr>
      <w:r>
        <w:rPr>
          <w:rFonts w:ascii="Times New Roman" w:hAnsi="Times New Roman" w:cs="Times New Roman"/>
          <w:sz w:val="19"/>
          <w:szCs w:val="19"/>
        </w:rPr>
        <w:t>(10-7) - The Procter &amp; Gamble Future Shares Plan (as adjusted for the stock split effective May 21, 2004), which was originally adopted by the Board o</w:t>
      </w:r>
      <w:r>
        <w:rPr>
          <w:rFonts w:ascii="Times New Roman" w:hAnsi="Times New Roman" w:cs="Times New Roman"/>
          <w:sz w:val="19"/>
          <w:szCs w:val="19"/>
        </w:rPr>
        <w:t>f Directors on October 14, 1997 (Incorporated by reference to Exhibit (10-7) of the Company's Annual Report on Form 10-K for the year ended June 30, 2010).*</w:t>
      </w:r>
    </w:p>
    <w:p w:rsidR="00000000" w:rsidRDefault="0057438D">
      <w:pPr>
        <w:pStyle w:val="DefaultParagraphFont"/>
        <w:widowControl w:val="0"/>
        <w:autoSpaceDE w:val="0"/>
        <w:autoSpaceDN w:val="0"/>
        <w:adjustRightInd w:val="0"/>
        <w:spacing w:after="0" w:line="13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26" w:lineRule="auto"/>
        <w:ind w:left="1100" w:right="160" w:hanging="1009"/>
        <w:rPr>
          <w:rFonts w:ascii="Times New Roman" w:hAnsi="Times New Roman" w:cs="Times New Roman"/>
          <w:sz w:val="24"/>
          <w:szCs w:val="24"/>
        </w:rPr>
      </w:pPr>
      <w:r>
        <w:rPr>
          <w:rFonts w:ascii="Times New Roman" w:hAnsi="Times New Roman" w:cs="Times New Roman"/>
          <w:sz w:val="19"/>
          <w:szCs w:val="19"/>
        </w:rPr>
        <w:t xml:space="preserve">(10-8) - The Procter &amp; Gamble 2003 Non-Employee Directors' Stock Plan (as amended in August 2007) </w:t>
      </w:r>
      <w:r>
        <w:rPr>
          <w:rFonts w:ascii="Times New Roman" w:hAnsi="Times New Roman" w:cs="Times New Roman"/>
          <w:sz w:val="19"/>
          <w:szCs w:val="19"/>
        </w:rPr>
        <w:t>which was originally adopted by the shareholders at the annual meeting on October 14, 2003, and related correspondence and terms and conditions (Incorporated by reference to Exhibit (10-1) of the Company's Form 10-Q for the quarter ended September 30, 2012</w:t>
      </w:r>
      <w:r>
        <w:rPr>
          <w:rFonts w:ascii="Times New Roman" w:hAnsi="Times New Roman" w:cs="Times New Roman"/>
          <w:sz w:val="19"/>
          <w:szCs w:val="19"/>
        </w:rPr>
        <w:t>).*</w:t>
      </w:r>
    </w:p>
    <w:p w:rsidR="00000000" w:rsidRDefault="0057438D">
      <w:pPr>
        <w:pStyle w:val="DefaultParagraphFont"/>
        <w:widowControl w:val="0"/>
        <w:autoSpaceDE w:val="0"/>
        <w:autoSpaceDN w:val="0"/>
        <w:adjustRightInd w:val="0"/>
        <w:spacing w:after="0" w:line="13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44" w:lineRule="auto"/>
        <w:ind w:left="1100" w:right="100" w:hanging="1009"/>
        <w:rPr>
          <w:rFonts w:ascii="Times New Roman" w:hAnsi="Times New Roman" w:cs="Times New Roman"/>
          <w:sz w:val="24"/>
          <w:szCs w:val="24"/>
        </w:rPr>
      </w:pPr>
      <w:r>
        <w:rPr>
          <w:rFonts w:ascii="Times New Roman" w:hAnsi="Times New Roman" w:cs="Times New Roman"/>
          <w:sz w:val="19"/>
          <w:szCs w:val="19"/>
        </w:rPr>
        <w:t>(10-9) - The Procter &amp; Gamble Company Executive Deferred Compensation Plan (Incorporated by reference to Exhibit (10- 4) of the Company's Form 10-Q for the quarter ended December 31, 2013).*</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26" w:lineRule="auto"/>
        <w:ind w:left="1100" w:right="60" w:hanging="1104"/>
        <w:rPr>
          <w:rFonts w:ascii="Times New Roman" w:hAnsi="Times New Roman" w:cs="Times New Roman"/>
          <w:sz w:val="24"/>
          <w:szCs w:val="24"/>
        </w:rPr>
      </w:pPr>
      <w:r>
        <w:rPr>
          <w:rFonts w:ascii="Times New Roman" w:hAnsi="Times New Roman" w:cs="Times New Roman"/>
          <w:sz w:val="19"/>
          <w:szCs w:val="19"/>
        </w:rPr>
        <w:t xml:space="preserve">(10-10) - Summary of the Company's Short Term Achievement Reward Program (Incorporated by reference to Exhibit (10-2) of the Company’s Form 10-Q for the quarter ended September 30, 2012) and related correspondence and terms and conditions (Incorporated by </w:t>
      </w:r>
      <w:r>
        <w:rPr>
          <w:rFonts w:ascii="Times New Roman" w:hAnsi="Times New Roman" w:cs="Times New Roman"/>
          <w:sz w:val="19"/>
          <w:szCs w:val="19"/>
        </w:rPr>
        <w:t>reference to Exhibit (10-4) of the Company's Form 10-Q for the quarter ended December 31, 2012).*</w:t>
      </w:r>
    </w:p>
    <w:p w:rsidR="00000000" w:rsidRDefault="0057438D">
      <w:pPr>
        <w:pStyle w:val="DefaultParagraphFont"/>
        <w:widowControl w:val="0"/>
        <w:autoSpaceDE w:val="0"/>
        <w:autoSpaceDN w:val="0"/>
        <w:adjustRightInd w:val="0"/>
        <w:spacing w:after="0" w:line="13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44" w:lineRule="auto"/>
        <w:ind w:left="1100" w:right="200" w:hanging="1097"/>
        <w:rPr>
          <w:rFonts w:ascii="Times New Roman" w:hAnsi="Times New Roman" w:cs="Times New Roman"/>
          <w:sz w:val="24"/>
          <w:szCs w:val="24"/>
        </w:rPr>
      </w:pPr>
      <w:r>
        <w:rPr>
          <w:rFonts w:ascii="Times New Roman" w:hAnsi="Times New Roman" w:cs="Times New Roman"/>
          <w:sz w:val="19"/>
          <w:szCs w:val="19"/>
        </w:rPr>
        <w:t>(10-11) - Company's Forms of Separation Agreement &amp; Release (Incorporated by reference to Exhibit (10-3) of the Company's Form 10-Q for the quarter ended Dec</w:t>
      </w:r>
      <w:r>
        <w:rPr>
          <w:rFonts w:ascii="Times New Roman" w:hAnsi="Times New Roman" w:cs="Times New Roman"/>
          <w:sz w:val="19"/>
          <w:szCs w:val="19"/>
        </w:rPr>
        <w:t>ember 31, 2012).*</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1" w:lineRule="auto"/>
        <w:ind w:left="1100" w:right="100" w:hanging="1104"/>
        <w:rPr>
          <w:rFonts w:ascii="Times New Roman" w:hAnsi="Times New Roman" w:cs="Times New Roman"/>
          <w:sz w:val="24"/>
          <w:szCs w:val="24"/>
        </w:rPr>
      </w:pPr>
      <w:r>
        <w:rPr>
          <w:rFonts w:ascii="Times New Roman" w:hAnsi="Times New Roman" w:cs="Times New Roman"/>
          <w:sz w:val="19"/>
          <w:szCs w:val="19"/>
        </w:rPr>
        <w:t>(10-12) - Summary of personal benefits available to certain officers and non-employee directors (Incorporated by reference to Exhibit (10-1) of the Company's Form 10-Q for the quarter ended September 30, 2013).*</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1" w:lineRule="auto"/>
        <w:ind w:left="1100" w:right="500" w:hanging="1104"/>
        <w:rPr>
          <w:rFonts w:ascii="Times New Roman" w:hAnsi="Times New Roman" w:cs="Times New Roman"/>
          <w:sz w:val="24"/>
          <w:szCs w:val="24"/>
        </w:rPr>
      </w:pPr>
      <w:r>
        <w:rPr>
          <w:rFonts w:ascii="Times New Roman" w:hAnsi="Times New Roman" w:cs="Times New Roman"/>
          <w:sz w:val="19"/>
          <w:szCs w:val="19"/>
        </w:rPr>
        <w:t>(10-13) - The Gillette C</w:t>
      </w:r>
      <w:r>
        <w:rPr>
          <w:rFonts w:ascii="Times New Roman" w:hAnsi="Times New Roman" w:cs="Times New Roman"/>
          <w:sz w:val="19"/>
          <w:szCs w:val="19"/>
        </w:rPr>
        <w:t>ompany 2004 Long-Term Incentive Plan (as amended on August 14, 2007) (Incorporated by reference to Exhibit (10-4) of the Company's Form 10-Q for the quarter ended September 30, 2012).*</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44" w:lineRule="auto"/>
        <w:ind w:left="1100" w:right="520" w:hanging="1104"/>
        <w:rPr>
          <w:rFonts w:ascii="Times New Roman" w:hAnsi="Times New Roman" w:cs="Times New Roman"/>
          <w:sz w:val="24"/>
          <w:szCs w:val="24"/>
        </w:rPr>
      </w:pPr>
      <w:r>
        <w:rPr>
          <w:rFonts w:ascii="Times New Roman" w:hAnsi="Times New Roman" w:cs="Times New Roman"/>
          <w:sz w:val="19"/>
          <w:szCs w:val="19"/>
        </w:rPr>
        <w:t>(10-14) - The Gillette Company Executive Life Insurance Program (Incor</w:t>
      </w:r>
      <w:r>
        <w:rPr>
          <w:rFonts w:ascii="Times New Roman" w:hAnsi="Times New Roman" w:cs="Times New Roman"/>
          <w:sz w:val="19"/>
          <w:szCs w:val="19"/>
        </w:rPr>
        <w:t>porated by reference to Exhibit (10-15) of the Company’s Annual Report on Form 10-K for the year ended June 30, 2012).*</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1" w:lineRule="auto"/>
        <w:ind w:left="1100" w:right="100" w:hanging="1104"/>
        <w:rPr>
          <w:rFonts w:ascii="Times New Roman" w:hAnsi="Times New Roman" w:cs="Times New Roman"/>
          <w:sz w:val="24"/>
          <w:szCs w:val="24"/>
        </w:rPr>
      </w:pPr>
      <w:r>
        <w:rPr>
          <w:rFonts w:ascii="Times New Roman" w:hAnsi="Times New Roman" w:cs="Times New Roman"/>
          <w:sz w:val="19"/>
          <w:szCs w:val="19"/>
        </w:rPr>
        <w:t>(10-15) - The Gillette Company Personal Financial Planning Reimbursement Program (Incorporated by reference to Exhibit (10-16) of the Company’s Annual Report on Form 10-K for the year ended June 30, 2012) .*</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44" w:lineRule="auto"/>
        <w:ind w:left="1100" w:right="140" w:hanging="1104"/>
        <w:rPr>
          <w:rFonts w:ascii="Times New Roman" w:hAnsi="Times New Roman" w:cs="Times New Roman"/>
          <w:sz w:val="24"/>
          <w:szCs w:val="24"/>
        </w:rPr>
      </w:pPr>
      <w:r>
        <w:rPr>
          <w:rFonts w:ascii="Times New Roman" w:hAnsi="Times New Roman" w:cs="Times New Roman"/>
          <w:sz w:val="19"/>
          <w:szCs w:val="19"/>
        </w:rPr>
        <w:t>(10-16) - The Gillette Company Senior Executive</w:t>
      </w:r>
      <w:r>
        <w:rPr>
          <w:rFonts w:ascii="Times New Roman" w:hAnsi="Times New Roman" w:cs="Times New Roman"/>
          <w:sz w:val="19"/>
          <w:szCs w:val="19"/>
        </w:rPr>
        <w:t xml:space="preserve"> Financial Planning Program (Incorporated by reference to Exhibit (10-17) of the Company’s Annual Report on Form 10-K for the year ended June 30, 2012).*</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44" w:lineRule="auto"/>
        <w:ind w:left="1100" w:right="580" w:hanging="1104"/>
        <w:rPr>
          <w:rFonts w:ascii="Times New Roman" w:hAnsi="Times New Roman" w:cs="Times New Roman"/>
          <w:sz w:val="24"/>
          <w:szCs w:val="24"/>
        </w:rPr>
      </w:pPr>
      <w:r>
        <w:rPr>
          <w:rFonts w:ascii="Times New Roman" w:hAnsi="Times New Roman" w:cs="Times New Roman"/>
          <w:sz w:val="19"/>
          <w:szCs w:val="19"/>
        </w:rPr>
        <w:t>(10-17) - The Gillette Company Estate Preservation (Incorporated by reference to Exhibit (10-18) of t</w:t>
      </w:r>
      <w:r>
        <w:rPr>
          <w:rFonts w:ascii="Times New Roman" w:hAnsi="Times New Roman" w:cs="Times New Roman"/>
          <w:sz w:val="19"/>
          <w:szCs w:val="19"/>
        </w:rPr>
        <w:t>he Company’s Annual Report on Form 10-K for the year ended June 30, 2012).*</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44" w:lineRule="auto"/>
        <w:ind w:left="1100" w:right="120" w:hanging="1104"/>
        <w:rPr>
          <w:rFonts w:ascii="Times New Roman" w:hAnsi="Times New Roman" w:cs="Times New Roman"/>
          <w:sz w:val="24"/>
          <w:szCs w:val="24"/>
        </w:rPr>
      </w:pPr>
      <w:r>
        <w:rPr>
          <w:rFonts w:ascii="Times New Roman" w:hAnsi="Times New Roman" w:cs="Times New Roman"/>
          <w:sz w:val="19"/>
          <w:szCs w:val="19"/>
        </w:rPr>
        <w:t>(10-18) - The Gillette Company Deferred Compensation Plan (Incorporated by reference to Exhibit (10-19) of the Company’s Annual Report on Form 10-K for the year ended June 30, 201</w:t>
      </w:r>
      <w:r>
        <w:rPr>
          <w:rFonts w:ascii="Times New Roman" w:hAnsi="Times New Roman" w:cs="Times New Roman"/>
          <w:sz w:val="19"/>
          <w:szCs w:val="19"/>
        </w:rPr>
        <w:t>2).*</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44" w:lineRule="auto"/>
        <w:ind w:left="1100" w:right="940" w:hanging="1104"/>
        <w:rPr>
          <w:rFonts w:ascii="Times New Roman" w:hAnsi="Times New Roman" w:cs="Times New Roman"/>
          <w:sz w:val="24"/>
          <w:szCs w:val="24"/>
        </w:rPr>
      </w:pPr>
      <w:r>
        <w:rPr>
          <w:rFonts w:ascii="Times New Roman" w:hAnsi="Times New Roman" w:cs="Times New Roman"/>
          <w:sz w:val="19"/>
          <w:szCs w:val="19"/>
        </w:rPr>
        <w:t>(10-19) - Senior Executive Recoupment Policy (Incorporated by reference to Exhibit (10-20) of the Company’s Annual Report on Form 10-K for the year ended June 30, 2012).*</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1" w:lineRule="auto"/>
        <w:ind w:left="1100" w:right="120" w:hanging="1104"/>
        <w:rPr>
          <w:rFonts w:ascii="Times New Roman" w:hAnsi="Times New Roman" w:cs="Times New Roman"/>
          <w:sz w:val="24"/>
          <w:szCs w:val="24"/>
        </w:rPr>
      </w:pPr>
      <w:r>
        <w:rPr>
          <w:rFonts w:ascii="Times New Roman" w:hAnsi="Times New Roman" w:cs="Times New Roman"/>
          <w:sz w:val="19"/>
          <w:szCs w:val="19"/>
        </w:rPr>
        <w:t>(10-20) - The Gillette Company Deferred Compensation Plan (for salary deferrals prior to January 1, 2005) as amended through August 21, 2006 (Incorporated by reference to Exhibit (10-21) of the Company’s Annual Report on Form 10-K for the year ended June 3</w:t>
      </w:r>
      <w:r>
        <w:rPr>
          <w:rFonts w:ascii="Times New Roman" w:hAnsi="Times New Roman" w:cs="Times New Roman"/>
          <w:sz w:val="19"/>
          <w:szCs w:val="19"/>
        </w:rPr>
        <w:t>0, 2012).*</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1440" w:left="1720" w:header="720" w:footer="720" w:gutter="0"/>
          <w:cols w:space="720" w:equalWidth="0">
            <w:col w:w="890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82</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18" w:lineRule="exact"/>
        <w:rPr>
          <w:rFonts w:ascii="Times New Roman" w:hAnsi="Times New Roman" w:cs="Times New Roman"/>
          <w:sz w:val="24"/>
          <w:szCs w:val="24"/>
        </w:rPr>
      </w:pPr>
    </w:p>
    <w:tbl>
      <w:tblPr>
        <w:tblW w:w="0" w:type="auto"/>
        <w:tblInd w:w="240" w:type="dxa"/>
        <w:tblLayout w:type="fixed"/>
        <w:tblCellMar>
          <w:left w:w="0" w:type="dxa"/>
          <w:right w:w="0" w:type="dxa"/>
        </w:tblCellMar>
        <w:tblLook w:val="0000" w:firstRow="0" w:lastRow="0" w:firstColumn="0" w:lastColumn="0" w:noHBand="0" w:noVBand="0"/>
      </w:tblPr>
      <w:tblGrid>
        <w:gridCol w:w="600"/>
        <w:gridCol w:w="920"/>
        <w:gridCol w:w="7840"/>
      </w:tblGrid>
      <w:tr w:rsidR="00000000">
        <w:tblPrEx>
          <w:tblCellMar>
            <w:top w:w="0" w:type="dxa"/>
            <w:left w:w="0" w:type="dxa"/>
            <w:bottom w:w="0" w:type="dxa"/>
            <w:right w:w="0" w:type="dxa"/>
          </w:tblCellMar>
        </w:tblPrEx>
        <w:trPr>
          <w:trHeight w:val="218"/>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18" w:lineRule="exact"/>
              <w:ind w:right="125"/>
              <w:jc w:val="right"/>
              <w:rPr>
                <w:rFonts w:ascii="Times New Roman" w:hAnsi="Times New Roman" w:cs="Times New Roman"/>
                <w:sz w:val="24"/>
                <w:szCs w:val="24"/>
              </w:rPr>
            </w:pPr>
            <w:r>
              <w:rPr>
                <w:rFonts w:ascii="Times New Roman" w:hAnsi="Times New Roman" w:cs="Times New Roman"/>
                <w:w w:val="99"/>
                <w:sz w:val="19"/>
                <w:szCs w:val="19"/>
              </w:rPr>
              <w:t>(10-21) -</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18" w:lineRule="exact"/>
              <w:ind w:left="200"/>
              <w:rPr>
                <w:rFonts w:ascii="Times New Roman" w:hAnsi="Times New Roman" w:cs="Times New Roman"/>
                <w:sz w:val="24"/>
                <w:szCs w:val="24"/>
              </w:rPr>
            </w:pPr>
            <w:r>
              <w:rPr>
                <w:rFonts w:ascii="Times New Roman" w:hAnsi="Times New Roman" w:cs="Times New Roman"/>
                <w:sz w:val="19"/>
                <w:szCs w:val="19"/>
              </w:rPr>
              <w:t>The Procter &amp; Gamble 2009 Stock and Incentive Compensation Plan which was originally adopted</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by shareholders at the annual meeting on October 13, 2009 (Incorporated by reference to Exhibit</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(10-3) of the Company's Form 10-Q for the quarter ended December 31, 2011), and the Regulations</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of the Compensation and Leadership Development Committee for The Procter &amp; Gamble 2009</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Stock and Incentive Compensation Plan, The Procter &amp; Gamble 2001 Stock and Incentive</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 xml:space="preserve">Compensation Plan, The Procter &amp; Gamble 1992 Stock Plan, The Procter &amp; Gamble </w:t>
            </w:r>
            <w:r>
              <w:rPr>
                <w:rFonts w:ascii="Times New Roman" w:hAnsi="Times New Roman" w:cs="Times New Roman"/>
                <w:sz w:val="19"/>
                <w:szCs w:val="19"/>
              </w:rPr>
              <w:t>1992 Stock</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Plan (Belgium Version), The Gillette Company 2004 Long-Term Incentive Plan and the Gillette</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Company 1971 Stock Option Plan (Incorporated by reference to Exhibit (10-1) of the Company's</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Form 10-Q for the quarter ended December 31, 2012).*</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(10-22) -</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2009 Stock and Incentive Compensation Plan - Additional terms and</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conditions and related correspondence (Incorporated by reference to Exhibit (10-2) of the Company</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Form 10-Q for the quarter ended December 31, 2013).*</w:t>
            </w:r>
          </w:p>
        </w:tc>
      </w:tr>
      <w:tr w:rsidR="00000000">
        <w:tblPrEx>
          <w:tblCellMar>
            <w:top w:w="0" w:type="dxa"/>
            <w:left w:w="0" w:type="dxa"/>
            <w:bottom w:w="0" w:type="dxa"/>
            <w:right w:w="0" w:type="dxa"/>
          </w:tblCellMar>
        </w:tblPrEx>
        <w:trPr>
          <w:trHeight w:val="514"/>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(10-23) -</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Performance Stock Program Summary (Incorporated by reference to Exhibit</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(10-2) of the Company's Form 10-Q for the quarter ended March 31, 2012) and related terms and</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conditions (Incorporated by reference to Exhibit (10-24) of the Company’s Annual Report on Form</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10-K for the year ended June 30, 2012). *</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(10-24) -</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2013 Non-Employee Directors' Stock Plan (Incorporated by reference to</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Exhibit 10-3 of the Company's Form 10-Q for the quarter ended December 31, 2013).</w:t>
            </w:r>
          </w:p>
        </w:tc>
      </w:tr>
      <w:tr w:rsidR="00000000">
        <w:tblPrEx>
          <w:tblCellMar>
            <w:top w:w="0" w:type="dxa"/>
            <w:left w:w="0" w:type="dxa"/>
            <w:bottom w:w="0" w:type="dxa"/>
            <w:right w:w="0" w:type="dxa"/>
          </w:tblCellMar>
        </w:tblPrEx>
        <w:trPr>
          <w:trHeight w:val="457"/>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Exhibit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(12) -</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Computation of Ratio of Earnings to Fixed Charges. +</w:t>
            </w:r>
          </w:p>
        </w:tc>
      </w:tr>
      <w:tr w:rsidR="00000000">
        <w:tblPrEx>
          <w:tblCellMar>
            <w:top w:w="0" w:type="dxa"/>
            <w:left w:w="0" w:type="dxa"/>
            <w:bottom w:w="0" w:type="dxa"/>
            <w:right w:w="0" w:type="dxa"/>
          </w:tblCellMar>
        </w:tblPrEx>
        <w:trPr>
          <w:trHeight w:val="382"/>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Exhibit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(21) -</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Subsidiaries of the Registrant. +</w:t>
            </w:r>
          </w:p>
        </w:tc>
      </w:tr>
      <w:tr w:rsidR="00000000">
        <w:tblPrEx>
          <w:tblCellMar>
            <w:top w:w="0" w:type="dxa"/>
            <w:left w:w="0" w:type="dxa"/>
            <w:bottom w:w="0" w:type="dxa"/>
            <w:right w:w="0" w:type="dxa"/>
          </w:tblCellMar>
        </w:tblPrEx>
        <w:trPr>
          <w:trHeight w:val="382"/>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Exhibit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(23) -</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Consent of Independent Registered Public Accounting Firm. +</w:t>
            </w:r>
          </w:p>
        </w:tc>
      </w:tr>
      <w:tr w:rsidR="00000000">
        <w:tblPrEx>
          <w:tblCellMar>
            <w:top w:w="0" w:type="dxa"/>
            <w:left w:w="0" w:type="dxa"/>
            <w:bottom w:w="0" w:type="dxa"/>
            <w:right w:w="0" w:type="dxa"/>
          </w:tblCellMar>
        </w:tblPrEx>
        <w:trPr>
          <w:trHeight w:val="382"/>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Exhibit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(31) -</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Rule 13a-14(a)/15d-14(a) Certifications. +</w:t>
            </w:r>
          </w:p>
        </w:tc>
      </w:tr>
      <w:tr w:rsidR="00000000">
        <w:tblPrEx>
          <w:tblCellMar>
            <w:top w:w="0" w:type="dxa"/>
            <w:left w:w="0" w:type="dxa"/>
            <w:bottom w:w="0" w:type="dxa"/>
            <w:right w:w="0" w:type="dxa"/>
          </w:tblCellMar>
        </w:tblPrEx>
        <w:trPr>
          <w:trHeight w:val="382"/>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Exhibit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(32) -</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Section 1350 Certifications. +</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Exhibit  (99-1) -</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Summary of Directors and Officers Insurance Program. +</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101.INS (1)</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XBRL Instance Document</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101.SCH (1)</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XBRL Taxonomy Extension Schema Document</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101.CAL (1)</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XBRL Taxonomy Extension Calculation Linkbase Document</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101.DEF (1)</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XBRL Taxonomy Definition Linkbase Document</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101.LAB (1)</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XBRL Taxonomy Extension Label Linkbase Docum</w:t>
            </w:r>
            <w:r>
              <w:rPr>
                <w:rFonts w:ascii="Times New Roman" w:hAnsi="Times New Roman" w:cs="Times New Roman"/>
                <w:sz w:val="19"/>
                <w:szCs w:val="19"/>
              </w:rPr>
              <w:t>ent</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101.PRE (1)</w:t>
            </w:r>
          </w:p>
        </w:tc>
        <w:tc>
          <w:tcPr>
            <w:tcW w:w="78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XBRL Taxonomy Extension Presentation Linkbase Document</w:t>
            </w:r>
          </w:p>
        </w:tc>
      </w:tr>
    </w:tbl>
    <w:p w:rsidR="00000000" w:rsidRDefault="0057438D">
      <w:pPr>
        <w:pStyle w:val="DefaultParagraphFont"/>
        <w:widowControl w:val="0"/>
        <w:autoSpaceDE w:val="0"/>
        <w:autoSpaceDN w:val="0"/>
        <w:adjustRightInd w:val="0"/>
        <w:spacing w:after="0" w:line="380" w:lineRule="exact"/>
        <w:rPr>
          <w:rFonts w:ascii="Times New Roman" w:hAnsi="Times New Roman" w:cs="Times New Roman"/>
          <w:sz w:val="24"/>
          <w:szCs w:val="24"/>
        </w:rPr>
      </w:pPr>
    </w:p>
    <w:p w:rsidR="00000000" w:rsidRDefault="0057438D">
      <w:pPr>
        <w:pStyle w:val="DefaultParagraphFont"/>
        <w:widowControl w:val="0"/>
        <w:numPr>
          <w:ilvl w:val="0"/>
          <w:numId w:val="28"/>
        </w:numPr>
        <w:tabs>
          <w:tab w:val="clear" w:pos="720"/>
          <w:tab w:val="num" w:pos="1960"/>
        </w:tabs>
        <w:overflowPunct w:val="0"/>
        <w:autoSpaceDE w:val="0"/>
        <w:autoSpaceDN w:val="0"/>
        <w:adjustRightInd w:val="0"/>
        <w:spacing w:after="0" w:line="231" w:lineRule="auto"/>
        <w:ind w:left="1960" w:hanging="585"/>
        <w:rPr>
          <w:rFonts w:ascii="Times New Roman" w:hAnsi="Times New Roman" w:cs="Times New Roman"/>
          <w:sz w:val="19"/>
          <w:szCs w:val="19"/>
        </w:rPr>
      </w:pPr>
      <w:r>
        <w:rPr>
          <w:rFonts w:ascii="Times New Roman" w:hAnsi="Times New Roman" w:cs="Times New Roman"/>
          <w:sz w:val="19"/>
          <w:szCs w:val="19"/>
        </w:rPr>
        <w:t>Pursuant to Rule 406T of Regulation S-T, thes</w:t>
      </w:r>
      <w:r>
        <w:rPr>
          <w:rFonts w:ascii="Times New Roman" w:hAnsi="Times New Roman" w:cs="Times New Roman"/>
          <w:sz w:val="19"/>
          <w:szCs w:val="19"/>
        </w:rPr>
        <w:t>e interactive data files are deemed not filed or part of a registration statement or prospectus for purposes of Sections 11 or 12 of the Securities Act of 1933 or Section 18 of the Securities Exchange Act of 1934 and otherwise are not subject to liability.</w:t>
      </w:r>
    </w:p>
    <w:p w:rsidR="00000000" w:rsidRDefault="0057438D">
      <w:pPr>
        <w:pStyle w:val="DefaultParagraphFont"/>
        <w:widowControl w:val="0"/>
        <w:autoSpaceDE w:val="0"/>
        <w:autoSpaceDN w:val="0"/>
        <w:adjustRightInd w:val="0"/>
        <w:spacing w:after="0" w:line="38" w:lineRule="exact"/>
        <w:rPr>
          <w:rFonts w:ascii="Times New Roman" w:hAnsi="Times New Roman" w:cs="Times New Roman"/>
          <w:sz w:val="24"/>
          <w:szCs w:val="24"/>
        </w:rPr>
      </w:pPr>
    </w:p>
    <w:p w:rsidR="00000000" w:rsidRDefault="0057438D">
      <w:pPr>
        <w:pStyle w:val="DefaultParagraphFont"/>
        <w:widowControl w:val="0"/>
        <w:numPr>
          <w:ilvl w:val="1"/>
          <w:numId w:val="29"/>
        </w:numPr>
        <w:tabs>
          <w:tab w:val="clear" w:pos="1440"/>
          <w:tab w:val="num" w:pos="1960"/>
        </w:tabs>
        <w:overflowPunct w:val="0"/>
        <w:autoSpaceDE w:val="0"/>
        <w:autoSpaceDN w:val="0"/>
        <w:adjustRightInd w:val="0"/>
        <w:spacing w:after="0" w:line="240" w:lineRule="auto"/>
        <w:ind w:left="1960" w:hanging="514"/>
        <w:jc w:val="both"/>
        <w:rPr>
          <w:rFonts w:ascii="Times New Roman" w:hAnsi="Times New Roman" w:cs="Times New Roman"/>
          <w:sz w:val="19"/>
          <w:szCs w:val="19"/>
        </w:rPr>
      </w:pPr>
      <w:r>
        <w:rPr>
          <w:rFonts w:ascii="Times New Roman" w:hAnsi="Times New Roman" w:cs="Times New Roman"/>
          <w:sz w:val="19"/>
          <w:szCs w:val="19"/>
        </w:rPr>
        <w:t>Compensatory plan or arrangement</w:t>
      </w:r>
    </w:p>
    <w:p w:rsidR="00000000" w:rsidRDefault="0057438D">
      <w:pPr>
        <w:pStyle w:val="DefaultParagraphFont"/>
        <w:widowControl w:val="0"/>
        <w:autoSpaceDE w:val="0"/>
        <w:autoSpaceDN w:val="0"/>
        <w:adjustRightInd w:val="0"/>
        <w:spacing w:after="0" w:line="67" w:lineRule="exact"/>
        <w:rPr>
          <w:rFonts w:ascii="Times New Roman" w:hAnsi="Times New Roman" w:cs="Times New Roman"/>
          <w:sz w:val="19"/>
          <w:szCs w:val="19"/>
        </w:rPr>
      </w:pPr>
    </w:p>
    <w:p w:rsidR="00000000" w:rsidRDefault="0057438D">
      <w:pPr>
        <w:pStyle w:val="DefaultParagraphFont"/>
        <w:widowControl w:val="0"/>
        <w:numPr>
          <w:ilvl w:val="0"/>
          <w:numId w:val="29"/>
        </w:numPr>
        <w:tabs>
          <w:tab w:val="clear" w:pos="720"/>
          <w:tab w:val="num" w:pos="1960"/>
        </w:tabs>
        <w:overflowPunct w:val="0"/>
        <w:autoSpaceDE w:val="0"/>
        <w:autoSpaceDN w:val="0"/>
        <w:adjustRightInd w:val="0"/>
        <w:spacing w:after="0" w:line="240" w:lineRule="auto"/>
        <w:ind w:left="1960" w:hanging="527"/>
        <w:jc w:val="both"/>
        <w:rPr>
          <w:rFonts w:ascii="Times New Roman" w:hAnsi="Times New Roman" w:cs="Times New Roman"/>
          <w:sz w:val="19"/>
          <w:szCs w:val="19"/>
        </w:rPr>
      </w:pPr>
      <w:r>
        <w:rPr>
          <w:rFonts w:ascii="Times New Roman" w:hAnsi="Times New Roman" w:cs="Times New Roman"/>
          <w:sz w:val="19"/>
          <w:szCs w:val="19"/>
        </w:rPr>
        <w:t>Filed herewith.</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60" w:bottom="1440" w:left="860" w:header="720" w:footer="720" w:gutter="0"/>
          <w:cols w:space="720" w:equalWidth="0">
            <w:col w:w="9700"/>
          </w:cols>
          <w:noEndnote/>
        </w:sectPr>
      </w:pP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83</w:t>
      </w: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4300"/>
        <w:rPr>
          <w:rFonts w:ascii="Times New Roman" w:hAnsi="Times New Roman" w:cs="Times New Roman"/>
          <w:sz w:val="24"/>
          <w:szCs w:val="24"/>
        </w:rPr>
      </w:pPr>
      <w:r>
        <w:rPr>
          <w:rFonts w:ascii="Times New Roman" w:hAnsi="Times New Roman" w:cs="Times New Roman"/>
          <w:sz w:val="19"/>
          <w:szCs w:val="19"/>
          <w:u w:val="single"/>
        </w:rPr>
        <w:t>SIGNATURES</w:t>
      </w:r>
    </w:p>
    <w:p w:rsidR="00000000" w:rsidRDefault="0057438D">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120"/>
        <w:rPr>
          <w:rFonts w:ascii="Times New Roman" w:hAnsi="Times New Roman" w:cs="Times New Roman"/>
          <w:sz w:val="24"/>
          <w:szCs w:val="24"/>
        </w:rPr>
      </w:pPr>
      <w:r>
        <w:rPr>
          <w:rFonts w:ascii="Times New Roman" w:hAnsi="Times New Roman" w:cs="Times New Roman"/>
          <w:sz w:val="19"/>
          <w:szCs w:val="19"/>
        </w:rPr>
        <w:t>Pursuant to the requirements of Section 13 or 15(d) of the Securities Exchange Act of 1934, the registrant has duly caused this report to be signed on its behalf by the undersigned, thereunto duly authorized in the city of Cincinnati, State of Ohio.</w:t>
      </w:r>
    </w:p>
    <w:p w:rsidR="00000000" w:rsidRDefault="0057438D">
      <w:pPr>
        <w:pStyle w:val="DefaultParagraphFont"/>
        <w:widowControl w:val="0"/>
        <w:autoSpaceDE w:val="0"/>
        <w:autoSpaceDN w:val="0"/>
        <w:adjustRightInd w:val="0"/>
        <w:spacing w:after="0" w:line="10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6100"/>
        <w:rPr>
          <w:rFonts w:ascii="Times New Roman" w:hAnsi="Times New Roman" w:cs="Times New Roman"/>
          <w:sz w:val="24"/>
          <w:szCs w:val="24"/>
        </w:rPr>
      </w:pPr>
      <w:r>
        <w:rPr>
          <w:rFonts w:ascii="Times New Roman" w:hAnsi="Times New Roman" w:cs="Times New Roman"/>
          <w:sz w:val="19"/>
          <w:szCs w:val="19"/>
        </w:rPr>
        <w:t>THE PROCTER &amp; GAMBLE COMPANY</w:t>
      </w:r>
    </w:p>
    <w:p w:rsidR="00000000" w:rsidRDefault="0057438D">
      <w:pPr>
        <w:pStyle w:val="DefaultParagraphFont"/>
        <w:widowControl w:val="0"/>
        <w:autoSpaceDE w:val="0"/>
        <w:autoSpaceDN w:val="0"/>
        <w:adjustRightInd w:val="0"/>
        <w:spacing w:after="0" w:line="35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6160"/>
        <w:rPr>
          <w:rFonts w:ascii="Times New Roman" w:hAnsi="Times New Roman" w:cs="Times New Roman"/>
          <w:sz w:val="24"/>
          <w:szCs w:val="24"/>
        </w:rPr>
      </w:pPr>
      <w:r>
        <w:rPr>
          <w:rFonts w:ascii="Times New Roman" w:hAnsi="Times New Roman" w:cs="Times New Roman"/>
          <w:sz w:val="15"/>
          <w:szCs w:val="15"/>
        </w:rPr>
        <w:t xml:space="preserve">By  </w:t>
      </w:r>
      <w:r>
        <w:rPr>
          <w:rFonts w:ascii="Times New Roman" w:hAnsi="Times New Roman" w:cs="Times New Roman"/>
          <w:sz w:val="19"/>
          <w:szCs w:val="19"/>
        </w:rPr>
        <w:t>/s/  A.G. LAFLEY</w:t>
      </w:r>
    </w:p>
    <w:p w:rsidR="00000000" w:rsidRDefault="0057438D">
      <w:pPr>
        <w:pStyle w:val="DefaultParagraphFont"/>
        <w:widowControl w:val="0"/>
        <w:autoSpaceDE w:val="0"/>
        <w:autoSpaceDN w:val="0"/>
        <w:adjustRightInd w:val="0"/>
        <w:spacing w:after="0" w:line="40" w:lineRule="exact"/>
        <w:rPr>
          <w:rFonts w:ascii="Times New Roman" w:hAnsi="Times New Roman" w:cs="Times New Roman"/>
          <w:sz w:val="24"/>
          <w:szCs w:val="24"/>
        </w:rPr>
      </w:pPr>
      <w:r>
        <w:rPr>
          <w:noProof/>
        </w:rPr>
        <mc:AlternateContent>
          <mc:Choice Requires="wps">
            <w:drawing>
              <wp:anchor distT="0" distB="0" distL="114300" distR="114300" simplePos="0" relativeHeight="251755520" behindDoc="1" locked="0" layoutInCell="0" allowOverlap="1">
                <wp:simplePos x="0" y="0"/>
                <wp:positionH relativeFrom="column">
                  <wp:posOffset>4063365</wp:posOffset>
                </wp:positionH>
                <wp:positionV relativeFrom="paragraph">
                  <wp:posOffset>39370</wp:posOffset>
                </wp:positionV>
                <wp:extent cx="2121535" cy="0"/>
                <wp:effectExtent l="0" t="0" r="0" b="0"/>
                <wp:wrapNone/>
                <wp:docPr id="28"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1535" cy="0"/>
                        </a:xfrm>
                        <a:prstGeom prst="line">
                          <a:avLst/>
                        </a:prstGeom>
                        <a:noFill/>
                        <a:ln w="121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95pt,3.1pt" to="487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OkmHwIAAEQEAAAOAAAAZHJzL2Uyb0RvYy54bWysU02P2jAQvVfqf7Byh3xsYCEirKoEetl2&#10;kXb7A4ztEKuObdmGgKr+944dgtj2UlXlYMaZmTdvZp5XT+dOoBMzlitZRuk0iRCTRFEuD2X07W07&#10;WUTIOiwpFkqyMrowGz2tP35Y9bpgmWqVoMwgAJG26HUZtc7pIo4taVmH7VRpJsHZKNNhB1dziKnB&#10;PaB3Is6SZB73ylBtFGHWwtd6cEbrgN80jLiXprHMIVFGwM2F04Rz7894vcLFwWDdcnKlgf+BRYe5&#10;hKI3qBo7jI6G/wHVcWKUVY2bEtXFqmk4YaEH6CZNfuvmtcWahV5gOFbfxmT/Hyz5etoZxGkZZbAp&#10;iTvY0TOXDC0f/Wx6bQsIqeTO+O7IWb7qZ0W+WyRV1WJ5YIHj20VDXuoz4ncp/mI1VNj3XxSFGHx0&#10;Kgzq3JjOQ8II0Dns43LbBzs7ROBjlmbp7GEWITL6YlyMidpY95mpDnmjjASQDsD49GydJ4KLMcTX&#10;kWrLhQjrFhL1wDZL01nIsEpw6r0+zprDvhIGnbBXTPiFtsBzH+aha2zbIS64Bi0ZdZQ0lGkZppur&#10;7TAXgw20hPSFoEkgerUGrfxYJsvNYrPIJ3k230zypK4nn7ZVPplv08dZ/VBXVZ3+9JzTvGg5pUx6&#10;2qNu0/zvdHF9QYPibsq9DSh+jx4mCWTH/0A6bNkvdpDIXtHLzozbB6mG4Ouz8m/h/g72/eNf/wIA&#10;AP//AwBQSwMEFAAGAAgAAAAhAB5jSQLaAAAABwEAAA8AAABkcnMvZG93bnJldi54bWxMj0FPwzAM&#10;he9I/IfISNxYyoYG7ZpOCKkSVzaExC1pTFstcUqTduXfY7jAzU/v+flzuV+8EzOOsQ+k4HaVgUBq&#10;gu2pVfB6rG8eQMSkyWoXCBV8YYR9dXlR6sKGM73gfEit4BKKhVbQpTQUUsamQ6/jKgxI7H2E0evE&#10;cmylHfWZy72T6yzbSq974gudHvCpw+Z0mDxjbNycm3ky9funlKZ5dkf7Vit1fbU87kAkXNJfGH7w&#10;eQcqZjJhIhuFU7Dd5DlHeViDYD+/v+PfzK+WVSn/81ffAAAA//8DAFBLAQItABQABgAIAAAAIQC2&#10;gziS/gAAAOEBAAATAAAAAAAAAAAAAAAAAAAAAABbQ29udGVudF9UeXBlc10ueG1sUEsBAi0AFAAG&#10;AAgAAAAhADj9If/WAAAAlAEAAAsAAAAAAAAAAAAAAAAALwEAAF9yZWxzLy5yZWxzUEsBAi0AFAAG&#10;AAgAAAAhAP0E6SYfAgAARAQAAA4AAAAAAAAAAAAAAAAALgIAAGRycy9lMm9Eb2MueG1sUEsBAi0A&#10;FAAGAAgAAAAhAB5jSQLaAAAABwEAAA8AAAAAAAAAAAAAAAAAeQQAAGRycy9kb3ducmV2LnhtbFBL&#10;BQYAAAAABAAEAPMAAACABQAAAAA=&#10;" o:allowincell="f" strokeweight=".33653mm"/>
            </w:pict>
          </mc:Fallback>
        </mc:AlternateContent>
      </w:r>
    </w:p>
    <w:p w:rsidR="00000000" w:rsidRDefault="0057438D">
      <w:pPr>
        <w:pStyle w:val="DefaultParagraphFont"/>
        <w:widowControl w:val="0"/>
        <w:autoSpaceDE w:val="0"/>
        <w:autoSpaceDN w:val="0"/>
        <w:adjustRightInd w:val="0"/>
        <w:spacing w:after="0" w:line="239" w:lineRule="auto"/>
        <w:ind w:left="6440"/>
        <w:rPr>
          <w:rFonts w:ascii="Times New Roman" w:hAnsi="Times New Roman" w:cs="Times New Roman"/>
          <w:sz w:val="24"/>
          <w:szCs w:val="24"/>
        </w:rPr>
      </w:pPr>
      <w:r>
        <w:rPr>
          <w:rFonts w:ascii="Times New Roman" w:hAnsi="Times New Roman" w:cs="Times New Roman"/>
          <w:sz w:val="19"/>
          <w:szCs w:val="19"/>
        </w:rPr>
        <w:t>(A.G. Lafley)</w:t>
      </w:r>
    </w:p>
    <w:p w:rsidR="00000000" w:rsidRDefault="0057438D">
      <w:pPr>
        <w:pStyle w:val="DefaultParagraphFont"/>
        <w:widowControl w:val="0"/>
        <w:autoSpaceDE w:val="0"/>
        <w:autoSpaceDN w:val="0"/>
        <w:adjustRightInd w:val="0"/>
        <w:spacing w:after="0" w:line="210" w:lineRule="auto"/>
        <w:ind w:left="6440"/>
        <w:rPr>
          <w:rFonts w:ascii="Times New Roman" w:hAnsi="Times New Roman" w:cs="Times New Roman"/>
          <w:sz w:val="24"/>
          <w:szCs w:val="24"/>
        </w:rPr>
      </w:pPr>
      <w:r>
        <w:rPr>
          <w:rFonts w:ascii="Times New Roman" w:hAnsi="Times New Roman" w:cs="Times New Roman"/>
          <w:sz w:val="19"/>
          <w:szCs w:val="19"/>
        </w:rPr>
        <w:t>Chairman of the Board, President and</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6440"/>
        <w:rPr>
          <w:rFonts w:ascii="Times New Roman" w:hAnsi="Times New Roman" w:cs="Times New Roman"/>
          <w:sz w:val="24"/>
          <w:szCs w:val="24"/>
        </w:rPr>
      </w:pPr>
      <w:r>
        <w:rPr>
          <w:rFonts w:ascii="Times New Roman" w:hAnsi="Times New Roman" w:cs="Times New Roman"/>
          <w:sz w:val="19"/>
          <w:szCs w:val="19"/>
        </w:rPr>
        <w:t>Chief Executive Officer</w:t>
      </w:r>
    </w:p>
    <w:p w:rsidR="00000000" w:rsidRDefault="0057438D">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ind w:left="6440"/>
        <w:rPr>
          <w:rFonts w:ascii="Times New Roman" w:hAnsi="Times New Roman" w:cs="Times New Roman"/>
          <w:sz w:val="24"/>
          <w:szCs w:val="24"/>
        </w:rPr>
      </w:pPr>
      <w:r>
        <w:rPr>
          <w:rFonts w:ascii="Times New Roman" w:hAnsi="Times New Roman" w:cs="Times New Roman"/>
          <w:sz w:val="19"/>
          <w:szCs w:val="19"/>
        </w:rPr>
        <w:t>August 8, 2014</w:t>
      </w:r>
    </w:p>
    <w:p w:rsidR="00000000" w:rsidRDefault="0057438D">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86" w:lineRule="auto"/>
        <w:ind w:right="580"/>
        <w:rPr>
          <w:rFonts w:ascii="Times New Roman" w:hAnsi="Times New Roman" w:cs="Times New Roman"/>
          <w:sz w:val="24"/>
          <w:szCs w:val="24"/>
        </w:rPr>
      </w:pPr>
      <w:r>
        <w:rPr>
          <w:rFonts w:ascii="Times New Roman" w:hAnsi="Times New Roman" w:cs="Times New Roman"/>
          <w:sz w:val="19"/>
          <w:szCs w:val="19"/>
        </w:rPr>
        <w:t>Pursuant to the requirements of the Securities Exchange Act of 1934, this report has been signed be</w:t>
      </w:r>
      <w:r>
        <w:rPr>
          <w:rFonts w:ascii="Times New Roman" w:hAnsi="Times New Roman" w:cs="Times New Roman"/>
          <w:sz w:val="19"/>
          <w:szCs w:val="19"/>
        </w:rPr>
        <w:t>low by the following persons in the capacities and on the dates indicated.</w:t>
      </w:r>
    </w:p>
    <w:p w:rsidR="00000000" w:rsidRDefault="0057438D">
      <w:pPr>
        <w:pStyle w:val="DefaultParagraphFont"/>
        <w:widowControl w:val="0"/>
        <w:autoSpaceDE w:val="0"/>
        <w:autoSpaceDN w:val="0"/>
        <w:adjustRightInd w:val="0"/>
        <w:spacing w:after="0" w:line="95" w:lineRule="exact"/>
        <w:rPr>
          <w:rFonts w:ascii="Times New Roman" w:hAnsi="Times New Roman" w:cs="Times New Roman"/>
          <w:sz w:val="24"/>
          <w:szCs w:val="24"/>
        </w:rPr>
      </w:pPr>
    </w:p>
    <w:tbl>
      <w:tblPr>
        <w:tblW w:w="0" w:type="auto"/>
        <w:tblInd w:w="560" w:type="dxa"/>
        <w:tblLayout w:type="fixed"/>
        <w:tblCellMar>
          <w:left w:w="0" w:type="dxa"/>
          <w:right w:w="0" w:type="dxa"/>
        </w:tblCellMar>
        <w:tblLook w:val="0000" w:firstRow="0" w:lastRow="0" w:firstColumn="0" w:lastColumn="0" w:noHBand="0" w:noVBand="0"/>
      </w:tblPr>
      <w:tblGrid>
        <w:gridCol w:w="140"/>
        <w:gridCol w:w="220"/>
        <w:gridCol w:w="100"/>
        <w:gridCol w:w="40"/>
        <w:gridCol w:w="60"/>
        <w:gridCol w:w="20"/>
        <w:gridCol w:w="80"/>
        <w:gridCol w:w="40"/>
        <w:gridCol w:w="40"/>
        <w:gridCol w:w="60"/>
        <w:gridCol w:w="80"/>
        <w:gridCol w:w="1780"/>
        <w:gridCol w:w="20"/>
        <w:gridCol w:w="20"/>
        <w:gridCol w:w="40"/>
        <w:gridCol w:w="240"/>
        <w:gridCol w:w="20"/>
        <w:gridCol w:w="60"/>
        <w:gridCol w:w="20"/>
        <w:gridCol w:w="20"/>
        <w:gridCol w:w="100"/>
        <w:gridCol w:w="20"/>
        <w:gridCol w:w="4180"/>
        <w:gridCol w:w="1480"/>
        <w:gridCol w:w="20"/>
      </w:tblGrid>
      <w:tr w:rsidR="00000000">
        <w:tblPrEx>
          <w:tblCellMar>
            <w:top w:w="0" w:type="dxa"/>
            <w:left w:w="0" w:type="dxa"/>
            <w:bottom w:w="0" w:type="dxa"/>
            <w:right w:w="0" w:type="dxa"/>
          </w:tblCellMar>
        </w:tblPrEx>
        <w:trPr>
          <w:trHeight w:val="203"/>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320" w:type="dxa"/>
            <w:gridSpan w:val="10"/>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960"/>
              <w:jc w:val="center"/>
              <w:rPr>
                <w:rFonts w:ascii="Times New Roman" w:hAnsi="Times New Roman" w:cs="Times New Roman"/>
                <w:sz w:val="24"/>
                <w:szCs w:val="24"/>
              </w:rPr>
            </w:pPr>
            <w:r>
              <w:rPr>
                <w:rFonts w:ascii="Times New Roman" w:hAnsi="Times New Roman" w:cs="Times New Roman"/>
                <w:b/>
                <w:bCs/>
                <w:sz w:val="15"/>
                <w:szCs w:val="15"/>
                <w:u w:val="single"/>
              </w:rPr>
              <w:t>Signature</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4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00"/>
              <w:rPr>
                <w:rFonts w:ascii="Times New Roman" w:hAnsi="Times New Roman" w:cs="Times New Roman"/>
                <w:sz w:val="24"/>
                <w:szCs w:val="24"/>
              </w:rPr>
            </w:pPr>
            <w:r>
              <w:rPr>
                <w:rFonts w:ascii="Times New Roman" w:hAnsi="Times New Roman" w:cs="Times New Roman"/>
                <w:b/>
                <w:bCs/>
                <w:sz w:val="15"/>
                <w:szCs w:val="15"/>
                <w:u w:val="single"/>
              </w:rPr>
              <w:t>Title</w:t>
            </w:r>
          </w:p>
        </w:tc>
        <w:tc>
          <w:tcPr>
            <w:tcW w:w="14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b/>
                <w:bCs/>
                <w:sz w:val="15"/>
                <w:szCs w:val="15"/>
                <w:u w:val="single"/>
              </w:rPr>
              <w:t>Date</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7"/>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gridSpan w:val="4"/>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u w:val="single"/>
              </w:rPr>
              <w:t>/</w:t>
            </w:r>
            <w:r>
              <w:rPr>
                <w:rFonts w:ascii="Times New Roman" w:hAnsi="Times New Roman" w:cs="Times New Roman"/>
                <w:sz w:val="15"/>
                <w:szCs w:val="15"/>
                <w:u w:val="single"/>
              </w:rPr>
              <w:t>S</w:t>
            </w:r>
            <w:r>
              <w:rPr>
                <w:rFonts w:ascii="Times New Roman" w:hAnsi="Times New Roman" w:cs="Times New Roman"/>
                <w:sz w:val="19"/>
                <w:szCs w:val="19"/>
              </w:rPr>
              <w:t>/</w:t>
            </w:r>
          </w:p>
        </w:tc>
        <w:tc>
          <w:tcPr>
            <w:tcW w:w="2320" w:type="dxa"/>
            <w:gridSpan w:val="10"/>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40"/>
              <w:jc w:val="center"/>
              <w:rPr>
                <w:rFonts w:ascii="Times New Roman" w:hAnsi="Times New Roman" w:cs="Times New Roman"/>
                <w:sz w:val="24"/>
                <w:szCs w:val="24"/>
              </w:rPr>
            </w:pPr>
            <w:r>
              <w:rPr>
                <w:rFonts w:ascii="Times New Roman" w:hAnsi="Times New Roman" w:cs="Times New Roman"/>
                <w:sz w:val="19"/>
                <w:szCs w:val="19"/>
              </w:rPr>
              <w:t>A.G. LAFLEY ___</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Chairman of the Board, President and</w:t>
            </w:r>
          </w:p>
        </w:tc>
        <w:tc>
          <w:tcPr>
            <w:tcW w:w="14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gridSpan w:val="4"/>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320" w:type="dxa"/>
            <w:gridSpan w:val="10"/>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4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740"/>
              <w:rPr>
                <w:rFonts w:ascii="Times New Roman" w:hAnsi="Times New Roman" w:cs="Times New Roman"/>
                <w:sz w:val="24"/>
                <w:szCs w:val="24"/>
              </w:rPr>
            </w:pPr>
            <w:r>
              <w:rPr>
                <w:rFonts w:ascii="Times New Roman" w:hAnsi="Times New Roman" w:cs="Times New Roman"/>
                <w:sz w:val="19"/>
                <w:szCs w:val="19"/>
              </w:rPr>
              <w:t>Chief Executive Officer (Principal</w:t>
            </w:r>
          </w:p>
        </w:tc>
        <w:tc>
          <w:tcPr>
            <w:tcW w:w="1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w w:val="99"/>
                <w:sz w:val="19"/>
                <w:szCs w:val="19"/>
              </w:rPr>
              <w:t>August 8,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860" w:type="dxa"/>
            <w:gridSpan w:val="4"/>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00"/>
              <w:jc w:val="center"/>
              <w:rPr>
                <w:rFonts w:ascii="Times New Roman" w:hAnsi="Times New Roman" w:cs="Times New Roman"/>
                <w:sz w:val="24"/>
                <w:szCs w:val="24"/>
              </w:rPr>
            </w:pPr>
            <w:r>
              <w:rPr>
                <w:rFonts w:ascii="Times New Roman" w:hAnsi="Times New Roman" w:cs="Times New Roman"/>
                <w:sz w:val="19"/>
                <w:szCs w:val="19"/>
              </w:rPr>
              <w:t>(A.G. Lafley)</w:t>
            </w:r>
          </w:p>
        </w:tc>
        <w:tc>
          <w:tcPr>
            <w:tcW w:w="2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Executive Officer)</w:t>
            </w: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90"/>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9"/>
                <w:szCs w:val="19"/>
                <w:u w:val="single"/>
              </w:rPr>
              <w:t>/</w:t>
            </w:r>
            <w:r>
              <w:rPr>
                <w:rFonts w:ascii="Times New Roman" w:hAnsi="Times New Roman" w:cs="Times New Roman"/>
                <w:sz w:val="15"/>
                <w:szCs w:val="15"/>
                <w:u w:val="single"/>
              </w:rPr>
              <w:t>S</w:t>
            </w:r>
            <w:r>
              <w:rPr>
                <w:rFonts w:ascii="Times New Roman" w:hAnsi="Times New Roman" w:cs="Times New Roman"/>
                <w:sz w:val="19"/>
                <w:szCs w:val="19"/>
              </w:rPr>
              <w:t>/</w:t>
            </w:r>
          </w:p>
        </w:tc>
        <w:tc>
          <w:tcPr>
            <w:tcW w:w="2320" w:type="dxa"/>
            <w:gridSpan w:val="10"/>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60"/>
              <w:jc w:val="center"/>
              <w:rPr>
                <w:rFonts w:ascii="Times New Roman" w:hAnsi="Times New Roman" w:cs="Times New Roman"/>
                <w:sz w:val="24"/>
                <w:szCs w:val="24"/>
              </w:rPr>
            </w:pPr>
            <w:r>
              <w:rPr>
                <w:rFonts w:ascii="Times New Roman" w:hAnsi="Times New Roman" w:cs="Times New Roman"/>
                <w:sz w:val="19"/>
                <w:szCs w:val="19"/>
              </w:rPr>
              <w:t>JON R. MOELLER</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Chief Financial Officer</w:t>
            </w:r>
          </w:p>
        </w:tc>
        <w:tc>
          <w:tcPr>
            <w:tcW w:w="1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w w:val="99"/>
                <w:sz w:val="19"/>
                <w:szCs w:val="19"/>
              </w:rPr>
              <w:t>August 8,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7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80" w:type="dxa"/>
            <w:gridSpan w:val="2"/>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(Principal Financial Officer)</w:t>
            </w: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40"/>
              <w:jc w:val="center"/>
              <w:rPr>
                <w:rFonts w:ascii="Times New Roman" w:hAnsi="Times New Roman" w:cs="Times New Roman"/>
                <w:sz w:val="24"/>
                <w:szCs w:val="24"/>
              </w:rPr>
            </w:pPr>
            <w:r>
              <w:rPr>
                <w:rFonts w:ascii="Times New Roman" w:hAnsi="Times New Roman" w:cs="Times New Roman"/>
                <w:sz w:val="19"/>
                <w:szCs w:val="19"/>
              </w:rPr>
              <w:t>(Jon R. Moeller)</w:t>
            </w:r>
          </w:p>
        </w:tc>
        <w:tc>
          <w:tcPr>
            <w:tcW w:w="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80" w:type="dxa"/>
            <w:gridSpan w:val="2"/>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05"/>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w w:val="94"/>
                <w:sz w:val="19"/>
                <w:szCs w:val="19"/>
                <w:u w:val="single"/>
              </w:rPr>
              <w:t>/</w:t>
            </w:r>
            <w:r>
              <w:rPr>
                <w:rFonts w:ascii="Times New Roman" w:hAnsi="Times New Roman" w:cs="Times New Roman"/>
                <w:w w:val="94"/>
                <w:sz w:val="15"/>
                <w:szCs w:val="15"/>
                <w:u w:val="single"/>
              </w:rPr>
              <w:t>S</w:t>
            </w:r>
            <w:r>
              <w:rPr>
                <w:rFonts w:ascii="Times New Roman" w:hAnsi="Times New Roman" w:cs="Times New Roman"/>
                <w:w w:val="94"/>
                <w:sz w:val="19"/>
                <w:szCs w:val="19"/>
              </w:rPr>
              <w:t>/</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500" w:type="dxa"/>
            <w:gridSpan w:val="1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00"/>
              <w:jc w:val="center"/>
              <w:rPr>
                <w:rFonts w:ascii="Times New Roman" w:hAnsi="Times New Roman" w:cs="Times New Roman"/>
                <w:sz w:val="24"/>
                <w:szCs w:val="24"/>
              </w:rPr>
            </w:pPr>
            <w:r>
              <w:rPr>
                <w:rFonts w:ascii="Times New Roman" w:hAnsi="Times New Roman" w:cs="Times New Roman"/>
                <w:w w:val="97"/>
                <w:sz w:val="19"/>
                <w:szCs w:val="19"/>
              </w:rPr>
              <w:t>VALARIE L. SHEPPARD</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Senior Vice President, Comptroller &amp;</w:t>
            </w:r>
          </w:p>
        </w:tc>
        <w:tc>
          <w:tcPr>
            <w:tcW w:w="14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960" w:type="dxa"/>
            <w:gridSpan w:val="4"/>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80" w:type="dxa"/>
            <w:gridSpan w:val="2"/>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Treasurer (Principal Accounting Officer)</w:t>
            </w:r>
          </w:p>
        </w:tc>
        <w:tc>
          <w:tcPr>
            <w:tcW w:w="1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w w:val="99"/>
                <w:sz w:val="19"/>
                <w:szCs w:val="19"/>
              </w:rPr>
              <w:t>August 8,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360" w:type="dxa"/>
            <w:gridSpan w:val="10"/>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40"/>
              <w:jc w:val="center"/>
              <w:rPr>
                <w:rFonts w:ascii="Times New Roman" w:hAnsi="Times New Roman" w:cs="Times New Roman"/>
                <w:sz w:val="24"/>
                <w:szCs w:val="24"/>
              </w:rPr>
            </w:pPr>
            <w:r>
              <w:rPr>
                <w:rFonts w:ascii="Times New Roman" w:hAnsi="Times New Roman" w:cs="Times New Roman"/>
                <w:w w:val="98"/>
                <w:sz w:val="19"/>
                <w:szCs w:val="19"/>
              </w:rPr>
              <w:t>(Valarie L. Sheppard)</w:t>
            </w:r>
          </w:p>
        </w:tc>
        <w:tc>
          <w:tcPr>
            <w:tcW w:w="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11"/>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640" w:type="dxa"/>
            <w:gridSpan w:val="16"/>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20"/>
              <w:jc w:val="center"/>
              <w:rPr>
                <w:rFonts w:ascii="Times New Roman" w:hAnsi="Times New Roman" w:cs="Times New Roman"/>
                <w:sz w:val="24"/>
                <w:szCs w:val="24"/>
              </w:rPr>
            </w:pPr>
            <w:r>
              <w:rPr>
                <w:rFonts w:ascii="Times New Roman" w:hAnsi="Times New Roman" w:cs="Times New Roman"/>
                <w:sz w:val="19"/>
                <w:szCs w:val="19"/>
                <w:u w:val="single"/>
              </w:rPr>
              <w:t>/</w:t>
            </w:r>
            <w:r>
              <w:rPr>
                <w:rFonts w:ascii="Times New Roman" w:hAnsi="Times New Roman" w:cs="Times New Roman"/>
                <w:sz w:val="15"/>
                <w:szCs w:val="15"/>
                <w:u w:val="single"/>
              </w:rPr>
              <w:t>S</w:t>
            </w:r>
            <w:r>
              <w:rPr>
                <w:rFonts w:ascii="Times New Roman" w:hAnsi="Times New Roman" w:cs="Times New Roman"/>
                <w:sz w:val="19"/>
                <w:szCs w:val="19"/>
              </w:rPr>
              <w:t>/  ANGELA F. BRALY</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Director</w:t>
            </w:r>
          </w:p>
        </w:tc>
        <w:tc>
          <w:tcPr>
            <w:tcW w:w="1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w w:val="99"/>
                <w:sz w:val="19"/>
                <w:szCs w:val="19"/>
              </w:rPr>
              <w:t>August 8,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20" w:type="dxa"/>
            <w:gridSpan w:val="3"/>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40"/>
              <w:jc w:val="center"/>
              <w:rPr>
                <w:rFonts w:ascii="Times New Roman" w:hAnsi="Times New Roman" w:cs="Times New Roman"/>
                <w:sz w:val="24"/>
                <w:szCs w:val="24"/>
              </w:rPr>
            </w:pPr>
            <w:r>
              <w:rPr>
                <w:rFonts w:ascii="Times New Roman" w:hAnsi="Times New Roman" w:cs="Times New Roman"/>
                <w:w w:val="99"/>
                <w:sz w:val="19"/>
                <w:szCs w:val="19"/>
              </w:rPr>
              <w:t>(Angela F. Braly)</w:t>
            </w:r>
          </w:p>
        </w:tc>
        <w:tc>
          <w:tcPr>
            <w:tcW w:w="2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0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60" w:type="dxa"/>
            <w:gridSpan w:val="20"/>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New Roman" w:hAnsi="Times New Roman" w:cs="Times New Roman"/>
                <w:sz w:val="19"/>
                <w:szCs w:val="19"/>
                <w:u w:val="single"/>
              </w:rPr>
              <w:t>/</w:t>
            </w:r>
            <w:r>
              <w:rPr>
                <w:rFonts w:ascii="Times New Roman" w:hAnsi="Times New Roman" w:cs="Times New Roman"/>
                <w:sz w:val="15"/>
                <w:szCs w:val="15"/>
                <w:u w:val="single"/>
              </w:rPr>
              <w:t>S</w:t>
            </w:r>
            <w:r>
              <w:rPr>
                <w:rFonts w:ascii="Times New Roman" w:hAnsi="Times New Roman" w:cs="Times New Roman"/>
                <w:sz w:val="19"/>
                <w:szCs w:val="19"/>
              </w:rPr>
              <w:t>/  KENNETH I. CHENAULT</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Director</w:t>
            </w:r>
          </w:p>
        </w:tc>
        <w:tc>
          <w:tcPr>
            <w:tcW w:w="1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w w:val="99"/>
                <w:sz w:val="19"/>
                <w:szCs w:val="19"/>
              </w:rPr>
              <w:t>August 8,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500" w:type="dxa"/>
            <w:gridSpan w:val="13"/>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80"/>
              <w:jc w:val="center"/>
              <w:rPr>
                <w:rFonts w:ascii="Times New Roman" w:hAnsi="Times New Roman" w:cs="Times New Roman"/>
                <w:sz w:val="24"/>
                <w:szCs w:val="24"/>
              </w:rPr>
            </w:pPr>
            <w:r>
              <w:rPr>
                <w:rFonts w:ascii="Times New Roman" w:hAnsi="Times New Roman" w:cs="Times New Roman"/>
                <w:sz w:val="19"/>
                <w:szCs w:val="19"/>
              </w:rPr>
              <w:t>(Kenneth I. Chenault)</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6"/>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20" w:type="dxa"/>
            <w:gridSpan w:val="6"/>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u w:val="single"/>
              </w:rPr>
              <w:t>/</w:t>
            </w:r>
            <w:r>
              <w:rPr>
                <w:rFonts w:ascii="Times New Roman" w:hAnsi="Times New Roman" w:cs="Times New Roman"/>
                <w:sz w:val="15"/>
                <w:szCs w:val="15"/>
                <w:u w:val="single"/>
              </w:rPr>
              <w:t>S</w:t>
            </w:r>
            <w:r>
              <w:rPr>
                <w:rFonts w:ascii="Times New Roman" w:hAnsi="Times New Roman" w:cs="Times New Roman"/>
                <w:sz w:val="19"/>
                <w:szCs w:val="19"/>
              </w:rPr>
              <w:t>/</w:t>
            </w:r>
          </w:p>
        </w:tc>
        <w:tc>
          <w:tcPr>
            <w:tcW w:w="2320" w:type="dxa"/>
            <w:gridSpan w:val="10"/>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80"/>
              <w:jc w:val="center"/>
              <w:rPr>
                <w:rFonts w:ascii="Times New Roman" w:hAnsi="Times New Roman" w:cs="Times New Roman"/>
                <w:sz w:val="24"/>
                <w:szCs w:val="24"/>
              </w:rPr>
            </w:pPr>
            <w:r>
              <w:rPr>
                <w:rFonts w:ascii="Times New Roman" w:hAnsi="Times New Roman" w:cs="Times New Roman"/>
                <w:sz w:val="19"/>
                <w:szCs w:val="19"/>
              </w:rPr>
              <w:t>SCOTT D. COOK__</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Director</w:t>
            </w:r>
          </w:p>
        </w:tc>
        <w:tc>
          <w:tcPr>
            <w:tcW w:w="1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w w:val="99"/>
                <w:sz w:val="19"/>
                <w:szCs w:val="19"/>
              </w:rPr>
              <w:t>August 8,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7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307"/>
              <w:jc w:val="center"/>
              <w:rPr>
                <w:rFonts w:ascii="Times New Roman" w:hAnsi="Times New Roman" w:cs="Times New Roman"/>
                <w:sz w:val="24"/>
                <w:szCs w:val="24"/>
              </w:rPr>
            </w:pPr>
            <w:r>
              <w:rPr>
                <w:rFonts w:ascii="Times New Roman" w:hAnsi="Times New Roman" w:cs="Times New Roman"/>
                <w:sz w:val="19"/>
                <w:szCs w:val="19"/>
              </w:rPr>
              <w:t>(Scott D. Cook)</w:t>
            </w:r>
          </w:p>
        </w:tc>
        <w:tc>
          <w:tcPr>
            <w:tcW w:w="32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11"/>
        </w:trPr>
        <w:tc>
          <w:tcPr>
            <w:tcW w:w="3200" w:type="dxa"/>
            <w:gridSpan w:val="21"/>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0"/>
              <w:jc w:val="center"/>
              <w:rPr>
                <w:rFonts w:ascii="Times New Roman" w:hAnsi="Times New Roman" w:cs="Times New Roman"/>
                <w:sz w:val="24"/>
                <w:szCs w:val="24"/>
              </w:rPr>
            </w:pPr>
            <w:r>
              <w:rPr>
                <w:rFonts w:ascii="Times New Roman" w:hAnsi="Times New Roman" w:cs="Times New Roman"/>
                <w:sz w:val="19"/>
                <w:szCs w:val="19"/>
                <w:u w:val="single"/>
              </w:rPr>
              <w:t>/</w:t>
            </w:r>
            <w:r>
              <w:rPr>
                <w:rFonts w:ascii="Times New Roman" w:hAnsi="Times New Roman" w:cs="Times New Roman"/>
                <w:sz w:val="15"/>
                <w:szCs w:val="15"/>
                <w:u w:val="single"/>
              </w:rPr>
              <w:t>S</w:t>
            </w:r>
            <w:r>
              <w:rPr>
                <w:rFonts w:ascii="Times New Roman" w:hAnsi="Times New Roman" w:cs="Times New Roman"/>
                <w:sz w:val="19"/>
                <w:szCs w:val="19"/>
              </w:rPr>
              <w:t>/  SUSAN DESMO</w:t>
            </w:r>
            <w:r>
              <w:rPr>
                <w:rFonts w:ascii="Times New Roman" w:hAnsi="Times New Roman" w:cs="Times New Roman"/>
                <w:sz w:val="19"/>
                <w:szCs w:val="19"/>
              </w:rPr>
              <w:t>ND-HELLMANN</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Director</w:t>
            </w:r>
          </w:p>
        </w:tc>
        <w:tc>
          <w:tcPr>
            <w:tcW w:w="1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w w:val="99"/>
                <w:sz w:val="19"/>
                <w:szCs w:val="19"/>
              </w:rPr>
              <w:t>August 8,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740" w:type="dxa"/>
            <w:gridSpan w:val="18"/>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20"/>
              <w:jc w:val="center"/>
              <w:rPr>
                <w:rFonts w:ascii="Times New Roman" w:hAnsi="Times New Roman" w:cs="Times New Roman"/>
                <w:sz w:val="24"/>
                <w:szCs w:val="24"/>
              </w:rPr>
            </w:pPr>
            <w:r>
              <w:rPr>
                <w:rFonts w:ascii="Times New Roman" w:hAnsi="Times New Roman" w:cs="Times New Roman"/>
                <w:sz w:val="19"/>
                <w:szCs w:val="19"/>
              </w:rPr>
              <w:t>(Susan Desmond-Hellmann)</w:t>
            </w:r>
          </w:p>
        </w:tc>
        <w:tc>
          <w:tcPr>
            <w:tcW w:w="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0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40" w:type="dxa"/>
            <w:gridSpan w:val="19"/>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40"/>
              <w:jc w:val="center"/>
              <w:rPr>
                <w:rFonts w:ascii="Times New Roman" w:hAnsi="Times New Roman" w:cs="Times New Roman"/>
                <w:sz w:val="24"/>
                <w:szCs w:val="24"/>
              </w:rPr>
            </w:pPr>
            <w:r>
              <w:rPr>
                <w:rFonts w:ascii="Times New Roman" w:hAnsi="Times New Roman" w:cs="Times New Roman"/>
                <w:sz w:val="19"/>
                <w:szCs w:val="19"/>
                <w:u w:val="single"/>
              </w:rPr>
              <w:t>/</w:t>
            </w:r>
            <w:r>
              <w:rPr>
                <w:rFonts w:ascii="Times New Roman" w:hAnsi="Times New Roman" w:cs="Times New Roman"/>
                <w:sz w:val="15"/>
                <w:szCs w:val="15"/>
                <w:u w:val="single"/>
              </w:rPr>
              <w:t>S</w:t>
            </w:r>
            <w:r>
              <w:rPr>
                <w:rFonts w:ascii="Times New Roman" w:hAnsi="Times New Roman" w:cs="Times New Roman"/>
                <w:sz w:val="19"/>
                <w:szCs w:val="19"/>
              </w:rPr>
              <w:t>/  TERRY J. LUNDGREN</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Director</w:t>
            </w:r>
          </w:p>
        </w:tc>
        <w:tc>
          <w:tcPr>
            <w:tcW w:w="1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w w:val="99"/>
                <w:sz w:val="19"/>
                <w:szCs w:val="19"/>
              </w:rPr>
              <w:t>August 8,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80" w:type="dxa"/>
            <w:gridSpan w:val="9"/>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40"/>
              <w:jc w:val="center"/>
              <w:rPr>
                <w:rFonts w:ascii="Times New Roman" w:hAnsi="Times New Roman" w:cs="Times New Roman"/>
                <w:sz w:val="24"/>
                <w:szCs w:val="24"/>
              </w:rPr>
            </w:pPr>
            <w:r>
              <w:rPr>
                <w:rFonts w:ascii="Times New Roman" w:hAnsi="Times New Roman" w:cs="Times New Roman"/>
                <w:w w:val="99"/>
                <w:sz w:val="19"/>
                <w:szCs w:val="19"/>
              </w:rPr>
              <w:t>(Terry J. Lundgren)</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0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60" w:type="dxa"/>
            <w:gridSpan w:val="20"/>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20"/>
              <w:jc w:val="center"/>
              <w:rPr>
                <w:rFonts w:ascii="Times New Roman" w:hAnsi="Times New Roman" w:cs="Times New Roman"/>
                <w:sz w:val="24"/>
                <w:szCs w:val="24"/>
              </w:rPr>
            </w:pPr>
            <w:r>
              <w:rPr>
                <w:rFonts w:ascii="Times New Roman" w:hAnsi="Times New Roman" w:cs="Times New Roman"/>
                <w:sz w:val="19"/>
                <w:szCs w:val="19"/>
                <w:u w:val="single"/>
              </w:rPr>
              <w:t>/</w:t>
            </w:r>
            <w:r>
              <w:rPr>
                <w:rFonts w:ascii="Times New Roman" w:hAnsi="Times New Roman" w:cs="Times New Roman"/>
                <w:sz w:val="15"/>
                <w:szCs w:val="15"/>
                <w:u w:val="single"/>
              </w:rPr>
              <w:t>S</w:t>
            </w:r>
            <w:r>
              <w:rPr>
                <w:rFonts w:ascii="Times New Roman" w:hAnsi="Times New Roman" w:cs="Times New Roman"/>
                <w:sz w:val="19"/>
                <w:szCs w:val="19"/>
              </w:rPr>
              <w:t>/  W. JAMES MCNERNEY, JR.</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Director</w:t>
            </w:r>
          </w:p>
        </w:tc>
        <w:tc>
          <w:tcPr>
            <w:tcW w:w="1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w w:val="99"/>
                <w:sz w:val="19"/>
                <w:szCs w:val="19"/>
              </w:rPr>
              <w:t>August 8,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20" w:type="dxa"/>
            <w:gridSpan w:val="11"/>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40"/>
              <w:jc w:val="center"/>
              <w:rPr>
                <w:rFonts w:ascii="Times New Roman" w:hAnsi="Times New Roman" w:cs="Times New Roman"/>
                <w:sz w:val="24"/>
                <w:szCs w:val="24"/>
              </w:rPr>
            </w:pPr>
            <w:r>
              <w:rPr>
                <w:rFonts w:ascii="Times New Roman" w:hAnsi="Times New Roman" w:cs="Times New Roman"/>
                <w:w w:val="98"/>
                <w:sz w:val="19"/>
                <w:szCs w:val="19"/>
              </w:rPr>
              <w:t>(W. James McNerney, Jr.)</w:t>
            </w:r>
          </w:p>
        </w:tc>
        <w:tc>
          <w:tcPr>
            <w:tcW w:w="100" w:type="dxa"/>
            <w:gridSpan w:val="3"/>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88"/>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gridSpan w:val="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9"/>
                <w:szCs w:val="19"/>
                <w:u w:val="single"/>
              </w:rPr>
              <w:t>/</w:t>
            </w:r>
            <w:r>
              <w:rPr>
                <w:rFonts w:ascii="Times New Roman" w:hAnsi="Times New Roman" w:cs="Times New Roman"/>
                <w:sz w:val="15"/>
                <w:szCs w:val="15"/>
                <w:u w:val="single"/>
              </w:rPr>
              <w:t>S</w:t>
            </w:r>
            <w:r>
              <w:rPr>
                <w:rFonts w:ascii="Times New Roman" w:hAnsi="Times New Roman" w:cs="Times New Roman"/>
                <w:sz w:val="19"/>
                <w:szCs w:val="19"/>
                <w:u w:val="single"/>
              </w:rPr>
              <w:t>/</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620" w:type="dxa"/>
            <w:gridSpan w:val="1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260"/>
              <w:jc w:val="center"/>
              <w:rPr>
                <w:rFonts w:ascii="Times New Roman" w:hAnsi="Times New Roman" w:cs="Times New Roman"/>
                <w:sz w:val="24"/>
                <w:szCs w:val="24"/>
              </w:rPr>
            </w:pPr>
            <w:r>
              <w:rPr>
                <w:rFonts w:ascii="Times New Roman" w:hAnsi="Times New Roman" w:cs="Times New Roman"/>
                <w:sz w:val="19"/>
                <w:szCs w:val="19"/>
                <w:u w:val="single"/>
              </w:rPr>
              <w:t>MARGARET C. WHITMAN</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Director</w:t>
            </w:r>
          </w:p>
        </w:tc>
        <w:tc>
          <w:tcPr>
            <w:tcW w:w="1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w w:val="99"/>
                <w:sz w:val="19"/>
                <w:szCs w:val="19"/>
              </w:rPr>
              <w:t>August 8,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540" w:type="dxa"/>
            <w:gridSpan w:val="14"/>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40"/>
              <w:jc w:val="center"/>
              <w:rPr>
                <w:rFonts w:ascii="Times New Roman" w:hAnsi="Times New Roman" w:cs="Times New Roman"/>
                <w:sz w:val="24"/>
                <w:szCs w:val="24"/>
              </w:rPr>
            </w:pPr>
            <w:r>
              <w:rPr>
                <w:rFonts w:ascii="Times New Roman" w:hAnsi="Times New Roman" w:cs="Times New Roman"/>
                <w:sz w:val="19"/>
                <w:szCs w:val="19"/>
              </w:rPr>
              <w:t>(Margaret C. Whitman)</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18"/>
        </w:trPr>
        <w:tc>
          <w:tcPr>
            <w:tcW w:w="3200" w:type="dxa"/>
            <w:gridSpan w:val="21"/>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80"/>
              <w:jc w:val="center"/>
              <w:rPr>
                <w:rFonts w:ascii="Times New Roman" w:hAnsi="Times New Roman" w:cs="Times New Roman"/>
                <w:sz w:val="24"/>
                <w:szCs w:val="24"/>
              </w:rPr>
            </w:pPr>
            <w:r>
              <w:rPr>
                <w:rFonts w:ascii="Times New Roman" w:hAnsi="Times New Roman" w:cs="Times New Roman"/>
                <w:sz w:val="19"/>
                <w:szCs w:val="19"/>
                <w:u w:val="single"/>
              </w:rPr>
              <w:t>/</w:t>
            </w:r>
            <w:r>
              <w:rPr>
                <w:rFonts w:ascii="Times New Roman" w:hAnsi="Times New Roman" w:cs="Times New Roman"/>
                <w:sz w:val="15"/>
                <w:szCs w:val="15"/>
                <w:u w:val="single"/>
              </w:rPr>
              <w:t>S</w:t>
            </w:r>
            <w:r>
              <w:rPr>
                <w:rFonts w:ascii="Times New Roman" w:hAnsi="Times New Roman" w:cs="Times New Roman"/>
                <w:sz w:val="19"/>
                <w:szCs w:val="19"/>
                <w:u w:val="single"/>
              </w:rPr>
              <w:t>/  MARY AGNES WILDEROTTER</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Director</w:t>
            </w:r>
          </w:p>
        </w:tc>
        <w:tc>
          <w:tcPr>
            <w:tcW w:w="1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w w:val="99"/>
                <w:sz w:val="19"/>
                <w:szCs w:val="19"/>
              </w:rPr>
              <w:t>August 8,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0"/>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640" w:type="dxa"/>
            <w:gridSpan w:val="16"/>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620"/>
              <w:jc w:val="center"/>
              <w:rPr>
                <w:rFonts w:ascii="Times New Roman" w:hAnsi="Times New Roman" w:cs="Times New Roman"/>
                <w:sz w:val="24"/>
                <w:szCs w:val="24"/>
              </w:rPr>
            </w:pPr>
            <w:r>
              <w:rPr>
                <w:rFonts w:ascii="Times New Roman" w:hAnsi="Times New Roman" w:cs="Times New Roman"/>
                <w:w w:val="99"/>
                <w:sz w:val="19"/>
                <w:szCs w:val="19"/>
              </w:rPr>
              <w:t>(Mary Agnes Wilderotter)</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3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40" w:type="dxa"/>
            <w:gridSpan w:val="19"/>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420"/>
              <w:jc w:val="center"/>
              <w:rPr>
                <w:rFonts w:ascii="Times New Roman" w:hAnsi="Times New Roman" w:cs="Times New Roman"/>
                <w:sz w:val="24"/>
                <w:szCs w:val="24"/>
              </w:rPr>
            </w:pPr>
            <w:r>
              <w:rPr>
                <w:rFonts w:ascii="Times New Roman" w:hAnsi="Times New Roman" w:cs="Times New Roman"/>
                <w:sz w:val="19"/>
                <w:szCs w:val="19"/>
                <w:u w:val="single"/>
              </w:rPr>
              <w:t>/</w:t>
            </w:r>
            <w:r>
              <w:rPr>
                <w:rFonts w:ascii="Times New Roman" w:hAnsi="Times New Roman" w:cs="Times New Roman"/>
                <w:sz w:val="15"/>
                <w:szCs w:val="15"/>
                <w:u w:val="single"/>
              </w:rPr>
              <w:t>S</w:t>
            </w:r>
            <w:r>
              <w:rPr>
                <w:rFonts w:ascii="Times New Roman" w:hAnsi="Times New Roman" w:cs="Times New Roman"/>
                <w:sz w:val="19"/>
                <w:szCs w:val="19"/>
              </w:rPr>
              <w:t>/  PATRICIA A. WOERTZ</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Director</w:t>
            </w:r>
          </w:p>
        </w:tc>
        <w:tc>
          <w:tcPr>
            <w:tcW w:w="1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w w:val="99"/>
                <w:sz w:val="19"/>
                <w:szCs w:val="19"/>
              </w:rPr>
              <w:t>August 8,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300" w:type="dxa"/>
            <w:gridSpan w:val="10"/>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80"/>
              <w:jc w:val="center"/>
              <w:rPr>
                <w:rFonts w:ascii="Times New Roman" w:hAnsi="Times New Roman" w:cs="Times New Roman"/>
                <w:sz w:val="24"/>
                <w:szCs w:val="24"/>
              </w:rPr>
            </w:pPr>
            <w:r>
              <w:rPr>
                <w:rFonts w:ascii="Times New Roman" w:hAnsi="Times New Roman" w:cs="Times New Roman"/>
                <w:w w:val="98"/>
                <w:sz w:val="19"/>
                <w:szCs w:val="19"/>
              </w:rPr>
              <w:t>(Patricia A. Woertz)</w:t>
            </w: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0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80" w:type="dxa"/>
            <w:gridSpan w:val="7"/>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u w:val="single"/>
              </w:rPr>
              <w:t>/</w:t>
            </w:r>
            <w:r>
              <w:rPr>
                <w:rFonts w:ascii="Times New Roman" w:hAnsi="Times New Roman" w:cs="Times New Roman"/>
                <w:sz w:val="15"/>
                <w:szCs w:val="15"/>
                <w:u w:val="single"/>
              </w:rPr>
              <w:t>S</w:t>
            </w:r>
            <w:r>
              <w:rPr>
                <w:rFonts w:ascii="Times New Roman" w:hAnsi="Times New Roman" w:cs="Times New Roman"/>
                <w:sz w:val="19"/>
                <w:szCs w:val="19"/>
              </w:rPr>
              <w:t>/</w:t>
            </w:r>
          </w:p>
        </w:tc>
        <w:tc>
          <w:tcPr>
            <w:tcW w:w="2320" w:type="dxa"/>
            <w:gridSpan w:val="10"/>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580"/>
              <w:jc w:val="center"/>
              <w:rPr>
                <w:rFonts w:ascii="Times New Roman" w:hAnsi="Times New Roman" w:cs="Times New Roman"/>
                <w:sz w:val="24"/>
                <w:szCs w:val="24"/>
              </w:rPr>
            </w:pPr>
            <w:r>
              <w:rPr>
                <w:rFonts w:ascii="Times New Roman" w:hAnsi="Times New Roman" w:cs="Times New Roman"/>
                <w:w w:val="99"/>
                <w:sz w:val="19"/>
                <w:szCs w:val="19"/>
              </w:rPr>
              <w:t>ERNESTO ZEDILLO</w:t>
            </w: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sz w:val="19"/>
                <w:szCs w:val="19"/>
              </w:rPr>
              <w:t>Director</w:t>
            </w:r>
          </w:p>
        </w:tc>
        <w:tc>
          <w:tcPr>
            <w:tcW w:w="1480" w:type="dxa"/>
            <w:vMerge w:val="restart"/>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26"/>
              <w:jc w:val="center"/>
              <w:rPr>
                <w:rFonts w:ascii="Times New Roman" w:hAnsi="Times New Roman" w:cs="Times New Roman"/>
                <w:sz w:val="24"/>
                <w:szCs w:val="24"/>
              </w:rPr>
            </w:pPr>
            <w:r>
              <w:rPr>
                <w:rFonts w:ascii="Times New Roman" w:hAnsi="Times New Roman" w:cs="Times New Roman"/>
                <w:w w:val="99"/>
                <w:sz w:val="19"/>
                <w:szCs w:val="19"/>
              </w:rPr>
              <w:t>August 8, 2014</w:t>
            </w: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1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100" w:type="dxa"/>
            <w:gridSpan w:val="5"/>
            <w:tcBorders>
              <w:top w:val="single" w:sz="8" w:space="0" w:color="auto"/>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740"/>
              <w:jc w:val="center"/>
              <w:rPr>
                <w:rFonts w:ascii="Times New Roman" w:hAnsi="Times New Roman" w:cs="Times New Roman"/>
                <w:sz w:val="24"/>
                <w:szCs w:val="24"/>
              </w:rPr>
            </w:pPr>
            <w:r>
              <w:rPr>
                <w:rFonts w:ascii="Times New Roman" w:hAnsi="Times New Roman" w:cs="Times New Roman"/>
                <w:sz w:val="19"/>
                <w:szCs w:val="19"/>
              </w:rPr>
              <w:t>(Ernesto Zedillo)</w:t>
            </w:r>
          </w:p>
        </w:tc>
        <w:tc>
          <w:tcPr>
            <w:tcW w:w="220" w:type="dxa"/>
            <w:gridSpan w:val="5"/>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1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80" w:type="dxa"/>
            <w:vMerge/>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1440" w:left="860" w:header="720" w:footer="720" w:gutter="0"/>
          <w:cols w:space="720" w:equalWidth="0">
            <w:col w:w="9760"/>
          </w:cols>
          <w:noEndnote/>
        </w:sectPr>
      </w:pPr>
    </w:p>
    <w:p w:rsidR="00000000" w:rsidRDefault="0057438D">
      <w:pPr>
        <w:pStyle w:val="DefaultParagraphFont"/>
        <w:widowControl w:val="0"/>
        <w:tabs>
          <w:tab w:val="left" w:pos="3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84</w:t>
      </w:r>
      <w:r>
        <w:rPr>
          <w:rFonts w:ascii="Times New Roman" w:hAnsi="Times New Roman" w:cs="Times New Roman"/>
          <w:sz w:val="24"/>
          <w:szCs w:val="24"/>
        </w:rPr>
        <w:tab/>
      </w: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368" w:lineRule="exact"/>
        <w:rPr>
          <w:rFonts w:ascii="Times New Roman" w:hAnsi="Times New Roman" w:cs="Times New Roman"/>
          <w:sz w:val="24"/>
          <w:szCs w:val="24"/>
        </w:rPr>
      </w:pPr>
    </w:p>
    <w:tbl>
      <w:tblPr>
        <w:tblW w:w="0" w:type="auto"/>
        <w:tblInd w:w="240" w:type="dxa"/>
        <w:tblLayout w:type="fixed"/>
        <w:tblCellMar>
          <w:left w:w="0" w:type="dxa"/>
          <w:right w:w="0" w:type="dxa"/>
        </w:tblCellMar>
        <w:tblLook w:val="0000" w:firstRow="0" w:lastRow="0" w:firstColumn="0" w:lastColumn="0" w:noHBand="0" w:noVBand="0"/>
      </w:tblPr>
      <w:tblGrid>
        <w:gridCol w:w="600"/>
        <w:gridCol w:w="920"/>
        <w:gridCol w:w="7940"/>
      </w:tblGrid>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420"/>
              <w:rPr>
                <w:rFonts w:ascii="Times New Roman" w:hAnsi="Times New Roman" w:cs="Times New Roman"/>
                <w:sz w:val="24"/>
                <w:szCs w:val="24"/>
              </w:rPr>
            </w:pPr>
            <w:r>
              <w:rPr>
                <w:rFonts w:ascii="Times New Roman" w:hAnsi="Times New Roman" w:cs="Times New Roman"/>
                <w:sz w:val="19"/>
                <w:szCs w:val="19"/>
                <w:u w:val="single"/>
              </w:rPr>
              <w:t>EXHIBIT INDEX</w:t>
            </w:r>
          </w:p>
        </w:tc>
      </w:tr>
      <w:tr w:rsidR="00000000">
        <w:tblPrEx>
          <w:tblCellMar>
            <w:top w:w="0" w:type="dxa"/>
            <w:left w:w="0" w:type="dxa"/>
            <w:bottom w:w="0" w:type="dxa"/>
            <w:right w:w="0" w:type="dxa"/>
          </w:tblCellMar>
        </w:tblPrEx>
        <w:trPr>
          <w:trHeight w:val="322"/>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Exhibit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(3-1)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Amended Articles of Incorporation (as amended by shareholders at the annual meeting on</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October 11, 2011) (Incorporated by reference to Exhibit (3-1) of the Company's Form 10-Q for the</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quarter ended September 30, 2011).</w:t>
            </w:r>
          </w:p>
        </w:tc>
      </w:tr>
      <w:tr w:rsidR="00000000">
        <w:tblPrEx>
          <w:tblCellMar>
            <w:top w:w="0" w:type="dxa"/>
            <w:left w:w="0" w:type="dxa"/>
            <w:bottom w:w="0" w:type="dxa"/>
            <w:right w:w="0" w:type="dxa"/>
          </w:tblCellMar>
        </w:tblPrEx>
        <w:trPr>
          <w:trHeight w:val="304"/>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(3-2)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Regulations (as approved by the Board of Directors on December 10, 2013) (Incorporated by</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reference to Exhibit (3-2) of the Company's Form 10-Q for the quarter ending December 31, 2013).</w:t>
            </w:r>
          </w:p>
        </w:tc>
      </w:tr>
      <w:tr w:rsidR="00000000">
        <w:tblPrEx>
          <w:tblCellMar>
            <w:top w:w="0" w:type="dxa"/>
            <w:left w:w="0" w:type="dxa"/>
            <w:bottom w:w="0" w:type="dxa"/>
            <w:right w:w="0" w:type="dxa"/>
          </w:tblCellMar>
        </w:tblPrEx>
        <w:trPr>
          <w:trHeight w:val="342"/>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Exhibit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(4)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Registrant agrees to file a copy of documents defining the rights of holders of long-term debt upon</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request of the Commission.</w:t>
            </w:r>
          </w:p>
        </w:tc>
      </w:tr>
      <w:tr w:rsidR="00000000">
        <w:tblPrEx>
          <w:tblCellMar>
            <w:top w:w="0" w:type="dxa"/>
            <w:left w:w="0" w:type="dxa"/>
            <w:bottom w:w="0" w:type="dxa"/>
            <w:right w:w="0" w:type="dxa"/>
          </w:tblCellMar>
        </w:tblPrEx>
        <w:trPr>
          <w:trHeight w:val="284"/>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Exhibit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(10-1)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2001 Stock and Incentive Compensation Plan (as amended on August 17,</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2007) which was originally adopted by shareholders at the annual meeting on October 9, 2001</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(Incorporated by reference to Exhibit (10-1) of the Company's Form 10-Q for the quarter ended</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March 31, 2013), and related correspondence and terms and conditions (Incorporated by reference to</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Exhibit (10-1) of the Company's Form 10-Q for the quarter ended December 31, 2008).*</w:t>
            </w:r>
          </w:p>
        </w:tc>
      </w:tr>
      <w:tr w:rsidR="00000000">
        <w:tblPrEx>
          <w:tblCellMar>
            <w:top w:w="0" w:type="dxa"/>
            <w:left w:w="0" w:type="dxa"/>
            <w:bottom w:w="0" w:type="dxa"/>
            <w:right w:w="0" w:type="dxa"/>
          </w:tblCellMar>
        </w:tblPrEx>
        <w:trPr>
          <w:trHeight w:val="304"/>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(10-2)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1992 Stock Plan (as amended December 11, 2001), which was originally</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adopted by the shareholders at the annual meeting on October 12, 1992 (Incorporated by reference to</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Exhibit (10-2) of the Company’</w:t>
            </w:r>
            <w:r>
              <w:rPr>
                <w:rFonts w:ascii="Times New Roman" w:hAnsi="Times New Roman" w:cs="Times New Roman"/>
                <w:sz w:val="19"/>
                <w:szCs w:val="19"/>
              </w:rPr>
              <w:t>s Annual Report on Form 10-K for the year ended June 30, 2013)*</w:t>
            </w:r>
          </w:p>
        </w:tc>
      </w:tr>
      <w:tr w:rsidR="00000000">
        <w:tblPrEx>
          <w:tblCellMar>
            <w:top w:w="0" w:type="dxa"/>
            <w:left w:w="0" w:type="dxa"/>
            <w:bottom w:w="0" w:type="dxa"/>
            <w:right w:w="0" w:type="dxa"/>
          </w:tblCellMar>
        </w:tblPrEx>
        <w:trPr>
          <w:trHeight w:val="284"/>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(10-3)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Executive Group Life Insurance Policy (Incorporated by reference to Exhibit</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(10-3) of the Company’s Annual Report on Form 10-</w:t>
            </w:r>
            <w:r>
              <w:rPr>
                <w:rFonts w:ascii="Times New Roman" w:hAnsi="Times New Roman" w:cs="Times New Roman"/>
                <w:sz w:val="19"/>
                <w:szCs w:val="19"/>
              </w:rPr>
              <w:t>K for the year ended June 30, 2013)*</w:t>
            </w:r>
          </w:p>
        </w:tc>
      </w:tr>
      <w:tr w:rsidR="00000000">
        <w:tblPrEx>
          <w:tblCellMar>
            <w:top w:w="0" w:type="dxa"/>
            <w:left w:w="0" w:type="dxa"/>
            <w:bottom w:w="0" w:type="dxa"/>
            <w:right w:w="0" w:type="dxa"/>
          </w:tblCellMar>
        </w:tblPrEx>
        <w:trPr>
          <w:trHeight w:val="38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(10-4)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Deferred Compensation Plan for Directors (as amended December 12, 2006),</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which was originally adopted by the Board of Directors on September 9, 1980 (Incorporated by</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reference to Exhibit (10-4) of the Company’s Annual Report on Form 10-K for the year ended June</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30, 2012).*</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(10-5)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1993 Non-Employee Directors' Stock Plan (as amended September 10,</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2002), which was originally adopted by the shareholders at the annual meeting on October 11, 1994.</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(Incorporated by reference to Exhibit (10-5) of the Company’s Annual Report on Form 10-K for the</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year ended June 30, 2013).*</w:t>
            </w:r>
          </w:p>
        </w:tc>
      </w:tr>
      <w:tr w:rsidR="00000000">
        <w:tblPrEx>
          <w:tblCellMar>
            <w:top w:w="0" w:type="dxa"/>
            <w:left w:w="0" w:type="dxa"/>
            <w:bottom w:w="0" w:type="dxa"/>
            <w:right w:w="0" w:type="dxa"/>
          </w:tblCellMar>
        </w:tblPrEx>
        <w:trPr>
          <w:trHeight w:val="227"/>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(10-6)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1992 Stock Plan (Belgian Version) (as amended December 11, 2001), which</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was originally adopted by the Board of Directors on February 14, 1997. (Incorporated by reference</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to Exhibit (10-6) of the Company’</w:t>
            </w:r>
            <w:r>
              <w:rPr>
                <w:rFonts w:ascii="Times New Roman" w:hAnsi="Times New Roman" w:cs="Times New Roman"/>
                <w:sz w:val="19"/>
                <w:szCs w:val="19"/>
              </w:rPr>
              <w:t>s Annual Report on Form 10-K for the year ended June 30,</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2013).*</w:t>
            </w:r>
          </w:p>
        </w:tc>
      </w:tr>
      <w:tr w:rsidR="00000000">
        <w:tblPrEx>
          <w:tblCellMar>
            <w:top w:w="0" w:type="dxa"/>
            <w:left w:w="0" w:type="dxa"/>
            <w:bottom w:w="0" w:type="dxa"/>
            <w:right w:w="0" w:type="dxa"/>
          </w:tblCellMar>
        </w:tblPrEx>
        <w:trPr>
          <w:trHeight w:val="265"/>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(10-7)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Future Shares Plan (as adjusted for the stock split effective May 21, 2004),</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which was originally adopted by the Board of Directors on October 14, 1997 (Incorporated by</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reference to Exhibit (10-7) of the Company's Annual Report on Form 10-K for the year ended June</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30, 2010).*</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(10-8)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2003 Non-Employee Directors' Stock Plan (as amended in August 2007),</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which was originally adopted by the shareholders at the annual meeting on October 14, 2003, and</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related correspondence and terms and conditions (Incorporated by reference to Exhibit (10-1) of the</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Company's Form 10-Q for the quarter ended September 30, 2012).*</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(10-9)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Company Executive Deferred Compensation Plan (Incorporated by reference</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to Exhibit (10-4) of the Company's Form 10-Q for the quarter ended December 31, 2013).*</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(10-10)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Summary of the Company's Short Term Achievement Reward Program (Incorporated by reference to</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Exhibit (10-2) of the Company’s Form 10-Q for the quarter ended September 30, 2012) and related</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correspondence and t</w:t>
            </w:r>
            <w:r>
              <w:rPr>
                <w:rFonts w:ascii="Times New Roman" w:hAnsi="Times New Roman" w:cs="Times New Roman"/>
                <w:sz w:val="19"/>
                <w:szCs w:val="19"/>
              </w:rPr>
              <w:t>erms and conditions (Incorporated by reference to Exhibit (10-4) of the</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Company's Form 10-Q for the quarter ended December 31, 2012).*</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(10-11)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Company's Forms of Separation Agreement &amp; Release (Incorporated by reference to Exhibit (10-3)</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of the Company's Form 10-Q for the quarter ended December 31, 2012).*</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(10-12)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Summary of personal benefits available to certain officers and non-employee directors (Incorporated</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by reference to Exhibit (10-1) of the Company's Form 10-Q for the quarter ended September 30,</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2013).*</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(10-13)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Gillette Company 2004 Long-Term Incentive Plan (as amended on August 14, 2007)</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(Incorporated by reference to Exhibit (</w:t>
            </w:r>
            <w:r>
              <w:rPr>
                <w:rFonts w:ascii="Times New Roman" w:hAnsi="Times New Roman" w:cs="Times New Roman"/>
                <w:sz w:val="19"/>
                <w:szCs w:val="19"/>
              </w:rPr>
              <w:t>10-4) of the Company's Form 10-Q for the quarter ended</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September 30, 2012).*</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(10-14) -</w:t>
            </w: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Gillette Company Executive Life Insurance Program (Incorporated by reference to Exhibit</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94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(10-15) of the Company’</w:t>
            </w:r>
            <w:r>
              <w:rPr>
                <w:rFonts w:ascii="Times New Roman" w:hAnsi="Times New Roman" w:cs="Times New Roman"/>
                <w:sz w:val="19"/>
                <w:szCs w:val="19"/>
              </w:rPr>
              <w:t>s Annual Report on Form 10-K for the year ended June 30, 2012).*</w:t>
            </w: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86" w:right="960" w:bottom="668" w:left="860" w:header="720" w:footer="720" w:gutter="0"/>
          <w:cols w:space="720" w:equalWidth="0">
            <w:col w:w="9700"/>
          </w:cols>
          <w:noEndnote/>
        </w:sectPr>
      </w:pPr>
    </w:p>
    <w:tbl>
      <w:tblPr>
        <w:tblW w:w="0" w:type="auto"/>
        <w:tblLayout w:type="fixed"/>
        <w:tblCellMar>
          <w:left w:w="0" w:type="dxa"/>
          <w:right w:w="0" w:type="dxa"/>
        </w:tblCellMar>
        <w:tblLook w:val="0000" w:firstRow="0" w:lastRow="0" w:firstColumn="0" w:lastColumn="0" w:noHBand="0" w:noVBand="0"/>
      </w:tblPr>
      <w:tblGrid>
        <w:gridCol w:w="600"/>
        <w:gridCol w:w="920"/>
        <w:gridCol w:w="8000"/>
      </w:tblGrid>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5620"/>
              <w:rPr>
                <w:rFonts w:ascii="Times New Roman" w:hAnsi="Times New Roman" w:cs="Times New Roman"/>
                <w:sz w:val="24"/>
                <w:szCs w:val="24"/>
              </w:rPr>
            </w:pPr>
            <w:r>
              <w:rPr>
                <w:rFonts w:ascii="Times New Roman" w:hAnsi="Times New Roman" w:cs="Times New Roman"/>
                <w:sz w:val="15"/>
                <w:szCs w:val="15"/>
              </w:rPr>
              <w:t xml:space="preserve">The Procter &amp; Gamble Company  </w:t>
            </w:r>
            <w:r>
              <w:rPr>
                <w:rFonts w:ascii="Times New Roman" w:hAnsi="Times New Roman" w:cs="Times New Roman"/>
                <w:sz w:val="19"/>
                <w:szCs w:val="19"/>
              </w:rPr>
              <w:t>85</w:t>
            </w:r>
          </w:p>
        </w:tc>
      </w:tr>
      <w:tr w:rsidR="00000000">
        <w:tblPrEx>
          <w:tblCellMar>
            <w:top w:w="0" w:type="dxa"/>
            <w:left w:w="0" w:type="dxa"/>
            <w:bottom w:w="0" w:type="dxa"/>
            <w:right w:w="0" w:type="dxa"/>
          </w:tblCellMar>
        </w:tblPrEx>
        <w:trPr>
          <w:trHeight w:val="678"/>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(10-15)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Gillette Company Personal Financial Planning Reimbursement Program (Incorporated by</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reference to Exhibit (10-16) of the Company’s Annual Report on Form 10-K for the year ended June</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30, 2012) .*</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(10-16)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Gillette Company Senior Executive Financial Planning Program (Incorporated by reference to</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Exhibit (10-17) of the Company’</w:t>
            </w:r>
            <w:r>
              <w:rPr>
                <w:rFonts w:ascii="Times New Roman" w:hAnsi="Times New Roman" w:cs="Times New Roman"/>
                <w:sz w:val="19"/>
                <w:szCs w:val="19"/>
              </w:rPr>
              <w:t>s Annual Report on Form 10-K for the year ended June 30, 2012).*</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(10-17)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Gillette Company Estate Preservation (Incorporated by reference to Exhibit (10-18) of the</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Company’s Annual Report on Form 10-K for the year ended June 30, 2012).*</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(10-18)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Gillette Company Deferred Compensation Plan (Incorporated by reference to Exhibit (10-19) of</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Company’s Annual Report on Form 10-K for the year ended June 30, 2012).*</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(10-19)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 xml:space="preserve">Senior Executive Recoupment Policy </w:t>
            </w:r>
            <w:r>
              <w:rPr>
                <w:rFonts w:ascii="Times New Roman" w:hAnsi="Times New Roman" w:cs="Times New Roman"/>
                <w:sz w:val="19"/>
                <w:szCs w:val="19"/>
              </w:rPr>
              <w:t>(Incorporated by reference to Exhibit (10-20) of the</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Company’s Annual Report on Form 10-K for the year ended June 30, 2012).*</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(10-20)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Gillette Company Deferred Compensation Plan (for salary deferrals prior to January 1, 2005) as</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amended through August 21, 2006 (Incorporated by reference to Exhibit (10-21) of the Company’s</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Annual Report on Form 10-K for the year ended June 30, 2012).*</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(10-21)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2009 Stock and Incentive Compensation Plan, which was originally adopted</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by shareholders at the annual meeting on October 13, 2009 (Incorporated by reference to Exhibit</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(10-3) of the Company's Form 10-Q for the quarter ended December 31, 2011), and the Regulations</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of the Compensation and Leadership Development Committee for The Procter &amp; Gamble 2009</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Stock and Incentive Compensation Plan, The Procter &amp; Gamble 2001 Stock and Incentive</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Compensation Plan, The Procter &amp; Gamble 1992 Stock Plan, The Procter &amp; Gamble 1992 Stock</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Plan (Belgium Version), The Gillette Company 2004 Long-Term Incentive Plan and the Gillette</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Company 1971 Stock Option Plan (Incorporated by reference to Exhibit (10-1) of the Company's</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Form 10-Q for the quarter ended December 31, 2012).*</w:t>
            </w:r>
          </w:p>
        </w:tc>
      </w:tr>
      <w:tr w:rsidR="00000000">
        <w:tblPrEx>
          <w:tblCellMar>
            <w:top w:w="0" w:type="dxa"/>
            <w:left w:w="0" w:type="dxa"/>
            <w:bottom w:w="0" w:type="dxa"/>
            <w:right w:w="0" w:type="dxa"/>
          </w:tblCellMar>
        </w:tblPrEx>
        <w:trPr>
          <w:trHeight w:val="323"/>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(10-22)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2009 Stock and Incentive Compensation Plan - Additional terms and</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conditions and related correspondence (Incorporated by reference to Exhibit (10-2) of the Company</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Form 10-Q for the quarter ended December 31, 2013).*</w:t>
            </w:r>
          </w:p>
        </w:tc>
      </w:tr>
      <w:tr w:rsidR="00000000">
        <w:tblPrEx>
          <w:tblCellMar>
            <w:top w:w="0" w:type="dxa"/>
            <w:left w:w="0" w:type="dxa"/>
            <w:bottom w:w="0" w:type="dxa"/>
            <w:right w:w="0" w:type="dxa"/>
          </w:tblCellMar>
        </w:tblPrEx>
        <w:trPr>
          <w:trHeight w:val="304"/>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(10-23)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Performance Stock Program Summary (Incorporated by reference to Exhibit</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(10-2) of the Company's Form 10-Q for the quarter ended March 31, 2012) and related terms and</w:t>
            </w:r>
          </w:p>
        </w:tc>
      </w:tr>
      <w:tr w:rsidR="00000000">
        <w:tblPrEx>
          <w:tblCellMar>
            <w:top w:w="0" w:type="dxa"/>
            <w:left w:w="0" w:type="dxa"/>
            <w:bottom w:w="0" w:type="dxa"/>
            <w:right w:w="0" w:type="dxa"/>
          </w:tblCellMar>
        </w:tblPrEx>
        <w:trPr>
          <w:trHeight w:val="191"/>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90" w:lineRule="exact"/>
              <w:ind w:left="200"/>
              <w:rPr>
                <w:rFonts w:ascii="Times New Roman" w:hAnsi="Times New Roman" w:cs="Times New Roman"/>
                <w:sz w:val="24"/>
                <w:szCs w:val="24"/>
              </w:rPr>
            </w:pPr>
            <w:r>
              <w:rPr>
                <w:rFonts w:ascii="Times New Roman" w:hAnsi="Times New Roman" w:cs="Times New Roman"/>
                <w:sz w:val="19"/>
                <w:szCs w:val="19"/>
              </w:rPr>
              <w:t>conditions (Incorporated by reference to Exhibit (10-24) of the Company’s Annual Report on Form</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10-K for the year ended June 30, 2012). *</w:t>
            </w:r>
          </w:p>
        </w:tc>
      </w:tr>
      <w:tr w:rsidR="00000000">
        <w:tblPrEx>
          <w:tblCellMar>
            <w:top w:w="0" w:type="dxa"/>
            <w:left w:w="0" w:type="dxa"/>
            <w:bottom w:w="0" w:type="dxa"/>
            <w:right w:w="0" w:type="dxa"/>
          </w:tblCellMar>
        </w:tblPrEx>
        <w:trPr>
          <w:trHeight w:val="342"/>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w w:val="99"/>
                <w:sz w:val="19"/>
                <w:szCs w:val="19"/>
              </w:rPr>
              <w:t>(10-24)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The Procter &amp; Gamble 2013 Non-Employee Directors' Stock Plan (Incorporated by reference to</w:t>
            </w:r>
          </w:p>
        </w:tc>
      </w:tr>
      <w:tr w:rsidR="00000000">
        <w:tblPrEx>
          <w:tblCellMar>
            <w:top w:w="0" w:type="dxa"/>
            <w:left w:w="0" w:type="dxa"/>
            <w:bottom w:w="0" w:type="dxa"/>
            <w:right w:w="0" w:type="dxa"/>
          </w:tblCellMar>
        </w:tblPrEx>
        <w:trPr>
          <w:trHeight w:val="250"/>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Exhibit 10-3 of the Company's Form 10-Q for the quarter ended December 31, 2013).</w:t>
            </w:r>
          </w:p>
        </w:tc>
      </w:tr>
      <w:tr w:rsidR="00000000">
        <w:tblPrEx>
          <w:tblCellMar>
            <w:top w:w="0" w:type="dxa"/>
            <w:left w:w="0" w:type="dxa"/>
            <w:bottom w:w="0" w:type="dxa"/>
            <w:right w:w="0" w:type="dxa"/>
          </w:tblCellMar>
        </w:tblPrEx>
        <w:trPr>
          <w:trHeight w:val="572"/>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Exhibit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(12)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Computation of Ratio of Earnings to Fixed Charges.</w:t>
            </w:r>
          </w:p>
        </w:tc>
      </w:tr>
      <w:tr w:rsidR="00000000">
        <w:tblPrEx>
          <w:tblCellMar>
            <w:top w:w="0" w:type="dxa"/>
            <w:left w:w="0" w:type="dxa"/>
            <w:bottom w:w="0" w:type="dxa"/>
            <w:right w:w="0" w:type="dxa"/>
          </w:tblCellMar>
        </w:tblPrEx>
        <w:trPr>
          <w:trHeight w:val="382"/>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Exhibit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(21)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Subsidiaries of the Registrant.</w:t>
            </w:r>
          </w:p>
        </w:tc>
      </w:tr>
      <w:tr w:rsidR="00000000">
        <w:tblPrEx>
          <w:tblCellMar>
            <w:top w:w="0" w:type="dxa"/>
            <w:left w:w="0" w:type="dxa"/>
            <w:bottom w:w="0" w:type="dxa"/>
            <w:right w:w="0" w:type="dxa"/>
          </w:tblCellMar>
        </w:tblPrEx>
        <w:trPr>
          <w:trHeight w:val="382"/>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Exhibit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(23)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Consent of Independent Registered Public Accounting Firm.</w:t>
            </w:r>
          </w:p>
        </w:tc>
      </w:tr>
      <w:tr w:rsidR="00000000">
        <w:tblPrEx>
          <w:tblCellMar>
            <w:top w:w="0" w:type="dxa"/>
            <w:left w:w="0" w:type="dxa"/>
            <w:bottom w:w="0" w:type="dxa"/>
            <w:right w:w="0" w:type="dxa"/>
          </w:tblCellMar>
        </w:tblPrEx>
        <w:trPr>
          <w:trHeight w:val="382"/>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Exhibit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(31)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Rule 13a-14(a)/15d-14(a) Certifications.</w:t>
            </w:r>
          </w:p>
        </w:tc>
      </w:tr>
      <w:tr w:rsidR="00000000">
        <w:tblPrEx>
          <w:tblCellMar>
            <w:top w:w="0" w:type="dxa"/>
            <w:left w:w="0" w:type="dxa"/>
            <w:bottom w:w="0" w:type="dxa"/>
            <w:right w:w="0" w:type="dxa"/>
          </w:tblCellMar>
        </w:tblPrEx>
        <w:trPr>
          <w:trHeight w:val="382"/>
        </w:trPr>
        <w:tc>
          <w:tcPr>
            <w:tcW w:w="6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9"/>
                <w:szCs w:val="19"/>
              </w:rPr>
              <w:t>Exhibit</w:t>
            </w:r>
          </w:p>
        </w:tc>
        <w:tc>
          <w:tcPr>
            <w:tcW w:w="9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(32)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Section 1350 Certifications.</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Exhibit  (99-1) -</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Summary of Directors and Officers Insurance Program.</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101.INS (1)</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XBRL Instance Document</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101.SCH (1)</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XBRL Taxonomy Extension Schema Document</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101.CAL (1)</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XBRL Taxonomy Extension Calculation Linkbase Document</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101.DEF (1)</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XBRL Taxonomy Definition Linkbase Document</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101.LAB (1)</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XBRL Taxonomy Extension Label Linkbase Docum</w:t>
            </w:r>
            <w:r>
              <w:rPr>
                <w:rFonts w:ascii="Times New Roman" w:hAnsi="Times New Roman" w:cs="Times New Roman"/>
                <w:sz w:val="19"/>
                <w:szCs w:val="19"/>
              </w:rPr>
              <w:t>ent</w:t>
            </w:r>
          </w:p>
        </w:tc>
      </w:tr>
      <w:tr w:rsidR="00000000">
        <w:tblPrEx>
          <w:tblCellMar>
            <w:top w:w="0" w:type="dxa"/>
            <w:left w:w="0" w:type="dxa"/>
            <w:bottom w:w="0" w:type="dxa"/>
            <w:right w:w="0" w:type="dxa"/>
          </w:tblCellMar>
        </w:tblPrEx>
        <w:trPr>
          <w:trHeight w:val="382"/>
        </w:trPr>
        <w:tc>
          <w:tcPr>
            <w:tcW w:w="1520" w:type="dxa"/>
            <w:gridSpan w:val="2"/>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New Roman" w:hAnsi="Times New Roman" w:cs="Times New Roman"/>
                <w:sz w:val="19"/>
                <w:szCs w:val="19"/>
              </w:rPr>
              <w:t>101.PRE (1)</w:t>
            </w:r>
          </w:p>
        </w:tc>
        <w:tc>
          <w:tcPr>
            <w:tcW w:w="800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9"/>
                <w:szCs w:val="19"/>
              </w:rPr>
              <w:t>XBRL Taxonomy Extension Presentation Linkbase Document</w:t>
            </w: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67" w:right="900" w:bottom="1440" w:left="1100" w:header="720" w:footer="720" w:gutter="0"/>
          <w:cols w:space="720" w:equalWidth="0">
            <w:col w:w="9520"/>
          </w:cols>
          <w:noEndnote/>
        </w:sectPr>
      </w:pPr>
    </w:p>
    <w:p w:rsidR="00000000" w:rsidRDefault="0057438D">
      <w:pPr>
        <w:pStyle w:val="DefaultParagraphFont"/>
        <w:widowControl w:val="0"/>
        <w:numPr>
          <w:ilvl w:val="0"/>
          <w:numId w:val="30"/>
        </w:numPr>
        <w:tabs>
          <w:tab w:val="clear" w:pos="720"/>
          <w:tab w:val="num" w:pos="365"/>
        </w:tabs>
        <w:overflowPunct w:val="0"/>
        <w:autoSpaceDE w:val="0"/>
        <w:autoSpaceDN w:val="0"/>
        <w:adjustRightInd w:val="0"/>
        <w:spacing w:after="0" w:line="240" w:lineRule="auto"/>
        <w:ind w:left="365" w:hanging="365"/>
        <w:jc w:val="both"/>
        <w:rPr>
          <w:rFonts w:ascii="Times New Roman" w:hAnsi="Times New Roman" w:cs="Times New Roman"/>
          <w:sz w:val="17"/>
          <w:szCs w:val="17"/>
        </w:rPr>
      </w:pPr>
      <w:r>
        <w:rPr>
          <w:rFonts w:ascii="Times New Roman" w:hAnsi="Times New Roman" w:cs="Times New Roman"/>
          <w:sz w:val="15"/>
          <w:szCs w:val="15"/>
        </w:rPr>
        <w:t>The Procter &amp; Gamble Company</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17"/>
          <w:szCs w:val="17"/>
        </w:rPr>
      </w:pPr>
    </w:p>
    <w:p w:rsidR="00000000" w:rsidRDefault="0057438D">
      <w:pPr>
        <w:pStyle w:val="DefaultParagraphFont"/>
        <w:widowControl w:val="0"/>
        <w:autoSpaceDE w:val="0"/>
        <w:autoSpaceDN w:val="0"/>
        <w:adjustRightInd w:val="0"/>
        <w:spacing w:after="0" w:line="225" w:lineRule="exact"/>
        <w:rPr>
          <w:rFonts w:ascii="Times New Roman" w:hAnsi="Times New Roman" w:cs="Times New Roman"/>
          <w:sz w:val="17"/>
          <w:szCs w:val="17"/>
        </w:rPr>
      </w:pPr>
    </w:p>
    <w:p w:rsidR="00000000" w:rsidRDefault="0057438D">
      <w:pPr>
        <w:pStyle w:val="DefaultParagraphFont"/>
        <w:widowControl w:val="0"/>
        <w:numPr>
          <w:ilvl w:val="1"/>
          <w:numId w:val="30"/>
        </w:numPr>
        <w:tabs>
          <w:tab w:val="clear" w:pos="1440"/>
          <w:tab w:val="num" w:pos="1965"/>
        </w:tabs>
        <w:overflowPunct w:val="0"/>
        <w:autoSpaceDE w:val="0"/>
        <w:autoSpaceDN w:val="0"/>
        <w:adjustRightInd w:val="0"/>
        <w:spacing w:after="0" w:line="223" w:lineRule="auto"/>
        <w:ind w:left="1965" w:hanging="585"/>
        <w:rPr>
          <w:rFonts w:ascii="Times New Roman" w:hAnsi="Times New Roman" w:cs="Times New Roman"/>
          <w:sz w:val="19"/>
          <w:szCs w:val="19"/>
        </w:rPr>
      </w:pPr>
      <w:r>
        <w:rPr>
          <w:rFonts w:ascii="Times New Roman" w:hAnsi="Times New Roman" w:cs="Times New Roman"/>
          <w:sz w:val="19"/>
          <w:szCs w:val="19"/>
        </w:rPr>
        <w:t>Pursuant to Rule 406T of Regulation S-T, these interactive data files are deemed not filed or part of a registration statement or prospectus for purposes of Sections 11 or 12 of the Securities Act of 1933 or Section 18 of the Securities Exchange Act of 193</w:t>
      </w:r>
      <w:r>
        <w:rPr>
          <w:rFonts w:ascii="Times New Roman" w:hAnsi="Times New Roman" w:cs="Times New Roman"/>
          <w:sz w:val="19"/>
          <w:szCs w:val="19"/>
        </w:rPr>
        <w:t>4 and otherwise are not subject to liability.</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numPr>
          <w:ilvl w:val="0"/>
          <w:numId w:val="31"/>
        </w:numPr>
        <w:tabs>
          <w:tab w:val="clear" w:pos="720"/>
          <w:tab w:val="num" w:pos="1965"/>
        </w:tabs>
        <w:overflowPunct w:val="0"/>
        <w:autoSpaceDE w:val="0"/>
        <w:autoSpaceDN w:val="0"/>
        <w:adjustRightInd w:val="0"/>
        <w:spacing w:after="0" w:line="240" w:lineRule="auto"/>
        <w:ind w:left="1965" w:hanging="514"/>
        <w:jc w:val="both"/>
        <w:rPr>
          <w:rFonts w:ascii="Times New Roman" w:hAnsi="Times New Roman" w:cs="Times New Roman"/>
          <w:sz w:val="19"/>
          <w:szCs w:val="19"/>
        </w:rPr>
      </w:pPr>
      <w:r>
        <w:rPr>
          <w:rFonts w:ascii="Times New Roman" w:hAnsi="Times New Roman" w:cs="Times New Roman"/>
          <w:sz w:val="19"/>
          <w:szCs w:val="19"/>
        </w:rPr>
        <w:t>Compensatory plan or arrangement</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205" w:right="960" w:bottom="1440" w:left="855" w:header="720" w:footer="720" w:gutter="0"/>
          <w:cols w:space="720" w:equalWidth="0">
            <w:col w:w="9705"/>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0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Global Leadership Council</w:t>
      </w: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br w:type="column"/>
      </w:r>
      <w:r>
        <w:rPr>
          <w:rFonts w:ascii="Arial" w:hAnsi="Arial" w:cs="Arial"/>
          <w:sz w:val="14"/>
          <w:szCs w:val="14"/>
        </w:rPr>
        <w:t>The Procter &amp; Gamble Company  87</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4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b/>
          <w:bCs/>
        </w:rPr>
        <w:t>Board of Directors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231" w:right="880" w:bottom="1440" w:left="920" w:header="720" w:footer="720" w:gutter="0"/>
          <w:cols w:num="2" w:space="2480" w:equalWidth="0">
            <w:col w:w="2620" w:space="2480"/>
            <w:col w:w="4620"/>
          </w:cols>
          <w:noEndnote/>
        </w:sectPr>
      </w:pPr>
    </w:p>
    <w:p w:rsidR="00000000" w:rsidRDefault="0057438D">
      <w:pPr>
        <w:pStyle w:val="DefaultParagraphFont"/>
        <w:widowControl w:val="0"/>
        <w:autoSpaceDE w:val="0"/>
        <w:autoSpaceDN w:val="0"/>
        <w:adjustRightInd w:val="0"/>
        <w:spacing w:after="0" w:line="23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A.G. Lafley</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4"/>
          <w:szCs w:val="14"/>
        </w:rPr>
        <w:t>Chairman of the Board, President</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and Chief Executive Officer</w:t>
      </w:r>
    </w:p>
    <w:p w:rsidR="00000000" w:rsidRDefault="0057438D">
      <w:pPr>
        <w:pStyle w:val="DefaultParagraphFont"/>
        <w:widowControl w:val="0"/>
        <w:autoSpaceDE w:val="0"/>
        <w:autoSpaceDN w:val="0"/>
        <w:adjustRightInd w:val="0"/>
        <w:spacing w:after="0" w:line="1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3"/>
          <w:szCs w:val="13"/>
        </w:rPr>
        <w:t>COMPANY OPERATIONS</w:t>
      </w:r>
    </w:p>
    <w:p w:rsidR="00000000" w:rsidRDefault="0057438D">
      <w:pPr>
        <w:pStyle w:val="DefaultParagraphFont"/>
        <w:widowControl w:val="0"/>
        <w:autoSpaceDE w:val="0"/>
        <w:autoSpaceDN w:val="0"/>
        <w:adjustRightInd w:val="0"/>
        <w:spacing w:after="0" w:line="229" w:lineRule="auto"/>
        <w:rPr>
          <w:rFonts w:ascii="Times New Roman" w:hAnsi="Times New Roman" w:cs="Times New Roman"/>
          <w:sz w:val="24"/>
          <w:szCs w:val="24"/>
        </w:rPr>
      </w:pPr>
      <w:r>
        <w:rPr>
          <w:rFonts w:ascii="Arial" w:hAnsi="Arial" w:cs="Arial"/>
          <w:sz w:val="15"/>
          <w:szCs w:val="15"/>
        </w:rPr>
        <w:t>Werner Geissler</w:t>
      </w:r>
    </w:p>
    <w:p w:rsidR="00000000" w:rsidRDefault="0057438D">
      <w:pPr>
        <w:pStyle w:val="DefaultParagraphFont"/>
        <w:widowControl w:val="0"/>
        <w:overflowPunct w:val="0"/>
        <w:autoSpaceDE w:val="0"/>
        <w:autoSpaceDN w:val="0"/>
        <w:adjustRightInd w:val="0"/>
        <w:spacing w:after="0" w:line="281" w:lineRule="auto"/>
        <w:ind w:right="580"/>
        <w:rPr>
          <w:rFonts w:ascii="Times New Roman" w:hAnsi="Times New Roman" w:cs="Times New Roman"/>
          <w:sz w:val="24"/>
          <w:szCs w:val="24"/>
        </w:rPr>
      </w:pPr>
      <w:r>
        <w:rPr>
          <w:rFonts w:ascii="Arial" w:hAnsi="Arial" w:cs="Arial"/>
          <w:sz w:val="13"/>
          <w:szCs w:val="13"/>
        </w:rPr>
        <w:t>Vice Chairman and Advisor to the Chairman and Chief Executive Officer</w:t>
      </w:r>
    </w:p>
    <w:p w:rsidR="00000000" w:rsidRDefault="0057438D">
      <w:pPr>
        <w:pStyle w:val="DefaultParagraphFont"/>
        <w:widowControl w:val="0"/>
        <w:autoSpaceDE w:val="0"/>
        <w:autoSpaceDN w:val="0"/>
        <w:adjustRightInd w:val="0"/>
        <w:spacing w:after="0" w:line="2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Mark F. Biegger</w:t>
      </w:r>
    </w:p>
    <w:p w:rsidR="00000000" w:rsidRDefault="0057438D">
      <w:pPr>
        <w:pStyle w:val="DefaultParagraphFont"/>
        <w:widowControl w:val="0"/>
        <w:autoSpaceDE w:val="0"/>
        <w:autoSpaceDN w:val="0"/>
        <w:adjustRightInd w:val="0"/>
        <w:spacing w:after="0" w:line="237" w:lineRule="auto"/>
        <w:rPr>
          <w:rFonts w:ascii="Times New Roman" w:hAnsi="Times New Roman" w:cs="Times New Roman"/>
          <w:sz w:val="24"/>
          <w:szCs w:val="24"/>
        </w:rPr>
      </w:pPr>
      <w:r>
        <w:rPr>
          <w:rFonts w:ascii="Arial" w:hAnsi="Arial" w:cs="Arial"/>
          <w:sz w:val="15"/>
          <w:szCs w:val="15"/>
        </w:rPr>
        <w:t>Chief Human Resources Officer</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Linda Clement-Holmes</w:t>
      </w:r>
    </w:p>
    <w:p w:rsidR="00000000" w:rsidRDefault="0057438D">
      <w:pPr>
        <w:pStyle w:val="DefaultParagraphFont"/>
        <w:widowControl w:val="0"/>
        <w:autoSpaceDE w:val="0"/>
        <w:autoSpaceDN w:val="0"/>
        <w:adjustRightInd w:val="0"/>
        <w:spacing w:after="0" w:line="230" w:lineRule="auto"/>
        <w:rPr>
          <w:rFonts w:ascii="Times New Roman" w:hAnsi="Times New Roman" w:cs="Times New Roman"/>
          <w:sz w:val="24"/>
          <w:szCs w:val="24"/>
        </w:rPr>
      </w:pPr>
      <w:r>
        <w:rPr>
          <w:rFonts w:ascii="Arial" w:hAnsi="Arial" w:cs="Arial"/>
          <w:sz w:val="15"/>
          <w:szCs w:val="15"/>
        </w:rPr>
        <w:t>Global IDS (Information &amp;</w:t>
      </w:r>
    </w:p>
    <w:p w:rsidR="00000000" w:rsidRDefault="0057438D">
      <w:pPr>
        <w:pStyle w:val="DefaultParagraphFont"/>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sz w:val="15"/>
          <w:szCs w:val="15"/>
        </w:rPr>
        <w:t>Decision Solutions) Officer</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Kathleen B. Fish</w:t>
      </w:r>
    </w:p>
    <w:p w:rsidR="00000000" w:rsidRDefault="0057438D">
      <w:pPr>
        <w:pStyle w:val="DefaultParagraphFont"/>
        <w:widowControl w:val="0"/>
        <w:autoSpaceDE w:val="0"/>
        <w:autoSpaceDN w:val="0"/>
        <w:adjustRightInd w:val="0"/>
        <w:spacing w:after="0" w:line="237" w:lineRule="auto"/>
        <w:rPr>
          <w:rFonts w:ascii="Times New Roman" w:hAnsi="Times New Roman" w:cs="Times New Roman"/>
          <w:sz w:val="24"/>
          <w:szCs w:val="24"/>
        </w:rPr>
      </w:pPr>
      <w:r>
        <w:rPr>
          <w:rFonts w:ascii="Arial" w:hAnsi="Arial" w:cs="Arial"/>
          <w:sz w:val="15"/>
          <w:szCs w:val="15"/>
        </w:rPr>
        <w:t>Chief Technology Officer</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Deborah P. Majoras</w:t>
      </w:r>
    </w:p>
    <w:p w:rsidR="00000000" w:rsidRDefault="0057438D">
      <w:pPr>
        <w:pStyle w:val="DefaultParagraphFont"/>
        <w:widowControl w:val="0"/>
        <w:autoSpaceDE w:val="0"/>
        <w:autoSpaceDN w:val="0"/>
        <w:adjustRightInd w:val="0"/>
        <w:spacing w:after="0" w:line="237" w:lineRule="auto"/>
        <w:rPr>
          <w:rFonts w:ascii="Times New Roman" w:hAnsi="Times New Roman" w:cs="Times New Roman"/>
          <w:sz w:val="24"/>
          <w:szCs w:val="24"/>
        </w:rPr>
      </w:pPr>
      <w:r>
        <w:rPr>
          <w:rFonts w:ascii="Arial" w:hAnsi="Arial" w:cs="Arial"/>
          <w:sz w:val="15"/>
          <w:szCs w:val="15"/>
        </w:rPr>
        <w:t>Chief Legal Officer and Secretary</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Jon R. Moeller</w:t>
      </w:r>
    </w:p>
    <w:p w:rsidR="00000000" w:rsidRDefault="0057438D">
      <w:pPr>
        <w:pStyle w:val="DefaultParagraphFont"/>
        <w:widowControl w:val="0"/>
        <w:autoSpaceDE w:val="0"/>
        <w:autoSpaceDN w:val="0"/>
        <w:adjustRightInd w:val="0"/>
        <w:spacing w:after="0" w:line="237" w:lineRule="auto"/>
        <w:rPr>
          <w:rFonts w:ascii="Times New Roman" w:hAnsi="Times New Roman" w:cs="Times New Roman"/>
          <w:sz w:val="24"/>
          <w:szCs w:val="24"/>
        </w:rPr>
      </w:pPr>
      <w:r>
        <w:rPr>
          <w:rFonts w:ascii="Arial" w:hAnsi="Arial" w:cs="Arial"/>
          <w:sz w:val="15"/>
          <w:szCs w:val="15"/>
        </w:rPr>
        <w:t>Chief Financial Officer</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Filippo Passerini</w:t>
      </w:r>
    </w:p>
    <w:p w:rsidR="00000000" w:rsidRDefault="0057438D">
      <w:pPr>
        <w:pStyle w:val="DefaultParagraphFont"/>
        <w:widowControl w:val="0"/>
        <w:overflowPunct w:val="0"/>
        <w:autoSpaceDE w:val="0"/>
        <w:autoSpaceDN w:val="0"/>
        <w:adjustRightInd w:val="0"/>
        <w:spacing w:after="0" w:line="297" w:lineRule="auto"/>
        <w:rPr>
          <w:rFonts w:ascii="Times New Roman" w:hAnsi="Times New Roman" w:cs="Times New Roman"/>
          <w:sz w:val="24"/>
          <w:szCs w:val="24"/>
        </w:rPr>
      </w:pPr>
      <w:r>
        <w:rPr>
          <w:rFonts w:ascii="Arial" w:hAnsi="Arial" w:cs="Arial"/>
          <w:sz w:val="13"/>
          <w:szCs w:val="13"/>
        </w:rPr>
        <w:t>Group President –</w:t>
      </w:r>
      <w:r>
        <w:rPr>
          <w:rFonts w:ascii="Arial" w:hAnsi="Arial" w:cs="Arial"/>
          <w:sz w:val="13"/>
          <w:szCs w:val="13"/>
        </w:rPr>
        <w:t xml:space="preserve"> Global Business Services and Chief Information Officer</w:t>
      </w:r>
    </w:p>
    <w:p w:rsidR="00000000" w:rsidRDefault="0057438D">
      <w:pPr>
        <w:pStyle w:val="DefaultParagraphFont"/>
        <w:widowControl w:val="0"/>
        <w:autoSpaceDE w:val="0"/>
        <w:autoSpaceDN w:val="0"/>
        <w:adjustRightInd w:val="0"/>
        <w:spacing w:after="0" w:line="1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Marc S. Pritchard</w:t>
      </w:r>
    </w:p>
    <w:p w:rsidR="00000000" w:rsidRDefault="0057438D">
      <w:pPr>
        <w:pStyle w:val="DefaultParagraphFont"/>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sz w:val="15"/>
          <w:szCs w:val="15"/>
        </w:rPr>
        <w:t>Global Brand Building Officer</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Yannis Skoufalos</w:t>
      </w:r>
    </w:p>
    <w:p w:rsidR="00000000" w:rsidRDefault="0057438D">
      <w:pPr>
        <w:pStyle w:val="DefaultParagraphFont"/>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sz w:val="15"/>
          <w:szCs w:val="15"/>
        </w:rPr>
        <w:t>Global Product Supply Officer</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Carolyn M. Tastad</w:t>
      </w:r>
    </w:p>
    <w:p w:rsidR="00000000" w:rsidRDefault="0057438D">
      <w:pPr>
        <w:pStyle w:val="DefaultParagraphFont"/>
        <w:widowControl w:val="0"/>
        <w:overflowPunct w:val="0"/>
        <w:autoSpaceDE w:val="0"/>
        <w:autoSpaceDN w:val="0"/>
        <w:adjustRightInd w:val="0"/>
        <w:spacing w:after="0" w:line="297" w:lineRule="auto"/>
        <w:ind w:right="660"/>
        <w:rPr>
          <w:rFonts w:ascii="Times New Roman" w:hAnsi="Times New Roman" w:cs="Times New Roman"/>
          <w:sz w:val="24"/>
          <w:szCs w:val="24"/>
        </w:rPr>
      </w:pPr>
      <w:r>
        <w:rPr>
          <w:rFonts w:ascii="Arial" w:hAnsi="Arial" w:cs="Arial"/>
          <w:sz w:val="13"/>
          <w:szCs w:val="13"/>
        </w:rPr>
        <w:t>Global Customer Business Development Officer</w:t>
      </w:r>
    </w:p>
    <w:p w:rsidR="00000000" w:rsidRDefault="0057438D">
      <w:pPr>
        <w:pStyle w:val="DefaultParagraphFont"/>
        <w:widowControl w:val="0"/>
        <w:autoSpaceDE w:val="0"/>
        <w:autoSpaceDN w:val="0"/>
        <w:adjustRightInd w:val="0"/>
        <w:spacing w:after="0" w:line="1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Jorge Uribe</w:t>
      </w:r>
    </w:p>
    <w:p w:rsidR="00000000" w:rsidRDefault="0057438D">
      <w:pPr>
        <w:pStyle w:val="DefaultParagraphFont"/>
        <w:widowControl w:val="0"/>
        <w:overflowPunct w:val="0"/>
        <w:autoSpaceDE w:val="0"/>
        <w:autoSpaceDN w:val="0"/>
        <w:adjustRightInd w:val="0"/>
        <w:spacing w:after="0" w:line="297" w:lineRule="auto"/>
        <w:ind w:right="120"/>
        <w:rPr>
          <w:rFonts w:ascii="Times New Roman" w:hAnsi="Times New Roman" w:cs="Times New Roman"/>
          <w:sz w:val="24"/>
          <w:szCs w:val="24"/>
        </w:rPr>
      </w:pPr>
      <w:r>
        <w:rPr>
          <w:rFonts w:ascii="Arial" w:hAnsi="Arial" w:cs="Arial"/>
          <w:sz w:val="13"/>
          <w:szCs w:val="13"/>
        </w:rPr>
        <w:t>Global Productivity &amp; Organization Transformation Officer</w:t>
      </w:r>
    </w:p>
    <w:p w:rsidR="00000000" w:rsidRDefault="0057438D">
      <w:pPr>
        <w:pStyle w:val="DefaultParagraphFont"/>
        <w:widowControl w:val="0"/>
        <w:autoSpaceDE w:val="0"/>
        <w:autoSpaceDN w:val="0"/>
        <w:adjustRightInd w:val="0"/>
        <w:spacing w:after="0" w:line="1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Philip Duncan</w:t>
      </w:r>
    </w:p>
    <w:p w:rsidR="00000000" w:rsidRDefault="0057438D">
      <w:pPr>
        <w:pStyle w:val="DefaultParagraphFont"/>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sz w:val="15"/>
          <w:szCs w:val="15"/>
        </w:rPr>
        <w:t>Global Design Officer</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William Gipson</w:t>
      </w:r>
    </w:p>
    <w:p w:rsidR="00000000" w:rsidRDefault="0057438D">
      <w:pPr>
        <w:pStyle w:val="DefaultParagraphFont"/>
        <w:widowControl w:val="0"/>
        <w:overflowPunct w:val="0"/>
        <w:autoSpaceDE w:val="0"/>
        <w:autoSpaceDN w:val="0"/>
        <w:adjustRightInd w:val="0"/>
        <w:spacing w:after="0" w:line="275" w:lineRule="auto"/>
        <w:ind w:right="220"/>
        <w:rPr>
          <w:rFonts w:ascii="Times New Roman" w:hAnsi="Times New Roman" w:cs="Times New Roman"/>
          <w:sz w:val="24"/>
          <w:szCs w:val="24"/>
        </w:rPr>
      </w:pPr>
      <w:r>
        <w:rPr>
          <w:rFonts w:ascii="Arial" w:hAnsi="Arial" w:cs="Arial"/>
          <w:sz w:val="13"/>
          <w:szCs w:val="13"/>
        </w:rPr>
        <w:t>Senior Vice President – Global Diversity and Research &amp; Development, Global Hair Care and Color and Salon Professional</w:t>
      </w:r>
    </w:p>
    <w:p w:rsidR="00000000" w:rsidRDefault="0057438D">
      <w:pPr>
        <w:pStyle w:val="DefaultParagraphFont"/>
        <w:widowControl w:val="0"/>
        <w:autoSpaceDE w:val="0"/>
        <w:autoSpaceDN w:val="0"/>
        <w:adjustRightInd w:val="0"/>
        <w:spacing w:after="0" w:line="2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Julio N. Nemeth</w:t>
      </w:r>
    </w:p>
    <w:p w:rsidR="00000000" w:rsidRDefault="0057438D">
      <w:pPr>
        <w:pStyle w:val="DefaultParagraphFont"/>
        <w:widowControl w:val="0"/>
        <w:overflowPunct w:val="0"/>
        <w:autoSpaceDE w:val="0"/>
        <w:autoSpaceDN w:val="0"/>
        <w:adjustRightInd w:val="0"/>
        <w:spacing w:after="0" w:line="297" w:lineRule="auto"/>
        <w:ind w:right="360"/>
        <w:rPr>
          <w:rFonts w:ascii="Times New Roman" w:hAnsi="Times New Roman" w:cs="Times New Roman"/>
          <w:sz w:val="24"/>
          <w:szCs w:val="24"/>
        </w:rPr>
      </w:pPr>
      <w:r>
        <w:rPr>
          <w:rFonts w:ascii="Arial" w:hAnsi="Arial" w:cs="Arial"/>
          <w:sz w:val="13"/>
          <w:szCs w:val="13"/>
        </w:rPr>
        <w:t>Senior Vice President – Product Supply, Global Operations</w:t>
      </w:r>
    </w:p>
    <w:p w:rsidR="00000000" w:rsidRDefault="0057438D">
      <w:pPr>
        <w:pStyle w:val="DefaultParagraphFont"/>
        <w:widowControl w:val="0"/>
        <w:autoSpaceDE w:val="0"/>
        <w:autoSpaceDN w:val="0"/>
        <w:adjustRightInd w:val="0"/>
        <w:spacing w:after="0" w:line="1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Valarie L. Sheppard</w:t>
      </w:r>
    </w:p>
    <w:p w:rsidR="00000000" w:rsidRDefault="0057438D">
      <w:pPr>
        <w:pStyle w:val="DefaultParagraphFont"/>
        <w:widowControl w:val="0"/>
        <w:overflowPunct w:val="0"/>
        <w:autoSpaceDE w:val="0"/>
        <w:autoSpaceDN w:val="0"/>
        <w:adjustRightInd w:val="0"/>
        <w:spacing w:after="0" w:line="297" w:lineRule="auto"/>
        <w:ind w:right="640"/>
        <w:rPr>
          <w:rFonts w:ascii="Times New Roman" w:hAnsi="Times New Roman" w:cs="Times New Roman"/>
          <w:sz w:val="24"/>
          <w:szCs w:val="24"/>
        </w:rPr>
      </w:pPr>
      <w:r>
        <w:rPr>
          <w:rFonts w:ascii="Arial" w:hAnsi="Arial" w:cs="Arial"/>
          <w:sz w:val="13"/>
          <w:szCs w:val="13"/>
        </w:rPr>
        <w:t>Senior Vice President – Comptroller and Treasurer</w:t>
      </w:r>
    </w:p>
    <w:p w:rsidR="00000000" w:rsidRDefault="0057438D">
      <w:pPr>
        <w:pStyle w:val="DefaultParagraphFont"/>
        <w:widowControl w:val="0"/>
        <w:autoSpaceDE w:val="0"/>
        <w:autoSpaceDN w:val="0"/>
        <w:adjustRightInd w:val="0"/>
        <w:spacing w:after="0" w:line="1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Kirti V. Singh</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9" w:lineRule="auto"/>
        <w:ind w:right="240"/>
        <w:rPr>
          <w:rFonts w:ascii="Times New Roman" w:hAnsi="Times New Roman" w:cs="Times New Roman"/>
          <w:sz w:val="24"/>
          <w:szCs w:val="24"/>
        </w:rPr>
      </w:pPr>
      <w:r>
        <w:rPr>
          <w:rFonts w:ascii="Arial" w:hAnsi="Arial" w:cs="Arial"/>
          <w:sz w:val="14"/>
          <w:szCs w:val="14"/>
        </w:rPr>
        <w:t>Vice President, Global Consumer &amp; Market Knowledge</w:t>
      </w:r>
    </w:p>
    <w:p w:rsidR="00000000" w:rsidRDefault="0057438D">
      <w:pPr>
        <w:pStyle w:val="DefaultParagraphFont"/>
        <w:widowControl w:val="0"/>
        <w:autoSpaceDE w:val="0"/>
        <w:autoSpaceDN w:val="0"/>
        <w:adjustRightInd w:val="0"/>
        <w:spacing w:after="0" w:line="3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Nancy K. Swanson</w:t>
      </w:r>
    </w:p>
    <w:p w:rsidR="00000000" w:rsidRDefault="0057438D">
      <w:pPr>
        <w:pStyle w:val="DefaultParagraphFont"/>
        <w:widowControl w:val="0"/>
        <w:autoSpaceDE w:val="0"/>
        <w:autoSpaceDN w:val="0"/>
        <w:adjustRightInd w:val="0"/>
        <w:spacing w:after="0" w:line="237" w:lineRule="auto"/>
        <w:rPr>
          <w:rFonts w:ascii="Times New Roman" w:hAnsi="Times New Roman" w:cs="Times New Roman"/>
          <w:sz w:val="24"/>
          <w:szCs w:val="24"/>
        </w:rPr>
      </w:pPr>
      <w:r>
        <w:rPr>
          <w:rFonts w:ascii="Arial" w:hAnsi="Arial" w:cs="Arial"/>
          <w:sz w:val="15"/>
          <w:szCs w:val="15"/>
        </w:rPr>
        <w:t>Vice President – Corporate</w:t>
      </w:r>
    </w:p>
    <w:p w:rsidR="00000000" w:rsidRDefault="0057438D">
      <w:pPr>
        <w:pStyle w:val="DefaultParagraphFont"/>
        <w:widowControl w:val="0"/>
        <w:autoSpaceDE w:val="0"/>
        <w:autoSpaceDN w:val="0"/>
        <w:adjustRightInd w:val="0"/>
        <w:spacing w:after="0" w:line="1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b/>
          <w:bCs/>
          <w:sz w:val="13"/>
          <w:szCs w:val="13"/>
        </w:rPr>
        <w:t>SELLING &amp; MARKET OPERATIONS</w:t>
      </w:r>
    </w:p>
    <w:p w:rsidR="00000000" w:rsidRDefault="0057438D">
      <w:pPr>
        <w:pStyle w:val="DefaultParagraphFont"/>
        <w:widowControl w:val="0"/>
        <w:autoSpaceDE w:val="0"/>
        <w:autoSpaceDN w:val="0"/>
        <w:adjustRightInd w:val="0"/>
        <w:spacing w:after="0" w:line="230" w:lineRule="auto"/>
        <w:rPr>
          <w:rFonts w:ascii="Times New Roman" w:hAnsi="Times New Roman" w:cs="Times New Roman"/>
          <w:sz w:val="24"/>
          <w:szCs w:val="24"/>
        </w:rPr>
      </w:pPr>
      <w:r>
        <w:rPr>
          <w:rFonts w:ascii="Arial" w:hAnsi="Arial" w:cs="Arial"/>
          <w:sz w:val="15"/>
          <w:szCs w:val="15"/>
        </w:rPr>
        <w:t>Tarek N. Farahat</w:t>
      </w:r>
    </w:p>
    <w:p w:rsidR="00000000" w:rsidRDefault="0057438D">
      <w:pPr>
        <w:pStyle w:val="DefaultParagraphFont"/>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sz w:val="15"/>
          <w:szCs w:val="15"/>
        </w:rPr>
        <w:t>President – Latin America</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Mary Lynn Ferguson-McHugh</w:t>
      </w:r>
    </w:p>
    <w:p w:rsidR="00000000" w:rsidRDefault="0057438D">
      <w:pPr>
        <w:pStyle w:val="DefaultParagraphFont"/>
        <w:widowControl w:val="0"/>
        <w:autoSpaceDE w:val="0"/>
        <w:autoSpaceDN w:val="0"/>
        <w:adjustRightInd w:val="0"/>
        <w:spacing w:after="0" w:line="237" w:lineRule="auto"/>
        <w:rPr>
          <w:rFonts w:ascii="Times New Roman" w:hAnsi="Times New Roman" w:cs="Times New Roman"/>
          <w:sz w:val="24"/>
          <w:szCs w:val="24"/>
        </w:rPr>
      </w:pPr>
      <w:r>
        <w:rPr>
          <w:rFonts w:ascii="Arial" w:hAnsi="Arial" w:cs="Arial"/>
          <w:sz w:val="15"/>
          <w:szCs w:val="15"/>
        </w:rPr>
        <w:t>Group President – Europe</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Melanie Healey</w:t>
      </w:r>
    </w:p>
    <w:p w:rsidR="00000000" w:rsidRDefault="0057438D">
      <w:pPr>
        <w:pStyle w:val="DefaultParagraphFont"/>
        <w:widowControl w:val="0"/>
        <w:autoSpaceDE w:val="0"/>
        <w:autoSpaceDN w:val="0"/>
        <w:adjustRightInd w:val="0"/>
        <w:spacing w:after="0" w:line="237" w:lineRule="auto"/>
        <w:rPr>
          <w:rFonts w:ascii="Times New Roman" w:hAnsi="Times New Roman" w:cs="Times New Roman"/>
          <w:sz w:val="24"/>
          <w:szCs w:val="24"/>
        </w:rPr>
      </w:pPr>
      <w:r>
        <w:rPr>
          <w:rFonts w:ascii="Arial" w:hAnsi="Arial" w:cs="Arial"/>
          <w:sz w:val="15"/>
          <w:szCs w:val="15"/>
        </w:rPr>
        <w:t>Group President – North America</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Hatsunori Kiriyama</w:t>
      </w:r>
    </w:p>
    <w:p w:rsidR="00000000" w:rsidRDefault="0057438D">
      <w:pPr>
        <w:pStyle w:val="DefaultParagraphFont"/>
        <w:widowControl w:val="0"/>
        <w:autoSpaceDE w:val="0"/>
        <w:autoSpaceDN w:val="0"/>
        <w:adjustRightInd w:val="0"/>
        <w:spacing w:after="0" w:line="237" w:lineRule="auto"/>
        <w:rPr>
          <w:rFonts w:ascii="Times New Roman" w:hAnsi="Times New Roman" w:cs="Times New Roman"/>
          <w:sz w:val="24"/>
          <w:szCs w:val="24"/>
        </w:rPr>
      </w:pPr>
      <w:r>
        <w:rPr>
          <w:rFonts w:ascii="Arial" w:hAnsi="Arial" w:cs="Arial"/>
          <w:sz w:val="15"/>
          <w:szCs w:val="15"/>
        </w:rPr>
        <w:t>President – Asia</w:t>
      </w:r>
    </w:p>
    <w:p w:rsidR="00000000" w:rsidRDefault="0057438D">
      <w:pPr>
        <w:pStyle w:val="DefaultParagraphFont"/>
        <w:widowControl w:val="0"/>
        <w:autoSpaceDE w:val="0"/>
        <w:autoSpaceDN w:val="0"/>
        <w:adjustRightInd w:val="0"/>
        <w:spacing w:after="0" w:line="235"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Jeffrey K. Schomburger</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4"/>
          <w:szCs w:val="14"/>
        </w:rPr>
        <w:t>President –</w:t>
      </w:r>
      <w:r>
        <w:rPr>
          <w:rFonts w:ascii="Arial" w:hAnsi="Arial" w:cs="Arial"/>
          <w:sz w:val="14"/>
          <w:szCs w:val="14"/>
        </w:rPr>
        <w:t xml:space="preserve"> Global Walmart Team</w:t>
      </w:r>
    </w:p>
    <w:p w:rsidR="00000000" w:rsidRDefault="0057438D">
      <w:pPr>
        <w:pStyle w:val="DefaultParagraphFont"/>
        <w:widowControl w:val="0"/>
        <w:autoSpaceDE w:val="0"/>
        <w:autoSpaceDN w:val="0"/>
        <w:adjustRightInd w:val="0"/>
        <w:spacing w:after="0" w:line="5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Shannan Stevenson</w:t>
      </w:r>
    </w:p>
    <w:p w:rsidR="00000000" w:rsidRDefault="0057438D">
      <w:pPr>
        <w:pStyle w:val="DefaultParagraphFont"/>
        <w:widowControl w:val="0"/>
        <w:autoSpaceDE w:val="0"/>
        <w:autoSpaceDN w:val="0"/>
        <w:adjustRightInd w:val="0"/>
        <w:spacing w:after="0" w:line="237" w:lineRule="auto"/>
        <w:rPr>
          <w:rFonts w:ascii="Times New Roman" w:hAnsi="Times New Roman" w:cs="Times New Roman"/>
          <w:sz w:val="24"/>
          <w:szCs w:val="24"/>
        </w:rPr>
      </w:pPr>
      <w:r>
        <w:rPr>
          <w:rFonts w:ascii="Arial" w:hAnsi="Arial" w:cs="Arial"/>
          <w:sz w:val="15"/>
          <w:szCs w:val="15"/>
        </w:rPr>
        <w:t>President – Greater China</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Alessandro Tosolini</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2" w:lineRule="auto"/>
        <w:ind w:right="440"/>
        <w:rPr>
          <w:rFonts w:ascii="Times New Roman" w:hAnsi="Times New Roman" w:cs="Times New Roman"/>
          <w:sz w:val="24"/>
          <w:szCs w:val="24"/>
        </w:rPr>
      </w:pPr>
      <w:r>
        <w:rPr>
          <w:rFonts w:ascii="Arial" w:hAnsi="Arial" w:cs="Arial"/>
          <w:sz w:val="15"/>
          <w:szCs w:val="15"/>
        </w:rPr>
        <w:t>Senior Vice President – Global eBusiness</w:t>
      </w:r>
    </w:p>
    <w:p w:rsidR="00000000" w:rsidRDefault="0057438D">
      <w:pPr>
        <w:pStyle w:val="DefaultParagraphFont"/>
        <w:widowControl w:val="0"/>
        <w:autoSpaceDE w:val="0"/>
        <w:autoSpaceDN w:val="0"/>
        <w:adjustRightInd w:val="0"/>
        <w:spacing w:after="0" w:line="11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1"/>
          <w:szCs w:val="11"/>
        </w:rPr>
        <w:t>BABY, FEMININE AND FAMILY CARE</w:t>
      </w:r>
    </w:p>
    <w:p w:rsidR="00000000" w:rsidRDefault="0057438D">
      <w:pPr>
        <w:pStyle w:val="DefaultParagraphFont"/>
        <w:widowControl w:val="0"/>
        <w:autoSpaceDE w:val="0"/>
        <w:autoSpaceDN w:val="0"/>
        <w:adjustRightInd w:val="0"/>
        <w:spacing w:after="0" w:line="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Martin Riant</w:t>
      </w:r>
    </w:p>
    <w:p w:rsidR="00000000" w:rsidRDefault="0057438D">
      <w:pPr>
        <w:pStyle w:val="DefaultParagraphFont"/>
        <w:widowControl w:val="0"/>
        <w:autoSpaceDE w:val="0"/>
        <w:autoSpaceDN w:val="0"/>
        <w:adjustRightInd w:val="0"/>
        <w:spacing w:after="0" w:line="230" w:lineRule="auto"/>
        <w:rPr>
          <w:rFonts w:ascii="Times New Roman" w:hAnsi="Times New Roman" w:cs="Times New Roman"/>
          <w:sz w:val="24"/>
          <w:szCs w:val="24"/>
        </w:rPr>
      </w:pPr>
      <w:r>
        <w:rPr>
          <w:rFonts w:ascii="Arial" w:hAnsi="Arial" w:cs="Arial"/>
          <w:sz w:val="15"/>
          <w:szCs w:val="15"/>
        </w:rPr>
        <w:t>Group President – Global Baby,</w:t>
      </w:r>
    </w:p>
    <w:p w:rsidR="00000000" w:rsidRDefault="0057438D">
      <w:pPr>
        <w:pStyle w:val="DefaultParagraphFont"/>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sz w:val="15"/>
          <w:szCs w:val="15"/>
        </w:rPr>
        <w:t>Feminine and Family Care</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Steven D. Bishop</w:t>
      </w:r>
    </w:p>
    <w:p w:rsidR="00000000" w:rsidRDefault="0057438D">
      <w:pPr>
        <w:pStyle w:val="DefaultParagraphFont"/>
        <w:widowControl w:val="0"/>
        <w:autoSpaceDE w:val="0"/>
        <w:autoSpaceDN w:val="0"/>
        <w:adjustRightInd w:val="0"/>
        <w:spacing w:after="0" w:line="230" w:lineRule="auto"/>
        <w:rPr>
          <w:rFonts w:ascii="Times New Roman" w:hAnsi="Times New Roman" w:cs="Times New Roman"/>
          <w:sz w:val="24"/>
          <w:szCs w:val="24"/>
        </w:rPr>
      </w:pPr>
      <w:r>
        <w:rPr>
          <w:rFonts w:ascii="Arial" w:hAnsi="Arial" w:cs="Arial"/>
          <w:sz w:val="15"/>
          <w:szCs w:val="15"/>
        </w:rPr>
        <w:t>Group President – Global</w:t>
      </w:r>
    </w:p>
    <w:p w:rsidR="00000000" w:rsidRDefault="0057438D">
      <w:pPr>
        <w:pStyle w:val="DefaultParagraphFont"/>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sz w:val="15"/>
          <w:szCs w:val="15"/>
        </w:rPr>
        <w:t>Feminine and Family Care</w:t>
      </w:r>
    </w:p>
    <w:p w:rsidR="00000000" w:rsidRDefault="0057438D">
      <w:pPr>
        <w:pStyle w:val="DefaultParagraphFont"/>
        <w:widowControl w:val="0"/>
        <w:autoSpaceDE w:val="0"/>
        <w:autoSpaceDN w:val="0"/>
        <w:adjustRightInd w:val="0"/>
        <w:spacing w:after="0" w:line="1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3"/>
          <w:szCs w:val="13"/>
        </w:rPr>
        <w:t>BEAUTY</w:t>
      </w:r>
    </w:p>
    <w:p w:rsidR="00000000" w:rsidRDefault="0057438D">
      <w:pPr>
        <w:pStyle w:val="DefaultParagraphFont"/>
        <w:widowControl w:val="0"/>
        <w:autoSpaceDE w:val="0"/>
        <w:autoSpaceDN w:val="0"/>
        <w:adjustRightInd w:val="0"/>
        <w:spacing w:after="0" w:line="229" w:lineRule="auto"/>
        <w:rPr>
          <w:rFonts w:ascii="Times New Roman" w:hAnsi="Times New Roman" w:cs="Times New Roman"/>
          <w:sz w:val="24"/>
          <w:szCs w:val="24"/>
        </w:rPr>
      </w:pPr>
      <w:r>
        <w:rPr>
          <w:rFonts w:ascii="Arial" w:hAnsi="Arial" w:cs="Arial"/>
          <w:sz w:val="15"/>
          <w:szCs w:val="15"/>
        </w:rPr>
        <w:t>Deborah A. Henretta</w:t>
      </w:r>
    </w:p>
    <w:p w:rsidR="00000000" w:rsidRDefault="0057438D">
      <w:pPr>
        <w:pStyle w:val="DefaultParagraphFont"/>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sz w:val="15"/>
          <w:szCs w:val="15"/>
        </w:rPr>
        <w:t>Group President – Global Beauty</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Joanne Crewes</w:t>
      </w:r>
    </w:p>
    <w:p w:rsidR="00000000" w:rsidRDefault="0057438D">
      <w:pPr>
        <w:pStyle w:val="DefaultParagraphFont"/>
        <w:widowControl w:val="0"/>
        <w:autoSpaceDE w:val="0"/>
        <w:autoSpaceDN w:val="0"/>
        <w:adjustRightInd w:val="0"/>
        <w:spacing w:after="0" w:line="237" w:lineRule="auto"/>
        <w:rPr>
          <w:rFonts w:ascii="Times New Roman" w:hAnsi="Times New Roman" w:cs="Times New Roman"/>
          <w:sz w:val="24"/>
          <w:szCs w:val="24"/>
        </w:rPr>
      </w:pPr>
      <w:r>
        <w:rPr>
          <w:rFonts w:ascii="Arial" w:hAnsi="Arial" w:cs="Arial"/>
          <w:sz w:val="15"/>
          <w:szCs w:val="15"/>
        </w:rPr>
        <w:t>President – Global Prestige</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Colleen E. Jay</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4"/>
          <w:szCs w:val="14"/>
        </w:rPr>
        <w:t>President – Global Retail Hair Care</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and Color</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Adil Mehboob-Khan</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President –</w:t>
      </w:r>
      <w:r>
        <w:rPr>
          <w:rFonts w:ascii="Arial" w:hAnsi="Arial" w:cs="Arial"/>
          <w:sz w:val="13"/>
          <w:szCs w:val="13"/>
        </w:rPr>
        <w:t xml:space="preserve"> Global Salon Professional</w:t>
      </w:r>
    </w:p>
    <w:p w:rsidR="00000000" w:rsidRDefault="0057438D">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b/>
          <w:bCs/>
          <w:sz w:val="13"/>
          <w:szCs w:val="13"/>
        </w:rPr>
        <w:t>FABRIC AND HOME CARE</w:t>
      </w:r>
    </w:p>
    <w:p w:rsidR="00000000" w:rsidRDefault="0057438D">
      <w:pPr>
        <w:pStyle w:val="DefaultParagraphFont"/>
        <w:widowControl w:val="0"/>
        <w:autoSpaceDE w:val="0"/>
        <w:autoSpaceDN w:val="0"/>
        <w:adjustRightInd w:val="0"/>
        <w:spacing w:after="0" w:line="230" w:lineRule="auto"/>
        <w:rPr>
          <w:rFonts w:ascii="Times New Roman" w:hAnsi="Times New Roman" w:cs="Times New Roman"/>
          <w:sz w:val="24"/>
          <w:szCs w:val="24"/>
        </w:rPr>
      </w:pPr>
      <w:r>
        <w:rPr>
          <w:rFonts w:ascii="Arial" w:hAnsi="Arial" w:cs="Arial"/>
          <w:sz w:val="15"/>
          <w:szCs w:val="15"/>
        </w:rPr>
        <w:t>Giovanni Ciserani</w:t>
      </w:r>
    </w:p>
    <w:p w:rsidR="00000000" w:rsidRDefault="0057438D">
      <w:pPr>
        <w:pStyle w:val="DefaultParagraphFont"/>
        <w:widowControl w:val="0"/>
        <w:autoSpaceDE w:val="0"/>
        <w:autoSpaceDN w:val="0"/>
        <w:adjustRightInd w:val="0"/>
        <w:spacing w:after="0" w:line="230" w:lineRule="auto"/>
        <w:rPr>
          <w:rFonts w:ascii="Times New Roman" w:hAnsi="Times New Roman" w:cs="Times New Roman"/>
          <w:sz w:val="24"/>
          <w:szCs w:val="24"/>
        </w:rPr>
      </w:pPr>
      <w:r>
        <w:rPr>
          <w:rFonts w:ascii="Arial" w:hAnsi="Arial" w:cs="Arial"/>
          <w:sz w:val="15"/>
          <w:szCs w:val="15"/>
        </w:rPr>
        <w:t>Group President – Global Fabric</w:t>
      </w:r>
    </w:p>
    <w:p w:rsidR="00000000" w:rsidRDefault="0057438D">
      <w:pPr>
        <w:pStyle w:val="DefaultParagraphFont"/>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sz w:val="15"/>
          <w:szCs w:val="15"/>
        </w:rPr>
        <w:t>and Home Care</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Stassi Anastassov</w:t>
      </w:r>
    </w:p>
    <w:p w:rsidR="00000000" w:rsidRDefault="0057438D">
      <w:pPr>
        <w:pStyle w:val="DefaultParagraphFont"/>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sz w:val="15"/>
          <w:szCs w:val="15"/>
        </w:rPr>
        <w:t>President – Duracell</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George Tsourapas</w:t>
      </w:r>
    </w:p>
    <w:p w:rsidR="00000000" w:rsidRDefault="0057438D">
      <w:pPr>
        <w:pStyle w:val="DefaultParagraphFont"/>
        <w:widowControl w:val="0"/>
        <w:autoSpaceDE w:val="0"/>
        <w:autoSpaceDN w:val="0"/>
        <w:adjustRightInd w:val="0"/>
        <w:spacing w:after="0" w:line="229" w:lineRule="auto"/>
        <w:rPr>
          <w:rFonts w:ascii="Times New Roman" w:hAnsi="Times New Roman" w:cs="Times New Roman"/>
          <w:sz w:val="24"/>
          <w:szCs w:val="24"/>
        </w:rPr>
      </w:pPr>
      <w:r>
        <w:rPr>
          <w:rFonts w:ascii="Arial" w:hAnsi="Arial" w:cs="Arial"/>
          <w:sz w:val="15"/>
          <w:szCs w:val="15"/>
        </w:rPr>
        <w:t>President – Global Home Care</w:t>
      </w:r>
    </w:p>
    <w:p w:rsidR="00000000" w:rsidRDefault="0057438D">
      <w:pPr>
        <w:pStyle w:val="DefaultParagraphFont"/>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sz w:val="15"/>
          <w:szCs w:val="15"/>
        </w:rPr>
        <w:t>and P&amp;G Professional</w:t>
      </w:r>
    </w:p>
    <w:p w:rsidR="00000000" w:rsidRDefault="0057438D">
      <w:pPr>
        <w:pStyle w:val="DefaultParagraphFont"/>
        <w:widowControl w:val="0"/>
        <w:autoSpaceDE w:val="0"/>
        <w:autoSpaceDN w:val="0"/>
        <w:adjustRightInd w:val="0"/>
        <w:spacing w:after="0" w:line="11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b/>
          <w:bCs/>
          <w:sz w:val="13"/>
          <w:szCs w:val="13"/>
        </w:rPr>
        <w:t>HEALTH AND GROOMING</w:t>
      </w:r>
    </w:p>
    <w:p w:rsidR="00000000" w:rsidRDefault="0057438D">
      <w:pPr>
        <w:pStyle w:val="DefaultParagraphFont"/>
        <w:widowControl w:val="0"/>
        <w:autoSpaceDE w:val="0"/>
        <w:autoSpaceDN w:val="0"/>
        <w:adjustRightInd w:val="0"/>
        <w:spacing w:after="0" w:line="230" w:lineRule="auto"/>
        <w:rPr>
          <w:rFonts w:ascii="Times New Roman" w:hAnsi="Times New Roman" w:cs="Times New Roman"/>
          <w:sz w:val="24"/>
          <w:szCs w:val="24"/>
        </w:rPr>
      </w:pPr>
      <w:r>
        <w:rPr>
          <w:rFonts w:ascii="Arial" w:hAnsi="Arial" w:cs="Arial"/>
          <w:sz w:val="15"/>
          <w:szCs w:val="15"/>
        </w:rPr>
        <w:t>David Taylor</w:t>
      </w:r>
    </w:p>
    <w:p w:rsidR="00000000" w:rsidRDefault="0057438D">
      <w:pPr>
        <w:pStyle w:val="DefaultParagraphFont"/>
        <w:widowControl w:val="0"/>
        <w:overflowPunct w:val="0"/>
        <w:autoSpaceDE w:val="0"/>
        <w:autoSpaceDN w:val="0"/>
        <w:adjustRightInd w:val="0"/>
        <w:spacing w:after="0" w:line="232" w:lineRule="auto"/>
        <w:ind w:right="300"/>
        <w:rPr>
          <w:rFonts w:ascii="Times New Roman" w:hAnsi="Times New Roman" w:cs="Times New Roman"/>
          <w:sz w:val="24"/>
          <w:szCs w:val="24"/>
        </w:rPr>
      </w:pPr>
      <w:r>
        <w:rPr>
          <w:rFonts w:ascii="Arial" w:hAnsi="Arial" w:cs="Arial"/>
          <w:sz w:val="15"/>
          <w:szCs w:val="15"/>
        </w:rPr>
        <w:t>Group President – Global Health and Grooming</w:t>
      </w:r>
    </w:p>
    <w:p w:rsidR="00000000" w:rsidRDefault="0057438D">
      <w:pPr>
        <w:pStyle w:val="DefaultParagraphFont"/>
        <w:widowControl w:val="0"/>
        <w:autoSpaceDE w:val="0"/>
        <w:autoSpaceDN w:val="0"/>
        <w:adjustRightInd w:val="0"/>
        <w:spacing w:after="0" w:line="4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Patrice Louvet</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Group President – Global Grooming</w:t>
      </w:r>
    </w:p>
    <w:p w:rsidR="00000000" w:rsidRDefault="0057438D">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Charles E. Pierce</w:t>
      </w:r>
    </w:p>
    <w:p w:rsidR="00000000" w:rsidRDefault="0057438D">
      <w:pPr>
        <w:pStyle w:val="DefaultParagraphFont"/>
        <w:widowControl w:val="0"/>
        <w:overflowPunct w:val="0"/>
        <w:autoSpaceDE w:val="0"/>
        <w:autoSpaceDN w:val="0"/>
        <w:adjustRightInd w:val="0"/>
        <w:spacing w:after="0" w:line="231" w:lineRule="auto"/>
        <w:ind w:right="140"/>
        <w:rPr>
          <w:rFonts w:ascii="Times New Roman" w:hAnsi="Times New Roman" w:cs="Times New Roman"/>
          <w:sz w:val="24"/>
          <w:szCs w:val="24"/>
        </w:rPr>
      </w:pPr>
      <w:r>
        <w:rPr>
          <w:rFonts w:ascii="Arial" w:hAnsi="Arial" w:cs="Arial"/>
          <w:sz w:val="15"/>
          <w:szCs w:val="15"/>
        </w:rPr>
        <w:t>Group President – Global Oral Care and New Business Creation and Innovation</w:t>
      </w:r>
    </w:p>
    <w:p w:rsidR="00000000" w:rsidRDefault="0057438D">
      <w:pPr>
        <w:pStyle w:val="DefaultParagraphFont"/>
        <w:widowControl w:val="0"/>
        <w:autoSpaceDE w:val="0"/>
        <w:autoSpaceDN w:val="0"/>
        <w:adjustRightInd w:val="0"/>
        <w:spacing w:after="0" w:line="4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Thomas M. Finn</w:t>
      </w:r>
    </w:p>
    <w:p w:rsidR="00000000" w:rsidRDefault="0057438D">
      <w:pPr>
        <w:pStyle w:val="DefaultParagraphFont"/>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sz w:val="15"/>
          <w:szCs w:val="15"/>
        </w:rPr>
        <w:t>President – Global Health Care</w:t>
      </w:r>
    </w:p>
    <w:p w:rsidR="00000000" w:rsidRDefault="0057438D">
      <w:pPr>
        <w:pStyle w:val="DefaultParagraphFont"/>
        <w:widowControl w:val="0"/>
        <w:autoSpaceDE w:val="0"/>
        <w:autoSpaceDN w:val="0"/>
        <w:adjustRightInd w:val="0"/>
        <w:spacing w:after="0" w:line="95"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29" w:lineRule="auto"/>
        <w:ind w:right="180"/>
        <w:rPr>
          <w:rFonts w:ascii="Times New Roman" w:hAnsi="Times New Roman" w:cs="Times New Roman"/>
          <w:sz w:val="24"/>
          <w:szCs w:val="24"/>
        </w:rPr>
      </w:pPr>
      <w:r>
        <w:rPr>
          <w:rFonts w:ascii="Arial" w:hAnsi="Arial" w:cs="Arial"/>
          <w:i/>
          <w:iCs/>
          <w:sz w:val="15"/>
          <w:szCs w:val="15"/>
        </w:rPr>
        <w:t>The following Comp</w:t>
      </w:r>
      <w:r>
        <w:rPr>
          <w:rFonts w:ascii="Arial" w:hAnsi="Arial" w:cs="Arial"/>
          <w:i/>
          <w:iCs/>
          <w:sz w:val="15"/>
          <w:szCs w:val="15"/>
        </w:rPr>
        <w:t>any officer retired during the 2013 –14 fiscal year:</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Robert L. Fregolle, Jr.</w:t>
      </w:r>
    </w:p>
    <w:p w:rsidR="00000000" w:rsidRDefault="0057438D">
      <w:pPr>
        <w:pStyle w:val="DefaultParagraphFont"/>
        <w:widowControl w:val="0"/>
        <w:autoSpaceDE w:val="0"/>
        <w:autoSpaceDN w:val="0"/>
        <w:adjustRightInd w:val="0"/>
        <w:spacing w:after="0" w:line="5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45" w:lineRule="auto"/>
        <w:rPr>
          <w:rFonts w:ascii="Times New Roman" w:hAnsi="Times New Roman" w:cs="Times New Roman"/>
          <w:sz w:val="24"/>
          <w:szCs w:val="24"/>
        </w:rPr>
      </w:pPr>
      <w:r>
        <w:rPr>
          <w:rFonts w:ascii="Arial" w:hAnsi="Arial" w:cs="Arial"/>
          <w:i/>
          <w:iCs/>
          <w:sz w:val="14"/>
          <w:szCs w:val="14"/>
        </w:rPr>
        <w:t>The following Company officers announced their intention to retire during the 2014 –15 fiscal year:</w:t>
      </w:r>
    </w:p>
    <w:p w:rsidR="00000000" w:rsidRDefault="0057438D">
      <w:pPr>
        <w:pStyle w:val="DefaultParagraphFont"/>
        <w:widowControl w:val="0"/>
        <w:autoSpaceDE w:val="0"/>
        <w:autoSpaceDN w:val="0"/>
        <w:adjustRightInd w:val="0"/>
        <w:spacing w:after="0" w:line="232" w:lineRule="auto"/>
        <w:rPr>
          <w:rFonts w:ascii="Times New Roman" w:hAnsi="Times New Roman" w:cs="Times New Roman"/>
          <w:sz w:val="24"/>
          <w:szCs w:val="24"/>
        </w:rPr>
      </w:pPr>
      <w:r>
        <w:rPr>
          <w:rFonts w:ascii="Arial" w:hAnsi="Arial" w:cs="Arial"/>
          <w:sz w:val="15"/>
          <w:szCs w:val="15"/>
        </w:rPr>
        <w:t>Bruce Brown</w:t>
      </w:r>
    </w:p>
    <w:p w:rsidR="00000000" w:rsidRDefault="0057438D">
      <w:pPr>
        <w:pStyle w:val="DefaultParagraphFont"/>
        <w:widowControl w:val="0"/>
        <w:overflowPunct w:val="0"/>
        <w:autoSpaceDE w:val="0"/>
        <w:autoSpaceDN w:val="0"/>
        <w:adjustRightInd w:val="0"/>
        <w:spacing w:after="0" w:line="262" w:lineRule="auto"/>
        <w:ind w:right="1160"/>
        <w:rPr>
          <w:rFonts w:ascii="Times New Roman" w:hAnsi="Times New Roman" w:cs="Times New Roman"/>
          <w:sz w:val="24"/>
          <w:szCs w:val="24"/>
        </w:rPr>
      </w:pPr>
      <w:r>
        <w:rPr>
          <w:rFonts w:ascii="Arial" w:hAnsi="Arial" w:cs="Arial"/>
          <w:sz w:val="14"/>
          <w:szCs w:val="14"/>
        </w:rPr>
        <w:t>Joan Lewis Laurent Philippe</w:t>
      </w:r>
    </w:p>
    <w:p w:rsidR="00000000" w:rsidRDefault="0057438D">
      <w:pPr>
        <w:pStyle w:val="DefaultParagraphFont"/>
        <w:widowControl w:val="0"/>
        <w:autoSpaceDE w:val="0"/>
        <w:autoSpaceDN w:val="0"/>
        <w:adjustRightInd w:val="0"/>
        <w:spacing w:after="0" w:line="235"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Angela F. Braly</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1" w:lineRule="auto"/>
        <w:ind w:right="120"/>
        <w:rPr>
          <w:rFonts w:ascii="Times New Roman" w:hAnsi="Times New Roman" w:cs="Times New Roman"/>
          <w:sz w:val="24"/>
          <w:szCs w:val="24"/>
        </w:rPr>
      </w:pPr>
      <w:r>
        <w:rPr>
          <w:rFonts w:ascii="Arial" w:hAnsi="Arial" w:cs="Arial"/>
          <w:sz w:val="15"/>
          <w:szCs w:val="15"/>
        </w:rPr>
        <w:t>Former Chair of t</w:t>
      </w:r>
      <w:r>
        <w:rPr>
          <w:rFonts w:ascii="Arial" w:hAnsi="Arial" w:cs="Arial"/>
          <w:sz w:val="15"/>
          <w:szCs w:val="15"/>
        </w:rPr>
        <w:t xml:space="preserve">he Board, President and Chief Executive Officer of WellPoint, Inc. (healthcare insurance). Director since 2009. Also a Director of Lowe’s Companies, Inc. Age 53. </w:t>
      </w:r>
      <w:r>
        <w:rPr>
          <w:rFonts w:ascii="Arial" w:hAnsi="Arial" w:cs="Arial"/>
          <w:i/>
          <w:iCs/>
          <w:sz w:val="15"/>
          <w:szCs w:val="15"/>
        </w:rPr>
        <w:t>Member of the Audit and Governance</w:t>
      </w:r>
      <w:r>
        <w:rPr>
          <w:rFonts w:ascii="Arial" w:hAnsi="Arial" w:cs="Arial"/>
          <w:sz w:val="15"/>
          <w:szCs w:val="15"/>
        </w:rPr>
        <w:t xml:space="preserve"> </w:t>
      </w:r>
      <w:r>
        <w:rPr>
          <w:rFonts w:ascii="Arial" w:hAnsi="Arial" w:cs="Arial"/>
          <w:i/>
          <w:iCs/>
          <w:sz w:val="15"/>
          <w:szCs w:val="15"/>
        </w:rPr>
        <w:t>&amp; Public Responsibility Committees.</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Kenneth I. Chenault</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4" w:lineRule="auto"/>
        <w:ind w:right="120"/>
        <w:rPr>
          <w:rFonts w:ascii="Times New Roman" w:hAnsi="Times New Roman" w:cs="Times New Roman"/>
          <w:sz w:val="24"/>
          <w:szCs w:val="24"/>
        </w:rPr>
      </w:pPr>
      <w:r>
        <w:rPr>
          <w:rFonts w:ascii="Arial" w:hAnsi="Arial" w:cs="Arial"/>
          <w:sz w:val="13"/>
          <w:szCs w:val="13"/>
        </w:rPr>
        <w:t xml:space="preserve">Chairman and Chief Executive Officer of the American Express Company (global services, payments and travel). Director since 2008. Also a Director of International Business Machines Corporation. Age 63. </w:t>
      </w:r>
      <w:r>
        <w:rPr>
          <w:rFonts w:ascii="Arial" w:hAnsi="Arial" w:cs="Arial"/>
          <w:i/>
          <w:iCs/>
          <w:sz w:val="13"/>
          <w:szCs w:val="13"/>
        </w:rPr>
        <w:t>Member of</w:t>
      </w:r>
    </w:p>
    <w:p w:rsidR="00000000" w:rsidRDefault="0057438D">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i/>
          <w:iCs/>
          <w:sz w:val="14"/>
          <w:szCs w:val="14"/>
        </w:rPr>
        <w:t>the Audit and Compensation &amp; Leadership Dev</w:t>
      </w:r>
      <w:r>
        <w:rPr>
          <w:rFonts w:ascii="Arial" w:hAnsi="Arial" w:cs="Arial"/>
          <w:i/>
          <w:iCs/>
          <w:sz w:val="14"/>
          <w:szCs w:val="14"/>
        </w:rPr>
        <w:t>elopment Committees.</w:t>
      </w:r>
    </w:p>
    <w:p w:rsidR="00000000" w:rsidRDefault="0057438D">
      <w:pPr>
        <w:pStyle w:val="DefaultParagraphFont"/>
        <w:widowControl w:val="0"/>
        <w:autoSpaceDE w:val="0"/>
        <w:autoSpaceDN w:val="0"/>
        <w:adjustRightInd w:val="0"/>
        <w:spacing w:after="0" w:line="5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Scott D. Cook</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4" w:lineRule="auto"/>
        <w:ind w:right="140"/>
        <w:rPr>
          <w:rFonts w:ascii="Times New Roman" w:hAnsi="Times New Roman" w:cs="Times New Roman"/>
          <w:sz w:val="24"/>
          <w:szCs w:val="24"/>
        </w:rPr>
      </w:pPr>
      <w:r>
        <w:rPr>
          <w:rFonts w:ascii="Arial" w:hAnsi="Arial" w:cs="Arial"/>
          <w:sz w:val="13"/>
          <w:szCs w:val="13"/>
        </w:rPr>
        <w:t>Chairman of the Executive Committee of the Board of Intuit Inc. (software and web services). Director since 2000. Also a Director of eBay Inc. Age 62.</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2" w:lineRule="auto"/>
        <w:ind w:right="400"/>
        <w:rPr>
          <w:rFonts w:ascii="Times New Roman" w:hAnsi="Times New Roman" w:cs="Times New Roman"/>
          <w:sz w:val="24"/>
          <w:szCs w:val="24"/>
        </w:rPr>
      </w:pPr>
      <w:r>
        <w:rPr>
          <w:rFonts w:ascii="Arial" w:hAnsi="Arial" w:cs="Arial"/>
          <w:i/>
          <w:iCs/>
          <w:sz w:val="15"/>
          <w:szCs w:val="15"/>
        </w:rPr>
        <w:t>Chair of the Innovation &amp; Technology Committee and member of the Co</w:t>
      </w:r>
      <w:r>
        <w:rPr>
          <w:rFonts w:ascii="Arial" w:hAnsi="Arial" w:cs="Arial"/>
          <w:i/>
          <w:iCs/>
          <w:sz w:val="15"/>
          <w:szCs w:val="15"/>
        </w:rPr>
        <w:t>mpensation &amp; Leadership Development Committee.</w:t>
      </w:r>
    </w:p>
    <w:p w:rsidR="00000000" w:rsidRDefault="0057438D">
      <w:pPr>
        <w:pStyle w:val="DefaultParagraphFont"/>
        <w:widowControl w:val="0"/>
        <w:autoSpaceDE w:val="0"/>
        <w:autoSpaceDN w:val="0"/>
        <w:adjustRightInd w:val="0"/>
        <w:spacing w:after="0" w:line="4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Susan Desmond-Hellmann</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4" w:lineRule="auto"/>
        <w:ind w:right="40"/>
        <w:rPr>
          <w:rFonts w:ascii="Times New Roman" w:hAnsi="Times New Roman" w:cs="Times New Roman"/>
          <w:sz w:val="24"/>
          <w:szCs w:val="24"/>
        </w:rPr>
      </w:pPr>
      <w:r>
        <w:rPr>
          <w:rFonts w:ascii="Arial" w:hAnsi="Arial" w:cs="Arial"/>
          <w:sz w:val="13"/>
          <w:szCs w:val="13"/>
        </w:rPr>
        <w:t>Chief Executive Officer of the Bill &amp; Melinda Gates Foundation (a private foundation supporting U.S. education, global health and development, and community giving in the Pacific North</w:t>
      </w:r>
      <w:r>
        <w:rPr>
          <w:rFonts w:ascii="Arial" w:hAnsi="Arial" w:cs="Arial"/>
          <w:sz w:val="13"/>
          <w:szCs w:val="13"/>
        </w:rPr>
        <w:t>west). Former Chancellor and Arthur and Toni Rembe Rock Distinguished Professor, University of California,</w:t>
      </w:r>
    </w:p>
    <w:p w:rsidR="00000000" w:rsidRDefault="0057438D">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7" w:lineRule="auto"/>
        <w:ind w:right="200"/>
        <w:rPr>
          <w:rFonts w:ascii="Times New Roman" w:hAnsi="Times New Roman" w:cs="Times New Roman"/>
          <w:sz w:val="24"/>
          <w:szCs w:val="24"/>
        </w:rPr>
      </w:pPr>
      <w:r>
        <w:rPr>
          <w:rFonts w:ascii="Arial" w:hAnsi="Arial" w:cs="Arial"/>
          <w:sz w:val="13"/>
          <w:szCs w:val="13"/>
        </w:rPr>
        <w:t xml:space="preserve">San Francisco. Director since 2010. Also a Director of Facebook, Inc. Age 57. </w:t>
      </w:r>
      <w:r>
        <w:rPr>
          <w:rFonts w:ascii="Arial" w:hAnsi="Arial" w:cs="Arial"/>
          <w:i/>
          <w:iCs/>
          <w:sz w:val="13"/>
          <w:szCs w:val="13"/>
        </w:rPr>
        <w:t>Member of the Audit and Innovation &amp; Technology Committees.</w:t>
      </w:r>
    </w:p>
    <w:p w:rsidR="00000000" w:rsidRDefault="0057438D">
      <w:pPr>
        <w:pStyle w:val="DefaultParagraphFont"/>
        <w:widowControl w:val="0"/>
        <w:autoSpaceDE w:val="0"/>
        <w:autoSpaceDN w:val="0"/>
        <w:adjustRightInd w:val="0"/>
        <w:spacing w:after="0" w:line="1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A.G. Lafley</w:t>
      </w:r>
    </w:p>
    <w:p w:rsidR="00000000" w:rsidRDefault="0057438D">
      <w:pPr>
        <w:pStyle w:val="DefaultParagraphFont"/>
        <w:widowControl w:val="0"/>
        <w:overflowPunct w:val="0"/>
        <w:autoSpaceDE w:val="0"/>
        <w:autoSpaceDN w:val="0"/>
        <w:adjustRightInd w:val="0"/>
        <w:spacing w:after="0" w:line="339" w:lineRule="auto"/>
        <w:ind w:right="100"/>
        <w:rPr>
          <w:rFonts w:ascii="Times New Roman" w:hAnsi="Times New Roman" w:cs="Times New Roman"/>
          <w:sz w:val="24"/>
          <w:szCs w:val="24"/>
        </w:rPr>
      </w:pPr>
      <w:r>
        <w:rPr>
          <w:rFonts w:ascii="Arial" w:hAnsi="Arial" w:cs="Arial"/>
          <w:sz w:val="12"/>
          <w:szCs w:val="12"/>
        </w:rPr>
        <w:t>Chairman of the Board, President and Chief Executive Officer of the Company. Director since 2013. Also a Director of Legendary Pictures, LLC. Age 67.</w:t>
      </w:r>
    </w:p>
    <w:p w:rsidR="00000000" w:rsidRDefault="0057438D">
      <w:pPr>
        <w:pStyle w:val="DefaultParagraphFont"/>
        <w:widowControl w:val="0"/>
        <w:autoSpaceDE w:val="0"/>
        <w:autoSpaceDN w:val="0"/>
        <w:adjustRightInd w:val="0"/>
        <w:spacing w:after="0" w:line="229" w:lineRule="auto"/>
        <w:rPr>
          <w:rFonts w:ascii="Times New Roman" w:hAnsi="Times New Roman" w:cs="Times New Roman"/>
          <w:sz w:val="24"/>
          <w:szCs w:val="24"/>
        </w:rPr>
      </w:pPr>
      <w:r>
        <w:rPr>
          <w:rFonts w:ascii="Arial" w:hAnsi="Arial" w:cs="Arial"/>
          <w:sz w:val="15"/>
          <w:szCs w:val="15"/>
        </w:rPr>
        <w:t>Terry J. Lundgren</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4" w:lineRule="auto"/>
        <w:ind w:right="320"/>
        <w:rPr>
          <w:rFonts w:ascii="Times New Roman" w:hAnsi="Times New Roman" w:cs="Times New Roman"/>
          <w:sz w:val="24"/>
          <w:szCs w:val="24"/>
        </w:rPr>
      </w:pPr>
      <w:r>
        <w:rPr>
          <w:rFonts w:ascii="Arial" w:hAnsi="Arial" w:cs="Arial"/>
          <w:sz w:val="13"/>
          <w:szCs w:val="13"/>
        </w:rPr>
        <w:t>Chairman and Chief Executive Officer of Macy’s, Inc. (national retailer). D</w:t>
      </w:r>
      <w:r>
        <w:rPr>
          <w:rFonts w:ascii="Arial" w:hAnsi="Arial" w:cs="Arial"/>
          <w:sz w:val="13"/>
          <w:szCs w:val="13"/>
        </w:rPr>
        <w:t>irector since 2013. Also a Director of Kraft Foods Group. Age 62.</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2" w:lineRule="auto"/>
        <w:ind w:right="420"/>
        <w:rPr>
          <w:rFonts w:ascii="Times New Roman" w:hAnsi="Times New Roman" w:cs="Times New Roman"/>
          <w:sz w:val="24"/>
          <w:szCs w:val="24"/>
        </w:rPr>
      </w:pPr>
      <w:r>
        <w:rPr>
          <w:rFonts w:ascii="Arial" w:hAnsi="Arial" w:cs="Arial"/>
          <w:i/>
          <w:iCs/>
          <w:sz w:val="15"/>
          <w:szCs w:val="15"/>
        </w:rPr>
        <w:t>Member of the Governance &amp; Public Responsibility and Innovation &amp; Technology Committees.</w:t>
      </w:r>
    </w:p>
    <w:p w:rsidR="00000000" w:rsidRDefault="0057438D">
      <w:pPr>
        <w:pStyle w:val="DefaultParagraphFont"/>
        <w:widowControl w:val="0"/>
        <w:autoSpaceDE w:val="0"/>
        <w:autoSpaceDN w:val="0"/>
        <w:adjustRightInd w:val="0"/>
        <w:spacing w:after="0" w:line="4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W. James McNerney, Jr.</w:t>
      </w:r>
    </w:p>
    <w:p w:rsidR="00000000" w:rsidRDefault="0057438D">
      <w:pPr>
        <w:pStyle w:val="DefaultParagraphFont"/>
        <w:widowControl w:val="0"/>
        <w:overflowPunct w:val="0"/>
        <w:autoSpaceDE w:val="0"/>
        <w:autoSpaceDN w:val="0"/>
        <w:adjustRightInd w:val="0"/>
        <w:spacing w:after="0" w:line="264" w:lineRule="auto"/>
        <w:ind w:right="20"/>
        <w:rPr>
          <w:rFonts w:ascii="Times New Roman" w:hAnsi="Times New Roman" w:cs="Times New Roman"/>
          <w:sz w:val="24"/>
          <w:szCs w:val="24"/>
        </w:rPr>
      </w:pPr>
      <w:r>
        <w:rPr>
          <w:rFonts w:ascii="Arial" w:hAnsi="Arial" w:cs="Arial"/>
          <w:sz w:val="13"/>
          <w:szCs w:val="13"/>
        </w:rPr>
        <w:t>Chairman of the Board and Chief Executive Officer of The Boeing Company (aerospace, commercial jetliners and military defense systems). Director since 2003. Also a Director of International Business Machines Corporation. Age 65.</w:t>
      </w:r>
    </w:p>
    <w:p w:rsidR="00000000" w:rsidRDefault="0057438D">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7" w:lineRule="auto"/>
        <w:rPr>
          <w:rFonts w:ascii="Times New Roman" w:hAnsi="Times New Roman" w:cs="Times New Roman"/>
          <w:sz w:val="24"/>
          <w:szCs w:val="24"/>
        </w:rPr>
      </w:pPr>
      <w:r>
        <w:rPr>
          <w:rFonts w:ascii="Arial" w:hAnsi="Arial" w:cs="Arial"/>
          <w:i/>
          <w:iCs/>
          <w:sz w:val="13"/>
          <w:szCs w:val="13"/>
        </w:rPr>
        <w:t xml:space="preserve">Presiding Director, Chair </w:t>
      </w:r>
      <w:r>
        <w:rPr>
          <w:rFonts w:ascii="Arial" w:hAnsi="Arial" w:cs="Arial"/>
          <w:i/>
          <w:iCs/>
          <w:sz w:val="13"/>
          <w:szCs w:val="13"/>
        </w:rPr>
        <w:t>of the Compensation &amp; Leadership Development Committee and member of the Governance &amp; Public Responsibility Committee.</w:t>
      </w:r>
    </w:p>
    <w:p w:rsidR="00000000" w:rsidRDefault="0057438D">
      <w:pPr>
        <w:pStyle w:val="DefaultParagraphFont"/>
        <w:widowControl w:val="0"/>
        <w:autoSpaceDE w:val="0"/>
        <w:autoSpaceDN w:val="0"/>
        <w:adjustRightInd w:val="0"/>
        <w:spacing w:after="0" w:line="1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Margaret C. Whitman</w:t>
      </w:r>
    </w:p>
    <w:p w:rsidR="00000000" w:rsidRDefault="0057438D">
      <w:pPr>
        <w:pStyle w:val="DefaultParagraphFont"/>
        <w:widowControl w:val="0"/>
        <w:overflowPunct w:val="0"/>
        <w:autoSpaceDE w:val="0"/>
        <w:autoSpaceDN w:val="0"/>
        <w:adjustRightInd w:val="0"/>
        <w:spacing w:after="0" w:line="273" w:lineRule="auto"/>
        <w:ind w:right="40"/>
        <w:rPr>
          <w:rFonts w:ascii="Times New Roman" w:hAnsi="Times New Roman" w:cs="Times New Roman"/>
          <w:sz w:val="24"/>
          <w:szCs w:val="24"/>
        </w:rPr>
      </w:pPr>
      <w:r>
        <w:rPr>
          <w:rFonts w:ascii="Arial" w:hAnsi="Arial" w:cs="Arial"/>
          <w:sz w:val="13"/>
          <w:szCs w:val="13"/>
        </w:rPr>
        <w:t>President and Chief Executive Officer of Hewlett Packard (computer software, hardware and IT services) since Septemb</w:t>
      </w:r>
      <w:r>
        <w:rPr>
          <w:rFonts w:ascii="Arial" w:hAnsi="Arial" w:cs="Arial"/>
          <w:sz w:val="13"/>
          <w:szCs w:val="13"/>
        </w:rPr>
        <w:t xml:space="preserve">er 2011. Former President and Chief Executive Officer of eBay Inc. (ecommerce and payments) from 1998 to 2008. Director since 2011. Age 58. </w:t>
      </w:r>
      <w:r>
        <w:rPr>
          <w:rFonts w:ascii="Arial" w:hAnsi="Arial" w:cs="Arial"/>
          <w:i/>
          <w:iCs/>
          <w:sz w:val="13"/>
          <w:szCs w:val="13"/>
        </w:rPr>
        <w:t>Member of the Compensation &amp;</w:t>
      </w:r>
      <w:r>
        <w:rPr>
          <w:rFonts w:ascii="Arial" w:hAnsi="Arial" w:cs="Arial"/>
          <w:sz w:val="13"/>
          <w:szCs w:val="13"/>
        </w:rPr>
        <w:t xml:space="preserve"> </w:t>
      </w:r>
      <w:r>
        <w:rPr>
          <w:rFonts w:ascii="Arial" w:hAnsi="Arial" w:cs="Arial"/>
          <w:i/>
          <w:iCs/>
          <w:sz w:val="13"/>
          <w:szCs w:val="13"/>
        </w:rPr>
        <w:t>Leadership Development and Innovation &amp; Technology Committees.</w:t>
      </w:r>
    </w:p>
    <w:p w:rsidR="00000000" w:rsidRDefault="0057438D">
      <w:pPr>
        <w:pStyle w:val="DefaultParagraphFont"/>
        <w:widowControl w:val="0"/>
        <w:autoSpaceDE w:val="0"/>
        <w:autoSpaceDN w:val="0"/>
        <w:adjustRightInd w:val="0"/>
        <w:spacing w:after="0" w:line="2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Mary Agnes Wilderotter</w:t>
      </w:r>
    </w:p>
    <w:p w:rsidR="00000000" w:rsidRDefault="0057438D">
      <w:pPr>
        <w:pStyle w:val="DefaultParagraphFont"/>
        <w:widowControl w:val="0"/>
        <w:overflowPunct w:val="0"/>
        <w:autoSpaceDE w:val="0"/>
        <w:autoSpaceDN w:val="0"/>
        <w:adjustRightInd w:val="0"/>
        <w:spacing w:after="0" w:line="264" w:lineRule="auto"/>
        <w:rPr>
          <w:rFonts w:ascii="Times New Roman" w:hAnsi="Times New Roman" w:cs="Times New Roman"/>
          <w:sz w:val="24"/>
          <w:szCs w:val="24"/>
        </w:rPr>
      </w:pPr>
      <w:r>
        <w:rPr>
          <w:rFonts w:ascii="Arial" w:hAnsi="Arial" w:cs="Arial"/>
          <w:sz w:val="13"/>
          <w:szCs w:val="13"/>
        </w:rPr>
        <w:t>Chairman of the Board and Chief Executive Officer of Frontier Communications Corporation (communications company specializing in providing services</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1" w:lineRule="auto"/>
        <w:ind w:right="80"/>
        <w:rPr>
          <w:rFonts w:ascii="Times New Roman" w:hAnsi="Times New Roman" w:cs="Times New Roman"/>
          <w:sz w:val="24"/>
          <w:szCs w:val="24"/>
        </w:rPr>
      </w:pPr>
      <w:r>
        <w:rPr>
          <w:rFonts w:ascii="Arial" w:hAnsi="Arial" w:cs="Arial"/>
          <w:sz w:val="15"/>
          <w:szCs w:val="15"/>
        </w:rPr>
        <w:t xml:space="preserve">to rural areas and small and medium-sized towns and cities). Director since 2009. Also a Director of Xerox </w:t>
      </w:r>
      <w:r>
        <w:rPr>
          <w:rFonts w:ascii="Arial" w:hAnsi="Arial" w:cs="Arial"/>
          <w:sz w:val="15"/>
          <w:szCs w:val="15"/>
        </w:rPr>
        <w:t xml:space="preserve">Corporation. Age 59. </w:t>
      </w:r>
      <w:r>
        <w:rPr>
          <w:rFonts w:ascii="Arial" w:hAnsi="Arial" w:cs="Arial"/>
          <w:i/>
          <w:iCs/>
          <w:sz w:val="15"/>
          <w:szCs w:val="15"/>
        </w:rPr>
        <w:t>Member of the Audit,</w:t>
      </w:r>
      <w:r>
        <w:rPr>
          <w:rFonts w:ascii="Arial" w:hAnsi="Arial" w:cs="Arial"/>
          <w:sz w:val="15"/>
          <w:szCs w:val="15"/>
        </w:rPr>
        <w:t xml:space="preserve"> </w:t>
      </w:r>
      <w:r>
        <w:rPr>
          <w:rFonts w:ascii="Arial" w:hAnsi="Arial" w:cs="Arial"/>
          <w:i/>
          <w:iCs/>
          <w:sz w:val="15"/>
          <w:szCs w:val="15"/>
        </w:rPr>
        <w:t>Compensation &amp; Leadership Development, and Innovation &amp; Technology Committees.</w:t>
      </w:r>
    </w:p>
    <w:p w:rsidR="00000000" w:rsidRDefault="0057438D">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Patricia A. Woertz</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0" w:lineRule="auto"/>
        <w:ind w:right="120"/>
        <w:rPr>
          <w:rFonts w:ascii="Times New Roman" w:hAnsi="Times New Roman" w:cs="Times New Roman"/>
          <w:sz w:val="24"/>
          <w:szCs w:val="24"/>
        </w:rPr>
      </w:pPr>
      <w:r>
        <w:rPr>
          <w:rFonts w:ascii="Arial" w:hAnsi="Arial" w:cs="Arial"/>
          <w:sz w:val="15"/>
          <w:szCs w:val="15"/>
        </w:rPr>
        <w:t xml:space="preserve">Chairman and Chief Executive Officer of Archer Daniels Midland Company (agricultural </w:t>
      </w:r>
      <w:r>
        <w:rPr>
          <w:rFonts w:ascii="Arial" w:hAnsi="Arial" w:cs="Arial"/>
          <w:sz w:val="15"/>
          <w:szCs w:val="15"/>
        </w:rPr>
        <w:t xml:space="preserve">processors of oilseeds, corn, wheat and cocoa, etc.). Director since 2008. Also a director of Royal Dutch Shell plc. Age 61. </w:t>
      </w:r>
      <w:r>
        <w:rPr>
          <w:rFonts w:ascii="Arial" w:hAnsi="Arial" w:cs="Arial"/>
          <w:i/>
          <w:iCs/>
          <w:sz w:val="15"/>
          <w:szCs w:val="15"/>
        </w:rPr>
        <w:t>Chair of the</w:t>
      </w:r>
      <w:r>
        <w:rPr>
          <w:rFonts w:ascii="Arial" w:hAnsi="Arial" w:cs="Arial"/>
          <w:sz w:val="15"/>
          <w:szCs w:val="15"/>
        </w:rPr>
        <w:t xml:space="preserve"> </w:t>
      </w:r>
      <w:r>
        <w:rPr>
          <w:rFonts w:ascii="Arial" w:hAnsi="Arial" w:cs="Arial"/>
          <w:i/>
          <w:iCs/>
          <w:sz w:val="15"/>
          <w:szCs w:val="15"/>
        </w:rPr>
        <w:t>Audit Committee and member of the Governance &amp; Public Responsibility Committee.</w:t>
      </w:r>
    </w:p>
    <w:p w:rsidR="00000000" w:rsidRDefault="0057438D">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5"/>
          <w:szCs w:val="15"/>
        </w:rPr>
        <w:t>Ernesto Zedillo</w:t>
      </w:r>
    </w:p>
    <w:p w:rsidR="00000000" w:rsidRDefault="0057438D">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4" w:lineRule="auto"/>
        <w:ind w:right="100"/>
        <w:rPr>
          <w:rFonts w:ascii="Times New Roman" w:hAnsi="Times New Roman" w:cs="Times New Roman"/>
          <w:sz w:val="24"/>
          <w:szCs w:val="24"/>
        </w:rPr>
      </w:pPr>
      <w:r>
        <w:rPr>
          <w:rFonts w:ascii="Arial" w:hAnsi="Arial" w:cs="Arial"/>
          <w:sz w:val="13"/>
          <w:szCs w:val="13"/>
        </w:rPr>
        <w:t xml:space="preserve">Former President of </w:t>
      </w:r>
      <w:r>
        <w:rPr>
          <w:rFonts w:ascii="Arial" w:hAnsi="Arial" w:cs="Arial"/>
          <w:sz w:val="13"/>
          <w:szCs w:val="13"/>
        </w:rPr>
        <w:t>Mexico, Director of the Center for the Study of Globalization and Professor in the field of International Economics and Politics at Yale University. Director since 2001. Also a Director of Alcoa Inc., Citigroup, Inc. and Promotora de Informaciones S.A. Age</w:t>
      </w:r>
      <w:r>
        <w:rPr>
          <w:rFonts w:ascii="Arial" w:hAnsi="Arial" w:cs="Arial"/>
          <w:sz w:val="13"/>
          <w:szCs w:val="13"/>
        </w:rPr>
        <w:t xml:space="preserve"> 62. </w:t>
      </w:r>
      <w:r>
        <w:rPr>
          <w:rFonts w:ascii="Arial" w:hAnsi="Arial" w:cs="Arial"/>
          <w:i/>
          <w:iCs/>
          <w:sz w:val="13"/>
          <w:szCs w:val="13"/>
        </w:rPr>
        <w:t>Chair of</w:t>
      </w:r>
    </w:p>
    <w:p w:rsidR="00000000" w:rsidRDefault="0057438D">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32" w:lineRule="auto"/>
        <w:ind w:right="320"/>
        <w:rPr>
          <w:rFonts w:ascii="Times New Roman" w:hAnsi="Times New Roman" w:cs="Times New Roman"/>
          <w:sz w:val="24"/>
          <w:szCs w:val="24"/>
        </w:rPr>
      </w:pPr>
      <w:r>
        <w:rPr>
          <w:rFonts w:ascii="Arial" w:hAnsi="Arial" w:cs="Arial"/>
          <w:i/>
          <w:iCs/>
          <w:sz w:val="15"/>
          <w:szCs w:val="15"/>
        </w:rPr>
        <w:t>the Governance &amp; Public Responsibility Committee and member of the Innovation &amp; Technology Committee.</w:t>
      </w:r>
    </w:p>
    <w:p w:rsidR="00000000" w:rsidRDefault="0057438D">
      <w:pPr>
        <w:pStyle w:val="DefaultParagraphFont"/>
        <w:widowControl w:val="0"/>
        <w:autoSpaceDE w:val="0"/>
        <w:autoSpaceDN w:val="0"/>
        <w:adjustRightInd w:val="0"/>
        <w:spacing w:after="0" w:line="11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b/>
          <w:bCs/>
          <w:sz w:val="13"/>
          <w:szCs w:val="13"/>
        </w:rPr>
        <w:t>THE BOARD OF DIRECTORS HAS FOUR COMMITTEES: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231" w:right="880" w:bottom="1440" w:left="920" w:header="720" w:footer="720" w:gutter="0"/>
          <w:cols w:num="3" w:space="480" w:equalWidth="0">
            <w:col w:w="2220" w:space="180"/>
            <w:col w:w="2220" w:space="480"/>
            <w:col w:w="4620"/>
          </w:cols>
          <w:noEndnote/>
        </w:sectPr>
      </w:pPr>
    </w:p>
    <w:tbl>
      <w:tblPr>
        <w:tblW w:w="0" w:type="auto"/>
        <w:tblLayout w:type="fixed"/>
        <w:tblCellMar>
          <w:left w:w="0" w:type="dxa"/>
          <w:right w:w="0" w:type="dxa"/>
        </w:tblCellMar>
        <w:tblLook w:val="0000" w:firstRow="0" w:lastRow="0" w:firstColumn="0" w:lastColumn="0" w:noHBand="0" w:noVBand="0"/>
      </w:tblPr>
      <w:tblGrid>
        <w:gridCol w:w="3420"/>
        <w:gridCol w:w="6120"/>
      </w:tblGrid>
      <w:tr w:rsidR="00000000">
        <w:tblPrEx>
          <w:tblCellMar>
            <w:top w:w="0" w:type="dxa"/>
            <w:left w:w="0" w:type="dxa"/>
            <w:bottom w:w="0" w:type="dxa"/>
            <w:right w:w="0" w:type="dxa"/>
          </w:tblCellMar>
        </w:tblPrEx>
        <w:trPr>
          <w:trHeight w:val="166"/>
        </w:trPr>
        <w:tc>
          <w:tcPr>
            <w:tcW w:w="3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5" w:lineRule="exact"/>
              <w:rPr>
                <w:rFonts w:ascii="Times New Roman" w:hAnsi="Times New Roman" w:cs="Times New Roman"/>
                <w:sz w:val="24"/>
                <w:szCs w:val="24"/>
              </w:rPr>
            </w:pPr>
            <w:r>
              <w:rPr>
                <w:rFonts w:ascii="Arial" w:hAnsi="Arial" w:cs="Arial"/>
                <w:sz w:val="15"/>
                <w:szCs w:val="15"/>
              </w:rPr>
              <w:t>Mohamed Samir</w:t>
            </w:r>
          </w:p>
        </w:tc>
        <w:tc>
          <w:tcPr>
            <w:tcW w:w="6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65" w:lineRule="exact"/>
              <w:ind w:left="1680"/>
              <w:rPr>
                <w:rFonts w:ascii="Times New Roman" w:hAnsi="Times New Roman" w:cs="Times New Roman"/>
                <w:sz w:val="24"/>
                <w:szCs w:val="24"/>
              </w:rPr>
            </w:pPr>
            <w:r>
              <w:rPr>
                <w:rFonts w:ascii="Arial" w:hAnsi="Arial" w:cs="Arial"/>
                <w:i/>
                <w:iCs/>
                <w:w w:val="91"/>
                <w:sz w:val="15"/>
                <w:szCs w:val="15"/>
              </w:rPr>
              <w:t>Audit Committee, Compensation &amp; Leadership Development Committee,</w:t>
            </w:r>
          </w:p>
        </w:tc>
      </w:tr>
      <w:tr w:rsidR="00000000">
        <w:tblPrEx>
          <w:tblCellMar>
            <w:top w:w="0" w:type="dxa"/>
            <w:left w:w="0" w:type="dxa"/>
            <w:bottom w:w="0" w:type="dxa"/>
            <w:right w:w="0" w:type="dxa"/>
          </w:tblCellMar>
        </w:tblPrEx>
        <w:trPr>
          <w:trHeight w:val="176"/>
        </w:trPr>
        <w:tc>
          <w:tcPr>
            <w:tcW w:w="3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President – India, Middle East</w:t>
            </w:r>
          </w:p>
        </w:tc>
        <w:tc>
          <w:tcPr>
            <w:tcW w:w="6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0" w:lineRule="exact"/>
              <w:ind w:left="1680"/>
              <w:rPr>
                <w:rFonts w:ascii="Times New Roman" w:hAnsi="Times New Roman" w:cs="Times New Roman"/>
                <w:sz w:val="24"/>
                <w:szCs w:val="24"/>
              </w:rPr>
            </w:pPr>
            <w:r>
              <w:rPr>
                <w:rFonts w:ascii="Arial" w:hAnsi="Arial" w:cs="Arial"/>
                <w:i/>
                <w:iCs/>
                <w:sz w:val="15"/>
                <w:szCs w:val="15"/>
              </w:rPr>
              <w:t>Governance &amp; Public Responsibility Committee, and Innovation &amp;</w:t>
            </w:r>
          </w:p>
        </w:tc>
      </w:tr>
      <w:tr w:rsidR="00000000">
        <w:tblPrEx>
          <w:tblCellMar>
            <w:top w:w="0" w:type="dxa"/>
            <w:left w:w="0" w:type="dxa"/>
            <w:bottom w:w="0" w:type="dxa"/>
            <w:right w:w="0" w:type="dxa"/>
          </w:tblCellMar>
        </w:tblPrEx>
        <w:trPr>
          <w:trHeight w:val="199"/>
        </w:trPr>
        <w:tc>
          <w:tcPr>
            <w:tcW w:w="34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and Africa</w:t>
            </w:r>
          </w:p>
        </w:tc>
        <w:tc>
          <w:tcPr>
            <w:tcW w:w="6120" w:type="dxa"/>
            <w:tcBorders>
              <w:top w:val="nil"/>
              <w:left w:val="nil"/>
              <w:bottom w:val="nil"/>
              <w:right w:val="nil"/>
            </w:tcBorders>
            <w:vAlign w:val="bottom"/>
          </w:tcPr>
          <w:p w:rsidR="00000000" w:rsidRDefault="0057438D">
            <w:pPr>
              <w:pStyle w:val="DefaultParagraphFont"/>
              <w:widowControl w:val="0"/>
              <w:autoSpaceDE w:val="0"/>
              <w:autoSpaceDN w:val="0"/>
              <w:adjustRightInd w:val="0"/>
              <w:spacing w:after="0" w:line="170" w:lineRule="exact"/>
              <w:ind w:left="1680"/>
              <w:rPr>
                <w:rFonts w:ascii="Times New Roman" w:hAnsi="Times New Roman" w:cs="Times New Roman"/>
                <w:sz w:val="24"/>
                <w:szCs w:val="24"/>
              </w:rPr>
            </w:pPr>
            <w:r>
              <w:rPr>
                <w:rFonts w:ascii="Arial" w:hAnsi="Arial" w:cs="Arial"/>
                <w:i/>
                <w:iCs/>
                <w:sz w:val="15"/>
                <w:szCs w:val="15"/>
              </w:rPr>
              <w:t>Technology Committee</w:t>
            </w: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231" w:right="1060" w:bottom="1440" w:left="920" w:header="720" w:footer="720" w:gutter="0"/>
          <w:cols w:space="480" w:equalWidth="0">
            <w:col w:w="9540" w:space="180"/>
          </w:cols>
          <w:noEndnote/>
        </w:sect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4"/>
          <w:szCs w:val="14"/>
        </w:rPr>
        <w:t>88  The Procter &amp; Gamble Company</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4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b/>
          <w:bCs/>
        </w:rPr>
        <w:t>Company and Shareowner Information</w:t>
      </w:r>
    </w:p>
    <w:p w:rsidR="00000000" w:rsidRDefault="0057438D">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P&amp;G’S PURPOSE</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10" w:lineRule="auto"/>
        <w:ind w:right="40"/>
        <w:rPr>
          <w:rFonts w:ascii="Times New Roman" w:hAnsi="Times New Roman" w:cs="Times New Roman"/>
          <w:sz w:val="24"/>
          <w:szCs w:val="24"/>
        </w:rPr>
      </w:pPr>
      <w:r>
        <w:rPr>
          <w:rFonts w:ascii="Arial" w:hAnsi="Arial" w:cs="Arial"/>
          <w:sz w:val="15"/>
          <w:szCs w:val="15"/>
        </w:rPr>
        <w:t>We will provide branded products and services of superior quality and value that improve the lives of the world’</w:t>
      </w:r>
      <w:r>
        <w:rPr>
          <w:rFonts w:ascii="Arial" w:hAnsi="Arial" w:cs="Arial"/>
          <w:sz w:val="15"/>
          <w:szCs w:val="15"/>
        </w:rPr>
        <w:t>s consumers, now and for generations to come. As a result, consumers will reward us with leadership sales, profit and value creation, allowing our people, our shareowners, and the communities in which we live and work to prosper. To learn more, please visi</w:t>
      </w:r>
      <w:r>
        <w:rPr>
          <w:rFonts w:ascii="Arial" w:hAnsi="Arial" w:cs="Arial"/>
          <w:sz w:val="15"/>
          <w:szCs w:val="15"/>
        </w:rPr>
        <w:t>t www.pg.com.</w:t>
      </w:r>
    </w:p>
    <w:p w:rsidR="00000000" w:rsidRDefault="0057438D">
      <w:pPr>
        <w:pStyle w:val="DefaultParagraphFont"/>
        <w:widowControl w:val="0"/>
        <w:autoSpaceDE w:val="0"/>
        <w:autoSpaceDN w:val="0"/>
        <w:adjustRightInd w:val="0"/>
        <w:spacing w:after="0" w:line="12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BRANDS</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26" w:lineRule="auto"/>
        <w:ind w:right="20"/>
        <w:rPr>
          <w:rFonts w:ascii="Times New Roman" w:hAnsi="Times New Roman" w:cs="Times New Roman"/>
          <w:sz w:val="24"/>
          <w:szCs w:val="24"/>
        </w:rPr>
      </w:pPr>
      <w:r>
        <w:rPr>
          <w:rFonts w:ascii="Arial" w:hAnsi="Arial" w:cs="Arial"/>
          <w:sz w:val="15"/>
          <w:szCs w:val="15"/>
        </w:rPr>
        <w:t>For information on our portfolio of brands and our latest innovations, please visit www.pg.com/brands and www.pginnovation.com.</w:t>
      </w:r>
    </w:p>
    <w:p w:rsidR="00000000" w:rsidRDefault="0057438D">
      <w:pPr>
        <w:pStyle w:val="DefaultParagraphFont"/>
        <w:widowControl w:val="0"/>
        <w:autoSpaceDE w:val="0"/>
        <w:autoSpaceDN w:val="0"/>
        <w:adjustRightInd w:val="0"/>
        <w:spacing w:after="0" w:line="11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SUSTAINABILITY</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16" w:lineRule="auto"/>
        <w:rPr>
          <w:rFonts w:ascii="Times New Roman" w:hAnsi="Times New Roman" w:cs="Times New Roman"/>
          <w:sz w:val="24"/>
          <w:szCs w:val="24"/>
        </w:rPr>
      </w:pPr>
      <w:r>
        <w:rPr>
          <w:rFonts w:ascii="Arial" w:hAnsi="Arial" w:cs="Arial"/>
          <w:sz w:val="15"/>
          <w:szCs w:val="15"/>
        </w:rPr>
        <w:t xml:space="preserve">At P&amp;G, we are focusing our efforts where we can make the most meaningful difference in </w:t>
      </w:r>
      <w:r>
        <w:rPr>
          <w:rFonts w:ascii="Arial" w:hAnsi="Arial" w:cs="Arial"/>
          <w:sz w:val="15"/>
          <w:szCs w:val="15"/>
        </w:rPr>
        <w:t>both environmental and social sustainability. To learn more, please visit www.pg.com/sustainability.</w:t>
      </w:r>
    </w:p>
    <w:p w:rsidR="00000000" w:rsidRDefault="0057438D">
      <w:pPr>
        <w:pStyle w:val="DefaultParagraphFont"/>
        <w:widowControl w:val="0"/>
        <w:autoSpaceDE w:val="0"/>
        <w:autoSpaceDN w:val="0"/>
        <w:adjustRightInd w:val="0"/>
        <w:spacing w:after="0" w:line="11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CORPORATE HEADQUARTERS</w:t>
      </w:r>
    </w:p>
    <w:p w:rsidR="00000000" w:rsidRDefault="0057438D">
      <w:pPr>
        <w:pStyle w:val="DefaultParagraphFont"/>
        <w:widowControl w:val="0"/>
        <w:autoSpaceDE w:val="0"/>
        <w:autoSpaceDN w:val="0"/>
        <w:adjustRightInd w:val="0"/>
        <w:spacing w:after="0" w:line="3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The Procter &amp; Gamble Company</w:t>
      </w:r>
    </w:p>
    <w:p w:rsidR="00000000" w:rsidRDefault="0057438D">
      <w:pPr>
        <w:pStyle w:val="DefaultParagraphFont"/>
        <w:widowControl w:val="0"/>
        <w:autoSpaceDE w:val="0"/>
        <w:autoSpaceDN w:val="0"/>
        <w:adjustRightInd w:val="0"/>
        <w:spacing w:after="0" w:line="2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P.O. Box 599, Cincinnati, OH 45201-0599</w:t>
      </w:r>
    </w:p>
    <w:p w:rsidR="00000000" w:rsidRDefault="0057438D">
      <w:pPr>
        <w:pStyle w:val="DefaultParagraphFont"/>
        <w:widowControl w:val="0"/>
        <w:autoSpaceDE w:val="0"/>
        <w:autoSpaceDN w:val="0"/>
        <w:adjustRightInd w:val="0"/>
        <w:spacing w:after="0" w:line="17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P&amp;G SHAREHOLDER INVESTMENT PROGRAM</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06" w:lineRule="auto"/>
        <w:ind w:right="320"/>
        <w:rPr>
          <w:rFonts w:ascii="Times New Roman" w:hAnsi="Times New Roman" w:cs="Times New Roman"/>
          <w:sz w:val="24"/>
          <w:szCs w:val="24"/>
        </w:rPr>
      </w:pPr>
      <w:r>
        <w:rPr>
          <w:rFonts w:ascii="Arial" w:hAnsi="Arial" w:cs="Arial"/>
          <w:sz w:val="15"/>
          <w:szCs w:val="15"/>
        </w:rPr>
        <w:t>The Procter &amp; Gamble Shareholder Investment Program (SIP) is a direct stock purchase and dividend reinvestment plan. The SIP</w:t>
      </w:r>
    </w:p>
    <w:p w:rsidR="00000000" w:rsidRDefault="0057438D">
      <w:pPr>
        <w:pStyle w:val="DefaultParagraphFont"/>
        <w:widowControl w:val="0"/>
        <w:overflowPunct w:val="0"/>
        <w:autoSpaceDE w:val="0"/>
        <w:autoSpaceDN w:val="0"/>
        <w:adjustRightInd w:val="0"/>
        <w:spacing w:after="0" w:line="312" w:lineRule="auto"/>
        <w:ind w:right="120"/>
        <w:rPr>
          <w:rFonts w:ascii="Times New Roman" w:hAnsi="Times New Roman" w:cs="Times New Roman"/>
          <w:sz w:val="24"/>
          <w:szCs w:val="24"/>
        </w:rPr>
      </w:pPr>
      <w:r>
        <w:rPr>
          <w:rFonts w:ascii="Arial" w:hAnsi="Arial" w:cs="Arial"/>
          <w:sz w:val="15"/>
          <w:szCs w:val="15"/>
        </w:rPr>
        <w:t>is open to current P&amp;G shareowners as well as new investors and is designed to encourage long-term investment in P&amp;G by providing a</w:t>
      </w:r>
      <w:r>
        <w:rPr>
          <w:rFonts w:ascii="Arial" w:hAnsi="Arial" w:cs="Arial"/>
          <w:sz w:val="15"/>
          <w:szCs w:val="15"/>
        </w:rPr>
        <w:t xml:space="preserve"> convenient and economical way to purchase P&amp;G stock and reinvest dividends. Highlights of the plan include:</w:t>
      </w:r>
    </w:p>
    <w:p w:rsidR="00000000" w:rsidRDefault="0057438D">
      <w:pPr>
        <w:pStyle w:val="DefaultParagraphFont"/>
        <w:widowControl w:val="0"/>
        <w:autoSpaceDE w:val="0"/>
        <w:autoSpaceDN w:val="0"/>
        <w:adjustRightInd w:val="0"/>
        <w:spacing w:after="0" w:line="95" w:lineRule="exact"/>
        <w:rPr>
          <w:rFonts w:ascii="Times New Roman" w:hAnsi="Times New Roman" w:cs="Times New Roman"/>
          <w:sz w:val="24"/>
          <w:szCs w:val="24"/>
        </w:rPr>
      </w:pPr>
    </w:p>
    <w:p w:rsidR="00000000" w:rsidRDefault="0057438D">
      <w:pPr>
        <w:pStyle w:val="DefaultParagraphFont"/>
        <w:widowControl w:val="0"/>
        <w:numPr>
          <w:ilvl w:val="0"/>
          <w:numId w:val="32"/>
        </w:numPr>
        <w:tabs>
          <w:tab w:val="clear" w:pos="720"/>
          <w:tab w:val="num" w:pos="160"/>
        </w:tabs>
        <w:overflowPunct w:val="0"/>
        <w:autoSpaceDE w:val="0"/>
        <w:autoSpaceDN w:val="0"/>
        <w:adjustRightInd w:val="0"/>
        <w:spacing w:after="0" w:line="240" w:lineRule="auto"/>
        <w:ind w:left="160" w:hanging="156"/>
        <w:jc w:val="both"/>
        <w:rPr>
          <w:rFonts w:ascii="Arial" w:hAnsi="Arial" w:cs="Arial"/>
          <w:sz w:val="17"/>
          <w:szCs w:val="17"/>
        </w:rPr>
      </w:pPr>
      <w:r>
        <w:rPr>
          <w:rFonts w:ascii="Arial" w:hAnsi="Arial" w:cs="Arial"/>
          <w:sz w:val="17"/>
          <w:szCs w:val="17"/>
        </w:rPr>
        <w:t>Minimum initial investment — $250</w:t>
      </w:r>
    </w:p>
    <w:p w:rsidR="00000000" w:rsidRDefault="0057438D">
      <w:pPr>
        <w:pStyle w:val="DefaultParagraphFont"/>
        <w:widowControl w:val="0"/>
        <w:autoSpaceDE w:val="0"/>
        <w:autoSpaceDN w:val="0"/>
        <w:adjustRightInd w:val="0"/>
        <w:spacing w:after="0" w:line="32" w:lineRule="exact"/>
        <w:rPr>
          <w:rFonts w:ascii="Arial" w:hAnsi="Arial" w:cs="Arial"/>
          <w:sz w:val="17"/>
          <w:szCs w:val="17"/>
        </w:rPr>
      </w:pPr>
    </w:p>
    <w:p w:rsidR="00000000" w:rsidRDefault="0057438D">
      <w:pPr>
        <w:pStyle w:val="DefaultParagraphFont"/>
        <w:widowControl w:val="0"/>
        <w:numPr>
          <w:ilvl w:val="0"/>
          <w:numId w:val="32"/>
        </w:numPr>
        <w:tabs>
          <w:tab w:val="clear" w:pos="720"/>
          <w:tab w:val="num" w:pos="160"/>
        </w:tabs>
        <w:overflowPunct w:val="0"/>
        <w:autoSpaceDE w:val="0"/>
        <w:autoSpaceDN w:val="0"/>
        <w:adjustRightInd w:val="0"/>
        <w:spacing w:after="0" w:line="260" w:lineRule="auto"/>
        <w:ind w:left="160" w:right="340" w:hanging="156"/>
        <w:jc w:val="both"/>
        <w:rPr>
          <w:rFonts w:ascii="Arial" w:hAnsi="Arial" w:cs="Arial"/>
          <w:sz w:val="17"/>
          <w:szCs w:val="17"/>
        </w:rPr>
      </w:pPr>
      <w:r>
        <w:rPr>
          <w:rFonts w:ascii="Arial" w:hAnsi="Arial" w:cs="Arial"/>
          <w:sz w:val="17"/>
          <w:szCs w:val="17"/>
        </w:rPr>
        <w:t>Nominal administrative fees, including no enrollment fee, and no dividend reinvestment fee</w:t>
      </w:r>
    </w:p>
    <w:p w:rsidR="00000000" w:rsidRDefault="0057438D">
      <w:pPr>
        <w:pStyle w:val="DefaultParagraphFont"/>
        <w:widowControl w:val="0"/>
        <w:autoSpaceDE w:val="0"/>
        <w:autoSpaceDN w:val="0"/>
        <w:adjustRightInd w:val="0"/>
        <w:spacing w:after="0" w:line="8" w:lineRule="exact"/>
        <w:rPr>
          <w:rFonts w:ascii="Arial" w:hAnsi="Arial" w:cs="Arial"/>
          <w:sz w:val="17"/>
          <w:szCs w:val="17"/>
        </w:rPr>
      </w:pPr>
    </w:p>
    <w:p w:rsidR="00000000" w:rsidRDefault="0057438D">
      <w:pPr>
        <w:pStyle w:val="DefaultParagraphFont"/>
        <w:widowControl w:val="0"/>
        <w:numPr>
          <w:ilvl w:val="0"/>
          <w:numId w:val="32"/>
        </w:numPr>
        <w:tabs>
          <w:tab w:val="clear" w:pos="720"/>
          <w:tab w:val="num" w:pos="160"/>
        </w:tabs>
        <w:overflowPunct w:val="0"/>
        <w:autoSpaceDE w:val="0"/>
        <w:autoSpaceDN w:val="0"/>
        <w:adjustRightInd w:val="0"/>
        <w:spacing w:after="0" w:line="240" w:lineRule="auto"/>
        <w:ind w:left="160" w:hanging="156"/>
        <w:jc w:val="both"/>
        <w:rPr>
          <w:rFonts w:ascii="Arial" w:hAnsi="Arial" w:cs="Arial"/>
          <w:sz w:val="17"/>
          <w:szCs w:val="17"/>
        </w:rPr>
      </w:pPr>
      <w:r>
        <w:rPr>
          <w:rFonts w:ascii="Arial" w:hAnsi="Arial" w:cs="Arial"/>
          <w:sz w:val="17"/>
          <w:szCs w:val="17"/>
        </w:rPr>
        <w:t>Optional Cash Investment — minimum $50</w:t>
      </w:r>
    </w:p>
    <w:p w:rsidR="00000000" w:rsidRDefault="0057438D">
      <w:pPr>
        <w:pStyle w:val="DefaultParagraphFont"/>
        <w:widowControl w:val="0"/>
        <w:autoSpaceDE w:val="0"/>
        <w:autoSpaceDN w:val="0"/>
        <w:adjustRightInd w:val="0"/>
        <w:spacing w:after="0" w:line="24" w:lineRule="exact"/>
        <w:rPr>
          <w:rFonts w:ascii="Arial" w:hAnsi="Arial" w:cs="Arial"/>
          <w:sz w:val="17"/>
          <w:szCs w:val="17"/>
        </w:rPr>
      </w:pPr>
    </w:p>
    <w:p w:rsidR="00000000" w:rsidRDefault="0057438D">
      <w:pPr>
        <w:pStyle w:val="DefaultParagraphFont"/>
        <w:widowControl w:val="0"/>
        <w:numPr>
          <w:ilvl w:val="0"/>
          <w:numId w:val="32"/>
        </w:numPr>
        <w:tabs>
          <w:tab w:val="clear" w:pos="720"/>
          <w:tab w:val="num" w:pos="160"/>
        </w:tabs>
        <w:overflowPunct w:val="0"/>
        <w:autoSpaceDE w:val="0"/>
        <w:autoSpaceDN w:val="0"/>
        <w:adjustRightInd w:val="0"/>
        <w:spacing w:after="0" w:line="240" w:lineRule="auto"/>
        <w:ind w:left="160" w:hanging="156"/>
        <w:jc w:val="both"/>
        <w:rPr>
          <w:rFonts w:ascii="Arial" w:hAnsi="Arial" w:cs="Arial"/>
          <w:sz w:val="17"/>
          <w:szCs w:val="17"/>
        </w:rPr>
      </w:pPr>
      <w:r>
        <w:rPr>
          <w:rFonts w:ascii="Arial" w:hAnsi="Arial" w:cs="Arial"/>
          <w:sz w:val="17"/>
          <w:szCs w:val="17"/>
        </w:rPr>
        <w:t>Administered by The Computershare Trust Company</w:t>
      </w:r>
    </w:p>
    <w:p w:rsidR="00000000" w:rsidRDefault="0057438D">
      <w:pPr>
        <w:pStyle w:val="DefaultParagraphFont"/>
        <w:widowControl w:val="0"/>
        <w:autoSpaceDE w:val="0"/>
        <w:autoSpaceDN w:val="0"/>
        <w:adjustRightInd w:val="0"/>
        <w:spacing w:after="0" w:line="15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47" w:lineRule="auto"/>
        <w:rPr>
          <w:rFonts w:ascii="Times New Roman" w:hAnsi="Times New Roman" w:cs="Times New Roman"/>
          <w:sz w:val="24"/>
          <w:szCs w:val="24"/>
        </w:rPr>
      </w:pPr>
      <w:r>
        <w:rPr>
          <w:rFonts w:ascii="Arial" w:hAnsi="Arial" w:cs="Arial"/>
          <w:sz w:val="14"/>
          <w:szCs w:val="14"/>
        </w:rPr>
        <w:t>For complete information on the SIP, please read the Program Prospectus. The Prospectus and New Account Application Form are available at www.computershare.com/pg or</w:t>
      </w:r>
      <w:r>
        <w:rPr>
          <w:rFonts w:ascii="Arial" w:hAnsi="Arial" w:cs="Arial"/>
          <w:sz w:val="14"/>
          <w:szCs w:val="14"/>
        </w:rPr>
        <w:t xml:space="preserve"> by contacting Computershare.</w:t>
      </w:r>
    </w:p>
    <w:p w:rsidR="00000000" w:rsidRDefault="0057438D">
      <w:pPr>
        <w:pStyle w:val="DefaultParagraphFont"/>
        <w:widowControl w:val="0"/>
        <w:autoSpaceDE w:val="0"/>
        <w:autoSpaceDN w:val="0"/>
        <w:adjustRightInd w:val="0"/>
        <w:spacing w:after="0" w:line="102"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GIVING THE GIFT OF P&amp;G STOCK</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09" w:lineRule="auto"/>
        <w:ind w:right="20"/>
        <w:rPr>
          <w:rFonts w:ascii="Times New Roman" w:hAnsi="Times New Roman" w:cs="Times New Roman"/>
          <w:sz w:val="24"/>
          <w:szCs w:val="24"/>
        </w:rPr>
      </w:pPr>
      <w:r>
        <w:rPr>
          <w:rFonts w:ascii="Arial" w:hAnsi="Arial" w:cs="Arial"/>
          <w:sz w:val="15"/>
          <w:szCs w:val="15"/>
        </w:rPr>
        <w:t>Did you know you can give P&amp;G stock to your children, grandchildren, nieces, nephews and friends? Many of our long-time shareowners know what a great gift P&amp;G stock makes for a special person on a special occasion. You can make the gift by transferring sha</w:t>
      </w:r>
      <w:r>
        <w:rPr>
          <w:rFonts w:ascii="Arial" w:hAnsi="Arial" w:cs="Arial"/>
          <w:sz w:val="15"/>
          <w:szCs w:val="15"/>
        </w:rPr>
        <w:t>res from your account or by purchasing shares for the recipient through the SIP. Please visit www.computershare.com/pg or contact Computershare for details.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9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SHAREHOLDER SERVICES</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10" w:lineRule="auto"/>
        <w:ind w:right="160"/>
        <w:rPr>
          <w:rFonts w:ascii="Times New Roman" w:hAnsi="Times New Roman" w:cs="Times New Roman"/>
          <w:sz w:val="24"/>
          <w:szCs w:val="24"/>
        </w:rPr>
      </w:pPr>
      <w:r>
        <w:rPr>
          <w:rFonts w:ascii="Arial" w:hAnsi="Arial" w:cs="Arial"/>
          <w:sz w:val="15"/>
          <w:szCs w:val="15"/>
        </w:rPr>
        <w:t xml:space="preserve">The Computershare Trust Company serves as transfer and dividend paying </w:t>
      </w:r>
      <w:r>
        <w:rPr>
          <w:rFonts w:ascii="Arial" w:hAnsi="Arial" w:cs="Arial"/>
          <w:sz w:val="15"/>
          <w:szCs w:val="15"/>
        </w:rPr>
        <w:t>agent for P&amp;G Common Stock and Administrator of the Procter &amp; Gamble Shareholder Investment Program. Registered shareowners and Program participants needing account assistance with share transfers, plan purchases/sales, lost stock certificates, etc. should</w:t>
      </w:r>
      <w:r>
        <w:rPr>
          <w:rFonts w:ascii="Arial" w:hAnsi="Arial" w:cs="Arial"/>
          <w:sz w:val="15"/>
          <w:szCs w:val="15"/>
        </w:rPr>
        <w:t xml:space="preserve"> contact Computershare at:</w:t>
      </w:r>
    </w:p>
    <w:p w:rsidR="00000000" w:rsidRDefault="0057438D">
      <w:pPr>
        <w:pStyle w:val="DefaultParagraphFont"/>
        <w:widowControl w:val="0"/>
        <w:autoSpaceDE w:val="0"/>
        <w:autoSpaceDN w:val="0"/>
        <w:adjustRightInd w:val="0"/>
        <w:spacing w:after="0" w:line="10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06" w:lineRule="auto"/>
        <w:ind w:right="2000"/>
        <w:rPr>
          <w:rFonts w:ascii="Times New Roman" w:hAnsi="Times New Roman" w:cs="Times New Roman"/>
          <w:sz w:val="24"/>
          <w:szCs w:val="24"/>
        </w:rPr>
      </w:pPr>
      <w:r>
        <w:rPr>
          <w:rFonts w:ascii="Arial" w:hAnsi="Arial" w:cs="Arial"/>
          <w:i/>
          <w:iCs/>
          <w:sz w:val="15"/>
          <w:szCs w:val="15"/>
        </w:rPr>
        <w:t xml:space="preserve">Website: </w:t>
      </w:r>
      <w:r>
        <w:rPr>
          <w:rFonts w:ascii="Arial" w:hAnsi="Arial" w:cs="Arial"/>
          <w:sz w:val="15"/>
          <w:szCs w:val="15"/>
        </w:rPr>
        <w:t>www.computershare.com/pg</w:t>
      </w:r>
      <w:r>
        <w:rPr>
          <w:rFonts w:ascii="Arial" w:hAnsi="Arial" w:cs="Arial"/>
          <w:i/>
          <w:iCs/>
          <w:sz w:val="15"/>
          <w:szCs w:val="15"/>
        </w:rPr>
        <w:t xml:space="preserve"> E-mail: </w:t>
      </w:r>
      <w:r>
        <w:rPr>
          <w:rFonts w:ascii="Arial" w:hAnsi="Arial" w:cs="Arial"/>
          <w:sz w:val="15"/>
          <w:szCs w:val="15"/>
        </w:rPr>
        <w:t>P&amp;G@computershare.com</w:t>
      </w:r>
    </w:p>
    <w:p w:rsidR="00000000" w:rsidRDefault="0057438D">
      <w:pPr>
        <w:pStyle w:val="DefaultParagraphFont"/>
        <w:widowControl w:val="0"/>
        <w:overflowPunct w:val="0"/>
        <w:autoSpaceDE w:val="0"/>
        <w:autoSpaceDN w:val="0"/>
        <w:adjustRightInd w:val="0"/>
        <w:spacing w:after="0" w:line="306" w:lineRule="auto"/>
        <w:ind w:right="1120"/>
        <w:rPr>
          <w:rFonts w:ascii="Times New Roman" w:hAnsi="Times New Roman" w:cs="Times New Roman"/>
          <w:sz w:val="24"/>
          <w:szCs w:val="24"/>
        </w:rPr>
      </w:pPr>
      <w:r>
        <w:rPr>
          <w:rFonts w:ascii="Arial" w:hAnsi="Arial" w:cs="Arial"/>
          <w:i/>
          <w:iCs/>
          <w:sz w:val="15"/>
          <w:szCs w:val="15"/>
        </w:rPr>
        <w:t xml:space="preserve">Phone (M – F, 8am – 8pm Eastern): </w:t>
      </w:r>
      <w:r>
        <w:rPr>
          <w:rFonts w:ascii="Arial" w:hAnsi="Arial" w:cs="Arial"/>
          <w:sz w:val="15"/>
          <w:szCs w:val="15"/>
        </w:rPr>
        <w:t>1-800-742-6253;</w:t>
      </w:r>
      <w:r>
        <w:rPr>
          <w:rFonts w:ascii="Arial" w:hAnsi="Arial" w:cs="Arial"/>
          <w:i/>
          <w:iCs/>
          <w:sz w:val="15"/>
          <w:szCs w:val="15"/>
        </w:rPr>
        <w:t xml:space="preserve"> </w:t>
      </w:r>
      <w:r>
        <w:rPr>
          <w:rFonts w:ascii="Arial" w:hAnsi="Arial" w:cs="Arial"/>
          <w:sz w:val="15"/>
          <w:szCs w:val="15"/>
        </w:rPr>
        <w:t>1-781-575-4399 (outside U.S. and Canada)</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i/>
          <w:iCs/>
          <w:sz w:val="16"/>
          <w:szCs w:val="16"/>
        </w:rPr>
        <w:t xml:space="preserve">Financial information request line (24 hours): </w:t>
      </w:r>
      <w:r>
        <w:rPr>
          <w:rFonts w:ascii="Arial" w:hAnsi="Arial" w:cs="Arial"/>
          <w:sz w:val="16"/>
          <w:szCs w:val="16"/>
        </w:rPr>
        <w:t>1-800-742-6253</w:t>
      </w:r>
    </w:p>
    <w:p w:rsidR="00000000" w:rsidRDefault="0057438D">
      <w:pPr>
        <w:pStyle w:val="DefaultParagraphFont"/>
        <w:widowControl w:val="0"/>
        <w:autoSpaceDE w:val="0"/>
        <w:autoSpaceDN w:val="0"/>
        <w:adjustRightInd w:val="0"/>
        <w:spacing w:after="0" w:line="17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TRANSFER AGENT</w:t>
      </w:r>
    </w:p>
    <w:p w:rsidR="00000000" w:rsidRDefault="0057438D">
      <w:pPr>
        <w:pStyle w:val="DefaultParagraphFont"/>
        <w:widowControl w:val="0"/>
        <w:autoSpaceDE w:val="0"/>
        <w:autoSpaceDN w:val="0"/>
        <w:adjustRightInd w:val="0"/>
        <w:spacing w:after="0" w:line="3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Computershare</w:t>
      </w:r>
    </w:p>
    <w:p w:rsidR="00000000" w:rsidRDefault="0057438D">
      <w:pPr>
        <w:pStyle w:val="DefaultParagraphFont"/>
        <w:widowControl w:val="0"/>
        <w:autoSpaceDE w:val="0"/>
        <w:autoSpaceDN w:val="0"/>
        <w:adjustRightInd w:val="0"/>
        <w:spacing w:after="0" w:line="2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17"/>
          <w:szCs w:val="17"/>
        </w:rPr>
        <w:t>250 Royall Street</w:t>
      </w:r>
    </w:p>
    <w:p w:rsidR="00000000" w:rsidRDefault="0057438D">
      <w:pPr>
        <w:pStyle w:val="DefaultParagraphFont"/>
        <w:widowControl w:val="0"/>
        <w:autoSpaceDE w:val="0"/>
        <w:autoSpaceDN w:val="0"/>
        <w:adjustRightInd w:val="0"/>
        <w:spacing w:after="0" w:line="2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Canton, MA 02021</w:t>
      </w:r>
    </w:p>
    <w:p w:rsidR="00000000" w:rsidRDefault="0057438D">
      <w:pPr>
        <w:pStyle w:val="DefaultParagraphFont"/>
        <w:widowControl w:val="0"/>
        <w:autoSpaceDE w:val="0"/>
        <w:autoSpaceDN w:val="0"/>
        <w:adjustRightInd w:val="0"/>
        <w:spacing w:after="0" w:line="17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REGISTRAR</w:t>
      </w:r>
    </w:p>
    <w:p w:rsidR="00000000" w:rsidRDefault="0057438D">
      <w:pPr>
        <w:pStyle w:val="DefaultParagraphFont"/>
        <w:widowControl w:val="0"/>
        <w:autoSpaceDE w:val="0"/>
        <w:autoSpaceDN w:val="0"/>
        <w:adjustRightInd w:val="0"/>
        <w:spacing w:after="0" w:line="3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Computershare</w:t>
      </w:r>
    </w:p>
    <w:p w:rsidR="00000000" w:rsidRDefault="0057438D">
      <w:pPr>
        <w:pStyle w:val="DefaultParagraphFont"/>
        <w:widowControl w:val="0"/>
        <w:autoSpaceDE w:val="0"/>
        <w:autoSpaceDN w:val="0"/>
        <w:adjustRightInd w:val="0"/>
        <w:spacing w:after="0" w:line="2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P.O. Box 43078</w:t>
      </w:r>
    </w:p>
    <w:p w:rsidR="00000000" w:rsidRDefault="0057438D">
      <w:pPr>
        <w:pStyle w:val="DefaultParagraphFont"/>
        <w:widowControl w:val="0"/>
        <w:autoSpaceDE w:val="0"/>
        <w:autoSpaceDN w:val="0"/>
        <w:adjustRightInd w:val="0"/>
        <w:spacing w:after="0" w:line="2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Providence, RI 02940</w:t>
      </w:r>
    </w:p>
    <w:p w:rsidR="00000000" w:rsidRDefault="0057438D">
      <w:pPr>
        <w:pStyle w:val="DefaultParagraphFont"/>
        <w:widowControl w:val="0"/>
        <w:autoSpaceDE w:val="0"/>
        <w:autoSpaceDN w:val="0"/>
        <w:adjustRightInd w:val="0"/>
        <w:spacing w:after="0" w:line="17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EXCHANGE LISTINGS</w:t>
      </w:r>
    </w:p>
    <w:p w:rsidR="00000000" w:rsidRDefault="0057438D">
      <w:pPr>
        <w:pStyle w:val="DefaultParagraphFont"/>
        <w:widowControl w:val="0"/>
        <w:autoSpaceDE w:val="0"/>
        <w:autoSpaceDN w:val="0"/>
        <w:adjustRightInd w:val="0"/>
        <w:spacing w:after="0" w:line="3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New York Stock Exchange, NYSE Euronext-Paris</w:t>
      </w:r>
    </w:p>
    <w:p w:rsidR="00000000" w:rsidRDefault="0057438D">
      <w:pPr>
        <w:pStyle w:val="DefaultParagraphFont"/>
        <w:widowControl w:val="0"/>
        <w:autoSpaceDE w:val="0"/>
        <w:autoSpaceDN w:val="0"/>
        <w:adjustRightInd w:val="0"/>
        <w:spacing w:after="0" w:line="17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STOCK SYMBOL</w:t>
      </w:r>
    </w:p>
    <w:p w:rsidR="00000000" w:rsidRDefault="0057438D">
      <w:pPr>
        <w:pStyle w:val="DefaultParagraphFont"/>
        <w:widowControl w:val="0"/>
        <w:autoSpaceDE w:val="0"/>
        <w:autoSpaceDN w:val="0"/>
        <w:adjustRightInd w:val="0"/>
        <w:spacing w:after="0" w:line="3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PG</w:t>
      </w:r>
    </w:p>
    <w:p w:rsidR="00000000" w:rsidRDefault="0057438D">
      <w:pPr>
        <w:pStyle w:val="DefaultParagraphFont"/>
        <w:widowControl w:val="0"/>
        <w:autoSpaceDE w:val="0"/>
        <w:autoSpaceDN w:val="0"/>
        <w:adjustRightInd w:val="0"/>
        <w:spacing w:after="0" w:line="17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SHAREOWNERS OF COMMON STOCK</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06" w:lineRule="auto"/>
        <w:rPr>
          <w:rFonts w:ascii="Times New Roman" w:hAnsi="Times New Roman" w:cs="Times New Roman"/>
          <w:sz w:val="24"/>
          <w:szCs w:val="24"/>
        </w:rPr>
      </w:pPr>
      <w:r>
        <w:rPr>
          <w:rFonts w:ascii="Arial" w:hAnsi="Arial" w:cs="Arial"/>
          <w:sz w:val="15"/>
          <w:szCs w:val="15"/>
        </w:rPr>
        <w:t>There were approximately 2,372,000 common stock shareowners, including shareowners of record, participants in the P&amp;G Shareholder Investment Program, participants in P&amp;G stock ownership plans</w:t>
      </w:r>
    </w:p>
    <w:p w:rsidR="00000000" w:rsidRDefault="0057438D">
      <w:pPr>
        <w:pStyle w:val="DefaultParagraphFont"/>
        <w:widowControl w:val="0"/>
        <w:overflowPunct w:val="0"/>
        <w:autoSpaceDE w:val="0"/>
        <w:autoSpaceDN w:val="0"/>
        <w:adjustRightInd w:val="0"/>
        <w:spacing w:after="0" w:line="260" w:lineRule="auto"/>
        <w:ind w:right="140"/>
        <w:rPr>
          <w:rFonts w:ascii="Times New Roman" w:hAnsi="Times New Roman" w:cs="Times New Roman"/>
          <w:sz w:val="24"/>
          <w:szCs w:val="24"/>
        </w:rPr>
      </w:pPr>
      <w:r>
        <w:rPr>
          <w:rFonts w:ascii="Arial" w:hAnsi="Arial" w:cs="Arial"/>
          <w:sz w:val="17"/>
          <w:szCs w:val="17"/>
        </w:rPr>
        <w:t>and beneficial owners with accounts at banks and brokerage firms</w:t>
      </w:r>
      <w:r>
        <w:rPr>
          <w:rFonts w:ascii="Arial" w:hAnsi="Arial" w:cs="Arial"/>
          <w:sz w:val="17"/>
          <w:szCs w:val="17"/>
        </w:rPr>
        <w:t>, as of June 30, 2014.</w:t>
      </w:r>
    </w:p>
    <w:p w:rsidR="00000000" w:rsidRDefault="0057438D">
      <w:pPr>
        <w:pStyle w:val="DefaultParagraphFont"/>
        <w:widowControl w:val="0"/>
        <w:autoSpaceDE w:val="0"/>
        <w:autoSpaceDN w:val="0"/>
        <w:adjustRightInd w:val="0"/>
        <w:spacing w:after="0" w:line="157"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ANNUAL MEETING</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12" w:lineRule="auto"/>
        <w:ind w:right="240"/>
        <w:jc w:val="both"/>
        <w:rPr>
          <w:rFonts w:ascii="Times New Roman" w:hAnsi="Times New Roman" w:cs="Times New Roman"/>
          <w:sz w:val="24"/>
          <w:szCs w:val="24"/>
        </w:rPr>
      </w:pPr>
      <w:r>
        <w:rPr>
          <w:rFonts w:ascii="Arial" w:hAnsi="Arial" w:cs="Arial"/>
          <w:sz w:val="15"/>
          <w:szCs w:val="15"/>
        </w:rPr>
        <w:t>The next annual meeting of shareholders will be held on Tuesday, October 14, 2014. A full transcript of the meeting will be available from Susan Felder, Assistant Secretary. Ms. Felder can be reached at 1 P&amp;G Plaza, Cincinnati, Ohio 45202-3315.</w:t>
      </w:r>
    </w:p>
    <w:p w:rsidR="00000000" w:rsidRDefault="0057438D">
      <w:pPr>
        <w:pStyle w:val="DefaultParagraphFont"/>
        <w:widowControl w:val="0"/>
        <w:autoSpaceDE w:val="0"/>
        <w:autoSpaceDN w:val="0"/>
        <w:adjustRightInd w:val="0"/>
        <w:spacing w:after="0" w:line="12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FORM 10-K</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06" w:lineRule="auto"/>
        <w:ind w:right="580"/>
        <w:jc w:val="both"/>
        <w:rPr>
          <w:rFonts w:ascii="Times New Roman" w:hAnsi="Times New Roman" w:cs="Times New Roman"/>
          <w:sz w:val="24"/>
          <w:szCs w:val="24"/>
        </w:rPr>
      </w:pPr>
      <w:r>
        <w:rPr>
          <w:rFonts w:ascii="Arial" w:hAnsi="Arial" w:cs="Arial"/>
          <w:sz w:val="15"/>
          <w:szCs w:val="15"/>
        </w:rPr>
        <w:t>Shareowners may obtain a copy of P&amp;G’s 2014 report to the Securities and Exchange Commission on Form 10-K by going to www.pginvestor.com or by calling 1-800-742-6253.</w:t>
      </w:r>
    </w:p>
    <w:p w:rsidR="00000000" w:rsidRDefault="0057438D">
      <w:pPr>
        <w:pStyle w:val="DefaultParagraphFont"/>
        <w:widowControl w:val="0"/>
        <w:overflowPunct w:val="0"/>
        <w:autoSpaceDE w:val="0"/>
        <w:autoSpaceDN w:val="0"/>
        <w:adjustRightInd w:val="0"/>
        <w:spacing w:after="0" w:line="326" w:lineRule="auto"/>
        <w:ind w:right="680"/>
        <w:rPr>
          <w:rFonts w:ascii="Times New Roman" w:hAnsi="Times New Roman" w:cs="Times New Roman"/>
          <w:sz w:val="24"/>
          <w:szCs w:val="24"/>
        </w:rPr>
      </w:pPr>
      <w:r>
        <w:rPr>
          <w:rFonts w:ascii="Arial" w:hAnsi="Arial" w:cs="Arial"/>
          <w:sz w:val="15"/>
          <w:szCs w:val="15"/>
        </w:rPr>
        <w:t>This information is also available at no charge by sending a request to Computershare at</w:t>
      </w:r>
      <w:r>
        <w:rPr>
          <w:rFonts w:ascii="Arial" w:hAnsi="Arial" w:cs="Arial"/>
          <w:sz w:val="15"/>
          <w:szCs w:val="15"/>
        </w:rPr>
        <w:t xml:space="preserve"> the address listed.</w:t>
      </w:r>
    </w:p>
    <w:p w:rsidR="00000000" w:rsidRDefault="0057438D">
      <w:pPr>
        <w:pStyle w:val="DefaultParagraphFont"/>
        <w:widowControl w:val="0"/>
        <w:autoSpaceDE w:val="0"/>
        <w:autoSpaceDN w:val="0"/>
        <w:adjustRightInd w:val="0"/>
        <w:spacing w:after="0" w:line="91"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06" w:lineRule="auto"/>
        <w:ind w:right="280"/>
        <w:rPr>
          <w:rFonts w:ascii="Times New Roman" w:hAnsi="Times New Roman" w:cs="Times New Roman"/>
          <w:sz w:val="24"/>
          <w:szCs w:val="24"/>
        </w:rPr>
      </w:pPr>
      <w:r>
        <w:rPr>
          <w:rFonts w:ascii="Arial" w:hAnsi="Arial" w:cs="Arial"/>
          <w:sz w:val="15"/>
          <w:szCs w:val="15"/>
        </w:rPr>
        <w:t xml:space="preserve">The most recent certifications by our Chief Executive and Chief Financial Officers pursuant to Section 302 of the Sarbanes-Oxley Act of 2002 are filed as exhibits to our Form 10-K for the fiscal year ended June 30, 2014. We have also </w:t>
      </w:r>
      <w:r>
        <w:rPr>
          <w:rFonts w:ascii="Arial" w:hAnsi="Arial" w:cs="Arial"/>
          <w:sz w:val="15"/>
          <w:szCs w:val="15"/>
        </w:rPr>
        <w:t>filed with the New York</w:t>
      </w:r>
    </w:p>
    <w:p w:rsidR="00000000" w:rsidRDefault="0057438D">
      <w:pPr>
        <w:pStyle w:val="DefaultParagraphFont"/>
        <w:widowControl w:val="0"/>
        <w:overflowPunct w:val="0"/>
        <w:autoSpaceDE w:val="0"/>
        <w:autoSpaceDN w:val="0"/>
        <w:adjustRightInd w:val="0"/>
        <w:spacing w:after="0" w:line="265" w:lineRule="auto"/>
        <w:ind w:right="40"/>
        <w:rPr>
          <w:rFonts w:ascii="Times New Roman" w:hAnsi="Times New Roman" w:cs="Times New Roman"/>
          <w:sz w:val="24"/>
          <w:szCs w:val="24"/>
        </w:rPr>
      </w:pPr>
      <w:r>
        <w:rPr>
          <w:rFonts w:ascii="Arial" w:hAnsi="Arial" w:cs="Arial"/>
          <w:sz w:val="17"/>
          <w:szCs w:val="17"/>
        </w:rPr>
        <w:t>Stock Exchange the most recent Annual CEO certification as required by Section 303A.12(a) of the New York Stock Exchange Listed Company Manual.</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231" w:right="940" w:bottom="1440" w:left="860" w:header="720" w:footer="720" w:gutter="0"/>
          <w:cols w:num="2" w:space="480" w:equalWidth="0">
            <w:col w:w="4620" w:space="480"/>
            <w:col w:w="462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06"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b/>
          <w:bCs/>
        </w:rPr>
        <w:t>Recognition</w:t>
      </w:r>
    </w:p>
    <w:p w:rsidR="00000000" w:rsidRDefault="0057438D">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67" w:lineRule="auto"/>
        <w:ind w:right="340"/>
        <w:rPr>
          <w:rFonts w:ascii="Times New Roman" w:hAnsi="Times New Roman" w:cs="Times New Roman"/>
          <w:sz w:val="24"/>
          <w:szCs w:val="24"/>
        </w:rPr>
      </w:pPr>
      <w:r>
        <w:rPr>
          <w:rFonts w:ascii="Arial" w:hAnsi="Arial" w:cs="Arial"/>
          <w:sz w:val="14"/>
          <w:szCs w:val="14"/>
        </w:rPr>
        <w:t>P&amp;G is consistently recognized as a leading global company, earning a variety of awards and recognition in several key areas.</w:t>
      </w:r>
    </w:p>
    <w:p w:rsidR="00000000" w:rsidRDefault="0057438D">
      <w:pPr>
        <w:pStyle w:val="DefaultParagraphFont"/>
        <w:widowControl w:val="0"/>
        <w:autoSpaceDE w:val="0"/>
        <w:autoSpaceDN w:val="0"/>
        <w:adjustRightInd w:val="0"/>
        <w:spacing w:after="0" w:line="8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REPUTATION AND LEADERSHIP</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right="860"/>
        <w:rPr>
          <w:rFonts w:ascii="Times New Roman" w:hAnsi="Times New Roman" w:cs="Times New Roman"/>
          <w:sz w:val="24"/>
          <w:szCs w:val="24"/>
        </w:rPr>
      </w:pPr>
      <w:r>
        <w:rPr>
          <w:rFonts w:ascii="Arial" w:hAnsi="Arial" w:cs="Arial"/>
          <w:sz w:val="17"/>
          <w:szCs w:val="17"/>
        </w:rPr>
        <w:t>Barron’s ranked P&amp;G #20 on its World’s Most Respected Companies list.</w:t>
      </w:r>
    </w:p>
    <w:p w:rsidR="00000000" w:rsidRDefault="0057438D">
      <w:pPr>
        <w:pStyle w:val="DefaultParagraphFont"/>
        <w:widowControl w:val="0"/>
        <w:autoSpaceDE w:val="0"/>
        <w:autoSpaceDN w:val="0"/>
        <w:adjustRightInd w:val="0"/>
        <w:spacing w:after="0" w:line="13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0" w:lineRule="auto"/>
        <w:ind w:right="180"/>
        <w:rPr>
          <w:rFonts w:ascii="Times New Roman" w:hAnsi="Times New Roman" w:cs="Times New Roman"/>
          <w:sz w:val="24"/>
          <w:szCs w:val="24"/>
        </w:rPr>
      </w:pPr>
      <w:r>
        <w:rPr>
          <w:rFonts w:ascii="Arial" w:hAnsi="Arial" w:cs="Arial"/>
          <w:sz w:val="17"/>
          <w:szCs w:val="17"/>
        </w:rPr>
        <w:t>Fortune named P&amp;G #1 in our ind</w:t>
      </w:r>
      <w:r>
        <w:rPr>
          <w:rFonts w:ascii="Arial" w:hAnsi="Arial" w:cs="Arial"/>
          <w:sz w:val="17"/>
          <w:szCs w:val="17"/>
        </w:rPr>
        <w:t>ustry and #15 overall on its list of the World’s Most Admired Companies.</w:t>
      </w:r>
    </w:p>
    <w:p w:rsidR="00000000" w:rsidRDefault="0057438D">
      <w:pPr>
        <w:pStyle w:val="DefaultParagraphFont"/>
        <w:widowControl w:val="0"/>
        <w:autoSpaceDE w:val="0"/>
        <w:autoSpaceDN w:val="0"/>
        <w:adjustRightInd w:val="0"/>
        <w:spacing w:after="0" w:line="136"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67" w:lineRule="auto"/>
        <w:ind w:right="80"/>
        <w:rPr>
          <w:rFonts w:ascii="Times New Roman" w:hAnsi="Times New Roman" w:cs="Times New Roman"/>
          <w:sz w:val="24"/>
          <w:szCs w:val="24"/>
        </w:rPr>
      </w:pPr>
      <w:r>
        <w:rPr>
          <w:rFonts w:ascii="Arial" w:hAnsi="Arial" w:cs="Arial"/>
          <w:sz w:val="14"/>
          <w:szCs w:val="14"/>
        </w:rPr>
        <w:t>Forbes ranked P&amp;G #12 on its America’s Most Reputable Companies list and #41 on its list of the World’s Most Reputable Companies.</w:t>
      </w:r>
    </w:p>
    <w:p w:rsidR="00000000" w:rsidRDefault="0057438D">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67" w:lineRule="auto"/>
        <w:ind w:right="360"/>
        <w:rPr>
          <w:rFonts w:ascii="Times New Roman" w:hAnsi="Times New Roman" w:cs="Times New Roman"/>
          <w:sz w:val="24"/>
          <w:szCs w:val="24"/>
        </w:rPr>
      </w:pPr>
      <w:r>
        <w:rPr>
          <w:rFonts w:ascii="Arial" w:hAnsi="Arial" w:cs="Arial"/>
          <w:sz w:val="14"/>
          <w:szCs w:val="14"/>
        </w:rPr>
        <w:t>For the third consecutive year, Chief Executive Magazine named P&amp;G first on its list of the 40 Best Companies for Leaders.</w:t>
      </w:r>
    </w:p>
    <w:p w:rsidR="00000000" w:rsidRDefault="0057438D">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4"/>
          <w:szCs w:val="14"/>
        </w:rPr>
        <w:t>Universum named P&amp;G one of The World’s Most Attractive Employers.</w:t>
      </w:r>
    </w:p>
    <w:p w:rsidR="00000000" w:rsidRDefault="0057438D">
      <w:pPr>
        <w:pStyle w:val="DefaultParagraphFont"/>
        <w:widowControl w:val="0"/>
        <w:autoSpaceDE w:val="0"/>
        <w:autoSpaceDN w:val="0"/>
        <w:adjustRightInd w:val="0"/>
        <w:spacing w:after="0" w:line="199"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b/>
          <w:bCs/>
          <w:sz w:val="14"/>
          <w:szCs w:val="14"/>
        </w:rPr>
        <w:t>INNOVATION</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57" w:lineRule="auto"/>
        <w:rPr>
          <w:rFonts w:ascii="Times New Roman" w:hAnsi="Times New Roman" w:cs="Times New Roman"/>
          <w:sz w:val="24"/>
          <w:szCs w:val="24"/>
        </w:rPr>
      </w:pPr>
      <w:r>
        <w:rPr>
          <w:rFonts w:ascii="Arial" w:hAnsi="Arial" w:cs="Arial"/>
          <w:sz w:val="15"/>
          <w:szCs w:val="15"/>
        </w:rPr>
        <w:t xml:space="preserve">Procter &amp; Gamble was this year’s leader for the 2013 </w:t>
      </w:r>
      <w:r>
        <w:rPr>
          <w:rFonts w:ascii="Arial" w:hAnsi="Arial" w:cs="Arial"/>
          <w:sz w:val="15"/>
          <w:szCs w:val="15"/>
        </w:rPr>
        <w:t>New Product Pacesetters list, launching seven of the top 10 most successful non-food products of the year in the U.S. P&amp;G innovations making the list were Tide PODS</w:t>
      </w:r>
      <w:r>
        <w:rPr>
          <w:rFonts w:ascii="Arial" w:hAnsi="Arial" w:cs="Arial"/>
          <w:sz w:val="24"/>
          <w:szCs w:val="24"/>
          <w:vertAlign w:val="superscript"/>
        </w:rPr>
        <w:t>*</w:t>
      </w:r>
      <w:r>
        <w:rPr>
          <w:rFonts w:ascii="Arial" w:hAnsi="Arial" w:cs="Arial"/>
          <w:sz w:val="15"/>
          <w:szCs w:val="15"/>
        </w:rPr>
        <w:t xml:space="preserve"> (#1), ZzzQuil</w:t>
      </w:r>
      <w:r>
        <w:rPr>
          <w:rFonts w:ascii="Arial" w:hAnsi="Arial" w:cs="Arial"/>
          <w:sz w:val="24"/>
          <w:szCs w:val="24"/>
          <w:vertAlign w:val="superscript"/>
        </w:rPr>
        <w:t>*</w:t>
      </w:r>
      <w:r>
        <w:rPr>
          <w:rFonts w:ascii="Arial" w:hAnsi="Arial" w:cs="Arial"/>
          <w:sz w:val="15"/>
          <w:szCs w:val="15"/>
        </w:rPr>
        <w:t xml:space="preserve"> (#3), Vidal Sassoon Pro Series </w:t>
      </w:r>
      <w:r>
        <w:rPr>
          <w:rFonts w:ascii="Arial" w:hAnsi="Arial" w:cs="Arial"/>
          <w:sz w:val="24"/>
          <w:szCs w:val="24"/>
          <w:vertAlign w:val="superscript"/>
        </w:rPr>
        <w:t>*</w:t>
      </w:r>
      <w:r>
        <w:rPr>
          <w:rFonts w:ascii="Arial" w:hAnsi="Arial" w:cs="Arial"/>
          <w:sz w:val="15"/>
          <w:szCs w:val="15"/>
        </w:rPr>
        <w:t xml:space="preserve"> (#4), Downy Infusions</w:t>
      </w:r>
      <w:r>
        <w:rPr>
          <w:rFonts w:ascii="Arial" w:hAnsi="Arial" w:cs="Arial"/>
          <w:sz w:val="24"/>
          <w:szCs w:val="24"/>
          <w:vertAlign w:val="superscript"/>
        </w:rPr>
        <w:t>*</w:t>
      </w:r>
      <w:r>
        <w:rPr>
          <w:rFonts w:ascii="Arial" w:hAnsi="Arial" w:cs="Arial"/>
          <w:sz w:val="15"/>
          <w:szCs w:val="15"/>
        </w:rPr>
        <w:t xml:space="preserve"> (#6), Always/Tampax</w:t>
      </w:r>
      <w:r>
        <w:rPr>
          <w:rFonts w:ascii="Arial" w:hAnsi="Arial" w:cs="Arial"/>
          <w:sz w:val="15"/>
          <w:szCs w:val="15"/>
        </w:rPr>
        <w:t xml:space="preserve"> Radiant</w:t>
      </w:r>
      <w:r>
        <w:rPr>
          <w:rFonts w:ascii="Arial" w:hAnsi="Arial" w:cs="Arial"/>
          <w:sz w:val="24"/>
          <w:szCs w:val="24"/>
          <w:vertAlign w:val="superscript"/>
        </w:rPr>
        <w:t>*</w:t>
      </w:r>
      <w:r>
        <w:rPr>
          <w:rFonts w:ascii="Arial" w:hAnsi="Arial" w:cs="Arial"/>
          <w:sz w:val="15"/>
          <w:szCs w:val="15"/>
        </w:rPr>
        <w:t xml:space="preserve"> (#8), Secret Outlast</w:t>
      </w:r>
      <w:r>
        <w:rPr>
          <w:rFonts w:ascii="Arial" w:hAnsi="Arial" w:cs="Arial"/>
          <w:sz w:val="24"/>
          <w:szCs w:val="24"/>
          <w:vertAlign w:val="superscript"/>
        </w:rPr>
        <w:t>*</w:t>
      </w:r>
      <w:r>
        <w:rPr>
          <w:rFonts w:ascii="Arial" w:hAnsi="Arial" w:cs="Arial"/>
          <w:sz w:val="15"/>
          <w:szCs w:val="15"/>
        </w:rPr>
        <w:t xml:space="preserve"> (#9) and Puffs Basic</w:t>
      </w:r>
      <w:r>
        <w:rPr>
          <w:rFonts w:ascii="Arial" w:hAnsi="Arial" w:cs="Arial"/>
          <w:sz w:val="24"/>
          <w:szCs w:val="24"/>
          <w:vertAlign w:val="superscript"/>
        </w:rPr>
        <w:t>*</w:t>
      </w:r>
      <w:r>
        <w:rPr>
          <w:rFonts w:ascii="Arial" w:hAnsi="Arial" w:cs="Arial"/>
          <w:sz w:val="15"/>
          <w:szCs w:val="15"/>
        </w:rPr>
        <w:t xml:space="preserve"> (#10). This year marks P&amp;G’</w:t>
      </w:r>
      <w:r>
        <w:rPr>
          <w:rFonts w:ascii="Arial" w:hAnsi="Arial" w:cs="Arial"/>
          <w:sz w:val="15"/>
          <w:szCs w:val="15"/>
        </w:rPr>
        <w:t>s best performance on the Pacesetters list in the 19 years it has been published. Since the first Pacesetters list, P&amp;G has had 155 products make the top 25 Pacesetters list in non-food categories — more than our six largest competitors combined.</w:t>
      </w:r>
    </w:p>
    <w:p w:rsidR="00000000" w:rsidRDefault="0057438D">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Gartner ranked P&amp;G at #5 on its annual Supply Chain Top 25.</w:t>
      </w:r>
    </w:p>
    <w:p w:rsidR="00000000" w:rsidRDefault="0057438D">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br w:type="column"/>
      </w:r>
      <w:r>
        <w:rPr>
          <w:rFonts w:ascii="Arial" w:hAnsi="Arial" w:cs="Arial"/>
          <w:sz w:val="14"/>
          <w:szCs w:val="14"/>
        </w:rPr>
        <w:t>The Procter &amp; Gamble Company  89</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3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DIVERSITY</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6" w:lineRule="auto"/>
        <w:ind w:right="320"/>
        <w:rPr>
          <w:rFonts w:ascii="Times New Roman" w:hAnsi="Times New Roman" w:cs="Times New Roman"/>
          <w:sz w:val="24"/>
          <w:szCs w:val="24"/>
        </w:rPr>
      </w:pPr>
      <w:r>
        <w:rPr>
          <w:rFonts w:ascii="Arial" w:hAnsi="Arial" w:cs="Arial"/>
          <w:sz w:val="17"/>
          <w:szCs w:val="17"/>
        </w:rPr>
        <w:t>P&amp;G’s commitment to creating a diverse workplace has been recognized by DiversityInc, including a #7 ranking on its Top 50 Companies for Diversity</w:t>
      </w:r>
      <w:r>
        <w:rPr>
          <w:rFonts w:ascii="Arial" w:hAnsi="Arial" w:cs="Arial"/>
          <w:sz w:val="17"/>
          <w:szCs w:val="17"/>
        </w:rPr>
        <w:t xml:space="preserve"> and a #6 ranking on its Top Ten Companies for Global Diversity.</w:t>
      </w:r>
    </w:p>
    <w:p w:rsidR="00000000" w:rsidRDefault="0057438D">
      <w:pPr>
        <w:pStyle w:val="DefaultParagraphFont"/>
        <w:widowControl w:val="0"/>
        <w:autoSpaceDE w:val="0"/>
        <w:autoSpaceDN w:val="0"/>
        <w:adjustRightInd w:val="0"/>
        <w:spacing w:after="0" w:line="13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67" w:lineRule="auto"/>
        <w:rPr>
          <w:rFonts w:ascii="Times New Roman" w:hAnsi="Times New Roman" w:cs="Times New Roman"/>
          <w:sz w:val="24"/>
          <w:szCs w:val="24"/>
        </w:rPr>
      </w:pPr>
      <w:r>
        <w:rPr>
          <w:rFonts w:ascii="Arial" w:hAnsi="Arial" w:cs="Arial"/>
          <w:sz w:val="14"/>
          <w:szCs w:val="14"/>
        </w:rPr>
        <w:t>Working Mother named P&amp;G among the Top 5 Best Companies for Multicultural Women, and one of its Working Mother 100 Best Companies.</w:t>
      </w:r>
    </w:p>
    <w:p w:rsidR="00000000" w:rsidRDefault="0057438D">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5" w:lineRule="auto"/>
        <w:ind w:right="200"/>
        <w:rPr>
          <w:rFonts w:ascii="Times New Roman" w:hAnsi="Times New Roman" w:cs="Times New Roman"/>
          <w:sz w:val="24"/>
          <w:szCs w:val="24"/>
        </w:rPr>
      </w:pPr>
      <w:r>
        <w:rPr>
          <w:rFonts w:ascii="Arial" w:hAnsi="Arial" w:cs="Arial"/>
          <w:sz w:val="17"/>
          <w:szCs w:val="17"/>
        </w:rPr>
        <w:t>For the fourth consecutive year, the National Association for Female Executives recognized P&amp;G as one of the Top 10 Companies for Executive Women.</w:t>
      </w:r>
    </w:p>
    <w:p w:rsidR="00000000" w:rsidRDefault="0057438D">
      <w:pPr>
        <w:pStyle w:val="DefaultParagraphFont"/>
        <w:widowControl w:val="0"/>
        <w:autoSpaceDE w:val="0"/>
        <w:autoSpaceDN w:val="0"/>
        <w:adjustRightInd w:val="0"/>
        <w:spacing w:after="0" w:line="132"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5" w:lineRule="auto"/>
        <w:ind w:right="20"/>
        <w:rPr>
          <w:rFonts w:ascii="Times New Roman" w:hAnsi="Times New Roman" w:cs="Times New Roman"/>
          <w:sz w:val="24"/>
          <w:szCs w:val="24"/>
        </w:rPr>
      </w:pPr>
      <w:r>
        <w:rPr>
          <w:rFonts w:ascii="Arial" w:hAnsi="Arial" w:cs="Arial"/>
          <w:sz w:val="17"/>
          <w:szCs w:val="17"/>
        </w:rPr>
        <w:t xml:space="preserve">The Human Rights Campaign (HRC) has recognized P&amp;G among a select group of companies, scoring a perfect 100 </w:t>
      </w:r>
      <w:r>
        <w:rPr>
          <w:rFonts w:ascii="Arial" w:hAnsi="Arial" w:cs="Arial"/>
          <w:sz w:val="17"/>
          <w:szCs w:val="17"/>
        </w:rPr>
        <w:t>on the Human Rights Campaign’s Corporate Equality Index.</w:t>
      </w:r>
    </w:p>
    <w:p w:rsidR="00000000" w:rsidRDefault="0057438D">
      <w:pPr>
        <w:pStyle w:val="DefaultParagraphFont"/>
        <w:widowControl w:val="0"/>
        <w:autoSpaceDE w:val="0"/>
        <w:autoSpaceDN w:val="0"/>
        <w:adjustRightInd w:val="0"/>
        <w:spacing w:after="0" w:line="15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SUPPLIER DIVERSITY</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10" w:lineRule="auto"/>
        <w:ind w:right="140"/>
        <w:rPr>
          <w:rFonts w:ascii="Times New Roman" w:hAnsi="Times New Roman" w:cs="Times New Roman"/>
          <w:sz w:val="24"/>
          <w:szCs w:val="24"/>
        </w:rPr>
      </w:pPr>
      <w:r>
        <w:rPr>
          <w:rFonts w:ascii="Arial" w:hAnsi="Arial" w:cs="Arial"/>
          <w:sz w:val="15"/>
          <w:szCs w:val="15"/>
        </w:rPr>
        <w:t>Supplier diversity is a fundamental business strategy that strengthens our innovation and go-to-market capabilities and touches and improves the lives of our diverse suppliers, t</w:t>
      </w:r>
      <w:r>
        <w:rPr>
          <w:rFonts w:ascii="Arial" w:hAnsi="Arial" w:cs="Arial"/>
          <w:sz w:val="15"/>
          <w:szCs w:val="15"/>
        </w:rPr>
        <w:t>heir employees and the communities in which they live and work. For the seventh year in a row, P&amp;G spent more than $2 billion with minority- and women-owned businesses.</w:t>
      </w:r>
    </w:p>
    <w:p w:rsidR="00000000" w:rsidRDefault="0057438D">
      <w:pPr>
        <w:pStyle w:val="DefaultParagraphFont"/>
        <w:widowControl w:val="0"/>
        <w:autoSpaceDE w:val="0"/>
        <w:autoSpaceDN w:val="0"/>
        <w:adjustRightInd w:val="0"/>
        <w:spacing w:after="0" w:line="10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65" w:lineRule="auto"/>
        <w:ind w:right="60"/>
        <w:jc w:val="both"/>
        <w:rPr>
          <w:rFonts w:ascii="Times New Roman" w:hAnsi="Times New Roman" w:cs="Times New Roman"/>
          <w:sz w:val="24"/>
          <w:szCs w:val="24"/>
        </w:rPr>
      </w:pPr>
      <w:r>
        <w:rPr>
          <w:rFonts w:ascii="Arial" w:hAnsi="Arial" w:cs="Arial"/>
          <w:sz w:val="17"/>
          <w:szCs w:val="17"/>
        </w:rPr>
        <w:t>Since 2005, P&amp;G has been a member of the Billion Dollar Roundtable, a forum of 20 corp</w:t>
      </w:r>
      <w:r>
        <w:rPr>
          <w:rFonts w:ascii="Arial" w:hAnsi="Arial" w:cs="Arial"/>
          <w:sz w:val="17"/>
          <w:szCs w:val="17"/>
        </w:rPr>
        <w:t>orations that spend more than $1 billion annually with diverse suppliers.</w:t>
      </w:r>
    </w:p>
    <w:p w:rsidR="00000000" w:rsidRDefault="0057438D">
      <w:pPr>
        <w:pStyle w:val="DefaultParagraphFont"/>
        <w:widowControl w:val="0"/>
        <w:autoSpaceDE w:val="0"/>
        <w:autoSpaceDN w:val="0"/>
        <w:adjustRightInd w:val="0"/>
        <w:spacing w:after="0" w:line="153"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14"/>
          <w:szCs w:val="14"/>
        </w:rPr>
        <w:t>SUSTAINABILITY</w:t>
      </w:r>
    </w:p>
    <w:p w:rsidR="00000000" w:rsidRDefault="0057438D">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4" w:lineRule="auto"/>
        <w:ind w:right="60"/>
        <w:rPr>
          <w:rFonts w:ascii="Times New Roman" w:hAnsi="Times New Roman" w:cs="Times New Roman"/>
          <w:sz w:val="24"/>
          <w:szCs w:val="24"/>
        </w:rPr>
      </w:pPr>
      <w:r>
        <w:rPr>
          <w:rFonts w:ascii="Arial" w:hAnsi="Arial" w:cs="Arial"/>
          <w:sz w:val="14"/>
          <w:szCs w:val="14"/>
        </w:rPr>
        <w:t>P&amp;G’s commitment to sustainability is clear, and our focus on sustainability is making P&amp;G stronger, delivering value for consumers, customers and shareowners. P&amp;G’</w:t>
      </w:r>
      <w:r>
        <w:rPr>
          <w:rFonts w:ascii="Arial" w:hAnsi="Arial" w:cs="Arial"/>
          <w:sz w:val="14"/>
          <w:szCs w:val="14"/>
        </w:rPr>
        <w:t>s innovative work in this area has earned numerous awards across our business, including Corporate Responsibility Magazine’s 100 Best Corporate Citizens, the MSCI Sustainability Index, and recognition on FTSE4Good — on which P&amp;G has been named since the in</w:t>
      </w:r>
      <w:r>
        <w:rPr>
          <w:rFonts w:ascii="Arial" w:hAnsi="Arial" w:cs="Arial"/>
          <w:sz w:val="14"/>
          <w:szCs w:val="14"/>
        </w:rPr>
        <w:t>dex’s inception.</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231" w:right="880" w:bottom="1440" w:left="920" w:header="720" w:footer="720" w:gutter="0"/>
          <w:cols w:num="2" w:space="480" w:equalWidth="0">
            <w:col w:w="4620" w:space="480"/>
            <w:col w:w="4620"/>
          </w:cols>
          <w:noEndnote/>
        </w:sect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90  The Procter &amp; Gamble Company</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233" w:right="8400" w:bottom="876" w:left="860" w:header="720" w:footer="720" w:gutter="0"/>
          <w:cols w:space="720" w:equalWidth="0">
            <w:col w:w="2260"/>
          </w:cols>
          <w:noEndnote/>
        </w:sectPr>
      </w:pPr>
      <w:r>
        <w:rPr>
          <w:noProof/>
        </w:rPr>
        <w:drawing>
          <wp:anchor distT="0" distB="0" distL="114300" distR="114300" simplePos="0" relativeHeight="251756544" behindDoc="1" locked="0" layoutInCell="0" allowOverlap="1">
            <wp:simplePos x="0" y="0"/>
            <wp:positionH relativeFrom="column">
              <wp:posOffset>4445</wp:posOffset>
            </wp:positionH>
            <wp:positionV relativeFrom="paragraph">
              <wp:posOffset>7801610</wp:posOffset>
            </wp:positionV>
            <wp:extent cx="949325" cy="429895"/>
            <wp:effectExtent l="0" t="0" r="3175" b="825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9325" cy="4298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24"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Arial" w:hAnsi="Arial" w:cs="Arial"/>
          <w:sz w:val="12"/>
          <w:szCs w:val="12"/>
        </w:rPr>
        <w:t>The paper utilized in the printing of this annual report is certified to the FSC</w:t>
      </w:r>
      <w:r>
        <w:rPr>
          <w:rFonts w:ascii="Arial" w:hAnsi="Arial" w:cs="Arial"/>
          <w:sz w:val="16"/>
          <w:szCs w:val="16"/>
          <w:vertAlign w:val="superscript"/>
        </w:rPr>
        <w:t>®</w:t>
      </w:r>
      <w:r>
        <w:rPr>
          <w:rFonts w:ascii="Arial" w:hAnsi="Arial" w:cs="Arial"/>
          <w:sz w:val="12"/>
          <w:szCs w:val="12"/>
        </w:rPr>
        <w:t xml:space="preserve"> Standards, which promotes environmentally appropriate, socially beneficial and economically viable management of the world’s forests.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9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15"/>
      </w:tblGrid>
      <w:tr w:rsidR="00000000">
        <w:tblPrEx>
          <w:tblCellMar>
            <w:top w:w="0" w:type="dxa"/>
            <w:left w:w="0" w:type="dxa"/>
            <w:bottom w:w="0" w:type="dxa"/>
            <w:right w:w="0" w:type="dxa"/>
          </w:tblCellMar>
        </w:tblPrEx>
        <w:trPr>
          <w:trHeight w:val="1260"/>
        </w:trPr>
        <w:tc>
          <w:tcPr>
            <w:tcW w:w="115" w:type="dxa"/>
            <w:tcBorders>
              <w:top w:val="nil"/>
              <w:left w:val="nil"/>
              <w:bottom w:val="nil"/>
              <w:right w:val="nil"/>
            </w:tcBorders>
            <w:textDirection w:val="btLr"/>
            <w:vAlign w:val="bottom"/>
          </w:tcPr>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0"/>
                <w:szCs w:val="10"/>
              </w:rPr>
              <w:t>Design: VSA Partners, Inc.</w:t>
            </w:r>
          </w:p>
        </w:tc>
      </w:tr>
    </w:tbl>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233" w:right="403" w:bottom="876" w:left="860" w:header="720" w:footer="720" w:gutter="0"/>
          <w:cols w:num="2" w:space="5862" w:equalWidth="0">
            <w:col w:w="4280" w:space="5862"/>
            <w:col w:w="115"/>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57568" behindDoc="1" locked="0" layoutInCell="0" allowOverlap="1">
            <wp:simplePos x="0" y="0"/>
            <wp:positionH relativeFrom="page">
              <wp:posOffset>997585</wp:posOffset>
            </wp:positionH>
            <wp:positionV relativeFrom="page">
              <wp:posOffset>892810</wp:posOffset>
            </wp:positionV>
            <wp:extent cx="0" cy="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8592" behindDoc="1" locked="0" layoutInCell="0" allowOverlap="1">
                <wp:simplePos x="0" y="0"/>
                <wp:positionH relativeFrom="page">
                  <wp:posOffset>840105</wp:posOffset>
                </wp:positionH>
                <wp:positionV relativeFrom="page">
                  <wp:posOffset>1066165</wp:posOffset>
                </wp:positionV>
                <wp:extent cx="13335" cy="13335"/>
                <wp:effectExtent l="0" t="0" r="0" b="0"/>
                <wp:wrapNone/>
                <wp:docPr id="27"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B2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26" style="position:absolute;margin-left:66.15pt;margin-top:83.95pt;width:1.05pt;height:1.05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2OfegIAAPsEAAAOAAAAZHJzL2Uyb0RvYy54bWysVF1v0zAUfUfiP1h+7/LRdG2ipdPWUoQ0&#10;YGLwA1zbaSwc29hu0w3x37l22q0FHhCiD65v7vXxOffDV9f7TqIdt05oVePsIsWIK6qZUJsaf/m8&#10;Gs0wcp4oRqRWvMaP3OHr+etXV72peK5bLRm3CECUq3pT49Z7UyWJoy3viLvQhitwNtp2xINpNwmz&#10;pAf0TiZ5ml4mvbbMWE25c/B1OTjxPOI3Daf+Y9M47pGsMXDzcbVxXYc1mV+RamOJaQU90CD/wKIj&#10;QsGlz1BL4gnaWvEbVCeo1U43/oLqLtFNIyiPGkBNlv6i5qElhkctkBxnntPk/h8s/bC7t0iwGudT&#10;jBTpoEafIGtEbSRHWRoz1BtXQeCDubdBozN3mn51SOlFC3H8xlrdt5ww4JWFjCZnB4Lh4Cha9+81&#10;A3yy9Toma9/YLgBCGtA+1uTxuSZ87xGFj9l4PJ5gRMEzbAM+qY5HjXX+LdcdCpsaW6Aeocnuzvkh&#10;9BgSqWsp2EpIGQ27WS+kRTsSmiO9zReLyB4UnoZJFYKVDscGxOELMIQ7gi9wjcX+XmZ5AUDlaHU5&#10;m46KVTEZldN0Nkqz8ra8TIuyWK5+BIJZUbWCMa7uhOLHxsuKvyvsYQSGlomth/oal5N8ErWfsXfn&#10;IlP4/UlkJzzMoRRdjWch5jAZoapvFAPZpPJEyGGfnNOPBYEcHP9jVmIPhLKHUXTVWrNHaAGroUgw&#10;h/BiwKbV9gmjHqavxu7blliOkXynoI3KrCjCuEajmExzMOypZ33qIYoCVI09RsN24YcR3xorNi3c&#10;lMXEKH0DrdeI2BgvrA4NCxMWFRxegzDCp3aMenmz5j8BAAD//wMAUEsDBBQABgAIAAAAIQDBpOKY&#10;4QAAAAsBAAAPAAAAZHJzL2Rvd25yZXYueG1sTI/BTsMwEETvSPyDtUjcqE1StSTEqRASQhSpUkp7&#10;4ObGJg7E6xC7afh7tie4zWifZmeK1eQ6NpohtB4l3M4EMIO11y02EnZvTzd3wEJUqFXn0Uj4MQFW&#10;5eVFoXLtT1iZcRsbRiEYciXBxtjnnIfaGqfCzPcG6fbhB6ci2aHhelAnCncdT4RYcKdapA9W9ebR&#10;mvpre3QS9Jis7btIqlQ9b15fqu9s/bnPpLy+mh7ugUUzxT8YzvWpOpTU6eCPqAPryKdJSiiJxTID&#10;dibS+RzYgcRSCOBlwf9vKH8BAAD//wMAUEsBAi0AFAAGAAgAAAAhALaDOJL+AAAA4QEAABMAAAAA&#10;AAAAAAAAAAAAAAAAAFtDb250ZW50X1R5cGVzXS54bWxQSwECLQAUAAYACAAAACEAOP0h/9YAAACU&#10;AQAACwAAAAAAAAAAAAAAAAAvAQAAX3JlbHMvLnJlbHNQSwECLQAUAAYACAAAACEAEZtjn3oCAAD7&#10;BAAADgAAAAAAAAAAAAAAAAAuAgAAZHJzL2Uyb0RvYy54bWxQSwECLQAUAAYACAAAACEAwaTimOEA&#10;AAALAQAADwAAAAAAAAAAAAAAAADUBAAAZHJzL2Rvd25yZXYueG1sUEsFBgAAAAAEAAQA8wAAAOIF&#10;AAAAAA==&#10;" o:allowincell="f" fillcolor="#00b2cc" stroked="f">
                <w10:wrap anchorx="page" anchory="page"/>
              </v:rect>
            </w:pict>
          </mc:Fallback>
        </mc:AlternateContent>
      </w:r>
      <w:r>
        <w:rPr>
          <w:noProof/>
        </w:rPr>
        <mc:AlternateContent>
          <mc:Choice Requires="wps">
            <w:drawing>
              <wp:anchor distT="0" distB="0" distL="114300" distR="114300" simplePos="0" relativeHeight="251759616" behindDoc="1" locked="0" layoutInCell="0" allowOverlap="1">
                <wp:simplePos x="0" y="0"/>
                <wp:positionH relativeFrom="page">
                  <wp:posOffset>847725</wp:posOffset>
                </wp:positionH>
                <wp:positionV relativeFrom="page">
                  <wp:posOffset>1179195</wp:posOffset>
                </wp:positionV>
                <wp:extent cx="13335" cy="13335"/>
                <wp:effectExtent l="0" t="0" r="0" b="0"/>
                <wp:wrapNone/>
                <wp:docPr id="26"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A1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6" style="position:absolute;margin-left:66.75pt;margin-top:92.85pt;width:1.05pt;height:1.05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1fgIAAPsEAAAOAAAAZHJzL2Uyb0RvYy54bWysVNtuEzEQfUfiHyy/p3vpJs2uuqnStEFI&#10;BSoKH+DY3qyF1za2k02L+HfG3iQkwANC5MHx7IyPz8yc8fXNrpNoy60TWtU4u0gx4opqJtS6xp8/&#10;LUdTjJwnihGpFa/xM3f4Zvb61XVvKp7rVkvGLQIQ5are1Lj13lRJ4mjLO+IutOEKnI22HfFg2nXC&#10;LOkBvZNJnqaTpNeWGaspdw6+3g1OPIv4TcOp/9A0jnskawzcfFxtXFdhTWbXpFpbYlpB9zTIP7Do&#10;iFBw6RHqjniCNlb8BtUJarXTjb+gukt00wjKYw6QTZb+ks1TSwyPuUBxnDmWyf0/WPp++2iRYDXO&#10;Jxgp0kGPPkLViFpLjrI0CxXqjasg8Mk82pCjMw+afnFI6UULcXxure5bThjwivHJ2YFgODiKVv07&#10;zQCfbLyOxdo1tguAUAa0iz15PvaE7zyi8DG7vLwcY0TBM2yBT0Kqw1FjnX/DdYfCpsYWqEdosn1w&#10;fgg9hETqWgq2FFJGw65XC2nRlgRxpPOsvA/ZAro7DZMqBCsdjg3u4QswhDuCL3CNzf5WZnmR3ubl&#10;aDmZXo2KZTEelVfpdJRm5W05SYuyuFt+DwSzomoFY1w9CMUPwsuKv2vsfgQGyUTpob7G5Tgfx9zP&#10;2LvzJFP4/SnJTniYQym6Gk9DzH4yQlfvFYO0SeWJkMM+OacfSwY1OPzHqkQNhLYP8llp9gwSsBqa&#10;BHMILwZsWm1fMOph+mrsvm6I5RjJtwpkVGZFEcY1GsX4KgfDnnpWpx6iKEDV2GM0bBd+GPGNsWLd&#10;wk1ZLIzSc5BeI6IwgiwHVsA7GDBhMYP9axBG+NSOUT/frNkPAAAA//8DAFBLAwQUAAYACAAAACEA&#10;9JRMAd0AAAALAQAADwAAAGRycy9kb3ducmV2LnhtbEyPzU7DMBCE70i8g7VI3KjTRmmiEKdCoAqJ&#10;E7R9ADd2kwh7HdnOD2/P5gS3nZ3R7LfVYbGGTdqH3qGA7SYBprFxqsdWwOV8fCqAhShRSeNQC/jR&#10;AQ71/V0lS+Vm/NLTKbaMSjCUUkAX41ByHppOWxk2btBI3s15KyNJ33Ll5Uzl1vBdkuy5lT3ShU4O&#10;+rXTzfdptAJ208fbePHLTO77Np+Go7x9GiEeH5aXZ2BRL/EvDCs+oUNNTFc3ogrMkE7TjKI0FFkO&#10;bE2k2R7Ydd3kBfC64v9/qH8BAAD//wMAUEsBAi0AFAAGAAgAAAAhALaDOJL+AAAA4QEAABMAAAAA&#10;AAAAAAAAAAAAAAAAAFtDb250ZW50X1R5cGVzXS54bWxQSwECLQAUAAYACAAAACEAOP0h/9YAAACU&#10;AQAACwAAAAAAAAAAAAAAAAAvAQAAX3JlbHMvLnJlbHNQSwECLQAUAAYACAAAACEAA/82tX4CAAD7&#10;BAAADgAAAAAAAAAAAAAAAAAuAgAAZHJzL2Uyb0RvYy54bWxQSwECLQAUAAYACAAAACEA9JRMAd0A&#10;AAALAQAADwAAAAAAAAAAAAAAAADYBAAAZHJzL2Rvd25yZXYueG1sUEsFBgAAAAAEAAQA8wAAAOIF&#10;AAAAAA==&#10;" o:allowincell="f" fillcolor="#00a19e" stroked="f">
                <w10:wrap anchorx="page" anchory="page"/>
              </v:rect>
            </w:pict>
          </mc:Fallback>
        </mc:AlternateContent>
      </w:r>
      <w:r>
        <w:rPr>
          <w:noProof/>
        </w:rPr>
        <mc:AlternateContent>
          <mc:Choice Requires="wps">
            <w:drawing>
              <wp:anchor distT="0" distB="0" distL="114300" distR="114300" simplePos="0" relativeHeight="251760640" behindDoc="1" locked="0" layoutInCell="0" allowOverlap="1">
                <wp:simplePos x="0" y="0"/>
                <wp:positionH relativeFrom="page">
                  <wp:posOffset>866140</wp:posOffset>
                </wp:positionH>
                <wp:positionV relativeFrom="page">
                  <wp:posOffset>1167765</wp:posOffset>
                </wp:positionV>
                <wp:extent cx="12700" cy="12700"/>
                <wp:effectExtent l="0" t="0" r="0" b="0"/>
                <wp:wrapNone/>
                <wp:docPr id="25"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A4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margin-left:68.2pt;margin-top:91.95pt;width:1pt;height:1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ewIAAPsEAAAOAAAAZHJzL2Uyb0RvYy54bWysVNuO0zAQfUfiHyy/d3NRekm06artUoRU&#10;YMXCB7i201g4trHdpgvi3xk77dICDwjRB9eTGY/PzDnj27tjJ9GBWye0qnF2k2LEFdVMqF2NP31c&#10;j2YYOU8UI1IrXuMn7vDd/OWL295UPNetloxbBEmUq3pT49Z7UyWJoy3viLvRhitwNtp2xINpdwmz&#10;pIfsnUzyNJ0kvbbMWE25c/D1fnDieczfNJz6903juEeyxoDNx9XGdRvWZH5Lqp0lphX0BIP8A4qO&#10;CAWXPqe6J56gvRW/peoEtdrpxt9Q3SW6aQTlsQaoJkt/qeaxJYbHWqA5zjy3yf2/tPTd4cEiwWqc&#10;jzFSpAOOPkDXiNpJjrI0Dx3qjasg8NE82FCjMxtNPzuk9KqFOL6wVvctJwxwZSE+uToQDAdH0bZ/&#10;qxnkJ3uvY7OOje1CQmgDOkZOnp454UePKHzM8mkKxFHwDNuQn1Tno8Y6/5rrDoVNjS1Aj6nJYeP8&#10;EHoOidC1FGwtpIyG3W1X0qIDCeJIF8V4GdFDhZdhUoVgpcOxIePwBRDCHcEXsEayv5VZXqTLvByt&#10;J7PpqFgX41E5TWejNCuX5SQtyuJ+/T0AzIqqFYxxtRGKn4WXFX9H7GkEBslE6aG+xuUYKIx1XaJ3&#10;10Wm8PtTkZ3wMIdSdDWehZjTZARWXykGZZPKEyGHfXINPxICPTj/x65EDQTaB/lsNXsCCVgNJAGd&#10;8GLAptX2K0Y9TF+N3Zc9sRwj+UaBjMqsKMK4RqMYT3Mw7KVne+khikKqGnuMhu3KDyO+N1bsWrgp&#10;i41RegHSa0QURpDlgOokWJiwWMHpNQgjfGnHqJ9v1vwHAAAA//8DAFBLAwQUAAYACAAAACEAyr8i&#10;Vd8AAAALAQAADwAAAGRycy9kb3ducmV2LnhtbEyPzW6DMBCE75X6DtZG6q0xKW0EBBNF/ZGintK0&#10;Uq8GbwAFrxF2An37Lqf2tjM7mv023062E1ccfOtIwWoZgUCqnGmpVvD1+XafgPBBk9GdI1Twgx62&#10;xe1NrjPjRvrA6zHUgkvIZ1pBE0KfSemrBq32S9cj8e7kBqsDy6GWZtAjl9tOPkTRWlrdEl9odI/P&#10;DVbn48UqOB+mapfYsktX7/H4evreyxe9V+puMe02IAJO4S8MMz6jQ8FMpbuQ8aJjHa8fOcpDEqcg&#10;5kScsFPOzlMKssjl/x+KXwAAAP//AwBQSwECLQAUAAYACAAAACEAtoM4kv4AAADhAQAAEwAAAAAA&#10;AAAAAAAAAAAAAAAAW0NvbnRlbnRfVHlwZXNdLnhtbFBLAQItABQABgAIAAAAIQA4/SH/1gAAAJQB&#10;AAALAAAAAAAAAAAAAAAAAC8BAABfcmVscy8ucmVsc1BLAQItABQABgAIAAAAIQAbx+eQewIAAPsE&#10;AAAOAAAAAAAAAAAAAAAAAC4CAABkcnMvZTJvRG9jLnhtbFBLAQItABQABgAIAAAAIQDKvyJV3wAA&#10;AAsBAAAPAAAAAAAAAAAAAAAAANUEAABkcnMvZG93bnJldi54bWxQSwUGAAAAAAQABADzAAAA4QUA&#10;AAAA&#10;" o:allowincell="f" fillcolor="#00a45b" stroked="f">
                <w10:wrap anchorx="page" anchory="page"/>
              </v:rect>
            </w:pict>
          </mc:Fallback>
        </mc:AlternateContent>
      </w:r>
      <w:r>
        <w:rPr>
          <w:noProof/>
        </w:rPr>
        <w:drawing>
          <wp:anchor distT="0" distB="0" distL="114300" distR="114300" simplePos="0" relativeHeight="251761664" behindDoc="1" locked="0" layoutInCell="0" allowOverlap="1">
            <wp:simplePos x="0" y="0"/>
            <wp:positionH relativeFrom="page">
              <wp:posOffset>0</wp:posOffset>
            </wp:positionH>
            <wp:positionV relativeFrom="page">
              <wp:posOffset>0</wp:posOffset>
            </wp:positionV>
            <wp:extent cx="7315200" cy="960120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28"/>
          <w:szCs w:val="28"/>
        </w:rPr>
        <w:t>Our Commitment to Sustainability is Making P&amp;G a Stronger Company</w:t>
      </w:r>
    </w:p>
    <w:p w:rsidR="00000000" w:rsidRDefault="0057438D">
      <w:pPr>
        <w:pStyle w:val="DefaultParagraphFont"/>
        <w:widowControl w:val="0"/>
        <w:autoSpaceDE w:val="0"/>
        <w:autoSpaceDN w:val="0"/>
        <w:adjustRightInd w:val="0"/>
        <w:spacing w:after="0" w:line="12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12" w:lineRule="auto"/>
        <w:ind w:right="40"/>
        <w:rPr>
          <w:rFonts w:ascii="Times New Roman" w:hAnsi="Times New Roman" w:cs="Times New Roman"/>
          <w:sz w:val="24"/>
          <w:szCs w:val="24"/>
        </w:rPr>
      </w:pPr>
      <w:r>
        <w:rPr>
          <w:rFonts w:ascii="Arial" w:hAnsi="Arial" w:cs="Arial"/>
          <w:color w:val="9DDAEB"/>
          <w:sz w:val="20"/>
          <w:szCs w:val="20"/>
        </w:rPr>
        <w:t>P&amp;G’s commitment to sustainability is clear. We have sustainability leaders in all areas of the business and across all of our key brands who are</w:t>
      </w:r>
      <w:r>
        <w:rPr>
          <w:rFonts w:ascii="Arial" w:hAnsi="Arial" w:cs="Arial"/>
          <w:color w:val="9DDAEB"/>
          <w:sz w:val="20"/>
          <w:szCs w:val="20"/>
        </w:rPr>
        <w:t xml:space="preserve"> developing innovative solutions on packaging, materials, ingredients and in our supply chain. We have established a long-term sustainability vision and goals for</w:t>
      </w:r>
    </w:p>
    <w:p w:rsidR="00000000" w:rsidRDefault="0057438D">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18" w:lineRule="auto"/>
        <w:ind w:firstLine="544"/>
        <w:rPr>
          <w:rFonts w:ascii="Times New Roman" w:hAnsi="Times New Roman" w:cs="Times New Roman"/>
          <w:sz w:val="24"/>
          <w:szCs w:val="24"/>
        </w:rPr>
      </w:pPr>
      <w:r>
        <w:rPr>
          <w:rFonts w:ascii="Arial" w:hAnsi="Arial" w:cs="Arial"/>
          <w:color w:val="9DDAEB"/>
          <w:sz w:val="20"/>
          <w:szCs w:val="20"/>
        </w:rPr>
        <w:t>to ensure we are making measurable progress. Our</w:t>
      </w:r>
      <w:r>
        <w:rPr>
          <w:rFonts w:ascii="Arial" w:hAnsi="Arial" w:cs="Arial"/>
          <w:color w:val="9DDAEB"/>
          <w:sz w:val="20"/>
          <w:szCs w:val="20"/>
        </w:rPr>
        <w:t xml:space="preserve"> innovation capabilities and the global reach of our brands present us with an opportunity and an obligation to address environmental and social issues consumers care about today, and the challenges we all will face in the future. Our focus on sustainabili</w:t>
      </w:r>
      <w:r>
        <w:rPr>
          <w:rFonts w:ascii="Arial" w:hAnsi="Arial" w:cs="Arial"/>
          <w:color w:val="9DDAEB"/>
          <w:sz w:val="20"/>
          <w:szCs w:val="20"/>
        </w:rPr>
        <w:t>ty is making P&amp;G stronger, delivering value for consumers, customers and shareowners.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1520" w:h="15120"/>
          <w:pgMar w:top="1440" w:right="960" w:bottom="680" w:left="1080" w:header="720" w:footer="720" w:gutter="0"/>
          <w:cols w:space="720" w:equalWidth="0">
            <w:col w:w="94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4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09" w:lineRule="auto"/>
        <w:rPr>
          <w:rFonts w:ascii="Times New Roman" w:hAnsi="Times New Roman" w:cs="Times New Roman"/>
          <w:sz w:val="24"/>
          <w:szCs w:val="24"/>
        </w:rPr>
      </w:pPr>
      <w:r>
        <w:rPr>
          <w:rFonts w:ascii="Arial" w:hAnsi="Arial" w:cs="Arial"/>
          <w:b/>
          <w:bCs/>
          <w:color w:val="FFFFFF"/>
          <w:sz w:val="18"/>
          <w:szCs w:val="18"/>
        </w:rPr>
        <w:t>P&amp;G’s environmental efforts are focused on conserving resources, using renewable resources, and finding innovative ways to recycle or reu</w:t>
      </w:r>
      <w:r>
        <w:rPr>
          <w:rFonts w:ascii="Arial" w:hAnsi="Arial" w:cs="Arial"/>
          <w:b/>
          <w:bCs/>
          <w:color w:val="FFFFFF"/>
          <w:sz w:val="18"/>
          <w:szCs w:val="18"/>
        </w:rPr>
        <w:t>se waste.</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99"/>
          <w:szCs w:val="99"/>
        </w:rPr>
        <w:t>+</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40"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70" w:lineRule="auto"/>
        <w:ind w:left="880"/>
        <w:rPr>
          <w:rFonts w:ascii="Times New Roman" w:hAnsi="Times New Roman" w:cs="Times New Roman"/>
          <w:sz w:val="24"/>
          <w:szCs w:val="24"/>
        </w:rPr>
      </w:pPr>
      <w:r>
        <w:rPr>
          <w:rFonts w:ascii="Arial" w:hAnsi="Arial" w:cs="Arial"/>
          <w:b/>
          <w:bCs/>
          <w:color w:val="FFFFFF"/>
          <w:sz w:val="20"/>
          <w:szCs w:val="20"/>
        </w:rPr>
        <w:t>P&amp;G’s social responsibility efforts are focused on improving health and hygiene and sharing the comforts of home for people in need.</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440" w:right="1240" w:bottom="680" w:left="1440" w:header="720" w:footer="720" w:gutter="0"/>
          <w:cols w:num="2" w:space="460" w:equalWidth="0">
            <w:col w:w="3760" w:space="460"/>
            <w:col w:w="462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6"/>
          <w:szCs w:val="16"/>
        </w:rPr>
        <w:t>WORTH FROM WASTE</w:t>
      </w:r>
    </w:p>
    <w:p w:rsidR="00000000" w:rsidRDefault="0057438D">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5" w:lineRule="auto"/>
        <w:ind w:right="120"/>
        <w:rPr>
          <w:rFonts w:ascii="Times New Roman" w:hAnsi="Times New Roman" w:cs="Times New Roman"/>
          <w:sz w:val="24"/>
          <w:szCs w:val="24"/>
        </w:rPr>
      </w:pPr>
      <w:r>
        <w:rPr>
          <w:rFonts w:ascii="Arial" w:hAnsi="Arial" w:cs="Arial"/>
          <w:color w:val="FFFFFF"/>
          <w:sz w:val="16"/>
          <w:szCs w:val="16"/>
        </w:rPr>
        <w:t>Seven years ago, we launched our Global Asset Recovery Purchases (GARP) program, which has the broad aim of reducing waste and finding use for non-performing inventory. Since then, the program has created more than $ . billion in value through cost savings</w:t>
      </w:r>
      <w:r>
        <w:rPr>
          <w:rFonts w:ascii="Arial" w:hAnsi="Arial" w:cs="Arial"/>
          <w:color w:val="FFFFFF"/>
          <w:sz w:val="16"/>
          <w:szCs w:val="16"/>
        </w:rPr>
        <w:t xml:space="preserve"> and revenue. At the same time, it has kept a quarter of a million tons of materials out of landfills and put them to worthwhile use.</w:t>
      </w:r>
    </w:p>
    <w:p w:rsidR="00000000" w:rsidRDefault="0057438D">
      <w:pPr>
        <w:pStyle w:val="DefaultParagraphFont"/>
        <w:widowControl w:val="0"/>
        <w:autoSpaceDE w:val="0"/>
        <w:autoSpaceDN w:val="0"/>
        <w:adjustRightInd w:val="0"/>
        <w:spacing w:after="0" w:line="195"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6"/>
          <w:szCs w:val="16"/>
        </w:rPr>
        <w:t>LIQUID LAUNDRY COMPACTION</w:t>
      </w:r>
    </w:p>
    <w:p w:rsidR="00000000" w:rsidRDefault="0057438D">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5" w:lineRule="auto"/>
        <w:rPr>
          <w:rFonts w:ascii="Times New Roman" w:hAnsi="Times New Roman" w:cs="Times New Roman"/>
          <w:sz w:val="24"/>
          <w:szCs w:val="24"/>
        </w:rPr>
      </w:pPr>
      <w:r>
        <w:rPr>
          <w:rFonts w:ascii="Arial" w:hAnsi="Arial" w:cs="Arial"/>
          <w:color w:val="FFFFFF"/>
          <w:sz w:val="16"/>
          <w:szCs w:val="16"/>
        </w:rPr>
        <w:t>This year, P&amp;G committed to % less water in every dose of P&amp;G liquid laundry detergents sold i</w:t>
      </w:r>
      <w:r>
        <w:rPr>
          <w:rFonts w:ascii="Arial" w:hAnsi="Arial" w:cs="Arial"/>
          <w:color w:val="FFFFFF"/>
          <w:sz w:val="16"/>
          <w:szCs w:val="16"/>
        </w:rPr>
        <w:t>n North America by . This means less plastic, water and energy used to make, pack and ship products, and fewer delivery trucks on the road. When we moved to a x-concentrated formula in , we reduced plastic use by more than %, reduced water use by % and inc</w:t>
      </w:r>
      <w:r>
        <w:rPr>
          <w:rFonts w:ascii="Arial" w:hAnsi="Arial" w:cs="Arial"/>
          <w:color w:val="FFFFFF"/>
          <w:sz w:val="16"/>
          <w:szCs w:val="16"/>
        </w:rPr>
        <w:t>reased truck capacity by %. In addition to the manufacturing and shipping savings, consumers rewarded us with increased sales.</w:t>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6"/>
          <w:szCs w:val="16"/>
        </w:rPr>
        <w:t>CHILDREN’S SAFE DRINKING WATER (CSDW)</w:t>
      </w:r>
    </w:p>
    <w:p w:rsidR="00000000" w:rsidRDefault="0057438D">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337" w:lineRule="auto"/>
        <w:rPr>
          <w:rFonts w:ascii="Times New Roman" w:hAnsi="Times New Roman" w:cs="Times New Roman"/>
          <w:sz w:val="24"/>
          <w:szCs w:val="24"/>
        </w:rPr>
      </w:pPr>
      <w:r>
        <w:rPr>
          <w:rFonts w:ascii="Arial" w:hAnsi="Arial" w:cs="Arial"/>
          <w:color w:val="FFFFFF"/>
          <w:sz w:val="16"/>
          <w:szCs w:val="16"/>
        </w:rPr>
        <w:t>Our CSDW program, soon marking years in operation, has provided more than seven billion liters of clean drinking water to those in greatest need. The program has helped save an estimated , lives, as drinking contaminated water is a primary cause of death a</w:t>
      </w:r>
      <w:r>
        <w:rPr>
          <w:rFonts w:ascii="Arial" w:hAnsi="Arial" w:cs="Arial"/>
          <w:color w:val="FFFFFF"/>
          <w:sz w:val="16"/>
          <w:szCs w:val="16"/>
        </w:rPr>
        <w:t>nd illness in developing countries.</w:t>
      </w:r>
    </w:p>
    <w:p w:rsidR="00000000" w:rsidRDefault="0057438D">
      <w:pPr>
        <w:pStyle w:val="DefaultParagraphFont"/>
        <w:widowControl w:val="0"/>
        <w:autoSpaceDE w:val="0"/>
        <w:autoSpaceDN w:val="0"/>
        <w:adjustRightInd w:val="0"/>
        <w:spacing w:after="0" w:line="191"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6"/>
          <w:szCs w:val="16"/>
        </w:rPr>
        <w:t>DISASTER RELIEF</w:t>
      </w:r>
    </w:p>
    <w:p w:rsidR="00000000" w:rsidRDefault="0057438D">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57438D">
      <w:pPr>
        <w:pStyle w:val="DefaultParagraphFont"/>
        <w:widowControl w:val="0"/>
        <w:overflowPunct w:val="0"/>
        <w:autoSpaceDE w:val="0"/>
        <w:autoSpaceDN w:val="0"/>
        <w:adjustRightInd w:val="0"/>
        <w:spacing w:after="0" w:line="293" w:lineRule="auto"/>
        <w:ind w:right="40"/>
        <w:rPr>
          <w:rFonts w:ascii="Times New Roman" w:hAnsi="Times New Roman" w:cs="Times New Roman"/>
          <w:sz w:val="24"/>
          <w:szCs w:val="24"/>
        </w:rPr>
      </w:pPr>
      <w:r>
        <w:rPr>
          <w:rFonts w:ascii="Arial" w:hAnsi="Arial" w:cs="Arial"/>
          <w:color w:val="FFFFFF"/>
          <w:sz w:val="16"/>
          <w:szCs w:val="16"/>
        </w:rPr>
        <w:t>P&amp;G’s global disaster relief programs provide daily essential products from brands such as Tide</w:t>
      </w:r>
      <w:r>
        <w:rPr>
          <w:rFonts w:ascii="Arial" w:hAnsi="Arial" w:cs="Arial"/>
          <w:color w:val="FFFFFF"/>
          <w:sz w:val="24"/>
          <w:szCs w:val="24"/>
          <w:vertAlign w:val="superscript"/>
        </w:rPr>
        <w:t>*</w:t>
      </w:r>
      <w:r>
        <w:rPr>
          <w:rFonts w:ascii="Arial" w:hAnsi="Arial" w:cs="Arial"/>
          <w:color w:val="FFFFFF"/>
          <w:sz w:val="16"/>
          <w:szCs w:val="16"/>
        </w:rPr>
        <w:t>, Pampers</w:t>
      </w:r>
      <w:r>
        <w:rPr>
          <w:rFonts w:ascii="Arial" w:hAnsi="Arial" w:cs="Arial"/>
          <w:color w:val="FFFFFF"/>
          <w:sz w:val="24"/>
          <w:szCs w:val="24"/>
          <w:vertAlign w:val="superscript"/>
        </w:rPr>
        <w:t>*</w:t>
      </w:r>
      <w:r>
        <w:rPr>
          <w:rFonts w:ascii="Arial" w:hAnsi="Arial" w:cs="Arial"/>
          <w:color w:val="FFFFFF"/>
          <w:sz w:val="16"/>
          <w:szCs w:val="16"/>
        </w:rPr>
        <w:t>, Duracell</w:t>
      </w:r>
      <w:r>
        <w:rPr>
          <w:rFonts w:ascii="Arial" w:hAnsi="Arial" w:cs="Arial"/>
          <w:color w:val="FFFFFF"/>
          <w:sz w:val="24"/>
          <w:szCs w:val="24"/>
          <w:vertAlign w:val="superscript"/>
        </w:rPr>
        <w:t>*</w:t>
      </w:r>
      <w:r>
        <w:rPr>
          <w:rFonts w:ascii="Arial" w:hAnsi="Arial" w:cs="Arial"/>
          <w:color w:val="FFFFFF"/>
          <w:sz w:val="16"/>
          <w:szCs w:val="16"/>
        </w:rPr>
        <w:t>, and Pantene</w:t>
      </w:r>
      <w:r>
        <w:rPr>
          <w:rFonts w:ascii="Arial" w:hAnsi="Arial" w:cs="Arial"/>
          <w:color w:val="FFFFFF"/>
          <w:sz w:val="24"/>
          <w:szCs w:val="24"/>
          <w:vertAlign w:val="superscript"/>
        </w:rPr>
        <w:t>*</w:t>
      </w:r>
      <w:r>
        <w:rPr>
          <w:rFonts w:ascii="Arial" w:hAnsi="Arial" w:cs="Arial"/>
          <w:color w:val="FFFFFF"/>
          <w:sz w:val="16"/>
          <w:szCs w:val="16"/>
        </w:rPr>
        <w:t xml:space="preserve"> to help people in need when disaster strikes. In the past year, we hel</w:t>
      </w:r>
      <w:r>
        <w:rPr>
          <w:rFonts w:ascii="Arial" w:hAnsi="Arial" w:cs="Arial"/>
          <w:color w:val="FFFFFF"/>
          <w:sz w:val="16"/>
          <w:szCs w:val="16"/>
        </w:rPr>
        <w:t>ped families when they needed us most by responding with P&amp;G products and cash donations to nearly major disasters worldwide, including Typhoon Haiyan in the Philippines, massive flooding in the Balkans, and severe tornadoes in the U.S.</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440" w:right="1000" w:bottom="680" w:left="1080" w:header="720" w:footer="720" w:gutter="0"/>
          <w:cols w:num="2" w:space="480" w:equalWidth="0">
            <w:col w:w="4620" w:space="480"/>
            <w:col w:w="4340"/>
          </w:cols>
          <w:noEndnote/>
        </w:sectPr>
      </w:pPr>
    </w:p>
    <w:p w:rsidR="00000000" w:rsidRDefault="0057438D">
      <w:pPr>
        <w:pStyle w:val="DefaultParagraphFont"/>
        <w:widowControl w:val="0"/>
        <w:autoSpaceDE w:val="0"/>
        <w:autoSpaceDN w:val="0"/>
        <w:adjustRightInd w:val="0"/>
        <w:spacing w:after="0" w:line="37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8"/>
          <w:szCs w:val="18"/>
        </w:rPr>
        <w:t xml:space="preserve">Learn more at </w:t>
      </w:r>
      <w:r>
        <w:rPr>
          <w:rFonts w:ascii="Arial" w:hAnsi="Arial" w:cs="Arial"/>
          <w:b/>
          <w:bCs/>
          <w:color w:val="FFFFFF"/>
          <w:sz w:val="18"/>
          <w:szCs w:val="18"/>
        </w:rPr>
        <w:t>www.pg.com/sustainability</w:t>
      </w:r>
      <w:r>
        <w:rPr>
          <w:rFonts w:ascii="Arial" w:hAnsi="Arial" w:cs="Arial"/>
          <w:color w:val="FFFFFF"/>
          <w:sz w:val="18"/>
          <w:szCs w:val="18"/>
        </w:rPr>
        <w:t>.</w:t>
      </w:r>
    </w:p>
    <w:p w:rsidR="00000000" w:rsidRDefault="0057438D">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520" w:h="15120"/>
          <w:pgMar w:top="1440" w:right="6780" w:bottom="680" w:left="1080" w:header="720" w:footer="720" w:gutter="0"/>
          <w:cols w:space="480" w:equalWidth="0">
            <w:col w:w="3660" w:space="480"/>
          </w:cols>
          <w:noEndnote/>
        </w:sect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62688" behindDoc="1" locked="0" layoutInCell="0" allowOverlap="1">
            <wp:simplePos x="0" y="0"/>
            <wp:positionH relativeFrom="page">
              <wp:posOffset>0</wp:posOffset>
            </wp:positionH>
            <wp:positionV relativeFrom="page">
              <wp:posOffset>0</wp:posOffset>
            </wp:positionV>
            <wp:extent cx="7315200" cy="96012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57438D">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57438D">
      <w:pPr>
        <w:pStyle w:val="DefaultParagraphFont"/>
        <w:widowControl w:val="0"/>
        <w:tabs>
          <w:tab w:val="left" w:pos="400"/>
        </w:tabs>
        <w:autoSpaceDE w:val="0"/>
        <w:autoSpaceDN w:val="0"/>
        <w:adjustRightInd w:val="0"/>
        <w:spacing w:after="0" w:line="240" w:lineRule="auto"/>
        <w:rPr>
          <w:rFonts w:ascii="Times New Roman" w:hAnsi="Times New Roman" w:cs="Times New Roman"/>
          <w:sz w:val="24"/>
          <w:szCs w:val="24"/>
        </w:rPr>
      </w:pPr>
      <w:r>
        <w:rPr>
          <w:rFonts w:ascii="Arial" w:hAnsi="Arial" w:cs="Arial"/>
          <w:color w:val="006FBA"/>
          <w:sz w:val="14"/>
          <w:szCs w:val="14"/>
        </w:rPr>
        <w:t>©</w:t>
      </w:r>
      <w:r>
        <w:rPr>
          <w:rFonts w:ascii="Times New Roman" w:hAnsi="Times New Roman" w:cs="Times New Roman"/>
          <w:sz w:val="24"/>
          <w:szCs w:val="24"/>
        </w:rPr>
        <w:tab/>
      </w:r>
      <w:r>
        <w:rPr>
          <w:rFonts w:ascii="Arial" w:hAnsi="Arial" w:cs="Arial"/>
          <w:color w:val="006FBA"/>
          <w:sz w:val="12"/>
          <w:szCs w:val="12"/>
        </w:rPr>
        <w:t>Procter &amp; Gamble</w:t>
      </w:r>
    </w:p>
    <w:sectPr w:rsidR="00000000">
      <w:pgSz w:w="11520" w:h="15120"/>
      <w:pgMar w:top="1440" w:right="720" w:bottom="642" w:left="9380" w:header="720" w:footer="720" w:gutter="0"/>
      <w:cols w:space="720" w:equalWidth="0">
        <w:col w:w="142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39B3"/>
    <w:lvl w:ilvl="0" w:tplc="00002D12">
      <w:start w:val="10"/>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99"/>
    <w:multiLevelType w:val="hybridMultilevel"/>
    <w:tmpl w:val="00005F49"/>
    <w:lvl w:ilvl="0" w:tplc="00000DD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24"/>
    <w:multiLevelType w:val="hybridMultilevel"/>
    <w:tmpl w:val="00004CAD"/>
    <w:lvl w:ilvl="0" w:tplc="0000314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1EB"/>
    <w:multiLevelType w:val="hybridMultilevel"/>
    <w:tmpl w:val="000056AE"/>
    <w:lvl w:ilvl="0" w:tplc="0000073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BB3"/>
    <w:multiLevelType w:val="hybridMultilevel"/>
    <w:tmpl w:val="00000120"/>
    <w:lvl w:ilvl="0" w:tplc="0000759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F3E"/>
    <w:multiLevelType w:val="hybridMultilevel"/>
    <w:tmpl w:val="00003A9E"/>
    <w:lvl w:ilvl="0" w:tplc="0000797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12DB"/>
    <w:multiLevelType w:val="hybridMultilevel"/>
    <w:tmpl w:val="00004B40"/>
    <w:lvl w:ilvl="0" w:tplc="0000587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153C"/>
    <w:multiLevelType w:val="hybridMultilevel"/>
    <w:tmpl w:val="00006B36"/>
    <w:lvl w:ilvl="0" w:tplc="00005CF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1547"/>
    <w:multiLevelType w:val="hybridMultilevel"/>
    <w:tmpl w:val="000015A1"/>
    <w:lvl w:ilvl="0" w:tplc="000054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1649"/>
    <w:multiLevelType w:val="hybridMultilevel"/>
    <w:tmpl w:val="00007F96"/>
    <w:lvl w:ilvl="0" w:tplc="00007FF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18BE"/>
    <w:multiLevelType w:val="hybridMultilevel"/>
    <w:tmpl w:val="00006443"/>
    <w:lvl w:ilvl="0" w:tplc="000066B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26E9"/>
    <w:multiLevelType w:val="hybridMultilevel"/>
    <w:tmpl w:val="0000301C"/>
    <w:lvl w:ilvl="0" w:tplc="00000BD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2CD6"/>
    <w:multiLevelType w:val="hybridMultilevel"/>
    <w:tmpl w:val="00004509"/>
    <w:lvl w:ilvl="0" w:tplc="0000123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2EA6"/>
    <w:multiLevelType w:val="hybridMultilevel"/>
    <w:tmpl w:val="00002350"/>
    <w:lvl w:ilvl="0" w:tplc="000022E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305E"/>
    <w:multiLevelType w:val="hybridMultilevel"/>
    <w:tmpl w:val="00005E14"/>
    <w:lvl w:ilvl="0" w:tplc="00004DF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390C"/>
    <w:multiLevelType w:val="hybridMultilevel"/>
    <w:tmpl w:val="00005F32"/>
    <w:lvl w:ilvl="0" w:tplc="00003B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3D6C"/>
    <w:multiLevelType w:val="hybridMultilevel"/>
    <w:tmpl w:val="00007A5A"/>
    <w:lvl w:ilvl="0" w:tplc="0000767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41BB"/>
    <w:multiLevelType w:val="hybridMultilevel"/>
    <w:tmpl w:val="00006B89"/>
    <w:lvl w:ilvl="0" w:tplc="0000030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440D"/>
    <w:multiLevelType w:val="hybridMultilevel"/>
    <w:tmpl w:val="00004944"/>
    <w:lvl w:ilvl="0" w:tplc="00002E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4823"/>
    <w:multiLevelType w:val="hybridMultilevel"/>
    <w:tmpl w:val="0000074D"/>
    <w:lvl w:ilvl="0" w:tplc="00004DC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491C"/>
    <w:multiLevelType w:val="hybridMultilevel"/>
    <w:tmpl w:val="00001366"/>
    <w:lvl w:ilvl="0" w:tplc="00001CD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4AE1"/>
    <w:multiLevelType w:val="hybridMultilevel"/>
    <w:tmpl w:val="0000701F"/>
    <w:lvl w:ilvl="0" w:tplc="00005D0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4D06"/>
    <w:multiLevelType w:val="hybridMultilevel"/>
    <w:tmpl w:val="0000366B"/>
    <w:lvl w:ilvl="0" w:tplc="000066C4">
      <w:start w:val="1"/>
      <w:numFmt w:val="bullet"/>
      <w:lvlText w:val="+"/>
      <w:lvlJc w:val="left"/>
      <w:pPr>
        <w:tabs>
          <w:tab w:val="num" w:pos="720"/>
        </w:tabs>
        <w:ind w:left="720" w:hanging="360"/>
      </w:pPr>
    </w:lvl>
    <w:lvl w:ilvl="1" w:tplc="0000423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4DB7"/>
    <w:multiLevelType w:val="hybridMultilevel"/>
    <w:tmpl w:val="00007EB7"/>
    <w:lvl w:ilvl="0" w:tplc="00006032">
      <w:start w:val="86"/>
      <w:numFmt w:val="decimal"/>
      <w:lvlText w:val="%1"/>
      <w:lvlJc w:val="left"/>
      <w:pPr>
        <w:tabs>
          <w:tab w:val="num" w:pos="720"/>
        </w:tabs>
        <w:ind w:left="720" w:hanging="360"/>
      </w:pPr>
    </w:lvl>
    <w:lvl w:ilvl="1" w:tplc="00002C3B">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54DE"/>
    <w:multiLevelType w:val="hybridMultilevel"/>
    <w:tmpl w:val="00003EF6"/>
    <w:lvl w:ilvl="0" w:tplc="000008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5AF1"/>
    <w:multiLevelType w:val="hybridMultilevel"/>
    <w:tmpl w:val="00002213"/>
    <w:lvl w:ilvl="0" w:tplc="000026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5F90"/>
    <w:multiLevelType w:val="hybridMultilevel"/>
    <w:tmpl w:val="000063CB"/>
    <w:lvl w:ilvl="0" w:tplc="00006BF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6784"/>
    <w:multiLevelType w:val="hybridMultilevel"/>
    <w:tmpl w:val="0000428B"/>
    <w:lvl w:ilvl="0" w:tplc="000026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6952"/>
    <w:multiLevelType w:val="hybridMultilevel"/>
    <w:tmpl w:val="00006E5D"/>
    <w:lvl w:ilvl="0" w:tplc="00001AD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6DF1"/>
    <w:multiLevelType w:val="hybridMultilevel"/>
    <w:tmpl w:val="00004E45"/>
    <w:lvl w:ilvl="0" w:tplc="0000323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72AE"/>
    <w:multiLevelType w:val="hybridMultilevel"/>
    <w:tmpl w:val="00003B25"/>
    <w:lvl w:ilvl="0" w:tplc="00001E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7E87"/>
    <w:multiLevelType w:val="hybridMultilevel"/>
    <w:tmpl w:val="00003E12"/>
    <w:lvl w:ilvl="0" w:tplc="00001A49">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9"/>
  </w:num>
  <w:num w:numId="3">
    <w:abstractNumId w:val="10"/>
  </w:num>
  <w:num w:numId="4">
    <w:abstractNumId w:val="27"/>
  </w:num>
  <w:num w:numId="5">
    <w:abstractNumId w:val="21"/>
  </w:num>
  <w:num w:numId="6">
    <w:abstractNumId w:val="16"/>
  </w:num>
  <w:num w:numId="7">
    <w:abstractNumId w:val="12"/>
  </w:num>
  <w:num w:numId="8">
    <w:abstractNumId w:val="30"/>
  </w:num>
  <w:num w:numId="9">
    <w:abstractNumId w:val="28"/>
  </w:num>
  <w:num w:numId="10">
    <w:abstractNumId w:val="26"/>
  </w:num>
  <w:num w:numId="11">
    <w:abstractNumId w:val="9"/>
  </w:num>
  <w:num w:numId="12">
    <w:abstractNumId w:val="29"/>
  </w:num>
  <w:num w:numId="13">
    <w:abstractNumId w:val="25"/>
  </w:num>
  <w:num w:numId="14">
    <w:abstractNumId w:val="17"/>
  </w:num>
  <w:num w:numId="15">
    <w:abstractNumId w:val="11"/>
  </w:num>
  <w:num w:numId="16">
    <w:abstractNumId w:val="3"/>
  </w:num>
  <w:num w:numId="17">
    <w:abstractNumId w:val="4"/>
  </w:num>
  <w:num w:numId="18">
    <w:abstractNumId w:val="13"/>
  </w:num>
  <w:num w:numId="19">
    <w:abstractNumId w:val="6"/>
  </w:num>
  <w:num w:numId="20">
    <w:abstractNumId w:val="7"/>
  </w:num>
  <w:num w:numId="21">
    <w:abstractNumId w:val="31"/>
  </w:num>
  <w:num w:numId="22">
    <w:abstractNumId w:val="15"/>
  </w:num>
  <w:num w:numId="23">
    <w:abstractNumId w:val="5"/>
  </w:num>
  <w:num w:numId="24">
    <w:abstractNumId w:val="1"/>
  </w:num>
  <w:num w:numId="25">
    <w:abstractNumId w:val="2"/>
  </w:num>
  <w:num w:numId="26">
    <w:abstractNumId w:val="14"/>
  </w:num>
  <w:num w:numId="27">
    <w:abstractNumId w:val="18"/>
  </w:num>
  <w:num w:numId="28">
    <w:abstractNumId w:val="20"/>
  </w:num>
  <w:num w:numId="29">
    <w:abstractNumId w:val="22"/>
  </w:num>
  <w:num w:numId="30">
    <w:abstractNumId w:val="23"/>
  </w:num>
  <w:num w:numId="31">
    <w:abstractNumId w:val="8"/>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38D"/>
    <w:rsid w:val="00574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53592</Words>
  <Characters>305475</Characters>
  <Application>Microsoft Office Word</Application>
  <DocSecurity>0</DocSecurity>
  <Lines>2545</Lines>
  <Paragraphs>716</Paragraphs>
  <ScaleCrop>false</ScaleCrop>
  <Company/>
  <LinksUpToDate>false</LinksUpToDate>
  <CharactersWithSpaces>358351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user</cp:lastModifiedBy>
  <cp:revision>2</cp:revision>
  <dcterms:created xsi:type="dcterms:W3CDTF">2015-04-14T20:53:00Z</dcterms:created>
  <dcterms:modified xsi:type="dcterms:W3CDTF">2015-04-14T20:53:00Z</dcterms:modified>
</cp:coreProperties>
</file>