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bookmarkStart w:id="0" w:name="_GoBack"/>
      <w:bookmarkEnd w:id="0"/>
      <w:r>
        <w:rPr>
          <w:noProof/>
        </w:rPr>
        <mc:AlternateContent>
          <mc:Choice Requires="wps">
            <w:drawing>
              <wp:anchor distT="0" distB="0" distL="114300" distR="114300" simplePos="0" relativeHeight="251658240" behindDoc="1" locked="0" layoutInCell="0" allowOverlap="1">
                <wp:simplePos x="0" y="0"/>
                <wp:positionH relativeFrom="page">
                  <wp:posOffset>0</wp:posOffset>
                </wp:positionH>
                <wp:positionV relativeFrom="page">
                  <wp:posOffset>0</wp:posOffset>
                </wp:positionV>
                <wp:extent cx="7772400" cy="10058400"/>
                <wp:effectExtent l="0" t="0" r="0" b="0"/>
                <wp:wrapNone/>
                <wp:docPr id="7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7B5C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margin-top:0;width:612pt;height:11in;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" o:allowincell="f" fillcolor="#7b5c39" stroked="f">
                <w10:wrap anchorx="page" anchory="page"/>
              </v:rect>
            </w:pict>
          </mc:Fallback>
        </mc:AlternateContent>
      </w:r>
      <w:r>
        <w:rPr>
          <w:noProof/>
        </w:rPr>
        <mc:AlternateContent>
          <mc:Choice Requires="wps">
            <w:drawing>
              <wp:anchor distT="0" distB="0" distL="114300" distR="114300" simplePos="0" relativeHeight="251659264" behindDoc="1" locked="0" layoutInCell="0" allowOverlap="1">
                <wp:simplePos x="0" y="0"/>
                <wp:positionH relativeFrom="page">
                  <wp:posOffset>914400</wp:posOffset>
                </wp:positionH>
                <wp:positionV relativeFrom="page">
                  <wp:posOffset>0</wp:posOffset>
                </wp:positionV>
                <wp:extent cx="0" cy="10058400"/>
                <wp:effectExtent l="0" t="0" r="0" b="0"/>
                <wp:wrapNone/>
                <wp:docPr id="6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762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0" to="1in,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" o:allowincell="f" strokeweight="6pt">
                <w10:wrap anchorx="page" anchory="page"/>
              </v:line>
            </w:pict>
          </mc:Fallback>
        </mc:AlternateConten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8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60"/>
          <w:szCs w:val="60"/>
        </w:rPr>
        <w:t>B</w:t>
      </w:r>
      <w:r>
        <w:rPr>
          <w:rFonts w:ascii="Times" w:hAnsi="Times" w:cs="Times"/>
          <w:b/>
          <w:bCs/>
          <w:sz w:val="37"/>
          <w:szCs w:val="37"/>
        </w:rPr>
        <w:t>ERKSHIRE</w:t>
      </w:r>
      <w:r>
        <w:rPr>
          <w:rFonts w:ascii="Times" w:hAnsi="Times" w:cs="Times"/>
          <w:b/>
          <w:bCs/>
          <w:sz w:val="60"/>
          <w:szCs w:val="60"/>
        </w:rPr>
        <w:t xml:space="preserve"> H</w:t>
      </w:r>
      <w:r>
        <w:rPr>
          <w:rFonts w:ascii="Times" w:hAnsi="Times" w:cs="Times"/>
          <w:b/>
          <w:bCs/>
          <w:sz w:val="37"/>
          <w:szCs w:val="37"/>
        </w:rPr>
        <w:t>ATHAWAY</w:t>
      </w:r>
      <w:r>
        <w:rPr>
          <w:rFonts w:ascii="Times" w:hAnsi="Times" w:cs="Times"/>
          <w:b/>
          <w:bCs/>
          <w:sz w:val="60"/>
          <w:szCs w:val="60"/>
        </w:rPr>
        <w:t xml:space="preserve"> </w:t>
      </w:r>
      <w:r>
        <w:rPr>
          <w:rFonts w:ascii="Times" w:hAnsi="Times" w:cs="Times"/>
          <w:b/>
          <w:bCs/>
          <w:sz w:val="28"/>
          <w:szCs w:val="28"/>
        </w:rPr>
        <w:t>INC.</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2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5400"/>
        <w:rPr>
          <w:rFonts w:ascii="Times New Roman" w:hAnsi="Times New Roman" w:cs="Times New Roman"/>
          <w:sz w:val="24"/>
          <w:szCs w:val="24"/>
        </w:rPr>
      </w:pPr>
      <w:r>
        <w:rPr>
          <w:rFonts w:ascii="Times" w:hAnsi="Times" w:cs="Times"/>
          <w:b/>
          <w:bCs/>
          <w:sz w:val="27"/>
          <w:szCs w:val="27"/>
        </w:rPr>
        <w:t>2014</w:t>
      </w:r>
    </w:p>
    <w:p w:rsidR="00000000" w:rsidRDefault="00A06965">
      <w:pPr>
        <w:pStyle w:val="DefaultParagraphFont"/>
        <w:widowControl w:val="0"/>
        <w:autoSpaceDE w:val="0"/>
        <w:autoSpaceDN w:val="0"/>
        <w:adjustRightInd w:val="0"/>
        <w:spacing w:after="0" w:line="5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b/>
          <w:bCs/>
          <w:sz w:val="27"/>
          <w:szCs w:val="27"/>
        </w:rPr>
        <w:t>ANNUAL REPORT</w:t>
      </w:r>
    </w:p>
    <w:p w:rsidR="00000000" w:rsidRDefault="00A06965">
      <w:pPr>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440" w:bottom="1440" w:left="2940" w:header="720" w:footer="720" w:gutter="0"/>
          <w:cols w:space="720" w:equalWidth="0">
            <w:col w:w="7860"/>
          </w:cols>
          <w:noEndnote/>
        </w:sect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2240" w:bottom="1440" w:left="0" w:header="720" w:footer="720" w:gutter="0"/>
          <w:cols w:space="720"/>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lastRenderedPageBreak/>
        <w:t>BERKSHIRE HATHAWAY INC.</w:t>
      </w:r>
    </w:p>
    <w:p w:rsidR="00000000" w:rsidRDefault="00A0696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2014 ANNUAL REPORT</w:t>
      </w:r>
    </w:p>
    <w:p w:rsidR="00000000" w:rsidRDefault="00A0696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TABLE OF CONTENTS</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8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Berkshire’</w:t>
      </w:r>
      <w:r>
        <w:rPr>
          <w:rFonts w:ascii="Times New Roman" w:hAnsi="Times New Roman" w:cs="Times New Roman"/>
          <w:sz w:val="18"/>
          <w:szCs w:val="18"/>
        </w:rPr>
        <w:t>s Performance vs. the S&amp;P 500 . . . . . . . . . . . . . . . . . . . . . . . . . . . . . . . . . . . . . . . . . . . . .    2</w:t>
      </w:r>
    </w:p>
    <w:p w:rsidR="00000000" w:rsidRDefault="00A06965">
      <w:pPr>
        <w:pStyle w:val="DefaultParagraphFont"/>
        <w:widowControl w:val="0"/>
        <w:autoSpaceDE w:val="0"/>
        <w:autoSpaceDN w:val="0"/>
        <w:adjustRightInd w:val="0"/>
        <w:spacing w:after="0" w:line="31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Chairman’s Letter* . . . . . . . . . . . . . . . . . . . . . . . . . . . . . . . . . . . . . . . . . . . . . . . . . . . . . . . .</w:t>
      </w:r>
      <w:r>
        <w:rPr>
          <w:rFonts w:ascii="Times New Roman" w:hAnsi="Times New Roman" w:cs="Times New Roman"/>
          <w:sz w:val="17"/>
          <w:szCs w:val="17"/>
        </w:rPr>
        <w:t xml:space="preserve"> . . . . . . . . . . .    3</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Acquisition Criteria . . . . . . . . . . . . . . . . . . . . . . . . . . . . . . . . . . . . . . . . . . . . . . . . . . . . . . . . . . . . . . . . . . .   23</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 xml:space="preserve">Berkshire – Past, Present and Future* . . . . . . . . . . . . . . </w:t>
      </w:r>
      <w:r>
        <w:rPr>
          <w:rFonts w:ascii="Times New Roman" w:hAnsi="Times New Roman" w:cs="Times New Roman"/>
          <w:sz w:val="18"/>
          <w:szCs w:val="18"/>
        </w:rPr>
        <w:t>. . . . . . . . . . . . . . . . . . . . . . . . . . . . . . . . . . .   24</w:t>
      </w:r>
    </w:p>
    <w:p w:rsidR="00000000" w:rsidRDefault="00A06965">
      <w:pPr>
        <w:pStyle w:val="DefaultParagraphFont"/>
        <w:widowControl w:val="0"/>
        <w:autoSpaceDE w:val="0"/>
        <w:autoSpaceDN w:val="0"/>
        <w:adjustRightInd w:val="0"/>
        <w:spacing w:after="0" w:line="31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Vice Chairman’s Thoughts – Past and Future . . . . . . . . . . . . . . . . . . . . . . . . . . . . . . . . . . . . . . . . . .   39</w:t>
      </w:r>
    </w:p>
    <w:p w:rsidR="00000000" w:rsidRDefault="00A06965">
      <w:pPr>
        <w:pStyle w:val="DefaultParagraphFont"/>
        <w:widowControl w:val="0"/>
        <w:autoSpaceDE w:val="0"/>
        <w:autoSpaceDN w:val="0"/>
        <w:adjustRightInd w:val="0"/>
        <w:spacing w:after="0" w:line="31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Business Activities . . . . . . . . . . . . . . . . . . . . . . . . . . . . . . . . . . . . . . . . . . . . . . . . . . . . . . . . . . . . . . . . . . .   45</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 xml:space="preserve">Selected Financial Data for the Past Five Years . . . . . . . . . . . . . . . . . . . . . . . . </w:t>
      </w:r>
      <w:r>
        <w:rPr>
          <w:rFonts w:ascii="Times New Roman" w:hAnsi="Times New Roman" w:cs="Times New Roman"/>
          <w:sz w:val="18"/>
          <w:szCs w:val="18"/>
        </w:rPr>
        <w:t>. . . . . . . . . . . . . . .   46</w:t>
      </w:r>
    </w:p>
    <w:p w:rsidR="00000000" w:rsidRDefault="00A06965">
      <w:pPr>
        <w:pStyle w:val="DefaultParagraphFont"/>
        <w:widowControl w:val="0"/>
        <w:autoSpaceDE w:val="0"/>
        <w:autoSpaceDN w:val="0"/>
        <w:adjustRightInd w:val="0"/>
        <w:spacing w:after="0" w:line="3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Management’s Report on Internal Control Over Financial Reporting . . . . . . . . . . . . . . . . . .   46</w:t>
      </w:r>
    </w:p>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 xml:space="preserve">Report of Independent Registered Public Accounting Firm . . . . . . . . . . . . . . . . . . . . . . . . . . . .  </w:t>
      </w:r>
      <w:r>
        <w:rPr>
          <w:rFonts w:ascii="Times New Roman" w:hAnsi="Times New Roman" w:cs="Times New Roman"/>
          <w:sz w:val="19"/>
          <w:szCs w:val="19"/>
        </w:rPr>
        <w:t xml:space="preserve"> 47</w:t>
      </w:r>
    </w:p>
    <w:p w:rsidR="00000000" w:rsidRDefault="00A06965">
      <w:pPr>
        <w:pStyle w:val="DefaultParagraphFont"/>
        <w:widowControl w:val="0"/>
        <w:autoSpaceDE w:val="0"/>
        <w:autoSpaceDN w:val="0"/>
        <w:adjustRightInd w:val="0"/>
        <w:spacing w:after="0" w:line="30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Consolidated Financial Statements . . . . . . . . . . . . . . . . . . . . . . . . . . . . . . . . . . . . . . . . . . . . . . . . . . . .   48</w:t>
      </w:r>
    </w:p>
    <w:p w:rsidR="00000000" w:rsidRDefault="00A06965">
      <w:pPr>
        <w:pStyle w:val="DefaultParagraphFont"/>
        <w:widowControl w:val="0"/>
        <w:autoSpaceDE w:val="0"/>
        <w:autoSpaceDN w:val="0"/>
        <w:adjustRightInd w:val="0"/>
        <w:spacing w:after="0" w:line="31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Management’s Discussion . . . . . . . . . . . . . . . . . . . . . . . . . . . . . . . . . . . . . . . . . .</w:t>
      </w:r>
      <w:r>
        <w:rPr>
          <w:rFonts w:ascii="Times New Roman" w:hAnsi="Times New Roman" w:cs="Times New Roman"/>
          <w:sz w:val="17"/>
          <w:szCs w:val="17"/>
        </w:rPr>
        <w:t xml:space="preserve"> . . . . . . . . . . . . . . . . . .   86</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Owner’s Manual . . . . . . . . . . . . . . . . . . . . . . . . . . . . . . . . . . . . . . . . . . . . . . . . . . . . . . . . . . . . . . . . . . . . . .  117</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 xml:space="preserve">Intrinsic Value . . . . . . . . . . . . . . . . . . </w:t>
      </w:r>
      <w:r>
        <w:rPr>
          <w:rFonts w:ascii="Times New Roman" w:hAnsi="Times New Roman" w:cs="Times New Roman"/>
          <w:sz w:val="17"/>
          <w:szCs w:val="17"/>
        </w:rPr>
        <w:t>. . . . . . . . . . . . . . . . . . . . . . . . . . . . . . . . . . . . . . . . . . . . . . . . . . . . . .  123</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 xml:space="preserve">Common Stock Data . . . . . . . . . . . . . . . . . . . . . . . . . . . . . . . . . . . . . . . . . . . . . . . . . . . . . . . . . . . . . . </w:t>
      </w:r>
      <w:r>
        <w:rPr>
          <w:rFonts w:ascii="Times New Roman" w:hAnsi="Times New Roman" w:cs="Times New Roman"/>
          <w:sz w:val="17"/>
          <w:szCs w:val="17"/>
        </w:rPr>
        <w:t>. . . .  124</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Operating Companies . . . . . . . . . . . . . . . . . . . . . . . . . . . . . . . . . . . . . . . . . . . . . . . . . . . . . . . . . . . . . . . . .  125</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Real Estate Brokerage Businesses . . . . . . . . . . . . . . . . . . . . . . . . . . . . . . . . . . . . . . . . . . . . . . . . . . . . .  126</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 xml:space="preserve">Daily Newspapers . . . . . . . . . . . . . . . . . . . . . . . . . . . . . . . . . . . . . . . . . . . . . . . </w:t>
      </w:r>
      <w:r>
        <w:rPr>
          <w:rFonts w:ascii="Times New Roman" w:hAnsi="Times New Roman" w:cs="Times New Roman"/>
          <w:sz w:val="17"/>
          <w:szCs w:val="17"/>
        </w:rPr>
        <w:t>. . . . . . . . . . . . . . . . . . . . .  127</w:t>
      </w:r>
    </w:p>
    <w:p w:rsidR="00000000" w:rsidRDefault="00A06965">
      <w:pPr>
        <w:pStyle w:val="DefaultParagraphFont"/>
        <w:widowControl w:val="0"/>
        <w:autoSpaceDE w:val="0"/>
        <w:autoSpaceDN w:val="0"/>
        <w:adjustRightInd w:val="0"/>
        <w:spacing w:after="0" w:line="32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9"/>
          <w:szCs w:val="19"/>
        </w:rPr>
        <w:t>Purchase Agreement for National Indemnity and National Fire &amp; Marine . . . . . . . . . . . . . .  128</w:t>
      </w:r>
    </w:p>
    <w:p w:rsidR="00000000" w:rsidRDefault="00A06965">
      <w:pPr>
        <w:pStyle w:val="DefaultParagraphFont"/>
        <w:widowControl w:val="0"/>
        <w:autoSpaceDE w:val="0"/>
        <w:autoSpaceDN w:val="0"/>
        <w:adjustRightInd w:val="0"/>
        <w:spacing w:after="0" w:line="30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7"/>
          <w:szCs w:val="17"/>
        </w:rPr>
        <w:t>1964 Annual Report . . . . . . . . . . . . . . . . . . . . . . . . . . . . . . . . . . . . . . . . . . . . . . . . . . . . . . . . . . . . . . . . . .  130</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 xml:space="preserve">Directors and Officers of the Company  . . . . . . . . . . . . . . . . . . . . . . . . . . . . . . </w:t>
      </w:r>
      <w:r>
        <w:rPr>
          <w:rFonts w:ascii="Times New Roman" w:hAnsi="Times New Roman" w:cs="Times New Roman"/>
          <w:sz w:val="18"/>
          <w:szCs w:val="18"/>
        </w:rPr>
        <w:t>. . .  Inside Back Cover</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*Copyright</w:t>
      </w:r>
      <w:r>
        <w:rPr>
          <w:rFonts w:ascii="Times New Roman" w:hAnsi="Times New Roman" w:cs="Times New Roman"/>
          <w:sz w:val="30"/>
          <w:szCs w:val="30"/>
          <w:vertAlign w:val="superscript"/>
        </w:rPr>
        <w:t>©</w:t>
      </w:r>
      <w:r>
        <w:rPr>
          <w:rFonts w:ascii="Times New Roman" w:hAnsi="Times New Roman" w:cs="Times New Roman"/>
          <w:sz w:val="20"/>
          <w:szCs w:val="20"/>
        </w:rPr>
        <w:t xml:space="preserve"> 2015 By Warren E. Buffett</w:t>
      </w:r>
    </w:p>
    <w:p w:rsidR="00000000" w:rsidRDefault="00A06965">
      <w:pPr>
        <w:pStyle w:val="DefaultParagraphFont"/>
        <w:widowControl w:val="0"/>
        <w:autoSpaceDE w:val="0"/>
        <w:autoSpaceDN w:val="0"/>
        <w:adjustRightInd w:val="0"/>
        <w:spacing w:after="0" w:line="188" w:lineRule="auto"/>
        <w:ind w:left="520"/>
        <w:rPr>
          <w:rFonts w:ascii="Times New Roman" w:hAnsi="Times New Roman" w:cs="Times New Roman"/>
          <w:sz w:val="24"/>
          <w:szCs w:val="24"/>
        </w:rPr>
      </w:pPr>
      <w:r>
        <w:rPr>
          <w:rFonts w:ascii="Times New Roman" w:hAnsi="Times New Roman" w:cs="Times New Roman"/>
          <w:sz w:val="20"/>
          <w:szCs w:val="20"/>
        </w:rPr>
        <w:t>All Rights Reserved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253" w:right="720" w:bottom="982" w:left="3980" w:header="720" w:footer="720" w:gutter="0"/>
          <w:cols w:space="720" w:equalWidth="0">
            <w:col w:w="7540"/>
          </w:cols>
          <w:noEndnote/>
        </w:sectPr>
      </w:pPr>
    </w:p>
    <w:p w:rsidR="00000000" w:rsidRDefault="00A06965">
      <w:pPr>
        <w:pStyle w:val="DefaultParagraphFont"/>
        <w:widowControl w:val="0"/>
        <w:autoSpaceDE w:val="0"/>
        <w:autoSpaceDN w:val="0"/>
        <w:adjustRightInd w:val="0"/>
        <w:spacing w:after="0" w:line="239" w:lineRule="auto"/>
        <w:ind w:left="3620"/>
        <w:rPr>
          <w:rFonts w:ascii="Times New Roman" w:hAnsi="Times New Roman" w:cs="Times New Roman"/>
          <w:sz w:val="24"/>
          <w:szCs w:val="24"/>
        </w:rPr>
      </w:pPr>
      <w:r>
        <w:rPr>
          <w:rFonts w:ascii="Times New Roman" w:hAnsi="Times New Roman" w:cs="Times New Roman"/>
          <w:b/>
          <w:bCs/>
          <w:sz w:val="20"/>
          <w:szCs w:val="20"/>
        </w:rPr>
        <w:t>Berkshire’s Performance vs. the S&amp;P 500</w:t>
      </w:r>
    </w:p>
    <w:p w:rsidR="00000000" w:rsidRDefault="00A06965">
      <w:pPr>
        <w:pStyle w:val="DefaultParagraphFont"/>
        <w:widowControl w:val="0"/>
        <w:autoSpaceDE w:val="0"/>
        <w:autoSpaceDN w:val="0"/>
        <w:adjustRightInd w:val="0"/>
        <w:spacing w:after="0" w:line="10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820"/>
        <w:gridCol w:w="1180"/>
        <w:gridCol w:w="500"/>
        <w:gridCol w:w="1340"/>
        <w:gridCol w:w="660"/>
        <w:gridCol w:w="1100"/>
      </w:tblGrid>
      <w:tr w:rsidR="00000000">
        <w:tblPrEx>
          <w:tblCellMar>
            <w:top w:w="0" w:type="dxa"/>
            <w:left w:w="0" w:type="dxa"/>
            <w:bottom w:w="0" w:type="dxa"/>
            <w:right w:w="0" w:type="dxa"/>
          </w:tblCellMar>
        </w:tblPrEx>
        <w:trPr>
          <w:trHeight w:val="207"/>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ind w:right="100"/>
              <w:jc w:val="center"/>
              <w:rPr>
                <w:rFonts w:ascii="Times New Roman" w:hAnsi="Times New Roman" w:cs="Times New Roman"/>
                <w:sz w:val="24"/>
                <w:szCs w:val="24"/>
              </w:rPr>
            </w:pPr>
            <w:r>
              <w:rPr>
                <w:rFonts w:ascii="Times New Roman" w:hAnsi="Times New Roman" w:cs="Times New Roman"/>
                <w:sz w:val="18"/>
                <w:szCs w:val="18"/>
              </w:rPr>
              <w:t>Annual Percentage Change</w:t>
            </w: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r>
      <w:tr w:rsidR="00000000">
        <w:tblPrEx>
          <w:tblCellMar>
            <w:top w:w="0" w:type="dxa"/>
            <w:left w:w="0" w:type="dxa"/>
            <w:bottom w:w="0" w:type="dxa"/>
            <w:right w:w="0" w:type="dxa"/>
          </w:tblCellMar>
        </w:tblPrEx>
        <w:trPr>
          <w:trHeight w:val="22"/>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3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8"/>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ind w:right="50"/>
              <w:jc w:val="right"/>
              <w:rPr>
                <w:rFonts w:ascii="Times New Roman" w:hAnsi="Times New Roman" w:cs="Times New Roman"/>
                <w:sz w:val="24"/>
                <w:szCs w:val="24"/>
              </w:rPr>
            </w:pPr>
            <w:r>
              <w:rPr>
                <w:rFonts w:ascii="Times New Roman" w:hAnsi="Times New Roman" w:cs="Times New Roman"/>
                <w:sz w:val="18"/>
                <w:szCs w:val="18"/>
              </w:rPr>
              <w:t>in Per-Share</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ind w:right="660"/>
              <w:jc w:val="center"/>
              <w:rPr>
                <w:rFonts w:ascii="Times New Roman" w:hAnsi="Times New Roman" w:cs="Times New Roman"/>
                <w:sz w:val="24"/>
                <w:szCs w:val="24"/>
              </w:rPr>
            </w:pPr>
            <w:r>
              <w:rPr>
                <w:rFonts w:ascii="Times New Roman" w:hAnsi="Times New Roman" w:cs="Times New Roman"/>
                <w:sz w:val="18"/>
                <w:szCs w:val="18"/>
              </w:rPr>
              <w:t>in Per-Share</w:t>
            </w: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jc w:val="center"/>
              <w:rPr>
                <w:rFonts w:ascii="Times New Roman" w:hAnsi="Times New Roman" w:cs="Times New Roman"/>
                <w:sz w:val="24"/>
                <w:szCs w:val="24"/>
              </w:rPr>
            </w:pPr>
            <w:r>
              <w:rPr>
                <w:rFonts w:ascii="Times New Roman" w:hAnsi="Times New Roman" w:cs="Times New Roman"/>
                <w:w w:val="99"/>
                <w:sz w:val="18"/>
                <w:szCs w:val="18"/>
              </w:rPr>
              <w:t>in S&amp;P 500</w:t>
            </w:r>
          </w:p>
        </w:tc>
      </w:tr>
      <w:tr w:rsidR="00000000">
        <w:tblPrEx>
          <w:tblCellMar>
            <w:top w:w="0" w:type="dxa"/>
            <w:left w:w="0" w:type="dxa"/>
            <w:bottom w:w="0" w:type="dxa"/>
            <w:right w:w="0" w:type="dxa"/>
          </w:tblCellMar>
        </w:tblPrEx>
        <w:trPr>
          <w:trHeight w:val="200"/>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New Roman" w:hAnsi="Times New Roman" w:cs="Times New Roman"/>
                <w:sz w:val="18"/>
                <w:szCs w:val="18"/>
              </w:rPr>
              <w:t>Book Value of</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660"/>
              <w:jc w:val="center"/>
              <w:rPr>
                <w:rFonts w:ascii="Times New Roman" w:hAnsi="Times New Roman" w:cs="Times New Roman"/>
                <w:sz w:val="24"/>
                <w:szCs w:val="24"/>
              </w:rPr>
            </w:pPr>
            <w:r>
              <w:rPr>
                <w:rFonts w:ascii="Times New Roman" w:hAnsi="Times New Roman" w:cs="Times New Roman"/>
                <w:w w:val="99"/>
                <w:sz w:val="18"/>
                <w:szCs w:val="18"/>
              </w:rPr>
              <w:t>Market Value of</w:t>
            </w: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center"/>
              <w:rPr>
                <w:rFonts w:ascii="Times New Roman" w:hAnsi="Times New Roman" w:cs="Times New Roman"/>
                <w:sz w:val="24"/>
                <w:szCs w:val="24"/>
              </w:rPr>
            </w:pPr>
            <w:r>
              <w:rPr>
                <w:rFonts w:ascii="Times New Roman" w:hAnsi="Times New Roman" w:cs="Times New Roman"/>
                <w:w w:val="99"/>
                <w:sz w:val="18"/>
                <w:szCs w:val="18"/>
              </w:rPr>
              <w:t>with Dividends</w:t>
            </w:r>
          </w:p>
        </w:tc>
      </w:tr>
      <w:tr w:rsidR="00000000">
        <w:tblPrEx>
          <w:tblCellMar>
            <w:top w:w="0" w:type="dxa"/>
            <w:left w:w="0" w:type="dxa"/>
            <w:bottom w:w="0" w:type="dxa"/>
            <w:right w:w="0" w:type="dxa"/>
          </w:tblCellMar>
        </w:tblPrEx>
        <w:trPr>
          <w:trHeight w:val="200"/>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rPr>
                <w:rFonts w:ascii="Times New Roman" w:hAnsi="Times New Roman" w:cs="Times New Roman"/>
                <w:sz w:val="24"/>
                <w:szCs w:val="24"/>
              </w:rPr>
            </w:pPr>
            <w:r>
              <w:rPr>
                <w:rFonts w:ascii="Times New Roman" w:hAnsi="Times New Roman" w:cs="Times New Roman"/>
                <w:sz w:val="18"/>
                <w:szCs w:val="18"/>
              </w:rPr>
              <w:t>Year</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130"/>
              <w:jc w:val="right"/>
              <w:rPr>
                <w:rFonts w:ascii="Times New Roman" w:hAnsi="Times New Roman" w:cs="Times New Roman"/>
                <w:sz w:val="24"/>
                <w:szCs w:val="24"/>
              </w:rPr>
            </w:pPr>
            <w:r>
              <w:rPr>
                <w:rFonts w:ascii="Times New Roman" w:hAnsi="Times New Roman" w:cs="Times New Roman"/>
                <w:sz w:val="18"/>
                <w:szCs w:val="18"/>
              </w:rPr>
              <w:t>Berkshire</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580"/>
              <w:jc w:val="center"/>
              <w:rPr>
                <w:rFonts w:ascii="Times New Roman" w:hAnsi="Times New Roman" w:cs="Times New Roman"/>
                <w:sz w:val="24"/>
                <w:szCs w:val="24"/>
              </w:rPr>
            </w:pPr>
            <w:r>
              <w:rPr>
                <w:rFonts w:ascii="Times New Roman" w:hAnsi="Times New Roman" w:cs="Times New Roman"/>
                <w:w w:val="99"/>
                <w:sz w:val="18"/>
                <w:szCs w:val="18"/>
              </w:rPr>
              <w:t>Berkshire</w:t>
            </w: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center"/>
              <w:rPr>
                <w:rFonts w:ascii="Times New Roman" w:hAnsi="Times New Roman" w:cs="Times New Roman"/>
                <w:sz w:val="24"/>
                <w:szCs w:val="24"/>
              </w:rPr>
            </w:pPr>
            <w:r>
              <w:rPr>
                <w:rFonts w:ascii="Times New Roman" w:hAnsi="Times New Roman" w:cs="Times New Roman"/>
                <w:w w:val="98"/>
                <w:sz w:val="18"/>
                <w:szCs w:val="18"/>
              </w:rPr>
              <w:t>Included</w:t>
            </w:r>
          </w:p>
        </w:tc>
      </w:tr>
      <w:tr w:rsidR="00000000">
        <w:tblPrEx>
          <w:tblCellMar>
            <w:top w:w="0" w:type="dxa"/>
            <w:left w:w="0" w:type="dxa"/>
            <w:bottom w:w="0" w:type="dxa"/>
            <w:right w:w="0" w:type="dxa"/>
          </w:tblCellMar>
        </w:tblPrEx>
        <w:trPr>
          <w:trHeight w:val="22"/>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3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5"/>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New Roman" w:hAnsi="Times New Roman" w:cs="Times New Roman"/>
                <w:w w:val="87"/>
                <w:sz w:val="18"/>
                <w:szCs w:val="18"/>
              </w:rPr>
              <w:t>1965 . . . . . . . . . . . . . . . . . . . . . . . . . . . . . . . . . . . . . . . . . . . . . . . . . . . . . . . . . . . . . . . . . . . . . .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ind w:right="210"/>
              <w:jc w:val="right"/>
              <w:rPr>
                <w:rFonts w:ascii="Times New Roman" w:hAnsi="Times New Roman" w:cs="Times New Roman"/>
                <w:sz w:val="24"/>
                <w:szCs w:val="24"/>
              </w:rPr>
            </w:pPr>
            <w:r>
              <w:rPr>
                <w:rFonts w:ascii="Times New Roman" w:hAnsi="Times New Roman" w:cs="Times New Roman"/>
                <w:sz w:val="18"/>
                <w:szCs w:val="18"/>
              </w:rPr>
              <w:t>23.8</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ind w:right="550"/>
              <w:jc w:val="right"/>
              <w:rPr>
                <w:rFonts w:ascii="Times New Roman" w:hAnsi="Times New Roman" w:cs="Times New Roman"/>
                <w:sz w:val="24"/>
                <w:szCs w:val="24"/>
              </w:rPr>
            </w:pPr>
            <w:r>
              <w:rPr>
                <w:rFonts w:ascii="Times New Roman" w:hAnsi="Times New Roman" w:cs="Times New Roman"/>
                <w:sz w:val="18"/>
                <w:szCs w:val="18"/>
              </w:rPr>
              <w:t>49.5</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ind w:right="230"/>
              <w:jc w:val="right"/>
              <w:rPr>
                <w:rFonts w:ascii="Times New Roman" w:hAnsi="Times New Roman" w:cs="Times New Roman"/>
                <w:sz w:val="24"/>
                <w:szCs w:val="24"/>
              </w:rPr>
            </w:pPr>
            <w:r>
              <w:rPr>
                <w:rFonts w:ascii="Times New Roman" w:hAnsi="Times New Roman" w:cs="Times New Roman"/>
                <w:sz w:val="18"/>
                <w:szCs w:val="18"/>
              </w:rPr>
              <w:t>10.0</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1966 . . . . . . . . . . . . . . . . . . . . . . . . . . . . . . . . . . . . . . . . . . . . . . . . . . . . . . . . . . . . . . . . . . . . . .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20.3</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490"/>
              <w:jc w:val="right"/>
              <w:rPr>
                <w:rFonts w:ascii="Times New Roman" w:hAnsi="Times New Roman" w:cs="Times New Roman"/>
                <w:sz w:val="24"/>
                <w:szCs w:val="24"/>
              </w:rPr>
            </w:pPr>
            <w:r>
              <w:rPr>
                <w:rFonts w:ascii="Times New Roman" w:hAnsi="Times New Roman" w:cs="Times New Roman"/>
                <w:sz w:val="18"/>
                <w:szCs w:val="18"/>
              </w:rPr>
              <w:t>(3.4)</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70"/>
              <w:jc w:val="right"/>
              <w:rPr>
                <w:rFonts w:ascii="Times New Roman" w:hAnsi="Times New Roman" w:cs="Times New Roman"/>
                <w:sz w:val="24"/>
                <w:szCs w:val="24"/>
              </w:rPr>
            </w:pPr>
            <w:r>
              <w:rPr>
                <w:rFonts w:ascii="Times New Roman" w:hAnsi="Times New Roman" w:cs="Times New Roman"/>
                <w:sz w:val="18"/>
                <w:szCs w:val="18"/>
              </w:rPr>
              <w:t>(11.7)</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1967 . . . . . . . . . . . . . . . . . . . . . . . . . . . . . . . . . . . . . . . . . . . . . . . . . . . . . . . . . . . . . . . . . . . . . .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11.0</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13.3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30.9</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1968 . . . . . . . . . . . . . . . . . . . . . . . . . . . . . . . . . . . . . . . . . . . . . . . . . . . . . . . . . . . . . . . . . . . . . .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19.0</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77.8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11.0</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1969 . . . . . . . . . . . . . . . . . . . . . . . . . . . . . . .</w:t>
            </w:r>
            <w:r>
              <w:rPr>
                <w:rFonts w:ascii="Times New Roman" w:hAnsi="Times New Roman" w:cs="Times New Roman"/>
                <w:w w:val="87"/>
                <w:sz w:val="18"/>
                <w:szCs w:val="18"/>
              </w:rPr>
              <w:t xml:space="preserve">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16.2</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19.4</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70"/>
              <w:jc w:val="right"/>
              <w:rPr>
                <w:rFonts w:ascii="Times New Roman" w:hAnsi="Times New Roman" w:cs="Times New Roman"/>
                <w:sz w:val="24"/>
                <w:szCs w:val="24"/>
              </w:rPr>
            </w:pPr>
            <w:r>
              <w:rPr>
                <w:rFonts w:ascii="Times New Roman" w:hAnsi="Times New Roman" w:cs="Times New Roman"/>
                <w:sz w:val="18"/>
                <w:szCs w:val="18"/>
              </w:rPr>
              <w:t>(8.4)</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1970 . . . . . . . . . . . . . . . . . . . . . . . . . . . . . . . . . . . . . . . . . . . . . . . . . . . . . . . . . . . . . . . . . . . . . .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12.0</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490"/>
              <w:jc w:val="right"/>
              <w:rPr>
                <w:rFonts w:ascii="Times New Roman" w:hAnsi="Times New Roman" w:cs="Times New Roman"/>
                <w:sz w:val="24"/>
                <w:szCs w:val="24"/>
              </w:rPr>
            </w:pPr>
            <w:r>
              <w:rPr>
                <w:rFonts w:ascii="Times New Roman" w:hAnsi="Times New Roman" w:cs="Times New Roman"/>
                <w:sz w:val="18"/>
                <w:szCs w:val="18"/>
              </w:rPr>
              <w:t>(4.6)</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3.9</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1971 . . . . . . . . . . . . . . . . . . . . . . . . . . . . . . . . . . . . . . . . . . . . . . . . . . . . . . . . . . . . . . . . . . . . . .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16.4</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80.5</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14.6</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 xml:space="preserve">1972 . . . . . . . . . . . </w:t>
            </w:r>
            <w:r>
              <w:rPr>
                <w:rFonts w:ascii="Times New Roman" w:hAnsi="Times New Roman" w:cs="Times New Roman"/>
                <w:w w:val="87"/>
                <w:sz w:val="18"/>
                <w:szCs w:val="18"/>
              </w:rPr>
              <w:t>.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21.7</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8.1</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18.9</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1973 . . . . . . . . . . . . . . . . . . . . . . . . . . . . . . . . . . . . . . . . . . . . . . . . . . . . . . . . . . . . . . . . . . . . . .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4.7</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490"/>
              <w:jc w:val="right"/>
              <w:rPr>
                <w:rFonts w:ascii="Times New Roman" w:hAnsi="Times New Roman" w:cs="Times New Roman"/>
                <w:sz w:val="24"/>
                <w:szCs w:val="24"/>
              </w:rPr>
            </w:pPr>
            <w:r>
              <w:rPr>
                <w:rFonts w:ascii="Times New Roman" w:hAnsi="Times New Roman" w:cs="Times New Roman"/>
                <w:sz w:val="18"/>
                <w:szCs w:val="18"/>
              </w:rPr>
              <w:t>(2.5)</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70"/>
              <w:jc w:val="right"/>
              <w:rPr>
                <w:rFonts w:ascii="Times New Roman" w:hAnsi="Times New Roman" w:cs="Times New Roman"/>
                <w:sz w:val="24"/>
                <w:szCs w:val="24"/>
              </w:rPr>
            </w:pPr>
            <w:r>
              <w:rPr>
                <w:rFonts w:ascii="Times New Roman" w:hAnsi="Times New Roman" w:cs="Times New Roman"/>
                <w:sz w:val="18"/>
                <w:szCs w:val="18"/>
              </w:rPr>
              <w:t>(14.8)</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1974 . . . . . . . . . . . . . . . . . . . . . . . . . . . . . . . . . . . . . . . . . . . .</w:t>
            </w:r>
            <w:r>
              <w:rPr>
                <w:rFonts w:ascii="Times New Roman" w:hAnsi="Times New Roman" w:cs="Times New Roman"/>
                <w:w w:val="87"/>
                <w:sz w:val="18"/>
                <w:szCs w:val="18"/>
              </w:rPr>
              <w:t xml:space="preserve">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5.5</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490"/>
              <w:jc w:val="right"/>
              <w:rPr>
                <w:rFonts w:ascii="Times New Roman" w:hAnsi="Times New Roman" w:cs="Times New Roman"/>
                <w:sz w:val="24"/>
                <w:szCs w:val="24"/>
              </w:rPr>
            </w:pPr>
            <w:r>
              <w:rPr>
                <w:rFonts w:ascii="Times New Roman" w:hAnsi="Times New Roman" w:cs="Times New Roman"/>
                <w:sz w:val="18"/>
                <w:szCs w:val="18"/>
              </w:rPr>
              <w:t>(48.7)</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70"/>
              <w:jc w:val="right"/>
              <w:rPr>
                <w:rFonts w:ascii="Times New Roman" w:hAnsi="Times New Roman" w:cs="Times New Roman"/>
                <w:sz w:val="24"/>
                <w:szCs w:val="24"/>
              </w:rPr>
            </w:pPr>
            <w:r>
              <w:rPr>
                <w:rFonts w:ascii="Times New Roman" w:hAnsi="Times New Roman" w:cs="Times New Roman"/>
                <w:sz w:val="18"/>
                <w:szCs w:val="18"/>
              </w:rPr>
              <w:t>(26.4)</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1975 . . . . . . . . . . . . . . . . . . . . . . . . . . . . . . . . . . . . . . . . . . . . . . . . . . . . . . . . . . . . . . . . . . . . . .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21.9</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2.5</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37.2</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1976 . . . . . . . . . . . . . . . . . . . . . . . . . . . . . . . . . . . . . . . . . . . . . . . . . . . . . . . . . . . . . . . . . . . . . .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59.3</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129.3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23.6</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1977 . . . . . . . . . . . . . . . . . . . . . . . . . . . . . . . . . . . . . . . . . . . . . . . . . . . . . . . . . . . . . . . . . . . . . .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31.9</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46.8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70"/>
              <w:jc w:val="right"/>
              <w:rPr>
                <w:rFonts w:ascii="Times New Roman" w:hAnsi="Times New Roman" w:cs="Times New Roman"/>
                <w:sz w:val="24"/>
                <w:szCs w:val="24"/>
              </w:rPr>
            </w:pPr>
            <w:r>
              <w:rPr>
                <w:rFonts w:ascii="Times New Roman" w:hAnsi="Times New Roman" w:cs="Times New Roman"/>
                <w:sz w:val="18"/>
                <w:szCs w:val="18"/>
              </w:rPr>
              <w:t>(7.4)</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 xml:space="preserve">1978 . . . . . . . . . . . . . . . . . . . . . . . . . . . . . . . . . . . . . . . . . . . . </w:t>
            </w:r>
            <w:r>
              <w:rPr>
                <w:rFonts w:ascii="Times New Roman" w:hAnsi="Times New Roman" w:cs="Times New Roman"/>
                <w:w w:val="87"/>
                <w:sz w:val="18"/>
                <w:szCs w:val="18"/>
              </w:rPr>
              <w:t>.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24.0</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14.5</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6.4</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1979 . . . . . . . . . . . . . . . . . . . . . . . . . . . . . . . . . . . . . . . . . . . . . . . . . . . . . . . . . . . . . . . . . . . . . .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35.7</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102.5</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18.2</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1980 . . . . . . . . . . . . . . . . . . . . . . . . . . . . . . . . . . . . . . . . . . . . . . . . . . . . . . . . . . . . . . . . . . . . . .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19.3</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32.8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32.3</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1981 . . . . . . . . . . . . . . . . . . . . . . . . . . . . . . . . . . . . . . . . . . . . .</w:t>
            </w:r>
            <w:r>
              <w:rPr>
                <w:rFonts w:ascii="Times New Roman" w:hAnsi="Times New Roman" w:cs="Times New Roman"/>
                <w:w w:val="87"/>
                <w:sz w:val="18"/>
                <w:szCs w:val="18"/>
              </w:rPr>
              <w:t xml:space="preserve">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31.4</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31.8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70"/>
              <w:jc w:val="right"/>
              <w:rPr>
                <w:rFonts w:ascii="Times New Roman" w:hAnsi="Times New Roman" w:cs="Times New Roman"/>
                <w:sz w:val="24"/>
                <w:szCs w:val="24"/>
              </w:rPr>
            </w:pPr>
            <w:r>
              <w:rPr>
                <w:rFonts w:ascii="Times New Roman" w:hAnsi="Times New Roman" w:cs="Times New Roman"/>
                <w:sz w:val="18"/>
                <w:szCs w:val="18"/>
              </w:rPr>
              <w:t>(5.0)</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1982 . . . . . . . . . . . . . . . . . . . . . . . . . . . . . . . . . . . . . . . . . . . . . . . . . . . . . . . . . . . . . . . . . . . . . .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40.0</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38.4</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21.4</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1983 . . . . . . . . . . . . . . . . . . . . . . . . . . . . . . . . . . . . . . . . . . . . . . . . . . . . . . . . . . . . . . . . . . . . . .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32.3</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69.0</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22.4</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1984 . . . . . . . . . . . . . . . . . . . . . . . . . . . . . . . . . . . . . . . . . . . . . . . . . . . . . . . . . . . . . . . . . . . . . .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13.6</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490"/>
              <w:jc w:val="right"/>
              <w:rPr>
                <w:rFonts w:ascii="Times New Roman" w:hAnsi="Times New Roman" w:cs="Times New Roman"/>
                <w:sz w:val="24"/>
                <w:szCs w:val="24"/>
              </w:rPr>
            </w:pPr>
            <w:r>
              <w:rPr>
                <w:rFonts w:ascii="Times New Roman" w:hAnsi="Times New Roman" w:cs="Times New Roman"/>
                <w:sz w:val="18"/>
                <w:szCs w:val="18"/>
              </w:rPr>
              <w:t>(2.7)</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6.1</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 xml:space="preserve">1985 . . . . . . . . . . . </w:t>
            </w:r>
            <w:r>
              <w:rPr>
                <w:rFonts w:ascii="Times New Roman" w:hAnsi="Times New Roman" w:cs="Times New Roman"/>
                <w:w w:val="87"/>
                <w:sz w:val="18"/>
                <w:szCs w:val="18"/>
              </w:rPr>
              <w:t>.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48.2</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93.7</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31.6</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1986 . . . . . . . . . . . . . . . . . . . . . . . . . . . . . . . . . . . . . . . . . . . . . . . . . . . . . . . . . . . . . . . . . . . . . .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26.1</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14.2</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18.6</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1987 . . . . . . . . . . . . . . . . . . . . . . . . . . . . . . . . . . . . . . . . . . . . . . . . . . . . . . . . . . . . . . . . . . . . . .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19.5</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4.6</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5.1</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1988 . . . . . . . . . . . . . . . . . . . . . . . . . . . . . . . . . . . . . . . . . . . . . .</w:t>
            </w:r>
            <w:r>
              <w:rPr>
                <w:rFonts w:ascii="Times New Roman" w:hAnsi="Times New Roman" w:cs="Times New Roman"/>
                <w:w w:val="87"/>
                <w:sz w:val="18"/>
                <w:szCs w:val="18"/>
              </w:rPr>
              <w:t xml:space="preserve">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20.1</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59.3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16.6</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1989 . . . . . . . . . . . . . . . . . . . . . . . . . . . . . . . . . . . . . . . . . . . . . . . . . . . . . . . . . . . . . . . . . . . . . .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44.4</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84.6</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31.7</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1990 . . . . . . . . . . . . . . . . . . . . . . . . . . . . . . . . . . . . . . . . . . . . . . . . . . . . . . . . . . . . . . . . . . . . . .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7.4</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490"/>
              <w:jc w:val="right"/>
              <w:rPr>
                <w:rFonts w:ascii="Times New Roman" w:hAnsi="Times New Roman" w:cs="Times New Roman"/>
                <w:sz w:val="24"/>
                <w:szCs w:val="24"/>
              </w:rPr>
            </w:pPr>
            <w:r>
              <w:rPr>
                <w:rFonts w:ascii="Times New Roman" w:hAnsi="Times New Roman" w:cs="Times New Roman"/>
                <w:sz w:val="18"/>
                <w:szCs w:val="18"/>
              </w:rPr>
              <w:t>(23.1)</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70"/>
              <w:jc w:val="right"/>
              <w:rPr>
                <w:rFonts w:ascii="Times New Roman" w:hAnsi="Times New Roman" w:cs="Times New Roman"/>
                <w:sz w:val="24"/>
                <w:szCs w:val="24"/>
              </w:rPr>
            </w:pPr>
            <w:r>
              <w:rPr>
                <w:rFonts w:ascii="Times New Roman" w:hAnsi="Times New Roman" w:cs="Times New Roman"/>
                <w:sz w:val="18"/>
                <w:szCs w:val="18"/>
              </w:rPr>
              <w:t>(3.1)</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1991 . . . . . . . . . . . . . . . . . . . . . . . . . . . . . . . . . . . . . . . . . . . .</w:t>
            </w:r>
            <w:r>
              <w:rPr>
                <w:rFonts w:ascii="Times New Roman" w:hAnsi="Times New Roman" w:cs="Times New Roman"/>
                <w:w w:val="87"/>
                <w:sz w:val="18"/>
                <w:szCs w:val="18"/>
              </w:rPr>
              <w:t xml:space="preserve">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39.6</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35.6</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30.5</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1992 . . . . . . . . . . . . . . . . . . . . . . . . . . . . . . . . . . . . . . . . . . . . . . . . . . . . . . . . . . . . . . . . . . . . . .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20.3</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29.8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7.6</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1993 . . . . . . . . . . . . . . . . . . . . . . . . . . . . . . . . . . . . . . . . . . . . . . . . . . . . . . . . . . . . . . . . . . . . . .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14.3</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38.9</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10.1</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1994 . . . . . . . . . . . . . . . . . . . . . . . . . . . . . . . . . . . . . . . . . . . . .</w:t>
            </w:r>
            <w:r>
              <w:rPr>
                <w:rFonts w:ascii="Times New Roman" w:hAnsi="Times New Roman" w:cs="Times New Roman"/>
                <w:w w:val="87"/>
                <w:sz w:val="18"/>
                <w:szCs w:val="18"/>
              </w:rPr>
              <w:t xml:space="preserve">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13.9</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25.0</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1.3</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1995 . . . . . . . . . . . . . . . . . . . . . . . . . . . . . . . . . . . . . . . . . . . . . . . . . . . . . . . . . . . . . . . . . . . . . .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43.1</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57.4</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37.6</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1996 . . . . . . . . . . . . . . . . . . . . . . . . . . . . . . . . . . . . . . . . . . . . . . . . . . . . . . . . . . . . . . . . . . . . . .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31.8</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6.2</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23.0</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 xml:space="preserve">1997 . . . . . . . . . . . . . . . . . . . . . . . . . . . . . . . . . . . . . . . . . . . . . </w:t>
            </w:r>
            <w:r>
              <w:rPr>
                <w:rFonts w:ascii="Times New Roman" w:hAnsi="Times New Roman" w:cs="Times New Roman"/>
                <w:w w:val="87"/>
                <w:sz w:val="18"/>
                <w:szCs w:val="18"/>
              </w:rPr>
              <w:t>.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34.1</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34.9</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33.4</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1998 . . . . . . . . . . . . . . . . . . . . . . . . . . . . . . . . . . . . . . . . . . . . . . . . . . . . . . . . . . . . . . . . . . . . . .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48.3</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52.2</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28.6</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1999 . . . . . . . . . . . . . . . . . . . . . . . . . . . . . . . . . . . . . . . . . . . . . . . . . . . . . . . . . . . . . . . . . . . . . .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0.5</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490"/>
              <w:jc w:val="right"/>
              <w:rPr>
                <w:rFonts w:ascii="Times New Roman" w:hAnsi="Times New Roman" w:cs="Times New Roman"/>
                <w:sz w:val="24"/>
                <w:szCs w:val="24"/>
              </w:rPr>
            </w:pPr>
            <w:r>
              <w:rPr>
                <w:rFonts w:ascii="Times New Roman" w:hAnsi="Times New Roman" w:cs="Times New Roman"/>
                <w:sz w:val="18"/>
                <w:szCs w:val="18"/>
              </w:rPr>
              <w:t>(19.9)</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21.0</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 xml:space="preserve">2000 . . . . . . . . . . . . . . . . . . . . . . . . . . . . . . . . . . . . . . . . . . . . </w:t>
            </w:r>
            <w:r>
              <w:rPr>
                <w:rFonts w:ascii="Times New Roman" w:hAnsi="Times New Roman" w:cs="Times New Roman"/>
                <w:w w:val="87"/>
                <w:sz w:val="18"/>
                <w:szCs w:val="18"/>
              </w:rPr>
              <w:t>.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6.5</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26.6</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70"/>
              <w:jc w:val="right"/>
              <w:rPr>
                <w:rFonts w:ascii="Times New Roman" w:hAnsi="Times New Roman" w:cs="Times New Roman"/>
                <w:sz w:val="24"/>
                <w:szCs w:val="24"/>
              </w:rPr>
            </w:pPr>
            <w:r>
              <w:rPr>
                <w:rFonts w:ascii="Times New Roman" w:hAnsi="Times New Roman" w:cs="Times New Roman"/>
                <w:sz w:val="18"/>
                <w:szCs w:val="18"/>
              </w:rPr>
              <w:t>(9.1)</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2001 . . . . . . . . . . . . . . . . . . . . . . . . . . . . . . . . . . . . . . . . . . . . . . . . . . . . . . . . . . . . . . . . . . . . . .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50"/>
              <w:jc w:val="right"/>
              <w:rPr>
                <w:rFonts w:ascii="Times New Roman" w:hAnsi="Times New Roman" w:cs="Times New Roman"/>
                <w:sz w:val="24"/>
                <w:szCs w:val="24"/>
              </w:rPr>
            </w:pPr>
            <w:r>
              <w:rPr>
                <w:rFonts w:ascii="Times New Roman" w:hAnsi="Times New Roman" w:cs="Times New Roman"/>
                <w:sz w:val="18"/>
                <w:szCs w:val="18"/>
              </w:rPr>
              <w:t>(6.2)</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6.5</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70"/>
              <w:jc w:val="right"/>
              <w:rPr>
                <w:rFonts w:ascii="Times New Roman" w:hAnsi="Times New Roman" w:cs="Times New Roman"/>
                <w:sz w:val="24"/>
                <w:szCs w:val="24"/>
              </w:rPr>
            </w:pPr>
            <w:r>
              <w:rPr>
                <w:rFonts w:ascii="Times New Roman" w:hAnsi="Times New Roman" w:cs="Times New Roman"/>
                <w:sz w:val="18"/>
                <w:szCs w:val="18"/>
              </w:rPr>
              <w:t>(11.9)</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2002 . . . . . . . . . . . . . . . . . . . . . . . . . . . . . . . . . . . . . . . . . . . . . . . . . . . . . . . . . . . . . . . . . . . . . .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10.0</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490"/>
              <w:jc w:val="right"/>
              <w:rPr>
                <w:rFonts w:ascii="Times New Roman" w:hAnsi="Times New Roman" w:cs="Times New Roman"/>
                <w:sz w:val="24"/>
                <w:szCs w:val="24"/>
              </w:rPr>
            </w:pPr>
            <w:r>
              <w:rPr>
                <w:rFonts w:ascii="Times New Roman" w:hAnsi="Times New Roman" w:cs="Times New Roman"/>
                <w:sz w:val="18"/>
                <w:szCs w:val="18"/>
              </w:rPr>
              <w:t>(3.8)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70"/>
              <w:jc w:val="right"/>
              <w:rPr>
                <w:rFonts w:ascii="Times New Roman" w:hAnsi="Times New Roman" w:cs="Times New Roman"/>
                <w:sz w:val="24"/>
                <w:szCs w:val="24"/>
              </w:rPr>
            </w:pPr>
            <w:r>
              <w:rPr>
                <w:rFonts w:ascii="Times New Roman" w:hAnsi="Times New Roman" w:cs="Times New Roman"/>
                <w:sz w:val="18"/>
                <w:szCs w:val="18"/>
              </w:rPr>
              <w:t>(22.1)</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2003 . . . . . . . . . . . . . . . . . . . . . . . . . . . . . . . . . . . . . . . . . . . . . . . . . . . . . . . . . . . . . . . . . . . . . .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21.0</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15.8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28.7</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2004 . . . . . . . . . . . . . . . . . . . . . . . . . . . . . . . . . . . . . . . . . . . . . . . . . . . . . . . . . . . . . . . . . . . . . .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10.5</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4.3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10.9</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2005 . . . . . . . . . . . . . . . . . . . . . . . . . . . . . . . . . . . . . . . . . . . . . . . . . . . . . . . . . . . . . . . . . . . . . .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6.4</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0.8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4.9</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 xml:space="preserve">2006 . . . . . . . . . . . . . . . . . . . . . . . . . . . . . . . . . . . . . . . . . . . . . . </w:t>
            </w:r>
            <w:r>
              <w:rPr>
                <w:rFonts w:ascii="Times New Roman" w:hAnsi="Times New Roman" w:cs="Times New Roman"/>
                <w:w w:val="87"/>
                <w:sz w:val="18"/>
                <w:szCs w:val="18"/>
              </w:rPr>
              <w:t>.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18.4</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24.1</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15.8</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2007 . . . . . . . . . . . . . . . . . . . . . . . . . . . . . . . . . . . . . . . . . . . . . . . . . . . . . . . . . . . . . . . . . . . . . .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11.0</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28.7</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5.5</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2008 . . . . . . . . . . . . . . . . . . . . . . . . . . . . . . . . . . . . . . . . . . . . . . . . . . . . . . . . . . . . . . . . . . . . . .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50"/>
              <w:jc w:val="right"/>
              <w:rPr>
                <w:rFonts w:ascii="Times New Roman" w:hAnsi="Times New Roman" w:cs="Times New Roman"/>
                <w:sz w:val="24"/>
                <w:szCs w:val="24"/>
              </w:rPr>
            </w:pPr>
            <w:r>
              <w:rPr>
                <w:rFonts w:ascii="Times New Roman" w:hAnsi="Times New Roman" w:cs="Times New Roman"/>
                <w:sz w:val="18"/>
                <w:szCs w:val="18"/>
              </w:rPr>
              <w:t>(9.6)</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490"/>
              <w:jc w:val="right"/>
              <w:rPr>
                <w:rFonts w:ascii="Times New Roman" w:hAnsi="Times New Roman" w:cs="Times New Roman"/>
                <w:sz w:val="24"/>
                <w:szCs w:val="24"/>
              </w:rPr>
            </w:pPr>
            <w:r>
              <w:rPr>
                <w:rFonts w:ascii="Times New Roman" w:hAnsi="Times New Roman" w:cs="Times New Roman"/>
                <w:sz w:val="18"/>
                <w:szCs w:val="18"/>
              </w:rPr>
              <w:t>(31.8)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170"/>
              <w:jc w:val="right"/>
              <w:rPr>
                <w:rFonts w:ascii="Times New Roman" w:hAnsi="Times New Roman" w:cs="Times New Roman"/>
                <w:sz w:val="24"/>
                <w:szCs w:val="24"/>
              </w:rPr>
            </w:pPr>
            <w:r>
              <w:rPr>
                <w:rFonts w:ascii="Times New Roman" w:hAnsi="Times New Roman" w:cs="Times New Roman"/>
                <w:sz w:val="18"/>
                <w:szCs w:val="18"/>
              </w:rPr>
              <w:t>(37.0)</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 xml:space="preserve">2009 . . . . . . . . . . . . . . . . . . . . . . . . . . . . . . . . . . . . . . . . . . </w:t>
            </w:r>
            <w:r>
              <w:rPr>
                <w:rFonts w:ascii="Times New Roman" w:hAnsi="Times New Roman" w:cs="Times New Roman"/>
                <w:w w:val="87"/>
                <w:sz w:val="18"/>
                <w:szCs w:val="18"/>
              </w:rPr>
              <w:t>.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19.8</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2.7</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26.5</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2010 . . . . . . . . . . . . . . . . . . . . . . . . . . . . . . . . . . . . . . . . . . . . . . . . . . . . . . . . . . . . . . . . . . . . . .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13.0</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21.4</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15.1</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2011 . . . . . . . . . . . . . . . . . . . . . . . . . . . . . . . . . . . . . . . . . . . . . . . . . . . . . . . . . . . . . . . . . . . . . .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4.6</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490"/>
              <w:jc w:val="right"/>
              <w:rPr>
                <w:rFonts w:ascii="Times New Roman" w:hAnsi="Times New Roman" w:cs="Times New Roman"/>
                <w:sz w:val="24"/>
                <w:szCs w:val="24"/>
              </w:rPr>
            </w:pPr>
            <w:r>
              <w:rPr>
                <w:rFonts w:ascii="Times New Roman" w:hAnsi="Times New Roman" w:cs="Times New Roman"/>
                <w:sz w:val="18"/>
                <w:szCs w:val="18"/>
              </w:rPr>
              <w:t>(4.7)</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2.1</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2012 . . . . . . . . . . . . . . . . . . . . . . . . . . . . . . . . . . . . . . . . . . . . . . . . . . . . . . . . . . . . . . . . . . . . . .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14.4</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16.8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16.0</w:t>
            </w:r>
          </w:p>
        </w:tc>
      </w:tr>
      <w:tr w:rsidR="00000000">
        <w:tblPrEx>
          <w:tblCellMar>
            <w:top w:w="0" w:type="dxa"/>
            <w:left w:w="0" w:type="dxa"/>
            <w:bottom w:w="0" w:type="dxa"/>
            <w:right w:w="0" w:type="dxa"/>
          </w:tblCellMar>
        </w:tblPrEx>
        <w:trPr>
          <w:trHeight w:val="186"/>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r>
              <w:rPr>
                <w:rFonts w:ascii="Times New Roman" w:hAnsi="Times New Roman" w:cs="Times New Roman"/>
                <w:w w:val="87"/>
                <w:sz w:val="18"/>
                <w:szCs w:val="18"/>
              </w:rPr>
              <w:t>2013 . . . . . . . . . . . . . . . . . . . . . . . . . . . . . . . . . . . . . . . . . . . . . . . . . . . . . . . . . . . . . . . . . . . . . .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10"/>
              <w:jc w:val="right"/>
              <w:rPr>
                <w:rFonts w:ascii="Times New Roman" w:hAnsi="Times New Roman" w:cs="Times New Roman"/>
                <w:sz w:val="24"/>
                <w:szCs w:val="24"/>
              </w:rPr>
            </w:pPr>
            <w:r>
              <w:rPr>
                <w:rFonts w:ascii="Times New Roman" w:hAnsi="Times New Roman" w:cs="Times New Roman"/>
                <w:sz w:val="18"/>
                <w:szCs w:val="18"/>
              </w:rPr>
              <w:t>18.2</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550"/>
              <w:jc w:val="right"/>
              <w:rPr>
                <w:rFonts w:ascii="Times New Roman" w:hAnsi="Times New Roman" w:cs="Times New Roman"/>
                <w:sz w:val="24"/>
                <w:szCs w:val="24"/>
              </w:rPr>
            </w:pPr>
            <w:r>
              <w:rPr>
                <w:rFonts w:ascii="Times New Roman" w:hAnsi="Times New Roman" w:cs="Times New Roman"/>
                <w:sz w:val="18"/>
                <w:szCs w:val="18"/>
              </w:rPr>
              <w:t>32.7</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5" w:lineRule="exact"/>
              <w:ind w:right="230"/>
              <w:jc w:val="right"/>
              <w:rPr>
                <w:rFonts w:ascii="Times New Roman" w:hAnsi="Times New Roman" w:cs="Times New Roman"/>
                <w:sz w:val="24"/>
                <w:szCs w:val="24"/>
              </w:rPr>
            </w:pPr>
            <w:r>
              <w:rPr>
                <w:rFonts w:ascii="Times New Roman" w:hAnsi="Times New Roman" w:cs="Times New Roman"/>
                <w:sz w:val="18"/>
                <w:szCs w:val="18"/>
              </w:rPr>
              <w:t>32.4</w:t>
            </w:r>
          </w:p>
        </w:tc>
      </w:tr>
      <w:tr w:rsidR="00000000">
        <w:tblPrEx>
          <w:tblCellMar>
            <w:top w:w="0" w:type="dxa"/>
            <w:left w:w="0" w:type="dxa"/>
            <w:bottom w:w="0" w:type="dxa"/>
            <w:right w:w="0" w:type="dxa"/>
          </w:tblCellMar>
        </w:tblPrEx>
        <w:trPr>
          <w:trHeight w:val="195"/>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5" w:lineRule="exact"/>
              <w:rPr>
                <w:rFonts w:ascii="Times New Roman" w:hAnsi="Times New Roman" w:cs="Times New Roman"/>
                <w:sz w:val="24"/>
                <w:szCs w:val="24"/>
              </w:rPr>
            </w:pPr>
            <w:r>
              <w:rPr>
                <w:rFonts w:ascii="Times New Roman" w:hAnsi="Times New Roman" w:cs="Times New Roman"/>
                <w:w w:val="87"/>
                <w:sz w:val="18"/>
                <w:szCs w:val="18"/>
              </w:rPr>
              <w:t>2014 . . . . . . . . . . . . . . . . . . . . . . . . . . . . . . . . . . . . . . . . . . . . . . . . . . . . . . . . . . . . . . . . . . . . . .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5" w:lineRule="exact"/>
              <w:ind w:right="210"/>
              <w:jc w:val="right"/>
              <w:rPr>
                <w:rFonts w:ascii="Times New Roman" w:hAnsi="Times New Roman" w:cs="Times New Roman"/>
                <w:sz w:val="24"/>
                <w:szCs w:val="24"/>
              </w:rPr>
            </w:pPr>
            <w:r>
              <w:rPr>
                <w:rFonts w:ascii="Times New Roman" w:hAnsi="Times New Roman" w:cs="Times New Roman"/>
                <w:sz w:val="18"/>
                <w:szCs w:val="18"/>
              </w:rPr>
              <w:t>8.3</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5" w:lineRule="exact"/>
              <w:ind w:right="550"/>
              <w:jc w:val="right"/>
              <w:rPr>
                <w:rFonts w:ascii="Times New Roman" w:hAnsi="Times New Roman" w:cs="Times New Roman"/>
                <w:sz w:val="24"/>
                <w:szCs w:val="24"/>
              </w:rPr>
            </w:pPr>
            <w:r>
              <w:rPr>
                <w:rFonts w:ascii="Times New Roman" w:hAnsi="Times New Roman" w:cs="Times New Roman"/>
                <w:sz w:val="18"/>
                <w:szCs w:val="18"/>
              </w:rPr>
              <w:t>27.0</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5" w:lineRule="exact"/>
              <w:ind w:right="230"/>
              <w:jc w:val="right"/>
              <w:rPr>
                <w:rFonts w:ascii="Times New Roman" w:hAnsi="Times New Roman" w:cs="Times New Roman"/>
                <w:sz w:val="24"/>
                <w:szCs w:val="24"/>
              </w:rPr>
            </w:pPr>
            <w:r>
              <w:rPr>
                <w:rFonts w:ascii="Times New Roman" w:hAnsi="Times New Roman" w:cs="Times New Roman"/>
                <w:sz w:val="18"/>
                <w:szCs w:val="18"/>
              </w:rPr>
              <w:t>13.7</w:t>
            </w:r>
          </w:p>
        </w:tc>
      </w:tr>
      <w:tr w:rsidR="00000000">
        <w:tblPrEx>
          <w:tblCellMar>
            <w:top w:w="0" w:type="dxa"/>
            <w:left w:w="0" w:type="dxa"/>
            <w:bottom w:w="0" w:type="dxa"/>
            <w:right w:w="0" w:type="dxa"/>
          </w:tblCellMar>
        </w:tblPrEx>
        <w:trPr>
          <w:trHeight w:val="377"/>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95"/>
                <w:sz w:val="18"/>
                <w:szCs w:val="18"/>
              </w:rPr>
              <w:t>Compounded Annual Gain –</w:t>
            </w:r>
            <w:r>
              <w:rPr>
                <w:rFonts w:ascii="Times New Roman" w:hAnsi="Times New Roman" w:cs="Times New Roman"/>
                <w:w w:val="95"/>
                <w:sz w:val="18"/>
                <w:szCs w:val="18"/>
              </w:rPr>
              <w:t xml:space="preserve"> 1965-2014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50"/>
              <w:jc w:val="right"/>
              <w:rPr>
                <w:rFonts w:ascii="Times New Roman" w:hAnsi="Times New Roman" w:cs="Times New Roman"/>
                <w:sz w:val="24"/>
                <w:szCs w:val="24"/>
              </w:rPr>
            </w:pPr>
            <w:r>
              <w:rPr>
                <w:rFonts w:ascii="Times New Roman" w:hAnsi="Times New Roman" w:cs="Times New Roman"/>
                <w:sz w:val="18"/>
                <w:szCs w:val="18"/>
              </w:rPr>
              <w:t>19.4%</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90"/>
              <w:jc w:val="right"/>
              <w:rPr>
                <w:rFonts w:ascii="Times New Roman" w:hAnsi="Times New Roman" w:cs="Times New Roman"/>
                <w:sz w:val="24"/>
                <w:szCs w:val="24"/>
              </w:rPr>
            </w:pPr>
            <w:r>
              <w:rPr>
                <w:rFonts w:ascii="Times New Roman" w:hAnsi="Times New Roman" w:cs="Times New Roman"/>
                <w:sz w:val="18"/>
                <w:szCs w:val="18"/>
              </w:rPr>
              <w:t>21.6%</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70"/>
              <w:jc w:val="right"/>
              <w:rPr>
                <w:rFonts w:ascii="Times New Roman" w:hAnsi="Times New Roman" w:cs="Times New Roman"/>
                <w:sz w:val="24"/>
                <w:szCs w:val="24"/>
              </w:rPr>
            </w:pPr>
            <w:r>
              <w:rPr>
                <w:rFonts w:ascii="Times New Roman" w:hAnsi="Times New Roman" w:cs="Times New Roman"/>
                <w:sz w:val="18"/>
                <w:szCs w:val="18"/>
              </w:rPr>
              <w:t>9.9%</w:t>
            </w:r>
          </w:p>
        </w:tc>
      </w:tr>
      <w:tr w:rsidR="00000000">
        <w:tblPrEx>
          <w:tblCellMar>
            <w:top w:w="0" w:type="dxa"/>
            <w:left w:w="0" w:type="dxa"/>
            <w:bottom w:w="0" w:type="dxa"/>
            <w:right w:w="0" w:type="dxa"/>
          </w:tblCellMar>
        </w:tblPrEx>
        <w:trPr>
          <w:trHeight w:val="195"/>
        </w:trPr>
        <w:tc>
          <w:tcPr>
            <w:tcW w:w="5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5" w:lineRule="exact"/>
              <w:rPr>
                <w:rFonts w:ascii="Times New Roman" w:hAnsi="Times New Roman" w:cs="Times New Roman"/>
                <w:sz w:val="24"/>
                <w:szCs w:val="24"/>
              </w:rPr>
            </w:pPr>
            <w:r>
              <w:rPr>
                <w:rFonts w:ascii="Times New Roman" w:hAnsi="Times New Roman" w:cs="Times New Roman"/>
                <w:w w:val="91"/>
                <w:sz w:val="18"/>
                <w:szCs w:val="18"/>
              </w:rPr>
              <w:t>Overall Gain – 1964-2014 . . . . . . . . . . . . . . . . . . . . . . . . . . . . . . . . . . . . . . . . . . . . . . . . .</w:t>
            </w:r>
          </w:p>
        </w:tc>
        <w:tc>
          <w:tcPr>
            <w:tcW w:w="1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5" w:lineRule="exact"/>
              <w:ind w:right="50"/>
              <w:jc w:val="right"/>
              <w:rPr>
                <w:rFonts w:ascii="Times New Roman" w:hAnsi="Times New Roman" w:cs="Times New Roman"/>
                <w:sz w:val="24"/>
                <w:szCs w:val="24"/>
              </w:rPr>
            </w:pPr>
            <w:r>
              <w:rPr>
                <w:rFonts w:ascii="Times New Roman" w:hAnsi="Times New Roman" w:cs="Times New Roman"/>
                <w:sz w:val="18"/>
                <w:szCs w:val="18"/>
              </w:rPr>
              <w:t>751,113%</w:t>
            </w: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5" w:lineRule="exact"/>
              <w:ind w:right="390"/>
              <w:jc w:val="right"/>
              <w:rPr>
                <w:rFonts w:ascii="Times New Roman" w:hAnsi="Times New Roman" w:cs="Times New Roman"/>
                <w:sz w:val="24"/>
                <w:szCs w:val="24"/>
              </w:rPr>
            </w:pPr>
            <w:r>
              <w:rPr>
                <w:rFonts w:ascii="Times New Roman" w:hAnsi="Times New Roman" w:cs="Times New Roman"/>
                <w:sz w:val="18"/>
                <w:szCs w:val="18"/>
              </w:rPr>
              <w:t>1,826,163%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5" w:lineRule="exact"/>
              <w:ind w:right="70"/>
              <w:jc w:val="right"/>
              <w:rPr>
                <w:rFonts w:ascii="Times New Roman" w:hAnsi="Times New Roman" w:cs="Times New Roman"/>
                <w:sz w:val="24"/>
                <w:szCs w:val="24"/>
              </w:rPr>
            </w:pPr>
            <w:r>
              <w:rPr>
                <w:rFonts w:ascii="Times New Roman" w:hAnsi="Times New Roman" w:cs="Times New Roman"/>
                <w:sz w:val="18"/>
                <w:szCs w:val="18"/>
              </w:rPr>
              <w:t>11,196%</w:t>
            </w:r>
          </w:p>
        </w:tc>
      </w:tr>
    </w:tbl>
    <w:p w:rsidR="00000000" w:rsidRDefault="00A06965">
      <w:pPr>
        <w:pStyle w:val="DefaultParagraphFont"/>
        <w:widowControl w:val="0"/>
        <w:autoSpaceDE w:val="0"/>
        <w:autoSpaceDN w:val="0"/>
        <w:adjustRightInd w:val="0"/>
        <w:spacing w:after="0" w:line="6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1" w:lineRule="auto"/>
        <w:jc w:val="both"/>
        <w:rPr>
          <w:rFonts w:ascii="Times New Roman" w:hAnsi="Times New Roman" w:cs="Times New Roman"/>
          <w:sz w:val="24"/>
          <w:szCs w:val="24"/>
        </w:rPr>
      </w:pPr>
      <w:r>
        <w:rPr>
          <w:rFonts w:ascii="Times New Roman" w:hAnsi="Times New Roman" w:cs="Times New Roman"/>
          <w:b/>
          <w:bCs/>
          <w:sz w:val="18"/>
          <w:szCs w:val="18"/>
        </w:rPr>
        <w:t xml:space="preserve">Notes: </w:t>
      </w:r>
      <w:r>
        <w:rPr>
          <w:rFonts w:ascii="Times New Roman" w:hAnsi="Times New Roman" w:cs="Times New Roman"/>
          <w:sz w:val="18"/>
          <w:szCs w:val="18"/>
        </w:rPr>
        <w:t>Data are for calendar years with these exceptions: 1965 and 1966, year ended 9/30; 1967, 15 months ended 12/31. Starting in 1979,</w:t>
      </w:r>
      <w:r>
        <w:rPr>
          <w:rFonts w:ascii="Times New Roman" w:hAnsi="Times New Roman" w:cs="Times New Roman"/>
          <w:b/>
          <w:bCs/>
          <w:sz w:val="18"/>
          <w:szCs w:val="18"/>
        </w:rPr>
        <w:t xml:space="preserve"> </w:t>
      </w:r>
      <w:r>
        <w:rPr>
          <w:rFonts w:ascii="Times New Roman" w:hAnsi="Times New Roman" w:cs="Times New Roman"/>
          <w:sz w:val="18"/>
          <w:szCs w:val="18"/>
        </w:rPr>
        <w:t>accounting rules required insurance companies to value the equity securities they hold at market rather than at the low</w:t>
      </w:r>
      <w:r>
        <w:rPr>
          <w:rFonts w:ascii="Times New Roman" w:hAnsi="Times New Roman" w:cs="Times New Roman"/>
          <w:sz w:val="18"/>
          <w:szCs w:val="18"/>
        </w:rPr>
        <w:t>er of cost or market, which was previously the requirement. In this table, Berkshire’s results through 1978 have been restated to conform to the changed rules. In all other respects, the results are calculated using the numbers originally reported. The S&amp;P</w:t>
      </w:r>
      <w:r>
        <w:rPr>
          <w:rFonts w:ascii="Times New Roman" w:hAnsi="Times New Roman" w:cs="Times New Roman"/>
          <w:sz w:val="18"/>
          <w:szCs w:val="18"/>
        </w:rPr>
        <w:t xml:space="preserve"> 500 numbers are </w:t>
      </w:r>
      <w:r>
        <w:rPr>
          <w:rFonts w:ascii="Times New Roman" w:hAnsi="Times New Roman" w:cs="Times New Roman"/>
          <w:b/>
          <w:bCs/>
          <w:sz w:val="18"/>
          <w:szCs w:val="18"/>
        </w:rPr>
        <w:t>pre-tax</w:t>
      </w:r>
      <w:r>
        <w:rPr>
          <w:rFonts w:ascii="Times New Roman" w:hAnsi="Times New Roman" w:cs="Times New Roman"/>
          <w:sz w:val="18"/>
          <w:szCs w:val="18"/>
        </w:rPr>
        <w:t xml:space="preserve"> whereas the Berkshire numbers are </w:t>
      </w:r>
      <w:r>
        <w:rPr>
          <w:rFonts w:ascii="Times New Roman" w:hAnsi="Times New Roman" w:cs="Times New Roman"/>
          <w:b/>
          <w:bCs/>
          <w:sz w:val="18"/>
          <w:szCs w:val="18"/>
        </w:rPr>
        <w:t>after-tax</w:t>
      </w:r>
      <w:r>
        <w:rPr>
          <w:rFonts w:ascii="Times New Roman" w:hAnsi="Times New Roman" w:cs="Times New Roman"/>
          <w:sz w:val="18"/>
          <w:szCs w:val="18"/>
        </w:rPr>
        <w:t>. If a corporation such as Berkshire were simply to have owned the S&amp;P 500 and accrued the appropriate taxes, its results would have lagged the S&amp;P 500 in years when that index showed a po</w:t>
      </w:r>
      <w:r>
        <w:rPr>
          <w:rFonts w:ascii="Times New Roman" w:hAnsi="Times New Roman" w:cs="Times New Roman"/>
          <w:sz w:val="18"/>
          <w:szCs w:val="18"/>
        </w:rPr>
        <w:t>sitive return, but would have exceeded the S&amp;P 500 in years when the index showed a negative return. Over the years, the tax costs would have caused the aggregate lag to be substantial.</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3" w:right="720" w:bottom="943" w:left="720" w:header="720" w:footer="720" w:gutter="0"/>
          <w:cols w:space="720" w:equalWidth="0">
            <w:col w:w="108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6060" w:bottom="943" w:left="6080" w:header="720" w:footer="720" w:gutter="0"/>
          <w:cols w:space="720" w:equalWidth="0">
            <w:col w:w="100"/>
          </w:cols>
          <w:noEndnote/>
        </w:sectPr>
      </w:pPr>
    </w:p>
    <w:p w:rsidR="00000000" w:rsidRDefault="00A06965">
      <w:pPr>
        <w:pStyle w:val="DefaultParagraphFont"/>
        <w:widowControl w:val="0"/>
        <w:overflowPunct w:val="0"/>
        <w:autoSpaceDE w:val="0"/>
        <w:autoSpaceDN w:val="0"/>
        <w:adjustRightInd w:val="0"/>
        <w:spacing w:after="0" w:line="237" w:lineRule="auto"/>
        <w:jc w:val="both"/>
        <w:rPr>
          <w:rFonts w:ascii="Times New Roman" w:hAnsi="Times New Roman" w:cs="Times New Roman"/>
          <w:sz w:val="24"/>
          <w:szCs w:val="24"/>
        </w:rPr>
      </w:pPr>
      <w:r>
        <w:rPr>
          <w:rFonts w:ascii="Times New Roman" w:hAnsi="Times New Roman" w:cs="Times New Roman"/>
          <w:sz w:val="20"/>
          <w:szCs w:val="20"/>
        </w:rPr>
        <w:t>A note to readers: Fift</w:t>
      </w:r>
      <w:r>
        <w:rPr>
          <w:rFonts w:ascii="Times New Roman" w:hAnsi="Times New Roman" w:cs="Times New Roman"/>
          <w:sz w:val="20"/>
          <w:szCs w:val="20"/>
        </w:rPr>
        <w:t>y years ago, today’s management took charge at Berkshire. For this Golden Anniversary, Warren Buffett and Charlie Munger each wrote his views of what has happened at Berkshire during the past 50 years and what each expects during the next 50. Neither chang</w:t>
      </w:r>
      <w:r>
        <w:rPr>
          <w:rFonts w:ascii="Times New Roman" w:hAnsi="Times New Roman" w:cs="Times New Roman"/>
          <w:sz w:val="20"/>
          <w:szCs w:val="20"/>
        </w:rPr>
        <w:t>ed a word of his commentary after reading what the other had written. Warren’s thoughts begin on page 24 and Charlie’s on page 39. Shareholders, particularly new ones, may find it useful to read those letters before reading the report on 2014, which begins</w:t>
      </w:r>
      <w:r>
        <w:rPr>
          <w:rFonts w:ascii="Times New Roman" w:hAnsi="Times New Roman" w:cs="Times New Roman"/>
          <w:sz w:val="20"/>
          <w:szCs w:val="20"/>
        </w:rPr>
        <w:t xml:space="preserve"> below.</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8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220"/>
        <w:rPr>
          <w:rFonts w:ascii="Times New Roman" w:hAnsi="Times New Roman" w:cs="Times New Roman"/>
          <w:sz w:val="24"/>
          <w:szCs w:val="24"/>
        </w:rPr>
      </w:pPr>
      <w:r>
        <w:rPr>
          <w:rFonts w:ascii="Times New Roman" w:hAnsi="Times New Roman" w:cs="Times New Roman"/>
          <w:b/>
          <w:bCs/>
          <w:sz w:val="20"/>
          <w:szCs w:val="20"/>
        </w:rPr>
        <w:t>BERKSHIRE HATHAWAY INC.</w:t>
      </w:r>
    </w:p>
    <w:p w:rsidR="00000000" w:rsidRDefault="00A06965">
      <w:pPr>
        <w:pStyle w:val="DefaultParagraphFont"/>
        <w:widowControl w:val="0"/>
        <w:autoSpaceDE w:val="0"/>
        <w:autoSpaceDN w:val="0"/>
        <w:adjustRightInd w:val="0"/>
        <w:spacing w:after="0" w:line="36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To the Shareholders of Berkshire Hathaway Inc.:</w:t>
      </w: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Berkshire’s gain in net worth during 2014 was $18.3 billion, which increased the per-share book value of both our Class A and Class B stock by 8.3%. Over the</w:t>
      </w:r>
      <w:r>
        <w:rPr>
          <w:rFonts w:ascii="Times New Roman" w:hAnsi="Times New Roman" w:cs="Times New Roman"/>
          <w:sz w:val="20"/>
          <w:szCs w:val="20"/>
        </w:rPr>
        <w:t xml:space="preserve"> last 50 years (that is, since present management took over), per-share book value has grown from $19 to $146,186, a rate of 19.4% compounded annually.*</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During our tenure, we have consistently compared the yearly performance of the S&amp;P 500 to the change i</w:t>
      </w:r>
      <w:r>
        <w:rPr>
          <w:rFonts w:ascii="Times New Roman" w:hAnsi="Times New Roman" w:cs="Times New Roman"/>
          <w:sz w:val="20"/>
          <w:szCs w:val="20"/>
        </w:rPr>
        <w:t xml:space="preserve">n Berkshire’s per-share book value. We’ve done that because book value has been a crude, but useful, </w:t>
      </w:r>
      <w:r>
        <w:rPr>
          <w:rFonts w:ascii="Times New Roman" w:hAnsi="Times New Roman" w:cs="Times New Roman"/>
          <w:i/>
          <w:iCs/>
          <w:sz w:val="20"/>
          <w:szCs w:val="20"/>
        </w:rPr>
        <w:t>tracking device</w:t>
      </w:r>
      <w:r>
        <w:rPr>
          <w:rFonts w:ascii="Times New Roman" w:hAnsi="Times New Roman" w:cs="Times New Roman"/>
          <w:sz w:val="20"/>
          <w:szCs w:val="20"/>
        </w:rPr>
        <w:t xml:space="preserve"> for the number that really counts: intrinsic business value.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In our early decades, the relationship between book value and intrinsic value was much closer than it is now. That was true because Berkshire’s assets were then largely securities whose values were continuously restated to reflect their current market pric</w:t>
      </w:r>
      <w:r>
        <w:rPr>
          <w:rFonts w:ascii="Times New Roman" w:hAnsi="Times New Roman" w:cs="Times New Roman"/>
          <w:sz w:val="20"/>
          <w:szCs w:val="20"/>
        </w:rPr>
        <w:t>es. In Wall Street parlance, most of the assets involved in the calculation of book value were “marked to market.”</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Today, our emphasis has shifted in a major way to owning and operating large businesses. Many of these are worth far more than their cost-ba</w:t>
      </w:r>
      <w:r>
        <w:rPr>
          <w:rFonts w:ascii="Times New Roman" w:hAnsi="Times New Roman" w:cs="Times New Roman"/>
          <w:sz w:val="20"/>
          <w:szCs w:val="20"/>
        </w:rPr>
        <w:t xml:space="preserve">sed carrying value. But that amount is </w:t>
      </w:r>
      <w:r>
        <w:rPr>
          <w:rFonts w:ascii="Times New Roman" w:hAnsi="Times New Roman" w:cs="Times New Roman"/>
          <w:i/>
          <w:iCs/>
          <w:sz w:val="20"/>
          <w:szCs w:val="20"/>
        </w:rPr>
        <w:t>never</w:t>
      </w:r>
      <w:r>
        <w:rPr>
          <w:rFonts w:ascii="Times New Roman" w:hAnsi="Times New Roman" w:cs="Times New Roman"/>
          <w:sz w:val="20"/>
          <w:szCs w:val="20"/>
        </w:rPr>
        <w:t xml:space="preserve"> revalued upward no matter how much the value of these companies has increased. Consequently, the gap between Berkshire’s intrinsic value and its book value has materially widened.</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0" w:lineRule="auto"/>
        <w:ind w:firstLine="720"/>
        <w:jc w:val="both"/>
        <w:rPr>
          <w:rFonts w:ascii="Times New Roman" w:hAnsi="Times New Roman" w:cs="Times New Roman"/>
          <w:sz w:val="24"/>
          <w:szCs w:val="24"/>
        </w:rPr>
      </w:pPr>
      <w:r>
        <w:rPr>
          <w:rFonts w:ascii="Times New Roman" w:hAnsi="Times New Roman" w:cs="Times New Roman"/>
          <w:sz w:val="20"/>
          <w:szCs w:val="20"/>
        </w:rPr>
        <w:t>With that in mind, we have add</w:t>
      </w:r>
      <w:r>
        <w:rPr>
          <w:rFonts w:ascii="Times New Roman" w:hAnsi="Times New Roman" w:cs="Times New Roman"/>
          <w:sz w:val="20"/>
          <w:szCs w:val="20"/>
        </w:rPr>
        <w:t>ed a new set of data – the historical record of Berkshire’s stock price – to the performance table on the facing page. Market prices, let me stress, have their limitations in the short term. Monthly or yearly movements of stocks are often erratic and not i</w:t>
      </w:r>
      <w:r>
        <w:rPr>
          <w:rFonts w:ascii="Times New Roman" w:hAnsi="Times New Roman" w:cs="Times New Roman"/>
          <w:sz w:val="20"/>
          <w:szCs w:val="20"/>
        </w:rPr>
        <w:t>ndicative of changes in intrinsic value. Over time, however, stock prices and intrinsic value almost invariably converge. Charlie Munger, Berkshire Vice Chairman and my partner, and I believe that has been true at Berkshire: In our view, the increase in Be</w:t>
      </w:r>
      <w:r>
        <w:rPr>
          <w:rFonts w:ascii="Times New Roman" w:hAnsi="Times New Roman" w:cs="Times New Roman"/>
          <w:sz w:val="20"/>
          <w:szCs w:val="20"/>
        </w:rPr>
        <w:t>rkshire’s per-share intrinsic value over the past 50 years is roughly equal to the 1,826,163% gain in market price of the company’s shares.</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0" allowOverlap="1">
                <wp:simplePos x="0" y="0"/>
                <wp:positionH relativeFrom="column">
                  <wp:posOffset>0</wp:posOffset>
                </wp:positionH>
                <wp:positionV relativeFrom="paragraph">
                  <wp:posOffset>716915</wp:posOffset>
                </wp:positionV>
                <wp:extent cx="1397000" cy="0"/>
                <wp:effectExtent l="0" t="0" r="0" b="0"/>
                <wp:wrapNone/>
                <wp:docPr id="6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6.45pt" to="110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" o:allowincell="f" strokeweight=".5pt"/>
            </w:pict>
          </mc:Fallback>
        </mc:AlternateConten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3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02" w:lineRule="auto"/>
        <w:jc w:val="both"/>
        <w:rPr>
          <w:rFonts w:ascii="Times New Roman" w:hAnsi="Times New Roman" w:cs="Times New Roman"/>
          <w:sz w:val="24"/>
          <w:szCs w:val="24"/>
        </w:rPr>
      </w:pPr>
      <w:r>
        <w:rPr>
          <w:rFonts w:ascii="Times New Roman" w:hAnsi="Times New Roman" w:cs="Times New Roman"/>
          <w:sz w:val="20"/>
          <w:szCs w:val="20"/>
        </w:rPr>
        <w:t>* All per-share figures used in this report apply to Berkshire’s A shares. Figures for the B shares are 1/15</w:t>
      </w:r>
      <w:r>
        <w:rPr>
          <w:rFonts w:ascii="Times New Roman" w:hAnsi="Times New Roman" w:cs="Times New Roman"/>
          <w:sz w:val="20"/>
          <w:szCs w:val="20"/>
        </w:rPr>
        <w:t>00</w:t>
      </w:r>
      <w:r>
        <w:rPr>
          <w:rFonts w:ascii="Times New Roman" w:hAnsi="Times New Roman" w:cs="Times New Roman"/>
          <w:sz w:val="26"/>
          <w:szCs w:val="26"/>
          <w:vertAlign w:val="superscript"/>
        </w:rPr>
        <w:t>th</w:t>
      </w:r>
      <w:r>
        <w:rPr>
          <w:rFonts w:ascii="Times New Roman" w:hAnsi="Times New Roman" w:cs="Times New Roman"/>
          <w:sz w:val="20"/>
          <w:szCs w:val="20"/>
        </w:rPr>
        <w:t xml:space="preserve"> of those shown for A.</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60" w:bottom="943" w:left="6080" w:header="720" w:footer="720" w:gutter="0"/>
          <w:cols w:space="720" w:equalWidth="0">
            <w:col w:w="1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The Year at Berkshire</w:t>
      </w:r>
    </w:p>
    <w:p w:rsidR="00000000" w:rsidRDefault="00A06965">
      <w:pPr>
        <w:pStyle w:val="DefaultParagraphFont"/>
        <w:widowControl w:val="0"/>
        <w:autoSpaceDE w:val="0"/>
        <w:autoSpaceDN w:val="0"/>
        <w:adjustRightInd w:val="0"/>
        <w:spacing w:after="0" w:line="17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It was a good year for Berkshire on all major fronts, except one. Here are the important developments:</w:t>
      </w:r>
    </w:p>
    <w:p w:rsidR="00000000" w:rsidRDefault="00A06965">
      <w:pPr>
        <w:pStyle w:val="DefaultParagraphFont"/>
        <w:widowControl w:val="0"/>
        <w:autoSpaceDE w:val="0"/>
        <w:autoSpaceDN w:val="0"/>
        <w:adjustRightInd w:val="0"/>
        <w:spacing w:after="0" w:line="194" w:lineRule="exact"/>
        <w:rPr>
          <w:rFonts w:ascii="Times New Roman" w:hAnsi="Times New Roman" w:cs="Times New Roman"/>
          <w:sz w:val="24"/>
          <w:szCs w:val="24"/>
        </w:rPr>
      </w:pPr>
    </w:p>
    <w:p w:rsidR="00000000" w:rsidRDefault="00A06965">
      <w:pPr>
        <w:pStyle w:val="DefaultParagraphFont"/>
        <w:widowControl w:val="0"/>
        <w:numPr>
          <w:ilvl w:val="1"/>
          <w:numId w:val="1"/>
        </w:numPr>
        <w:tabs>
          <w:tab w:val="clear" w:pos="1440"/>
          <w:tab w:val="num" w:pos="720"/>
        </w:tabs>
        <w:overflowPunct w:val="0"/>
        <w:autoSpaceDE w:val="0"/>
        <w:autoSpaceDN w:val="0"/>
        <w:adjustRightInd w:val="0"/>
        <w:spacing w:after="0" w:line="236" w:lineRule="auto"/>
        <w:ind w:left="720"/>
        <w:jc w:val="both"/>
        <w:rPr>
          <w:rFonts w:ascii="Arial" w:hAnsi="Arial" w:cs="Arial"/>
          <w:sz w:val="20"/>
          <w:szCs w:val="20"/>
          <w:vertAlign w:val="superscript"/>
        </w:rPr>
      </w:pPr>
      <w:r>
        <w:rPr>
          <w:rFonts w:ascii="Times New Roman" w:hAnsi="Times New Roman" w:cs="Times New Roman"/>
          <w:sz w:val="20"/>
          <w:szCs w:val="20"/>
        </w:rPr>
        <w:t>Our “Powerhouse Five” – a collection of Berkshire’</w:t>
      </w:r>
      <w:r>
        <w:rPr>
          <w:rFonts w:ascii="Times New Roman" w:hAnsi="Times New Roman" w:cs="Times New Roman"/>
          <w:sz w:val="20"/>
          <w:szCs w:val="20"/>
        </w:rPr>
        <w:t>s largest non-insurance businesses – had a record $12.4 billion of pre-tax earnings in 2014, up $1.6 billion from 2013.* The companies in this sainted group are Berkshire Hathaway Energy (formerly MidAmerican Energy), BNSF, IMC (I’ve called it Iscar in the</w:t>
      </w:r>
      <w:r>
        <w:rPr>
          <w:rFonts w:ascii="Times New Roman" w:hAnsi="Times New Roman" w:cs="Times New Roman"/>
          <w:sz w:val="20"/>
          <w:szCs w:val="20"/>
        </w:rPr>
        <w:t xml:space="preserve"> past), Lubrizol and Marmon.</w:t>
      </w:r>
    </w:p>
    <w:p w:rsidR="00000000" w:rsidRDefault="00A06965">
      <w:pPr>
        <w:pStyle w:val="DefaultParagraphFont"/>
        <w:widowControl w:val="0"/>
        <w:autoSpaceDE w:val="0"/>
        <w:autoSpaceDN w:val="0"/>
        <w:adjustRightInd w:val="0"/>
        <w:spacing w:after="0" w:line="194"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720"/>
        <w:jc w:val="both"/>
        <w:rPr>
          <w:rFonts w:ascii="Arial" w:hAnsi="Arial" w:cs="Arial"/>
          <w:sz w:val="20"/>
          <w:szCs w:val="20"/>
          <w:vertAlign w:val="superscript"/>
        </w:rPr>
      </w:pPr>
      <w:r>
        <w:rPr>
          <w:rFonts w:ascii="Times New Roman" w:hAnsi="Times New Roman" w:cs="Times New Roman"/>
          <w:sz w:val="20"/>
          <w:szCs w:val="20"/>
        </w:rPr>
        <w:t>Of t</w:t>
      </w:r>
      <w:r>
        <w:rPr>
          <w:rFonts w:ascii="Times New Roman" w:hAnsi="Times New Roman" w:cs="Times New Roman"/>
          <w:sz w:val="20"/>
          <w:szCs w:val="20"/>
        </w:rPr>
        <w:t>he five, only Berkshire Hathaway Energy, then earning $393 million, was owned by us a decade ago. Subsequently we purchased another three of the five on an all-cash basis. In acquiring the fifth, BNSF, we paid about 70% of the cost in cash and, for the rem</w:t>
      </w:r>
      <w:r>
        <w:rPr>
          <w:rFonts w:ascii="Times New Roman" w:hAnsi="Times New Roman" w:cs="Times New Roman"/>
          <w:sz w:val="20"/>
          <w:szCs w:val="20"/>
        </w:rPr>
        <w:t>ainder, issued Berkshire shares that increased the number outstanding by 6.1%. In other words, the $12 billion gain in annual earnings delivered Berkshire by the five companies over the ten-year span has been accompanied by only minor dilution. That satisf</w:t>
      </w:r>
      <w:r>
        <w:rPr>
          <w:rFonts w:ascii="Times New Roman" w:hAnsi="Times New Roman" w:cs="Times New Roman"/>
          <w:sz w:val="20"/>
          <w:szCs w:val="20"/>
        </w:rPr>
        <w:t xml:space="preserve">ies our goal of not simply increasing earnings, but making sure we also increase </w:t>
      </w:r>
      <w:r>
        <w:rPr>
          <w:rFonts w:ascii="Times New Roman" w:hAnsi="Times New Roman" w:cs="Times New Roman"/>
          <w:i/>
          <w:iCs/>
          <w:sz w:val="20"/>
          <w:szCs w:val="20"/>
        </w:rPr>
        <w:t>per-share</w:t>
      </w:r>
      <w:r>
        <w:rPr>
          <w:rFonts w:ascii="Times New Roman" w:hAnsi="Times New Roman" w:cs="Times New Roman"/>
          <w:sz w:val="20"/>
          <w:szCs w:val="20"/>
        </w:rPr>
        <w:t xml:space="preserve"> results.</w:t>
      </w:r>
    </w:p>
    <w:p w:rsidR="00000000" w:rsidRDefault="00A06965">
      <w:pPr>
        <w:pStyle w:val="DefaultParagraphFont"/>
        <w:widowControl w:val="0"/>
        <w:autoSpaceDE w:val="0"/>
        <w:autoSpaceDN w:val="0"/>
        <w:adjustRightInd w:val="0"/>
        <w:spacing w:after="0" w:line="197"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5" w:lineRule="auto"/>
        <w:ind w:left="720"/>
        <w:jc w:val="both"/>
        <w:rPr>
          <w:rFonts w:ascii="Arial" w:hAnsi="Arial" w:cs="Arial"/>
          <w:sz w:val="20"/>
          <w:szCs w:val="20"/>
          <w:vertAlign w:val="superscript"/>
        </w:rPr>
      </w:pPr>
      <w:r>
        <w:rPr>
          <w:rFonts w:ascii="Times New Roman" w:hAnsi="Times New Roman" w:cs="Times New Roman"/>
          <w:sz w:val="20"/>
          <w:szCs w:val="20"/>
        </w:rPr>
        <w:t>If the U.S. economy continues to improve in 2015, we expect earnings of our Powerhouse Five to improve as well. The gain could reach $1 billion, in part b</w:t>
      </w:r>
      <w:r>
        <w:rPr>
          <w:rFonts w:ascii="Times New Roman" w:hAnsi="Times New Roman" w:cs="Times New Roman"/>
          <w:sz w:val="20"/>
          <w:szCs w:val="20"/>
        </w:rPr>
        <w:t>ecause of bolt-on acquisitions by the group that have already closed or are under contract.</w:t>
      </w:r>
    </w:p>
    <w:p w:rsidR="00000000" w:rsidRDefault="00A06965">
      <w:pPr>
        <w:pStyle w:val="DefaultParagraphFont"/>
        <w:widowControl w:val="0"/>
        <w:autoSpaceDE w:val="0"/>
        <w:autoSpaceDN w:val="0"/>
        <w:adjustRightInd w:val="0"/>
        <w:spacing w:after="0" w:line="194" w:lineRule="exact"/>
        <w:rPr>
          <w:rFonts w:ascii="Arial" w:hAnsi="Arial" w:cs="Arial"/>
          <w:sz w:val="20"/>
          <w:szCs w:val="20"/>
          <w:vertAlign w:val="superscript"/>
        </w:rPr>
      </w:pPr>
    </w:p>
    <w:p w:rsidR="00000000" w:rsidRDefault="00A06965">
      <w:pPr>
        <w:pStyle w:val="DefaultParagraphFont"/>
        <w:widowControl w:val="0"/>
        <w:numPr>
          <w:ilvl w:val="1"/>
          <w:numId w:val="1"/>
        </w:numPr>
        <w:tabs>
          <w:tab w:val="clear" w:pos="1440"/>
          <w:tab w:val="num" w:pos="720"/>
        </w:tabs>
        <w:overflowPunct w:val="0"/>
        <w:autoSpaceDE w:val="0"/>
        <w:autoSpaceDN w:val="0"/>
        <w:adjustRightInd w:val="0"/>
        <w:spacing w:after="0" w:line="235" w:lineRule="auto"/>
        <w:ind w:left="720"/>
        <w:jc w:val="both"/>
        <w:rPr>
          <w:rFonts w:ascii="Arial" w:hAnsi="Arial" w:cs="Arial"/>
          <w:sz w:val="20"/>
          <w:szCs w:val="20"/>
          <w:vertAlign w:val="superscript"/>
        </w:rPr>
      </w:pPr>
      <w:r>
        <w:rPr>
          <w:rFonts w:ascii="Times New Roman" w:hAnsi="Times New Roman" w:cs="Times New Roman"/>
          <w:sz w:val="20"/>
          <w:szCs w:val="20"/>
        </w:rPr>
        <w:t>Our bad news from 2014 comes from our group of five as well and is unrelated to earnings. During the year, BNSF disappointed many of its customers. These shipper</w:t>
      </w:r>
      <w:r>
        <w:rPr>
          <w:rFonts w:ascii="Times New Roman" w:hAnsi="Times New Roman" w:cs="Times New Roman"/>
          <w:sz w:val="20"/>
          <w:szCs w:val="20"/>
        </w:rPr>
        <w:t>s depend on us, and service failures can badly hurt their businesses.</w:t>
      </w:r>
    </w:p>
    <w:p w:rsidR="00000000" w:rsidRDefault="00A06965">
      <w:pPr>
        <w:pStyle w:val="DefaultParagraphFont"/>
        <w:widowControl w:val="0"/>
        <w:autoSpaceDE w:val="0"/>
        <w:autoSpaceDN w:val="0"/>
        <w:adjustRightInd w:val="0"/>
        <w:spacing w:after="0" w:line="193"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6" w:lineRule="auto"/>
        <w:ind w:left="720"/>
        <w:jc w:val="both"/>
        <w:rPr>
          <w:rFonts w:ascii="Arial" w:hAnsi="Arial" w:cs="Arial"/>
          <w:sz w:val="20"/>
          <w:szCs w:val="20"/>
          <w:vertAlign w:val="superscript"/>
        </w:rPr>
      </w:pPr>
      <w:r>
        <w:rPr>
          <w:rFonts w:ascii="Times New Roman" w:hAnsi="Times New Roman" w:cs="Times New Roman"/>
          <w:sz w:val="20"/>
          <w:szCs w:val="20"/>
        </w:rPr>
        <w:t>BNSF is, by far, Berkshire’s most important non-insurance subsidiary and, to improve its performance, we will spend $6 billion on plant and equipment in 2015. That sum is nearly 50% mo</w:t>
      </w:r>
      <w:r>
        <w:rPr>
          <w:rFonts w:ascii="Times New Roman" w:hAnsi="Times New Roman" w:cs="Times New Roman"/>
          <w:sz w:val="20"/>
          <w:szCs w:val="20"/>
        </w:rPr>
        <w:t>re than any other railroad has spent in a single year and is a truly extraordinary amount, whether compared to revenues, earnings or depreciation charges.</w:t>
      </w:r>
    </w:p>
    <w:p w:rsidR="00000000" w:rsidRDefault="00A06965">
      <w:pPr>
        <w:pStyle w:val="DefaultParagraphFont"/>
        <w:widowControl w:val="0"/>
        <w:autoSpaceDE w:val="0"/>
        <w:autoSpaceDN w:val="0"/>
        <w:adjustRightInd w:val="0"/>
        <w:spacing w:after="0" w:line="195"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720"/>
        <w:jc w:val="both"/>
        <w:rPr>
          <w:rFonts w:ascii="Arial" w:hAnsi="Arial" w:cs="Arial"/>
          <w:sz w:val="20"/>
          <w:szCs w:val="20"/>
          <w:vertAlign w:val="superscript"/>
        </w:rPr>
      </w:pPr>
      <w:r>
        <w:rPr>
          <w:rFonts w:ascii="Times New Roman" w:hAnsi="Times New Roman" w:cs="Times New Roman"/>
          <w:sz w:val="20"/>
          <w:szCs w:val="20"/>
        </w:rPr>
        <w:t>Though weather, which was particularly severe last year, will always cause railroads a variety of o</w:t>
      </w:r>
      <w:r>
        <w:rPr>
          <w:rFonts w:ascii="Times New Roman" w:hAnsi="Times New Roman" w:cs="Times New Roman"/>
          <w:sz w:val="20"/>
          <w:szCs w:val="20"/>
        </w:rPr>
        <w:t xml:space="preserve">perating problems, our responsibility is to do </w:t>
      </w:r>
      <w:r>
        <w:rPr>
          <w:rFonts w:ascii="Times New Roman" w:hAnsi="Times New Roman" w:cs="Times New Roman"/>
          <w:i/>
          <w:iCs/>
          <w:sz w:val="20"/>
          <w:szCs w:val="20"/>
        </w:rPr>
        <w:t>whatever it takes</w:t>
      </w:r>
      <w:r>
        <w:rPr>
          <w:rFonts w:ascii="Times New Roman" w:hAnsi="Times New Roman" w:cs="Times New Roman"/>
          <w:sz w:val="20"/>
          <w:szCs w:val="20"/>
        </w:rPr>
        <w:t xml:space="preserve"> to restore our service to industry-leading levels. That can’t be done overnight: The extensive work required to increase system capacity sometimes disrupts operations while it is underway. Re</w:t>
      </w:r>
      <w:r>
        <w:rPr>
          <w:rFonts w:ascii="Times New Roman" w:hAnsi="Times New Roman" w:cs="Times New Roman"/>
          <w:sz w:val="20"/>
          <w:szCs w:val="20"/>
        </w:rPr>
        <w:t>cently, however, our outsized expenditures are beginning to show results. During the last three months, BNSF’s performance metrics have materially improved from last year’s figures.</w:t>
      </w:r>
    </w:p>
    <w:p w:rsidR="00000000" w:rsidRDefault="00A06965">
      <w:pPr>
        <w:pStyle w:val="DefaultParagraphFont"/>
        <w:widowControl w:val="0"/>
        <w:autoSpaceDE w:val="0"/>
        <w:autoSpaceDN w:val="0"/>
        <w:adjustRightInd w:val="0"/>
        <w:spacing w:after="0" w:line="197" w:lineRule="exact"/>
        <w:rPr>
          <w:rFonts w:ascii="Arial" w:hAnsi="Arial" w:cs="Arial"/>
          <w:sz w:val="20"/>
          <w:szCs w:val="20"/>
          <w:vertAlign w:val="superscript"/>
        </w:rPr>
      </w:pPr>
    </w:p>
    <w:p w:rsidR="00000000" w:rsidRDefault="00A06965">
      <w:pPr>
        <w:pStyle w:val="DefaultParagraphFont"/>
        <w:widowControl w:val="0"/>
        <w:numPr>
          <w:ilvl w:val="1"/>
          <w:numId w:val="1"/>
        </w:numPr>
        <w:tabs>
          <w:tab w:val="clear" w:pos="1440"/>
          <w:tab w:val="num" w:pos="720"/>
        </w:tabs>
        <w:overflowPunct w:val="0"/>
        <w:autoSpaceDE w:val="0"/>
        <w:autoSpaceDN w:val="0"/>
        <w:adjustRightInd w:val="0"/>
        <w:spacing w:after="0" w:line="237" w:lineRule="auto"/>
        <w:ind w:left="720"/>
        <w:jc w:val="both"/>
        <w:rPr>
          <w:rFonts w:ascii="Arial" w:hAnsi="Arial" w:cs="Arial"/>
          <w:sz w:val="20"/>
          <w:szCs w:val="20"/>
          <w:vertAlign w:val="superscript"/>
        </w:rPr>
      </w:pPr>
      <w:r>
        <w:rPr>
          <w:rFonts w:ascii="Times New Roman" w:hAnsi="Times New Roman" w:cs="Times New Roman"/>
          <w:sz w:val="20"/>
          <w:szCs w:val="20"/>
        </w:rPr>
        <w:t>Our many dozens of smaller non-insurance businesses earned $5.1 billion</w:t>
      </w:r>
      <w:r>
        <w:rPr>
          <w:rFonts w:ascii="Times New Roman" w:hAnsi="Times New Roman" w:cs="Times New Roman"/>
          <w:sz w:val="20"/>
          <w:szCs w:val="20"/>
        </w:rPr>
        <w:t xml:space="preserve"> last year, up from $4.7 billion in 2013. Here, as with our Powerhouse Five, we expect further gains in 2015. Within this group, we have two companies that last year earned between $400 million and $600 million, six that earned between $250 million and $40</w:t>
      </w:r>
      <w:r>
        <w:rPr>
          <w:rFonts w:ascii="Times New Roman" w:hAnsi="Times New Roman" w:cs="Times New Roman"/>
          <w:sz w:val="20"/>
          <w:szCs w:val="20"/>
        </w:rPr>
        <w:t>0 million, and seven that earned between $100 million and $250 million. This collection of businesses will increase in both number and earnings. Our ambitions have no finish line.</w:t>
      </w:r>
    </w:p>
    <w:p w:rsidR="00000000" w:rsidRDefault="00A06965">
      <w:pPr>
        <w:pStyle w:val="DefaultParagraphFont"/>
        <w:widowControl w:val="0"/>
        <w:autoSpaceDE w:val="0"/>
        <w:autoSpaceDN w:val="0"/>
        <w:adjustRightInd w:val="0"/>
        <w:spacing w:after="0" w:line="193" w:lineRule="exact"/>
        <w:rPr>
          <w:rFonts w:ascii="Arial" w:hAnsi="Arial" w:cs="Arial"/>
          <w:sz w:val="20"/>
          <w:szCs w:val="20"/>
          <w:vertAlign w:val="superscript"/>
        </w:rPr>
      </w:pPr>
    </w:p>
    <w:p w:rsidR="00000000" w:rsidRDefault="00A06965">
      <w:pPr>
        <w:pStyle w:val="DefaultParagraphFont"/>
        <w:widowControl w:val="0"/>
        <w:numPr>
          <w:ilvl w:val="1"/>
          <w:numId w:val="1"/>
        </w:numPr>
        <w:tabs>
          <w:tab w:val="clear" w:pos="1440"/>
          <w:tab w:val="num" w:pos="720"/>
        </w:tabs>
        <w:overflowPunct w:val="0"/>
        <w:autoSpaceDE w:val="0"/>
        <w:autoSpaceDN w:val="0"/>
        <w:adjustRightInd w:val="0"/>
        <w:spacing w:after="0" w:line="237" w:lineRule="auto"/>
        <w:ind w:left="720"/>
        <w:jc w:val="both"/>
        <w:rPr>
          <w:rFonts w:ascii="Arial" w:hAnsi="Arial" w:cs="Arial"/>
          <w:sz w:val="20"/>
          <w:szCs w:val="20"/>
          <w:vertAlign w:val="superscript"/>
        </w:rPr>
      </w:pPr>
      <w:r>
        <w:rPr>
          <w:rFonts w:ascii="Times New Roman" w:hAnsi="Times New Roman" w:cs="Times New Roman"/>
          <w:sz w:val="20"/>
          <w:szCs w:val="20"/>
        </w:rPr>
        <w:t>Berkshire’</w:t>
      </w:r>
      <w:r>
        <w:rPr>
          <w:rFonts w:ascii="Times New Roman" w:hAnsi="Times New Roman" w:cs="Times New Roman"/>
          <w:sz w:val="20"/>
          <w:szCs w:val="20"/>
        </w:rPr>
        <w:t>s huge and growing insurance operation again operated at an underwriting profit in 2014 – that makes 12 years in a row – and increased its float. During that 12-year stretch, our float – money that doesn’t belong to us but that we can invest for Berkshire’</w:t>
      </w:r>
      <w:r>
        <w:rPr>
          <w:rFonts w:ascii="Times New Roman" w:hAnsi="Times New Roman" w:cs="Times New Roman"/>
          <w:sz w:val="20"/>
          <w:szCs w:val="20"/>
        </w:rPr>
        <w:t>s benefit – has grown from $41 billion to $84 billion. Though neither that gain nor the size of our float is reflected in Berkshire’s earnings, float generates significant investment income because of the assets it allows us to hold.</w:t>
      </w:r>
    </w:p>
    <w:p w:rsidR="00000000" w:rsidRDefault="00A06965">
      <w:pPr>
        <w:pStyle w:val="DefaultParagraphFont"/>
        <w:widowControl w:val="0"/>
        <w:autoSpaceDE w:val="0"/>
        <w:autoSpaceDN w:val="0"/>
        <w:adjustRightInd w:val="0"/>
        <w:spacing w:after="0" w:line="200" w:lineRule="exact"/>
        <w:rPr>
          <w:rFonts w:ascii="Arial" w:hAnsi="Arial" w:cs="Arial"/>
          <w:sz w:val="20"/>
          <w:szCs w:val="20"/>
          <w:vertAlign w:val="superscript"/>
        </w:rPr>
      </w:pPr>
    </w:p>
    <w:p w:rsidR="00000000" w:rsidRDefault="00A06965">
      <w:pPr>
        <w:pStyle w:val="DefaultParagraphFont"/>
        <w:widowControl w:val="0"/>
        <w:autoSpaceDE w:val="0"/>
        <w:autoSpaceDN w:val="0"/>
        <w:adjustRightInd w:val="0"/>
        <w:spacing w:after="0" w:line="200" w:lineRule="exact"/>
        <w:rPr>
          <w:rFonts w:ascii="Arial" w:hAnsi="Arial" w:cs="Arial"/>
          <w:sz w:val="20"/>
          <w:szCs w:val="20"/>
          <w:vertAlign w:val="superscript"/>
        </w:rPr>
      </w:pPr>
    </w:p>
    <w:p w:rsidR="00000000" w:rsidRDefault="00A06965">
      <w:pPr>
        <w:pStyle w:val="DefaultParagraphFont"/>
        <w:widowControl w:val="0"/>
        <w:autoSpaceDE w:val="0"/>
        <w:autoSpaceDN w:val="0"/>
        <w:adjustRightInd w:val="0"/>
        <w:spacing w:after="0" w:line="200" w:lineRule="exact"/>
        <w:rPr>
          <w:rFonts w:ascii="Arial" w:hAnsi="Arial" w:cs="Arial"/>
          <w:sz w:val="20"/>
          <w:szCs w:val="20"/>
          <w:vertAlign w:val="superscript"/>
        </w:rPr>
      </w:pPr>
    </w:p>
    <w:p w:rsidR="00000000" w:rsidRDefault="00A06965">
      <w:pPr>
        <w:pStyle w:val="DefaultParagraphFont"/>
        <w:widowControl w:val="0"/>
        <w:autoSpaceDE w:val="0"/>
        <w:autoSpaceDN w:val="0"/>
        <w:adjustRightInd w:val="0"/>
        <w:spacing w:after="0" w:line="200" w:lineRule="exact"/>
        <w:rPr>
          <w:rFonts w:ascii="Arial" w:hAnsi="Arial" w:cs="Arial"/>
          <w:sz w:val="20"/>
          <w:szCs w:val="20"/>
          <w:vertAlign w:val="superscript"/>
        </w:rPr>
      </w:pPr>
    </w:p>
    <w:p w:rsidR="00000000" w:rsidRDefault="00A06965">
      <w:pPr>
        <w:pStyle w:val="DefaultParagraphFont"/>
        <w:widowControl w:val="0"/>
        <w:autoSpaceDE w:val="0"/>
        <w:autoSpaceDN w:val="0"/>
        <w:adjustRightInd w:val="0"/>
        <w:spacing w:after="0" w:line="293" w:lineRule="exact"/>
        <w:rPr>
          <w:rFonts w:ascii="Arial" w:hAnsi="Arial" w:cs="Arial"/>
          <w:sz w:val="20"/>
          <w:szCs w:val="20"/>
          <w:vertAlign w:val="superscript"/>
        </w:rPr>
      </w:pPr>
    </w:p>
    <w:p w:rsidR="00000000" w:rsidRDefault="00A06965">
      <w:pPr>
        <w:pStyle w:val="DefaultParagraphFont"/>
        <w:widowControl w:val="0"/>
        <w:numPr>
          <w:ilvl w:val="0"/>
          <w:numId w:val="1"/>
        </w:numPr>
        <w:tabs>
          <w:tab w:val="clear" w:pos="720"/>
          <w:tab w:val="num" w:pos="158"/>
        </w:tabs>
        <w:overflowPunct w:val="0"/>
        <w:autoSpaceDE w:val="0"/>
        <w:autoSpaceDN w:val="0"/>
        <w:adjustRightInd w:val="0"/>
        <w:spacing w:after="0" w:line="233" w:lineRule="auto"/>
        <w:ind w:left="0" w:firstLine="0"/>
        <w:jc w:val="both"/>
        <w:rPr>
          <w:rFonts w:ascii="Times New Roman" w:hAnsi="Times New Roman" w:cs="Times New Roman"/>
          <w:sz w:val="20"/>
          <w:szCs w:val="20"/>
        </w:rPr>
      </w:pPr>
      <w:r>
        <w:rPr>
          <w:rFonts w:ascii="Times New Roman" w:hAnsi="Times New Roman" w:cs="Times New Roman"/>
          <w:sz w:val="20"/>
          <w:szCs w:val="20"/>
        </w:rPr>
        <w:t>Throughout this</w:t>
      </w:r>
      <w:r>
        <w:rPr>
          <w:rFonts w:ascii="Times New Roman" w:hAnsi="Times New Roman" w:cs="Times New Roman"/>
          <w:sz w:val="20"/>
          <w:szCs w:val="20"/>
        </w:rPr>
        <w:t xml:space="preserve"> letter, as well as in the “Golden Anniversary” letters included later in this report, all earnings are stated on a pre-tax basis unless otherwise designated.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3"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9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6060" w:bottom="943" w:left="6080" w:header="720" w:footer="720" w:gutter="0"/>
          <w:cols w:space="720" w:equalWidth="0">
            <w:col w:w="100"/>
          </w:cols>
          <w:noEndnote/>
        </w:sectPr>
      </w:pPr>
    </w:p>
    <w:p w:rsidR="00000000" w:rsidRDefault="00A06965">
      <w:pPr>
        <w:pStyle w:val="DefaultParagraphFont"/>
        <w:widowControl w:val="0"/>
        <w:overflowPunct w:val="0"/>
        <w:autoSpaceDE w:val="0"/>
        <w:autoSpaceDN w:val="0"/>
        <w:adjustRightInd w:val="0"/>
        <w:spacing w:after="0" w:line="233" w:lineRule="auto"/>
        <w:ind w:left="360"/>
        <w:rPr>
          <w:rFonts w:ascii="Times New Roman" w:hAnsi="Times New Roman" w:cs="Times New Roman"/>
          <w:sz w:val="24"/>
          <w:szCs w:val="24"/>
        </w:rPr>
      </w:pPr>
      <w:r>
        <w:rPr>
          <w:rFonts w:ascii="Times New Roman" w:hAnsi="Times New Roman" w:cs="Times New Roman"/>
          <w:sz w:val="20"/>
          <w:szCs w:val="20"/>
        </w:rPr>
        <w:t xml:space="preserve">Meanwhile, our underwriting profit totaled $24 billion during the twelve-year period, including $2.7 billion earned in 2014. And all of this began with our 1967 purchase of National Indemnity for $8.6 </w:t>
      </w:r>
      <w:r>
        <w:rPr>
          <w:rFonts w:ascii="Times New Roman" w:hAnsi="Times New Roman" w:cs="Times New Roman"/>
          <w:i/>
          <w:iCs/>
          <w:sz w:val="20"/>
          <w:szCs w:val="20"/>
        </w:rPr>
        <w:t>million</w:t>
      </w:r>
      <w:r>
        <w:rPr>
          <w:rFonts w:ascii="Times New Roman" w:hAnsi="Times New Roman" w:cs="Times New Roman"/>
          <w:sz w:val="20"/>
          <w:szCs w:val="20"/>
        </w:rPr>
        <w:t>.</w:t>
      </w:r>
    </w:p>
    <w:p w:rsidR="00000000" w:rsidRDefault="00A06965">
      <w:pPr>
        <w:pStyle w:val="DefaultParagraphFont"/>
        <w:widowControl w:val="0"/>
        <w:autoSpaceDE w:val="0"/>
        <w:autoSpaceDN w:val="0"/>
        <w:adjustRightInd w:val="0"/>
        <w:spacing w:after="0" w:line="193" w:lineRule="exact"/>
        <w:rPr>
          <w:rFonts w:ascii="Times New Roman" w:hAnsi="Times New Roman" w:cs="Times New Roman"/>
          <w:sz w:val="24"/>
          <w:szCs w:val="24"/>
        </w:rPr>
      </w:pPr>
    </w:p>
    <w:p w:rsidR="00000000" w:rsidRDefault="00A06965">
      <w:pPr>
        <w:pStyle w:val="DefaultParagraphFont"/>
        <w:widowControl w:val="0"/>
        <w:numPr>
          <w:ilvl w:val="0"/>
          <w:numId w:val="2"/>
        </w:numPr>
        <w:tabs>
          <w:tab w:val="clear" w:pos="720"/>
          <w:tab w:val="num" w:pos="360"/>
        </w:tabs>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Wh</w:t>
      </w:r>
      <w:r>
        <w:rPr>
          <w:rFonts w:ascii="Times New Roman" w:hAnsi="Times New Roman" w:cs="Times New Roman"/>
          <w:sz w:val="20"/>
          <w:szCs w:val="20"/>
        </w:rPr>
        <w:t>ile Charlie and I search for new businesses to buy, our many subsidiaries are regularly making bolt-on acquisitions. Last year was particularly fruitful: We contracted for 31 bolt-ons, scheduled to cost $7.8 billion in aggregate. The size of these transact</w:t>
      </w:r>
      <w:r>
        <w:rPr>
          <w:rFonts w:ascii="Times New Roman" w:hAnsi="Times New Roman" w:cs="Times New Roman"/>
          <w:sz w:val="20"/>
          <w:szCs w:val="20"/>
        </w:rPr>
        <w:t>ions ranged from $400,000 to $2.9 billion. However, the largest acquisition, Duracell, will not close until the second half of this year. It will then be placed under Marmon’s jurisdiction.</w:t>
      </w:r>
    </w:p>
    <w:p w:rsidR="00000000" w:rsidRDefault="00A06965">
      <w:pPr>
        <w:pStyle w:val="DefaultParagraphFont"/>
        <w:widowControl w:val="0"/>
        <w:autoSpaceDE w:val="0"/>
        <w:autoSpaceDN w:val="0"/>
        <w:adjustRightInd w:val="0"/>
        <w:spacing w:after="0" w:line="193"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6" w:lineRule="auto"/>
        <w:ind w:left="360"/>
        <w:jc w:val="both"/>
        <w:rPr>
          <w:rFonts w:ascii="Arial" w:hAnsi="Arial" w:cs="Arial"/>
          <w:sz w:val="20"/>
          <w:szCs w:val="20"/>
          <w:vertAlign w:val="superscript"/>
        </w:rPr>
      </w:pPr>
      <w:r>
        <w:rPr>
          <w:rFonts w:ascii="Times New Roman" w:hAnsi="Times New Roman" w:cs="Times New Roman"/>
          <w:sz w:val="20"/>
          <w:szCs w:val="20"/>
        </w:rPr>
        <w:t xml:space="preserve">Charlie and I encourage bolt-ons, </w:t>
      </w:r>
      <w:r>
        <w:rPr>
          <w:rFonts w:ascii="Times New Roman" w:hAnsi="Times New Roman" w:cs="Times New Roman"/>
          <w:i/>
          <w:iCs/>
          <w:sz w:val="20"/>
          <w:szCs w:val="20"/>
        </w:rPr>
        <w:t>if</w:t>
      </w:r>
      <w:r>
        <w:rPr>
          <w:rFonts w:ascii="Times New Roman" w:hAnsi="Times New Roman" w:cs="Times New Roman"/>
          <w:sz w:val="20"/>
          <w:szCs w:val="20"/>
        </w:rPr>
        <w:t xml:space="preserve"> they are sensibly-priced. (</w:t>
      </w:r>
      <w:r>
        <w:rPr>
          <w:rFonts w:ascii="Times New Roman" w:hAnsi="Times New Roman" w:cs="Times New Roman"/>
          <w:sz w:val="20"/>
          <w:szCs w:val="20"/>
        </w:rPr>
        <w:t>Most deals offered us aren’t.) They deploy capital in activities that fit with our existing businesses and that will be managed by our corps of expert managers. This means no more work for us, yet more earnings, a combination we find particularly appealing</w:t>
      </w:r>
      <w:r>
        <w:rPr>
          <w:rFonts w:ascii="Times New Roman" w:hAnsi="Times New Roman" w:cs="Times New Roman"/>
          <w:sz w:val="20"/>
          <w:szCs w:val="20"/>
        </w:rPr>
        <w:t>. We will make many more of these bolt-on deals in future years.</w:t>
      </w:r>
    </w:p>
    <w:p w:rsidR="00000000" w:rsidRDefault="00A06965">
      <w:pPr>
        <w:pStyle w:val="DefaultParagraphFont"/>
        <w:widowControl w:val="0"/>
        <w:autoSpaceDE w:val="0"/>
        <w:autoSpaceDN w:val="0"/>
        <w:adjustRightInd w:val="0"/>
        <w:spacing w:after="0" w:line="195" w:lineRule="exact"/>
        <w:rPr>
          <w:rFonts w:ascii="Arial" w:hAnsi="Arial" w:cs="Arial"/>
          <w:sz w:val="20"/>
          <w:szCs w:val="20"/>
          <w:vertAlign w:val="superscript"/>
        </w:rPr>
      </w:pPr>
    </w:p>
    <w:p w:rsidR="00000000" w:rsidRDefault="00A06965">
      <w:pPr>
        <w:pStyle w:val="DefaultParagraphFont"/>
        <w:widowControl w:val="0"/>
        <w:numPr>
          <w:ilvl w:val="0"/>
          <w:numId w:val="2"/>
        </w:numPr>
        <w:tabs>
          <w:tab w:val="clear" w:pos="720"/>
          <w:tab w:val="num" w:pos="360"/>
        </w:tabs>
        <w:overflowPunct w:val="0"/>
        <w:autoSpaceDE w:val="0"/>
        <w:autoSpaceDN w:val="0"/>
        <w:adjustRightInd w:val="0"/>
        <w:spacing w:after="0" w:line="235" w:lineRule="auto"/>
        <w:ind w:left="360"/>
        <w:jc w:val="both"/>
        <w:rPr>
          <w:rFonts w:ascii="Arial" w:hAnsi="Arial" w:cs="Arial"/>
          <w:sz w:val="20"/>
          <w:szCs w:val="20"/>
          <w:vertAlign w:val="superscript"/>
        </w:rPr>
      </w:pPr>
      <w:r>
        <w:rPr>
          <w:rFonts w:ascii="Times New Roman" w:hAnsi="Times New Roman" w:cs="Times New Roman"/>
          <w:sz w:val="20"/>
          <w:szCs w:val="20"/>
        </w:rPr>
        <w:t>Two years ago my friend, Jorge Paulo Lemann, asked Berkshire to join his 3G Capital group in the acquisition of Heinz. My affirmative response was a no-brainer: I knew immediately that thi</w:t>
      </w:r>
      <w:r>
        <w:rPr>
          <w:rFonts w:ascii="Times New Roman" w:hAnsi="Times New Roman" w:cs="Times New Roman"/>
          <w:sz w:val="20"/>
          <w:szCs w:val="20"/>
        </w:rPr>
        <w:t>s partnership would work well from both a personal and financial standpoint. And it most definitely has.</w:t>
      </w:r>
    </w:p>
    <w:p w:rsidR="00000000" w:rsidRDefault="00A06965">
      <w:pPr>
        <w:pStyle w:val="DefaultParagraphFont"/>
        <w:widowControl w:val="0"/>
        <w:autoSpaceDE w:val="0"/>
        <w:autoSpaceDN w:val="0"/>
        <w:adjustRightInd w:val="0"/>
        <w:spacing w:after="0" w:line="193"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5" w:lineRule="auto"/>
        <w:ind w:left="360"/>
        <w:jc w:val="both"/>
        <w:rPr>
          <w:rFonts w:ascii="Arial" w:hAnsi="Arial" w:cs="Arial"/>
          <w:sz w:val="20"/>
          <w:szCs w:val="20"/>
          <w:vertAlign w:val="superscript"/>
        </w:rPr>
      </w:pPr>
      <w:r>
        <w:rPr>
          <w:rFonts w:ascii="Times New Roman" w:hAnsi="Times New Roman" w:cs="Times New Roman"/>
          <w:sz w:val="20"/>
          <w:szCs w:val="20"/>
        </w:rPr>
        <w:t>I’</w:t>
      </w:r>
      <w:r>
        <w:rPr>
          <w:rFonts w:ascii="Times New Roman" w:hAnsi="Times New Roman" w:cs="Times New Roman"/>
          <w:sz w:val="20"/>
          <w:szCs w:val="20"/>
        </w:rPr>
        <w:t xml:space="preserve">m not embarrassed to admit that Heinz is run far better under Alex Behring, Chairman, and Bernardo Hees, CEO, than would be the case if I were in charge. They hold themselves to extraordinarily high performance standards and are never satisfied, even when </w:t>
      </w:r>
      <w:r>
        <w:rPr>
          <w:rFonts w:ascii="Times New Roman" w:hAnsi="Times New Roman" w:cs="Times New Roman"/>
          <w:sz w:val="20"/>
          <w:szCs w:val="20"/>
        </w:rPr>
        <w:t>their results far exceed those of competitors.</w:t>
      </w:r>
    </w:p>
    <w:p w:rsidR="00000000" w:rsidRDefault="00A06965">
      <w:pPr>
        <w:pStyle w:val="DefaultParagraphFont"/>
        <w:widowControl w:val="0"/>
        <w:autoSpaceDE w:val="0"/>
        <w:autoSpaceDN w:val="0"/>
        <w:adjustRightInd w:val="0"/>
        <w:spacing w:after="0" w:line="194"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6" w:lineRule="auto"/>
        <w:ind w:left="360"/>
        <w:jc w:val="both"/>
        <w:rPr>
          <w:rFonts w:ascii="Arial" w:hAnsi="Arial" w:cs="Arial"/>
          <w:sz w:val="20"/>
          <w:szCs w:val="20"/>
          <w:vertAlign w:val="superscript"/>
        </w:rPr>
      </w:pPr>
      <w:r>
        <w:rPr>
          <w:rFonts w:ascii="Times New Roman" w:hAnsi="Times New Roman" w:cs="Times New Roman"/>
          <w:sz w:val="20"/>
          <w:szCs w:val="20"/>
        </w:rPr>
        <w:t>We expect to partner with 3G in more activities. Sometimes our participation will only involve a financing role, as was the case in the recent acquisition of Tim Hortons by Burger King. Our favored arrangeme</w:t>
      </w:r>
      <w:r>
        <w:rPr>
          <w:rFonts w:ascii="Times New Roman" w:hAnsi="Times New Roman" w:cs="Times New Roman"/>
          <w:sz w:val="20"/>
          <w:szCs w:val="20"/>
        </w:rPr>
        <w:t xml:space="preserve">nt, however, will usually be to link up as a </w:t>
      </w:r>
      <w:r>
        <w:rPr>
          <w:rFonts w:ascii="Times New Roman" w:hAnsi="Times New Roman" w:cs="Times New Roman"/>
          <w:i/>
          <w:iCs/>
          <w:sz w:val="20"/>
          <w:szCs w:val="20"/>
        </w:rPr>
        <w:t>permanent</w:t>
      </w:r>
      <w:r>
        <w:rPr>
          <w:rFonts w:ascii="Times New Roman" w:hAnsi="Times New Roman" w:cs="Times New Roman"/>
          <w:sz w:val="20"/>
          <w:szCs w:val="20"/>
        </w:rPr>
        <w:t xml:space="preserve"> equity partner (who, in some cases, contributes to the financing of the deal as well). Whatever the structure, we feel good when working with Jorge Paulo.</w:t>
      </w:r>
    </w:p>
    <w:p w:rsidR="00000000" w:rsidRDefault="00A06965">
      <w:pPr>
        <w:pStyle w:val="DefaultParagraphFont"/>
        <w:widowControl w:val="0"/>
        <w:autoSpaceDE w:val="0"/>
        <w:autoSpaceDN w:val="0"/>
        <w:adjustRightInd w:val="0"/>
        <w:spacing w:after="0" w:line="195"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5" w:lineRule="auto"/>
        <w:ind w:left="360"/>
        <w:jc w:val="both"/>
        <w:rPr>
          <w:rFonts w:ascii="Arial" w:hAnsi="Arial" w:cs="Arial"/>
          <w:sz w:val="20"/>
          <w:szCs w:val="20"/>
          <w:vertAlign w:val="superscript"/>
        </w:rPr>
      </w:pPr>
      <w:r>
        <w:rPr>
          <w:rFonts w:ascii="Times New Roman" w:hAnsi="Times New Roman" w:cs="Times New Roman"/>
          <w:sz w:val="20"/>
          <w:szCs w:val="20"/>
        </w:rPr>
        <w:t>Berkshire also has fine partnerships with Ma</w:t>
      </w:r>
      <w:r>
        <w:rPr>
          <w:rFonts w:ascii="Times New Roman" w:hAnsi="Times New Roman" w:cs="Times New Roman"/>
          <w:sz w:val="20"/>
          <w:szCs w:val="20"/>
        </w:rPr>
        <w:t>rs and Leucadia, and we may form new ones with them or with other partners. Our participation in any joint activities, whether as a financing or equity partner, will be limited to friendly transactions.</w:t>
      </w:r>
    </w:p>
    <w:p w:rsidR="00000000" w:rsidRDefault="00A06965">
      <w:pPr>
        <w:pStyle w:val="DefaultParagraphFont"/>
        <w:widowControl w:val="0"/>
        <w:autoSpaceDE w:val="0"/>
        <w:autoSpaceDN w:val="0"/>
        <w:adjustRightInd w:val="0"/>
        <w:spacing w:after="0" w:line="194" w:lineRule="exact"/>
        <w:rPr>
          <w:rFonts w:ascii="Arial" w:hAnsi="Arial" w:cs="Arial"/>
          <w:sz w:val="20"/>
          <w:szCs w:val="20"/>
          <w:vertAlign w:val="superscript"/>
        </w:rPr>
      </w:pPr>
    </w:p>
    <w:p w:rsidR="00000000" w:rsidRDefault="00A06965">
      <w:pPr>
        <w:pStyle w:val="DefaultParagraphFont"/>
        <w:widowControl w:val="0"/>
        <w:numPr>
          <w:ilvl w:val="0"/>
          <w:numId w:val="2"/>
        </w:numPr>
        <w:tabs>
          <w:tab w:val="clear" w:pos="720"/>
          <w:tab w:val="num" w:pos="360"/>
        </w:tabs>
        <w:overflowPunct w:val="0"/>
        <w:autoSpaceDE w:val="0"/>
        <w:autoSpaceDN w:val="0"/>
        <w:adjustRightInd w:val="0"/>
        <w:spacing w:after="0" w:line="236" w:lineRule="auto"/>
        <w:ind w:left="360"/>
        <w:jc w:val="both"/>
        <w:rPr>
          <w:rFonts w:ascii="Arial" w:hAnsi="Arial" w:cs="Arial"/>
          <w:sz w:val="20"/>
          <w:szCs w:val="20"/>
          <w:vertAlign w:val="superscript"/>
        </w:rPr>
      </w:pPr>
      <w:r>
        <w:rPr>
          <w:rFonts w:ascii="Times New Roman" w:hAnsi="Times New Roman" w:cs="Times New Roman"/>
          <w:sz w:val="20"/>
          <w:szCs w:val="20"/>
        </w:rPr>
        <w:t>In October, we contracted to buy Van Tuyl Automoti</w:t>
      </w:r>
      <w:r>
        <w:rPr>
          <w:rFonts w:ascii="Times New Roman" w:hAnsi="Times New Roman" w:cs="Times New Roman"/>
          <w:sz w:val="20"/>
          <w:szCs w:val="20"/>
        </w:rPr>
        <w:t>ve, a group of 78 automobile dealerships that is exceptionally well-run. Larry Van Tuyl, the company’s owner, and I met some years ago. He then decided that if he were ever to sell his company, its home should be Berkshire. Our purchase was recently comple</w:t>
      </w:r>
      <w:r>
        <w:rPr>
          <w:rFonts w:ascii="Times New Roman" w:hAnsi="Times New Roman" w:cs="Times New Roman"/>
          <w:sz w:val="20"/>
          <w:szCs w:val="20"/>
        </w:rPr>
        <w:t>ted, and we are now “car guys.”</w:t>
      </w:r>
    </w:p>
    <w:p w:rsidR="00000000" w:rsidRDefault="00A06965">
      <w:pPr>
        <w:pStyle w:val="DefaultParagraphFont"/>
        <w:widowControl w:val="0"/>
        <w:autoSpaceDE w:val="0"/>
        <w:autoSpaceDN w:val="0"/>
        <w:adjustRightInd w:val="0"/>
        <w:spacing w:after="0" w:line="194"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40" w:lineRule="auto"/>
        <w:ind w:left="360"/>
        <w:jc w:val="both"/>
        <w:rPr>
          <w:rFonts w:ascii="Arial" w:hAnsi="Arial" w:cs="Arial"/>
          <w:sz w:val="20"/>
          <w:szCs w:val="20"/>
          <w:vertAlign w:val="superscript"/>
        </w:rPr>
      </w:pPr>
      <w:r>
        <w:rPr>
          <w:rFonts w:ascii="Times New Roman" w:hAnsi="Times New Roman" w:cs="Times New Roman"/>
          <w:sz w:val="20"/>
          <w:szCs w:val="20"/>
        </w:rPr>
        <w:t>Larry and his dad, Cecil, spent 62 years building the group, following a strategy that made owner-partners of all local managers. Creating this mutuality of interests proved over and over to be a winner. Van Tuyl is now th</w:t>
      </w:r>
      <w:r>
        <w:rPr>
          <w:rFonts w:ascii="Times New Roman" w:hAnsi="Times New Roman" w:cs="Times New Roman"/>
          <w:sz w:val="20"/>
          <w:szCs w:val="20"/>
        </w:rPr>
        <w:t>e fifth-largest automotive group in the country, with per-dealership sales figures that are outstanding.</w:t>
      </w:r>
    </w:p>
    <w:p w:rsidR="00000000" w:rsidRDefault="00A06965">
      <w:pPr>
        <w:pStyle w:val="DefaultParagraphFont"/>
        <w:widowControl w:val="0"/>
        <w:autoSpaceDE w:val="0"/>
        <w:autoSpaceDN w:val="0"/>
        <w:adjustRightInd w:val="0"/>
        <w:spacing w:after="0" w:line="200" w:lineRule="exact"/>
        <w:rPr>
          <w:rFonts w:ascii="Arial" w:hAnsi="Arial" w:cs="Arial"/>
          <w:sz w:val="20"/>
          <w:szCs w:val="20"/>
          <w:vertAlign w:val="superscript"/>
        </w:rPr>
      </w:pPr>
    </w:p>
    <w:p w:rsidR="00000000" w:rsidRDefault="00A06965">
      <w:pPr>
        <w:pStyle w:val="DefaultParagraphFont"/>
        <w:widowControl w:val="0"/>
        <w:autoSpaceDE w:val="0"/>
        <w:autoSpaceDN w:val="0"/>
        <w:adjustRightInd w:val="0"/>
        <w:spacing w:after="0" w:line="210"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In recent years, Jeff Rachor has worked alongside Larry, a successful arrangement that will continue. There are about 17,000 dealerships in the country, and ownership transfers always require approval by the relevant auto manufacturer. Berkshire’s job is t</w:t>
      </w:r>
      <w:r>
        <w:rPr>
          <w:rFonts w:ascii="Times New Roman" w:hAnsi="Times New Roman" w:cs="Times New Roman"/>
          <w:sz w:val="20"/>
          <w:szCs w:val="20"/>
        </w:rPr>
        <w:t>o perform in a manner that will cause manufacturers to welcome further purchases by us. If we do this – and if we can buy dealerships at sensible prices – we will build a business that before long will be multiples the size of Van Tuyl’s $9 billion of sale</w:t>
      </w:r>
      <w:r>
        <w:rPr>
          <w:rFonts w:ascii="Times New Roman" w:hAnsi="Times New Roman" w:cs="Times New Roman"/>
          <w:sz w:val="20"/>
          <w:szCs w:val="20"/>
        </w:rPr>
        <w:t>s.</w:t>
      </w:r>
    </w:p>
    <w:p w:rsidR="00000000" w:rsidRDefault="00A06965">
      <w:pPr>
        <w:pStyle w:val="DefaultParagraphFont"/>
        <w:widowControl w:val="0"/>
        <w:autoSpaceDE w:val="0"/>
        <w:autoSpaceDN w:val="0"/>
        <w:adjustRightInd w:val="0"/>
        <w:spacing w:after="0" w:line="142"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84" w:lineRule="exact"/>
        <w:ind w:left="360"/>
        <w:jc w:val="both"/>
        <w:rPr>
          <w:rFonts w:ascii="Arial" w:hAnsi="Arial" w:cs="Arial"/>
          <w:sz w:val="20"/>
          <w:szCs w:val="20"/>
          <w:vertAlign w:val="superscript"/>
        </w:rPr>
      </w:pPr>
      <w:r>
        <w:rPr>
          <w:rFonts w:ascii="Times New Roman" w:hAnsi="Times New Roman" w:cs="Times New Roman"/>
          <w:sz w:val="20"/>
          <w:szCs w:val="20"/>
        </w:rPr>
        <w:t>With the acquisition of Van Tuyl, Berkshire now owns 9</w:t>
      </w:r>
      <w:r>
        <w:rPr>
          <w:rFonts w:ascii="Times New Roman" w:hAnsi="Times New Roman" w:cs="Times New Roman"/>
          <w:sz w:val="26"/>
          <w:szCs w:val="26"/>
          <w:vertAlign w:val="superscript"/>
        </w:rPr>
        <w:t>1</w:t>
      </w:r>
      <w:r>
        <w:rPr>
          <w:rFonts w:ascii="Arial Unicode MS" w:eastAsia="Arial Unicode MS" w:hAnsi="Times New Roman" w:cs="Arial Unicode MS" w:hint="eastAsia"/>
          <w:sz w:val="20"/>
          <w:szCs w:val="20"/>
        </w:rPr>
        <w:t>⁄</w:t>
      </w:r>
      <w:r>
        <w:rPr>
          <w:rFonts w:ascii="Times New Roman" w:hAnsi="Times New Roman" w:cs="Times New Roman"/>
          <w:sz w:val="20"/>
          <w:szCs w:val="20"/>
        </w:rPr>
        <w:t xml:space="preserve"> </w:t>
      </w:r>
      <w:r>
        <w:rPr>
          <w:rFonts w:ascii="Times New Roman" w:hAnsi="Times New Roman" w:cs="Times New Roman"/>
          <w:sz w:val="13"/>
          <w:szCs w:val="13"/>
        </w:rPr>
        <w:t>2</w:t>
      </w:r>
      <w:r>
        <w:rPr>
          <w:rFonts w:ascii="Times New Roman" w:hAnsi="Times New Roman" w:cs="Times New Roman"/>
          <w:sz w:val="20"/>
          <w:szCs w:val="20"/>
        </w:rPr>
        <w:t xml:space="preserve"> companies that would be listed on the Fortune 500 were they independent (Heinz is the </w:t>
      </w:r>
      <w:r>
        <w:rPr>
          <w:rFonts w:ascii="Times New Roman" w:hAnsi="Times New Roman" w:cs="Times New Roman"/>
          <w:sz w:val="26"/>
          <w:szCs w:val="26"/>
          <w:vertAlign w:val="superscript"/>
        </w:rPr>
        <w:t>1</w:t>
      </w:r>
      <w:r>
        <w:rPr>
          <w:rFonts w:ascii="Arial Unicode MS" w:eastAsia="Arial Unicode MS" w:hAnsi="Times New Roman" w:cs="Arial Unicode MS" w:hint="eastAsia"/>
          <w:sz w:val="20"/>
          <w:szCs w:val="20"/>
        </w:rPr>
        <w:t>⁄</w:t>
      </w:r>
      <w:r>
        <w:rPr>
          <w:rFonts w:ascii="Times New Roman" w:hAnsi="Times New Roman" w:cs="Times New Roman"/>
          <w:sz w:val="20"/>
          <w:szCs w:val="20"/>
        </w:rPr>
        <w:t xml:space="preserve"> </w:t>
      </w:r>
      <w:r>
        <w:rPr>
          <w:rFonts w:ascii="Times New Roman" w:hAnsi="Times New Roman" w:cs="Times New Roman"/>
          <w:sz w:val="13"/>
          <w:szCs w:val="13"/>
        </w:rPr>
        <w:t>2</w:t>
      </w:r>
      <w:r>
        <w:rPr>
          <w:rFonts w:ascii="Times New Roman" w:hAnsi="Times New Roman" w:cs="Times New Roman"/>
          <w:sz w:val="20"/>
          <w:szCs w:val="20"/>
        </w:rPr>
        <w:t>). That leaves 490</w:t>
      </w:r>
      <w:r>
        <w:rPr>
          <w:rFonts w:ascii="Times New Roman" w:hAnsi="Times New Roman" w:cs="Times New Roman"/>
          <w:sz w:val="26"/>
          <w:szCs w:val="26"/>
          <w:vertAlign w:val="superscript"/>
        </w:rPr>
        <w:t>1</w:t>
      </w:r>
      <w:r>
        <w:rPr>
          <w:rFonts w:ascii="Arial Unicode MS" w:eastAsia="Arial Unicode MS" w:hAnsi="Times New Roman" w:cs="Arial Unicode MS" w:hint="eastAsia"/>
          <w:sz w:val="20"/>
          <w:szCs w:val="20"/>
        </w:rPr>
        <w:t>⁄</w:t>
      </w:r>
      <w:r>
        <w:rPr>
          <w:rFonts w:ascii="Times New Roman" w:hAnsi="Times New Roman" w:cs="Times New Roman"/>
          <w:sz w:val="20"/>
          <w:szCs w:val="20"/>
        </w:rPr>
        <w:t xml:space="preserve"> </w:t>
      </w:r>
      <w:r>
        <w:rPr>
          <w:rFonts w:ascii="Times New Roman" w:hAnsi="Times New Roman" w:cs="Times New Roman"/>
          <w:sz w:val="13"/>
          <w:szCs w:val="13"/>
        </w:rPr>
        <w:t>2</w:t>
      </w:r>
      <w:r>
        <w:rPr>
          <w:rFonts w:ascii="Times New Roman" w:hAnsi="Times New Roman" w:cs="Times New Roman"/>
          <w:sz w:val="20"/>
          <w:szCs w:val="20"/>
        </w:rPr>
        <w:t xml:space="preserve"> fish in the sea. Our lines are out.</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800" w:header="720" w:footer="720" w:gutter="0"/>
          <w:cols w:space="720" w:equalWidth="0">
            <w:col w:w="90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60" w:bottom="943" w:left="6080" w:header="720" w:footer="720" w:gutter="0"/>
          <w:cols w:space="720" w:equalWidth="0">
            <w:col w:w="100"/>
          </w:cols>
          <w:noEndnote/>
        </w:sectPr>
      </w:pPr>
    </w:p>
    <w:p w:rsidR="00000000" w:rsidRDefault="00A06965">
      <w:pPr>
        <w:pStyle w:val="DefaultParagraphFont"/>
        <w:widowControl w:val="0"/>
        <w:numPr>
          <w:ilvl w:val="0"/>
          <w:numId w:val="3"/>
        </w:numPr>
        <w:tabs>
          <w:tab w:val="clear" w:pos="720"/>
          <w:tab w:val="num" w:pos="360"/>
        </w:tabs>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Our subsidiaries spent a record $15 billion on plant and equipment during 2014, well over twice their depreciation charges. About 90% of that money was spent in the United States. Though we will always invest abroad as well, the mot</w:t>
      </w:r>
      <w:r>
        <w:rPr>
          <w:rFonts w:ascii="Times New Roman" w:hAnsi="Times New Roman" w:cs="Times New Roman"/>
          <w:sz w:val="20"/>
          <w:szCs w:val="20"/>
        </w:rPr>
        <w:t>her lode of opportunities runs through America. The treasures that have been uncovered up to now are dwarfed by those still untapped. Through dumb luck, Charlie and I were born in the United States, and we are forever grateful for the staggering advantages</w:t>
      </w:r>
      <w:r>
        <w:rPr>
          <w:rFonts w:ascii="Times New Roman" w:hAnsi="Times New Roman" w:cs="Times New Roman"/>
          <w:sz w:val="20"/>
          <w:szCs w:val="20"/>
        </w:rPr>
        <w:t xml:space="preserve"> this accident of birth has given us.</w:t>
      </w:r>
    </w:p>
    <w:p w:rsidR="00000000" w:rsidRDefault="00A06965">
      <w:pPr>
        <w:pStyle w:val="DefaultParagraphFont"/>
        <w:widowControl w:val="0"/>
        <w:autoSpaceDE w:val="0"/>
        <w:autoSpaceDN w:val="0"/>
        <w:adjustRightInd w:val="0"/>
        <w:spacing w:after="0" w:line="196" w:lineRule="exact"/>
        <w:rPr>
          <w:rFonts w:ascii="Arial" w:hAnsi="Arial" w:cs="Arial"/>
          <w:sz w:val="20"/>
          <w:szCs w:val="20"/>
          <w:vertAlign w:val="superscript"/>
        </w:rPr>
      </w:pPr>
    </w:p>
    <w:p w:rsidR="00000000" w:rsidRDefault="00A06965">
      <w:pPr>
        <w:pStyle w:val="DefaultParagraphFont"/>
        <w:widowControl w:val="0"/>
        <w:numPr>
          <w:ilvl w:val="0"/>
          <w:numId w:val="3"/>
        </w:numPr>
        <w:tabs>
          <w:tab w:val="clear" w:pos="720"/>
          <w:tab w:val="num" w:pos="360"/>
        </w:tabs>
        <w:overflowPunct w:val="0"/>
        <w:autoSpaceDE w:val="0"/>
        <w:autoSpaceDN w:val="0"/>
        <w:adjustRightInd w:val="0"/>
        <w:spacing w:after="0" w:line="235" w:lineRule="auto"/>
        <w:ind w:left="360"/>
        <w:jc w:val="both"/>
        <w:rPr>
          <w:rFonts w:ascii="Arial" w:hAnsi="Arial" w:cs="Arial"/>
          <w:sz w:val="20"/>
          <w:szCs w:val="20"/>
          <w:vertAlign w:val="superscript"/>
        </w:rPr>
      </w:pPr>
      <w:r>
        <w:rPr>
          <w:rFonts w:ascii="Times New Roman" w:hAnsi="Times New Roman" w:cs="Times New Roman"/>
          <w:sz w:val="20"/>
          <w:szCs w:val="20"/>
        </w:rPr>
        <w:t xml:space="preserve">Berkshire’s yearend employees – including those at Heinz – totaled a record 340,499, up 9,754 from last year. The increase, I am proud to say, included no gain at headquarters (where 25 people work). No sense going </w:t>
      </w:r>
      <w:r>
        <w:rPr>
          <w:rFonts w:ascii="Times New Roman" w:hAnsi="Times New Roman" w:cs="Times New Roman"/>
          <w:sz w:val="20"/>
          <w:szCs w:val="20"/>
        </w:rPr>
        <w:t>crazy.</w:t>
      </w:r>
    </w:p>
    <w:p w:rsidR="00000000" w:rsidRDefault="00A06965">
      <w:pPr>
        <w:pStyle w:val="DefaultParagraphFont"/>
        <w:widowControl w:val="0"/>
        <w:autoSpaceDE w:val="0"/>
        <w:autoSpaceDN w:val="0"/>
        <w:adjustRightInd w:val="0"/>
        <w:spacing w:after="0" w:line="193" w:lineRule="exact"/>
        <w:rPr>
          <w:rFonts w:ascii="Arial" w:hAnsi="Arial" w:cs="Arial"/>
          <w:sz w:val="20"/>
          <w:szCs w:val="20"/>
          <w:vertAlign w:val="superscript"/>
        </w:rPr>
      </w:pPr>
    </w:p>
    <w:p w:rsidR="00000000" w:rsidRDefault="00A06965">
      <w:pPr>
        <w:pStyle w:val="DefaultParagraphFont"/>
        <w:widowControl w:val="0"/>
        <w:numPr>
          <w:ilvl w:val="0"/>
          <w:numId w:val="3"/>
        </w:numPr>
        <w:tabs>
          <w:tab w:val="clear" w:pos="720"/>
          <w:tab w:val="num" w:pos="360"/>
        </w:tabs>
        <w:overflowPunct w:val="0"/>
        <w:autoSpaceDE w:val="0"/>
        <w:autoSpaceDN w:val="0"/>
        <w:adjustRightInd w:val="0"/>
        <w:spacing w:after="0" w:line="238" w:lineRule="auto"/>
        <w:ind w:left="360"/>
        <w:jc w:val="both"/>
        <w:rPr>
          <w:rFonts w:ascii="Arial" w:hAnsi="Arial" w:cs="Arial"/>
          <w:sz w:val="20"/>
          <w:szCs w:val="20"/>
          <w:vertAlign w:val="superscript"/>
        </w:rPr>
      </w:pPr>
      <w:r>
        <w:rPr>
          <w:rFonts w:ascii="Times New Roman" w:hAnsi="Times New Roman" w:cs="Times New Roman"/>
          <w:sz w:val="20"/>
          <w:szCs w:val="20"/>
        </w:rPr>
        <w:t>Berkshire increased its ownership interest last year in each of its “Big Four” investments – American Express, Coca-Cola, IBM and Wells Fargo. We purchased additional shares of IBM (increasing our ownership to 7.8% versus 6.3% at yearend 2013). M</w:t>
      </w:r>
      <w:r>
        <w:rPr>
          <w:rFonts w:ascii="Times New Roman" w:hAnsi="Times New Roman" w:cs="Times New Roman"/>
          <w:sz w:val="20"/>
          <w:szCs w:val="20"/>
        </w:rPr>
        <w:t>eanwhile, stock repurchases at Coca-Cola, American Express and Wells Fargo raised our percentage ownership of each. Our equity in Coca-Cola grew from 9.1% to 9.2%, our interest in American Express increased from 14.2% to 14.8% and our ownership of Wells Fa</w:t>
      </w:r>
      <w:r>
        <w:rPr>
          <w:rFonts w:ascii="Times New Roman" w:hAnsi="Times New Roman" w:cs="Times New Roman"/>
          <w:sz w:val="20"/>
          <w:szCs w:val="20"/>
        </w:rPr>
        <w:t>rgo grew from 9.2% to 9.4%. And, if you think tenths of a percent aren’t important, ponder this math: For the four companies in aggregate, each increase of one-tenth of a percent in our ownership raises Berkshire’s portion of their annual earnings by $50 m</w:t>
      </w:r>
      <w:r>
        <w:rPr>
          <w:rFonts w:ascii="Times New Roman" w:hAnsi="Times New Roman" w:cs="Times New Roman"/>
          <w:sz w:val="20"/>
          <w:szCs w:val="20"/>
        </w:rPr>
        <w:t>illion.</w:t>
      </w:r>
    </w:p>
    <w:p w:rsidR="00000000" w:rsidRDefault="00A06965">
      <w:pPr>
        <w:pStyle w:val="DefaultParagraphFont"/>
        <w:widowControl w:val="0"/>
        <w:autoSpaceDE w:val="0"/>
        <w:autoSpaceDN w:val="0"/>
        <w:adjustRightInd w:val="0"/>
        <w:spacing w:after="0" w:line="194"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6" w:lineRule="auto"/>
        <w:ind w:left="360"/>
        <w:jc w:val="both"/>
        <w:rPr>
          <w:rFonts w:ascii="Arial" w:hAnsi="Arial" w:cs="Arial"/>
          <w:sz w:val="20"/>
          <w:szCs w:val="20"/>
          <w:vertAlign w:val="superscript"/>
        </w:rPr>
      </w:pPr>
      <w:r>
        <w:rPr>
          <w:rFonts w:ascii="Times New Roman" w:hAnsi="Times New Roman" w:cs="Times New Roman"/>
          <w:sz w:val="20"/>
          <w:szCs w:val="20"/>
        </w:rPr>
        <w:t>These four investees possess excellent businesses and are run by managers who are both talented and shareholder-oriented. At Berkshire, we much prefer owning a non-controlling but substantial portion of a wonderful company to owning 100% of a so-</w:t>
      </w:r>
      <w:r>
        <w:rPr>
          <w:rFonts w:ascii="Times New Roman" w:hAnsi="Times New Roman" w:cs="Times New Roman"/>
          <w:sz w:val="20"/>
          <w:szCs w:val="20"/>
        </w:rPr>
        <w:t>so business. It’s better to have a partial interest in the Hope Diamond than to own all of a rhinestone.</w:t>
      </w:r>
    </w:p>
    <w:p w:rsidR="00000000" w:rsidRDefault="00A06965">
      <w:pPr>
        <w:pStyle w:val="DefaultParagraphFont"/>
        <w:widowControl w:val="0"/>
        <w:autoSpaceDE w:val="0"/>
        <w:autoSpaceDN w:val="0"/>
        <w:adjustRightInd w:val="0"/>
        <w:spacing w:after="0" w:line="195"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If Berkshire’s yearend holdings are used as the marker, our portion of the “Big Four’s”</w:t>
      </w:r>
      <w:r>
        <w:rPr>
          <w:rFonts w:ascii="Times New Roman" w:hAnsi="Times New Roman" w:cs="Times New Roman"/>
          <w:sz w:val="20"/>
          <w:szCs w:val="20"/>
        </w:rPr>
        <w:t xml:space="preserve"> 2014 earnings before discontinued operations amounted to $4.7 billion (compared to $3.3 billion only three years ago). In the earnings we report to you, however, we include only the dividends we receive – about $1.6 billion last year. (Again, three years </w:t>
      </w:r>
      <w:r>
        <w:rPr>
          <w:rFonts w:ascii="Times New Roman" w:hAnsi="Times New Roman" w:cs="Times New Roman"/>
          <w:sz w:val="20"/>
          <w:szCs w:val="20"/>
        </w:rPr>
        <w:t>ago the dividends were $862 million.) But make no mistake: The $3.1 billion of these companies’ earnings we don’t report are every bit as valuable to us as the portion Berkshire records.</w:t>
      </w:r>
    </w:p>
    <w:p w:rsidR="00000000" w:rsidRDefault="00A06965">
      <w:pPr>
        <w:pStyle w:val="DefaultParagraphFont"/>
        <w:widowControl w:val="0"/>
        <w:autoSpaceDE w:val="0"/>
        <w:autoSpaceDN w:val="0"/>
        <w:adjustRightInd w:val="0"/>
        <w:spacing w:after="0" w:line="194"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8" w:lineRule="auto"/>
        <w:ind w:left="360"/>
        <w:jc w:val="both"/>
        <w:rPr>
          <w:rFonts w:ascii="Arial" w:hAnsi="Arial" w:cs="Arial"/>
          <w:sz w:val="20"/>
          <w:szCs w:val="20"/>
          <w:vertAlign w:val="superscript"/>
        </w:rPr>
      </w:pPr>
      <w:r>
        <w:rPr>
          <w:rFonts w:ascii="Times New Roman" w:hAnsi="Times New Roman" w:cs="Times New Roman"/>
          <w:sz w:val="20"/>
          <w:szCs w:val="20"/>
        </w:rPr>
        <w:t xml:space="preserve">The earnings these investees retain are often used for repurchases </w:t>
      </w:r>
      <w:r>
        <w:rPr>
          <w:rFonts w:ascii="Times New Roman" w:hAnsi="Times New Roman" w:cs="Times New Roman"/>
          <w:sz w:val="20"/>
          <w:szCs w:val="20"/>
        </w:rPr>
        <w:t>of their own stock – a move that enhances Berkshire’s share of future earnings without requiring us to lay out a dime. Their retained earnings also fund business opportunities that usually turn out to be advantageous. All that leads us to expect that the p</w:t>
      </w:r>
      <w:r>
        <w:rPr>
          <w:rFonts w:ascii="Times New Roman" w:hAnsi="Times New Roman" w:cs="Times New Roman"/>
          <w:sz w:val="20"/>
          <w:szCs w:val="20"/>
        </w:rPr>
        <w:t xml:space="preserve">er-share earnings of these four investees, in aggregate, will grow substantially over time (though 2015 will be a tough year for the group, in part because of the strong dollar). If the expected gains materialize, dividends to Berkshire will increase and, </w:t>
      </w:r>
      <w:r>
        <w:rPr>
          <w:rFonts w:ascii="Times New Roman" w:hAnsi="Times New Roman" w:cs="Times New Roman"/>
          <w:sz w:val="20"/>
          <w:szCs w:val="20"/>
        </w:rPr>
        <w:t>even more important, so will our unrealized capital gains. (For the package of four, our unrealized gains already totaled $42 billion at yearend.)</w:t>
      </w:r>
    </w:p>
    <w:p w:rsidR="00000000" w:rsidRDefault="00A06965">
      <w:pPr>
        <w:pStyle w:val="DefaultParagraphFont"/>
        <w:widowControl w:val="0"/>
        <w:autoSpaceDE w:val="0"/>
        <w:autoSpaceDN w:val="0"/>
        <w:adjustRightInd w:val="0"/>
        <w:spacing w:after="0" w:line="193"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6" w:lineRule="auto"/>
        <w:ind w:left="360"/>
        <w:jc w:val="both"/>
        <w:rPr>
          <w:rFonts w:ascii="Arial" w:hAnsi="Arial" w:cs="Arial"/>
          <w:sz w:val="20"/>
          <w:szCs w:val="20"/>
          <w:vertAlign w:val="superscript"/>
        </w:rPr>
      </w:pPr>
      <w:r>
        <w:rPr>
          <w:rFonts w:ascii="Times New Roman" w:hAnsi="Times New Roman" w:cs="Times New Roman"/>
          <w:sz w:val="20"/>
          <w:szCs w:val="20"/>
        </w:rPr>
        <w:t>Our flexibility in capital allocation – our willingness to invest large sums passively in non-controlled bu</w:t>
      </w:r>
      <w:r>
        <w:rPr>
          <w:rFonts w:ascii="Times New Roman" w:hAnsi="Times New Roman" w:cs="Times New Roman"/>
          <w:sz w:val="20"/>
          <w:szCs w:val="20"/>
        </w:rPr>
        <w:t xml:space="preserve">sinesses – gives us a significant advantage over companies that limit themselves to acquisitions they can operate. Our appetite for </w:t>
      </w:r>
      <w:r>
        <w:rPr>
          <w:rFonts w:ascii="Times New Roman" w:hAnsi="Times New Roman" w:cs="Times New Roman"/>
          <w:i/>
          <w:iCs/>
          <w:sz w:val="20"/>
          <w:szCs w:val="20"/>
        </w:rPr>
        <w:t>either</w:t>
      </w:r>
      <w:r>
        <w:rPr>
          <w:rFonts w:ascii="Times New Roman" w:hAnsi="Times New Roman" w:cs="Times New Roman"/>
          <w:sz w:val="20"/>
          <w:szCs w:val="20"/>
        </w:rPr>
        <w:t xml:space="preserve"> operating businesses or passive investments doubles our chances of finding sensible uses for Berkshire’s endless gush</w:t>
      </w:r>
      <w:r>
        <w:rPr>
          <w:rFonts w:ascii="Times New Roman" w:hAnsi="Times New Roman" w:cs="Times New Roman"/>
          <w:sz w:val="20"/>
          <w:szCs w:val="20"/>
        </w:rPr>
        <w:t>er of cash.</w:t>
      </w:r>
    </w:p>
    <w:p w:rsidR="00000000" w:rsidRDefault="00A06965">
      <w:pPr>
        <w:pStyle w:val="DefaultParagraphFont"/>
        <w:widowControl w:val="0"/>
        <w:autoSpaceDE w:val="0"/>
        <w:autoSpaceDN w:val="0"/>
        <w:adjustRightInd w:val="0"/>
        <w:spacing w:after="0" w:line="195" w:lineRule="exact"/>
        <w:rPr>
          <w:rFonts w:ascii="Arial" w:hAnsi="Arial" w:cs="Arial"/>
          <w:sz w:val="20"/>
          <w:szCs w:val="20"/>
          <w:vertAlign w:val="superscript"/>
        </w:rPr>
      </w:pPr>
    </w:p>
    <w:p w:rsidR="00000000" w:rsidRDefault="00A06965">
      <w:pPr>
        <w:pStyle w:val="DefaultParagraphFont"/>
        <w:widowControl w:val="0"/>
        <w:numPr>
          <w:ilvl w:val="0"/>
          <w:numId w:val="3"/>
        </w:numPr>
        <w:tabs>
          <w:tab w:val="clear" w:pos="720"/>
          <w:tab w:val="num" w:pos="360"/>
        </w:tabs>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 xml:space="preserve">I’ve mentioned in the past that my experience in business helps me as an investor and that my investment experience has made me a better businessman. Each pursuit teaches lessons that are applicable to the other. And some truths can only be </w:t>
      </w:r>
      <w:r>
        <w:rPr>
          <w:rFonts w:ascii="Times New Roman" w:hAnsi="Times New Roman" w:cs="Times New Roman"/>
          <w:sz w:val="20"/>
          <w:szCs w:val="20"/>
        </w:rPr>
        <w:t xml:space="preserve">fully learned through experience. (In Fred Schwed’s wonderful book, </w:t>
      </w:r>
      <w:r>
        <w:rPr>
          <w:rFonts w:ascii="Times New Roman" w:hAnsi="Times New Roman" w:cs="Times New Roman"/>
          <w:i/>
          <w:iCs/>
          <w:sz w:val="20"/>
          <w:szCs w:val="20"/>
        </w:rPr>
        <w:t>Where</w:t>
      </w:r>
      <w:r>
        <w:rPr>
          <w:rFonts w:ascii="Times New Roman" w:hAnsi="Times New Roman" w:cs="Times New Roman"/>
          <w:sz w:val="20"/>
          <w:szCs w:val="20"/>
        </w:rPr>
        <w:t xml:space="preserve"> </w:t>
      </w:r>
      <w:r>
        <w:rPr>
          <w:rFonts w:ascii="Times New Roman" w:hAnsi="Times New Roman" w:cs="Times New Roman"/>
          <w:i/>
          <w:iCs/>
          <w:sz w:val="20"/>
          <w:szCs w:val="20"/>
        </w:rPr>
        <w:t>Are the Customers’ Yachts?</w:t>
      </w:r>
      <w:r>
        <w:rPr>
          <w:rFonts w:ascii="Times New Roman" w:hAnsi="Times New Roman" w:cs="Times New Roman"/>
          <w:sz w:val="20"/>
          <w:szCs w:val="20"/>
        </w:rPr>
        <w:t>, a Peter Arno cartoon depicts a puzzled Adam looking at an eager Eve, while a</w:t>
      </w:r>
      <w:r>
        <w:rPr>
          <w:rFonts w:ascii="Times New Roman" w:hAnsi="Times New Roman" w:cs="Times New Roman"/>
          <w:i/>
          <w:iCs/>
          <w:sz w:val="20"/>
          <w:szCs w:val="20"/>
        </w:rPr>
        <w:t xml:space="preserve"> </w:t>
      </w:r>
      <w:r>
        <w:rPr>
          <w:rFonts w:ascii="Times New Roman" w:hAnsi="Times New Roman" w:cs="Times New Roman"/>
          <w:sz w:val="20"/>
          <w:szCs w:val="20"/>
        </w:rPr>
        <w:t>caption says, “</w:t>
      </w:r>
      <w:r>
        <w:rPr>
          <w:rFonts w:ascii="Times New Roman" w:hAnsi="Times New Roman" w:cs="Times New Roman"/>
          <w:sz w:val="20"/>
          <w:szCs w:val="20"/>
        </w:rPr>
        <w:t>There are certain things that cannot be adequately explained to a virgin either by words or pictures.” If you haven’t read Schwed’s book, buy a copy at our annual meeting. Its wisdom and humor are truly priceless.)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800" w:header="720" w:footer="720" w:gutter="0"/>
          <w:cols w:space="720" w:equalWidth="0">
            <w:col w:w="90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1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60" w:bottom="943" w:left="6080" w:header="720" w:footer="720" w:gutter="0"/>
          <w:cols w:space="720" w:equalWidth="0">
            <w:col w:w="100"/>
          </w:cols>
          <w:noEndnote/>
        </w:sectPr>
      </w:pPr>
    </w:p>
    <w:p w:rsidR="00000000" w:rsidRDefault="00A06965">
      <w:pPr>
        <w:pStyle w:val="DefaultParagraphFont"/>
        <w:widowControl w:val="0"/>
        <w:overflowPunct w:val="0"/>
        <w:autoSpaceDE w:val="0"/>
        <w:autoSpaceDN w:val="0"/>
        <w:adjustRightInd w:val="0"/>
        <w:spacing w:after="0" w:line="237" w:lineRule="auto"/>
        <w:ind w:left="720"/>
        <w:jc w:val="both"/>
        <w:rPr>
          <w:rFonts w:ascii="Times New Roman" w:hAnsi="Times New Roman" w:cs="Times New Roman"/>
          <w:sz w:val="24"/>
          <w:szCs w:val="24"/>
        </w:rPr>
      </w:pPr>
      <w:r>
        <w:rPr>
          <w:rFonts w:ascii="Times New Roman" w:hAnsi="Times New Roman" w:cs="Times New Roman"/>
          <w:sz w:val="20"/>
          <w:szCs w:val="20"/>
        </w:rPr>
        <w:t>Among Arno’s “certain things,” I would include two separate skills, the evaluation of investments and the management of businesses. I therefore think it’s worthwhile for Todd Combs and Ted Weschler, our two investment managers, to eac</w:t>
      </w:r>
      <w:r>
        <w:rPr>
          <w:rFonts w:ascii="Times New Roman" w:hAnsi="Times New Roman" w:cs="Times New Roman"/>
          <w:sz w:val="20"/>
          <w:szCs w:val="20"/>
        </w:rPr>
        <w:t>h have oversight of at least one of our businesses. A sensible opportunity for them to do so opened up a few months ago when we agreed to purchase two companies that, though smaller than we would normally acquire, have excellent economic characteristics. C</w:t>
      </w:r>
      <w:r>
        <w:rPr>
          <w:rFonts w:ascii="Times New Roman" w:hAnsi="Times New Roman" w:cs="Times New Roman"/>
          <w:sz w:val="20"/>
          <w:szCs w:val="20"/>
        </w:rPr>
        <w:t>ombined, the two earn $100 million annually on about $125 million of net tangible assets.</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left="720"/>
        <w:jc w:val="both"/>
        <w:rPr>
          <w:rFonts w:ascii="Times New Roman" w:hAnsi="Times New Roman" w:cs="Times New Roman"/>
          <w:sz w:val="24"/>
          <w:szCs w:val="24"/>
        </w:rPr>
      </w:pPr>
      <w:r>
        <w:rPr>
          <w:rFonts w:ascii="Times New Roman" w:hAnsi="Times New Roman" w:cs="Times New Roman"/>
          <w:sz w:val="20"/>
          <w:szCs w:val="20"/>
        </w:rPr>
        <w:t>I’ve asked Todd and Ted to each take on one as Chairman, in which role they will function in the very limited way that I do with our larger subsidiaries. This arrang</w:t>
      </w:r>
      <w:r>
        <w:rPr>
          <w:rFonts w:ascii="Times New Roman" w:hAnsi="Times New Roman" w:cs="Times New Roman"/>
          <w:sz w:val="20"/>
          <w:szCs w:val="20"/>
        </w:rPr>
        <w:t>ement will save me a minor amount of work and, more important, make the two of them even better investors than they already are (which is to say among the best).</w:t>
      </w:r>
    </w:p>
    <w:p w:rsidR="00000000" w:rsidRDefault="00A06965">
      <w:pPr>
        <w:pStyle w:val="DefaultParagraphFont"/>
        <w:widowControl w:val="0"/>
        <w:autoSpaceDE w:val="0"/>
        <w:autoSpaceDN w:val="0"/>
        <w:adjustRightInd w:val="0"/>
        <w:spacing w:after="0" w:line="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6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Late in 2009, amidst the gloom of the Great Recession, we agreed to buy BNSF, the largest purchase in Berkshire’s history. At the time, I called the transaction an “all-in wager on the economic future of the United States.”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That kind of commitment was not</w:t>
      </w:r>
      <w:r>
        <w:rPr>
          <w:rFonts w:ascii="Times New Roman" w:hAnsi="Times New Roman" w:cs="Times New Roman"/>
          <w:sz w:val="20"/>
          <w:szCs w:val="20"/>
        </w:rPr>
        <w:t>hing new for us. We’ve been making similar wagers ever since Buffett Partnership Ltd. acquired control of Berkshire in 1965. For good reason, too: Charlie and I have always considered a “bet” on ever-rising U.S. prosperity to be very close to a sure thing.</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 xml:space="preserve">Indeed, who has ever benefited during the past 238 years by betting </w:t>
      </w:r>
      <w:r>
        <w:rPr>
          <w:rFonts w:ascii="Times New Roman" w:hAnsi="Times New Roman" w:cs="Times New Roman"/>
          <w:i/>
          <w:iCs/>
          <w:sz w:val="20"/>
          <w:szCs w:val="20"/>
        </w:rPr>
        <w:t>against</w:t>
      </w:r>
      <w:r>
        <w:rPr>
          <w:rFonts w:ascii="Times New Roman" w:hAnsi="Times New Roman" w:cs="Times New Roman"/>
          <w:sz w:val="20"/>
          <w:szCs w:val="20"/>
        </w:rPr>
        <w:t xml:space="preserve"> America? If you compare our country’s present condition to that existing in 1776, you have to rub your eyes in wonder. In my lifetime alone, </w:t>
      </w:r>
      <w:r>
        <w:rPr>
          <w:rFonts w:ascii="Times New Roman" w:hAnsi="Times New Roman" w:cs="Times New Roman"/>
          <w:i/>
          <w:iCs/>
          <w:sz w:val="20"/>
          <w:szCs w:val="20"/>
        </w:rPr>
        <w:t>real</w:t>
      </w:r>
      <w:r>
        <w:rPr>
          <w:rFonts w:ascii="Times New Roman" w:hAnsi="Times New Roman" w:cs="Times New Roman"/>
          <w:sz w:val="20"/>
          <w:szCs w:val="20"/>
        </w:rPr>
        <w:t xml:space="preserve"> per-capita U.S. output has </w:t>
      </w:r>
      <w:r>
        <w:rPr>
          <w:rFonts w:ascii="Times New Roman" w:hAnsi="Times New Roman" w:cs="Times New Roman"/>
          <w:i/>
          <w:iCs/>
          <w:sz w:val="20"/>
          <w:szCs w:val="20"/>
        </w:rPr>
        <w:t>sextu</w:t>
      </w:r>
      <w:r>
        <w:rPr>
          <w:rFonts w:ascii="Times New Roman" w:hAnsi="Times New Roman" w:cs="Times New Roman"/>
          <w:i/>
          <w:iCs/>
          <w:sz w:val="20"/>
          <w:szCs w:val="20"/>
        </w:rPr>
        <w:t>pled</w:t>
      </w:r>
      <w:r>
        <w:rPr>
          <w:rFonts w:ascii="Times New Roman" w:hAnsi="Times New Roman" w:cs="Times New Roman"/>
          <w:sz w:val="20"/>
          <w:szCs w:val="20"/>
        </w:rPr>
        <w:t>. My parents could not have dreamed in 1930 of the world their son would see. Though the preachers of pessimism prattle endlessly about America’s problems, I’ve never seen one who wishes to emigrate (though I can think of a few for whom I would happily</w:t>
      </w:r>
      <w:r>
        <w:rPr>
          <w:rFonts w:ascii="Times New Roman" w:hAnsi="Times New Roman" w:cs="Times New Roman"/>
          <w:sz w:val="20"/>
          <w:szCs w:val="20"/>
        </w:rPr>
        <w:t xml:space="preserve"> buy a one-way ticket).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 xml:space="preserve">The dynamism embedded in our market economy will continue to work its magic. Gains won’t come in a smooth or uninterrupted manner; they never have. And we will regularly grumble about our government. But, most assuredly, America’s </w:t>
      </w:r>
      <w:r>
        <w:rPr>
          <w:rFonts w:ascii="Times New Roman" w:hAnsi="Times New Roman" w:cs="Times New Roman"/>
          <w:sz w:val="20"/>
          <w:szCs w:val="20"/>
        </w:rPr>
        <w:t>best days lie ahead.</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860"/>
        <w:rPr>
          <w:rFonts w:ascii="Times New Roman" w:hAnsi="Times New Roman" w:cs="Times New Roman"/>
          <w:sz w:val="24"/>
          <w:szCs w:val="24"/>
        </w:rPr>
      </w:pPr>
      <w:r>
        <w:rPr>
          <w:rFonts w:ascii="Times New Roman" w:hAnsi="Times New Roman" w:cs="Times New Roman"/>
          <w:sz w:val="20"/>
          <w:szCs w:val="20"/>
        </w:rPr>
        <w:t>With this tailwind working for us, Charlie and I hope to build Berkshire’s per-share intrinsic value by</w:t>
      </w:r>
    </w:p>
    <w:p w:rsidR="00000000" w:rsidRDefault="00A06965">
      <w:pPr>
        <w:pStyle w:val="DefaultParagraphFont"/>
        <w:widowControl w:val="0"/>
        <w:autoSpaceDE w:val="0"/>
        <w:autoSpaceDN w:val="0"/>
        <w:adjustRightInd w:val="0"/>
        <w:spacing w:after="0" w:line="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jc w:val="both"/>
        <w:rPr>
          <w:rFonts w:ascii="Times New Roman" w:hAnsi="Times New Roman" w:cs="Times New Roman"/>
          <w:sz w:val="24"/>
          <w:szCs w:val="24"/>
        </w:rPr>
      </w:pPr>
      <w:r>
        <w:rPr>
          <w:rFonts w:ascii="Times New Roman" w:hAnsi="Times New Roman" w:cs="Times New Roman"/>
          <w:sz w:val="20"/>
          <w:szCs w:val="20"/>
        </w:rPr>
        <w:t xml:space="preserve">(1) constantly improving the basic earning power of our many subsidiaries; (2) further increasing their earnings through bolt-on </w:t>
      </w:r>
      <w:r>
        <w:rPr>
          <w:rFonts w:ascii="Times New Roman" w:hAnsi="Times New Roman" w:cs="Times New Roman"/>
          <w:sz w:val="20"/>
          <w:szCs w:val="20"/>
        </w:rPr>
        <w:t>acquisitions; (3) benefiting from the growth of our investees; (4) repurchasing Berkshire shares when they are available at a meaningful discount from intrinsic value; and (5) making an occasional large acquisition. We will also try to maximize results for</w:t>
      </w:r>
      <w:r>
        <w:rPr>
          <w:rFonts w:ascii="Times New Roman" w:hAnsi="Times New Roman" w:cs="Times New Roman"/>
          <w:sz w:val="20"/>
          <w:szCs w:val="20"/>
        </w:rPr>
        <w:t xml:space="preserve"> </w:t>
      </w:r>
      <w:r>
        <w:rPr>
          <w:rFonts w:ascii="Times New Roman" w:hAnsi="Times New Roman" w:cs="Times New Roman"/>
          <w:i/>
          <w:iCs/>
          <w:sz w:val="20"/>
          <w:szCs w:val="20"/>
        </w:rPr>
        <w:t>you</w:t>
      </w:r>
      <w:r>
        <w:rPr>
          <w:rFonts w:ascii="Times New Roman" w:hAnsi="Times New Roman" w:cs="Times New Roman"/>
          <w:sz w:val="20"/>
          <w:szCs w:val="20"/>
        </w:rPr>
        <w:t xml:space="preserve"> by rarely, if ever, issuing Berkshire shares.</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Those building blocks rest on a rock-solid foundation. A century hence, BNSF and Berkshire Hathaway Energy will still be playing vital roles in our economy. Homes and autos will remain central to the live</w:t>
      </w:r>
      <w:r>
        <w:rPr>
          <w:rFonts w:ascii="Times New Roman" w:hAnsi="Times New Roman" w:cs="Times New Roman"/>
          <w:sz w:val="20"/>
          <w:szCs w:val="20"/>
        </w:rPr>
        <w:t>s of most families. Insurance will continue to be essential for both businesses and individuals. Looking ahead, Charlie and I see a world made to order for Berkshire. We feel fortunate to be entrusted with its management.</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Intrinsic Business Value</w:t>
      </w: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As much as Charlie and I talk about intrinsic business value, we cannot tell you precisely what that number is for Berkshire shares (nor, in fact, for any other stock). In our 2010 annual report, however, we laid out the three elements – one of them qualit</w:t>
      </w:r>
      <w:r>
        <w:rPr>
          <w:rFonts w:ascii="Times New Roman" w:hAnsi="Times New Roman" w:cs="Times New Roman"/>
          <w:sz w:val="20"/>
          <w:szCs w:val="20"/>
        </w:rPr>
        <w:t>ative – that we believe are the keys to a sensible estimate of Berkshire’s intrinsic value. That discussion is reproduced in full on pages 123-124.</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Here is an update of the two quantitative factors: In 2014 our per-share investments increased 8.4% to $140</w:t>
      </w:r>
      <w:r>
        <w:rPr>
          <w:rFonts w:ascii="Times New Roman" w:hAnsi="Times New Roman" w:cs="Times New Roman"/>
          <w:sz w:val="20"/>
          <w:szCs w:val="20"/>
        </w:rPr>
        <w:t>,123, and our earnings from businesses other than insurance and investments increased 19% to $10,847 per share.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60" w:bottom="943" w:left="6080" w:header="720" w:footer="720" w:gutter="0"/>
          <w:cols w:space="720" w:equalWidth="0">
            <w:col w:w="100"/>
          </w:cols>
          <w:noEndnote/>
        </w:sect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Since 1970, our per-share investments have increased at a rate of 19% compounded annually, and our earnings figure has grown at a 20.6% clip. It is no coincidence that the price of Berkshire stock over the ensuing 44 years has increased at a rate very simi</w:t>
      </w:r>
      <w:r>
        <w:rPr>
          <w:rFonts w:ascii="Times New Roman" w:hAnsi="Times New Roman" w:cs="Times New Roman"/>
          <w:sz w:val="20"/>
          <w:szCs w:val="20"/>
        </w:rPr>
        <w:t>lar to that of our two measures of value. Charlie and I like to see gains in both sectors, but our main focus is to build operating earnings. That’s why we were pleased to exchange our Phillips 66 and Graham Holdings stock for operating businesses last yea</w:t>
      </w:r>
      <w:r>
        <w:rPr>
          <w:rFonts w:ascii="Times New Roman" w:hAnsi="Times New Roman" w:cs="Times New Roman"/>
          <w:sz w:val="20"/>
          <w:szCs w:val="20"/>
        </w:rPr>
        <w:t>r and to contract with Procter and Gamble to acquire Duracell by means of a similar exchange set to close in 2015.</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80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Now, let’s examine the four major sectors of our operations. Each has vastly different balance sheet and income cha</w:t>
      </w:r>
      <w:r>
        <w:rPr>
          <w:rFonts w:ascii="Times New Roman" w:hAnsi="Times New Roman" w:cs="Times New Roman"/>
          <w:sz w:val="20"/>
          <w:szCs w:val="20"/>
        </w:rPr>
        <w:t xml:space="preserve">racteristics from the others. So we’ll present them as four separate businesses, which is how Charlie and I view them (though there are important and </w:t>
      </w:r>
      <w:r>
        <w:rPr>
          <w:rFonts w:ascii="Times New Roman" w:hAnsi="Times New Roman" w:cs="Times New Roman"/>
          <w:i/>
          <w:iCs/>
          <w:sz w:val="20"/>
          <w:szCs w:val="20"/>
        </w:rPr>
        <w:t>enduring</w:t>
      </w:r>
      <w:r>
        <w:rPr>
          <w:rFonts w:ascii="Times New Roman" w:hAnsi="Times New Roman" w:cs="Times New Roman"/>
          <w:sz w:val="20"/>
          <w:szCs w:val="20"/>
        </w:rPr>
        <w:t xml:space="preserve"> advantages to having them all under one roof). Our goal is to provide you with the information we</w:t>
      </w:r>
      <w:r>
        <w:rPr>
          <w:rFonts w:ascii="Times New Roman" w:hAnsi="Times New Roman" w:cs="Times New Roman"/>
          <w:sz w:val="20"/>
          <w:szCs w:val="20"/>
        </w:rPr>
        <w:t xml:space="preserve"> would wish to have if our positions were reversed, with you being the reporting manager and we the absentee shareholders. (But don’t get any ideas!)</w:t>
      </w:r>
    </w:p>
    <w:p w:rsidR="00000000" w:rsidRDefault="00A0696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Insurance</w:t>
      </w: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Let’s look first at insurance, Berkshire’s core operation. That industry has been the engine t</w:t>
      </w:r>
      <w:r>
        <w:rPr>
          <w:rFonts w:ascii="Times New Roman" w:hAnsi="Times New Roman" w:cs="Times New Roman"/>
          <w:sz w:val="20"/>
          <w:szCs w:val="20"/>
        </w:rPr>
        <w:t>hat has propelled our expansion since 1967, when we acquired National Indemnity and its sister company, National Fire &amp; Marine, for $8.6 million. Though that purchase had monumental consequences for Berkshire, its execution was simplicity itself.</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Jack Ringwalt, a friend of mine who was the controlling shareholder of the two companies, came to my office saying he would like to sell. Fifteen minutes later, we had a deal. Neither of Jack’s companies had ever had an audit by a public accounting firm, a</w:t>
      </w:r>
      <w:r>
        <w:rPr>
          <w:rFonts w:ascii="Times New Roman" w:hAnsi="Times New Roman" w:cs="Times New Roman"/>
          <w:sz w:val="20"/>
          <w:szCs w:val="20"/>
        </w:rPr>
        <w:t>nd I didn’t ask for one. My reasoning: (1) Jack was honest and (2) He was also a bit quirky and likely to walk away if the deal became at all complicated.</w:t>
      </w:r>
    </w:p>
    <w:p w:rsidR="00000000" w:rsidRDefault="00A06965">
      <w:pPr>
        <w:pStyle w:val="DefaultParagraphFont"/>
        <w:widowControl w:val="0"/>
        <w:autoSpaceDE w:val="0"/>
        <w:autoSpaceDN w:val="0"/>
        <w:adjustRightInd w:val="0"/>
        <w:spacing w:after="0" w:line="16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exact"/>
        <w:ind w:firstLine="860"/>
        <w:jc w:val="both"/>
        <w:rPr>
          <w:rFonts w:ascii="Times New Roman" w:hAnsi="Times New Roman" w:cs="Times New Roman"/>
          <w:sz w:val="24"/>
          <w:szCs w:val="24"/>
        </w:rPr>
      </w:pPr>
      <w:r>
        <w:rPr>
          <w:rFonts w:ascii="Times New Roman" w:hAnsi="Times New Roman" w:cs="Times New Roman"/>
          <w:sz w:val="20"/>
          <w:szCs w:val="20"/>
        </w:rPr>
        <w:t>On pages 128-129, we reproduce the 1</w:t>
      </w:r>
      <w:r>
        <w:rPr>
          <w:rFonts w:ascii="Times New Roman" w:hAnsi="Times New Roman" w:cs="Times New Roman"/>
          <w:sz w:val="26"/>
          <w:szCs w:val="26"/>
          <w:vertAlign w:val="superscript"/>
        </w:rPr>
        <w:t>1</w:t>
      </w:r>
      <w:r>
        <w:rPr>
          <w:rFonts w:ascii="Arial Unicode MS" w:eastAsia="Arial Unicode MS" w:hAnsi="Times New Roman" w:cs="Arial Unicode MS" w:hint="eastAsia"/>
          <w:sz w:val="20"/>
          <w:szCs w:val="20"/>
        </w:rPr>
        <w:t>⁄</w:t>
      </w:r>
      <w:r>
        <w:rPr>
          <w:rFonts w:ascii="Times New Roman" w:hAnsi="Times New Roman" w:cs="Times New Roman"/>
          <w:sz w:val="20"/>
          <w:szCs w:val="20"/>
        </w:rPr>
        <w:t xml:space="preserve"> </w:t>
      </w:r>
      <w:r>
        <w:rPr>
          <w:rFonts w:ascii="Times New Roman" w:hAnsi="Times New Roman" w:cs="Times New Roman"/>
          <w:sz w:val="13"/>
          <w:szCs w:val="13"/>
        </w:rPr>
        <w:t>2</w:t>
      </w:r>
      <w:r>
        <w:rPr>
          <w:rFonts w:ascii="Times New Roman" w:hAnsi="Times New Roman" w:cs="Times New Roman"/>
          <w:sz w:val="20"/>
          <w:szCs w:val="20"/>
        </w:rPr>
        <w:t xml:space="preserve">-page purchase agreement we used to finalize the transaction. That contract was homemade: Neither side used a lawyer. Per page, this has to be Berkshire’s best deal: National Indemnity today has GAAP (generally accepted accounting principles) net worth of </w:t>
      </w:r>
      <w:r>
        <w:rPr>
          <w:rFonts w:ascii="Times New Roman" w:hAnsi="Times New Roman" w:cs="Times New Roman"/>
          <w:sz w:val="20"/>
          <w:szCs w:val="20"/>
        </w:rPr>
        <w:t>$111 billion, which exceeds that of any other insurer in the world.</w:t>
      </w:r>
    </w:p>
    <w:p w:rsidR="00000000" w:rsidRDefault="00A06965">
      <w:pPr>
        <w:pStyle w:val="DefaultParagraphFont"/>
        <w:widowControl w:val="0"/>
        <w:autoSpaceDE w:val="0"/>
        <w:autoSpaceDN w:val="0"/>
        <w:adjustRightInd w:val="0"/>
        <w:spacing w:after="0" w:line="21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860"/>
        <w:jc w:val="both"/>
        <w:rPr>
          <w:rFonts w:ascii="Times New Roman" w:hAnsi="Times New Roman" w:cs="Times New Roman"/>
          <w:sz w:val="24"/>
          <w:szCs w:val="24"/>
        </w:rPr>
      </w:pPr>
      <w:r>
        <w:rPr>
          <w:rFonts w:ascii="Times New Roman" w:hAnsi="Times New Roman" w:cs="Times New Roman"/>
          <w:sz w:val="20"/>
          <w:szCs w:val="20"/>
        </w:rPr>
        <w:t>One reason we were attracted to the property-casualty business was its financial characteristics: P/C insurers receive premiums upfront and pay claims later. In extreme cases, such as tho</w:t>
      </w:r>
      <w:r>
        <w:rPr>
          <w:rFonts w:ascii="Times New Roman" w:hAnsi="Times New Roman" w:cs="Times New Roman"/>
          <w:sz w:val="20"/>
          <w:szCs w:val="20"/>
        </w:rPr>
        <w:t xml:space="preserve">se arising from certain workers’ compensation accidents, payments can stretch over many decades. This collect-now, pay-later model leaves P/C companies holding large sums – money we call “float” – that will eventually go to others. Meanwhile, insurers get </w:t>
      </w:r>
      <w:r>
        <w:rPr>
          <w:rFonts w:ascii="Times New Roman" w:hAnsi="Times New Roman" w:cs="Times New Roman"/>
          <w:sz w:val="20"/>
          <w:szCs w:val="20"/>
        </w:rPr>
        <w:t xml:space="preserve">to invest this float for their benefit. Though individual policies and claims come and go, the amount of float an insurer holds usually remains fairly stable in relation to premium volume. Consequently, as our business grows, so does our float. And </w:t>
      </w:r>
      <w:r>
        <w:rPr>
          <w:rFonts w:ascii="Times New Roman" w:hAnsi="Times New Roman" w:cs="Times New Roman"/>
          <w:i/>
          <w:iCs/>
          <w:sz w:val="20"/>
          <w:szCs w:val="20"/>
        </w:rPr>
        <w:t>how</w:t>
      </w:r>
      <w:r>
        <w:rPr>
          <w:rFonts w:ascii="Times New Roman" w:hAnsi="Times New Roman" w:cs="Times New Roman"/>
          <w:sz w:val="20"/>
          <w:szCs w:val="20"/>
        </w:rPr>
        <w:t xml:space="preserve"> we </w:t>
      </w:r>
      <w:r>
        <w:rPr>
          <w:rFonts w:ascii="Times New Roman" w:hAnsi="Times New Roman" w:cs="Times New Roman"/>
          <w:sz w:val="20"/>
          <w:szCs w:val="20"/>
        </w:rPr>
        <w:t>have grown, as the following table shows:</w:t>
      </w:r>
    </w:p>
    <w:p w:rsidR="00000000" w:rsidRDefault="00A06965">
      <w:pPr>
        <w:pStyle w:val="DefaultParagraphFont"/>
        <w:widowControl w:val="0"/>
        <w:autoSpaceDE w:val="0"/>
        <w:autoSpaceDN w:val="0"/>
        <w:adjustRightInd w:val="0"/>
        <w:spacing w:after="0" w:line="170" w:lineRule="exact"/>
        <w:rPr>
          <w:rFonts w:ascii="Times New Roman" w:hAnsi="Times New Roman" w:cs="Times New Roman"/>
          <w:sz w:val="24"/>
          <w:szCs w:val="24"/>
        </w:rPr>
      </w:pPr>
    </w:p>
    <w:tbl>
      <w:tblPr>
        <w:tblW w:w="0" w:type="auto"/>
        <w:tblInd w:w="2520" w:type="dxa"/>
        <w:tblLayout w:type="fixed"/>
        <w:tblCellMar>
          <w:left w:w="0" w:type="dxa"/>
          <w:right w:w="0" w:type="dxa"/>
        </w:tblCellMar>
        <w:tblLook w:val="0000" w:firstRow="0" w:lastRow="0" w:firstColumn="0" w:lastColumn="0" w:noHBand="0" w:noVBand="0"/>
      </w:tblPr>
      <w:tblGrid>
        <w:gridCol w:w="1460"/>
        <w:gridCol w:w="1640"/>
        <w:gridCol w:w="1040"/>
      </w:tblGrid>
      <w:tr w:rsidR="00000000">
        <w:tblPrEx>
          <w:tblCellMar>
            <w:top w:w="0" w:type="dxa"/>
            <w:left w:w="0" w:type="dxa"/>
            <w:bottom w:w="0" w:type="dxa"/>
            <w:right w:w="0" w:type="dxa"/>
          </w:tblCellMar>
        </w:tblPrEx>
        <w:trPr>
          <w:trHeight w:val="230"/>
        </w:trPr>
        <w:tc>
          <w:tcPr>
            <w:tcW w:w="1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i/>
                <w:iCs/>
                <w:sz w:val="20"/>
                <w:szCs w:val="20"/>
                <w:u w:val="single"/>
              </w:rPr>
              <w:t>Year</w:t>
            </w:r>
          </w:p>
        </w:tc>
        <w:tc>
          <w:tcPr>
            <w:tcW w:w="2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sz w:val="20"/>
                <w:szCs w:val="20"/>
                <w:u w:val="single"/>
              </w:rPr>
              <w:t>Float (in $ millions)</w:t>
            </w:r>
          </w:p>
        </w:tc>
      </w:tr>
      <w:tr w:rsidR="00000000">
        <w:tblPrEx>
          <w:tblCellMar>
            <w:top w:w="0" w:type="dxa"/>
            <w:left w:w="0" w:type="dxa"/>
            <w:bottom w:w="0" w:type="dxa"/>
            <w:right w:w="0" w:type="dxa"/>
          </w:tblCellMar>
        </w:tblPrEx>
        <w:trPr>
          <w:trHeight w:val="280"/>
        </w:trPr>
        <w:tc>
          <w:tcPr>
            <w:tcW w:w="1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1970</w:t>
            </w:r>
          </w:p>
        </w:tc>
        <w:tc>
          <w:tcPr>
            <w:tcW w:w="1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New Roman" w:hAnsi="Times New Roman" w:cs="Times New Roman"/>
                <w:sz w:val="20"/>
                <w:szCs w:val="20"/>
              </w:rPr>
              <w:t>39</w:t>
            </w:r>
          </w:p>
        </w:tc>
      </w:tr>
      <w:tr w:rsidR="00000000">
        <w:tblPrEx>
          <w:tblCellMar>
            <w:top w:w="0" w:type="dxa"/>
            <w:left w:w="0" w:type="dxa"/>
            <w:bottom w:w="0" w:type="dxa"/>
            <w:right w:w="0" w:type="dxa"/>
          </w:tblCellMar>
        </w:tblPrEx>
        <w:trPr>
          <w:trHeight w:val="240"/>
        </w:trPr>
        <w:tc>
          <w:tcPr>
            <w:tcW w:w="1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1980</w:t>
            </w:r>
          </w:p>
        </w:tc>
        <w:tc>
          <w:tcPr>
            <w:tcW w:w="1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New Roman" w:hAnsi="Times New Roman" w:cs="Times New Roman"/>
                <w:sz w:val="20"/>
                <w:szCs w:val="20"/>
              </w:rPr>
              <w:t>237</w:t>
            </w:r>
          </w:p>
        </w:tc>
      </w:tr>
      <w:tr w:rsidR="00000000">
        <w:tblPrEx>
          <w:tblCellMar>
            <w:top w:w="0" w:type="dxa"/>
            <w:left w:w="0" w:type="dxa"/>
            <w:bottom w:w="0" w:type="dxa"/>
            <w:right w:w="0" w:type="dxa"/>
          </w:tblCellMar>
        </w:tblPrEx>
        <w:trPr>
          <w:trHeight w:val="240"/>
        </w:trPr>
        <w:tc>
          <w:tcPr>
            <w:tcW w:w="1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1990</w:t>
            </w:r>
          </w:p>
        </w:tc>
        <w:tc>
          <w:tcPr>
            <w:tcW w:w="1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New Roman" w:hAnsi="Times New Roman" w:cs="Times New Roman"/>
                <w:sz w:val="20"/>
                <w:szCs w:val="20"/>
              </w:rPr>
              <w:t>1,632</w:t>
            </w:r>
          </w:p>
        </w:tc>
      </w:tr>
      <w:tr w:rsidR="00000000">
        <w:tblPrEx>
          <w:tblCellMar>
            <w:top w:w="0" w:type="dxa"/>
            <w:left w:w="0" w:type="dxa"/>
            <w:bottom w:w="0" w:type="dxa"/>
            <w:right w:w="0" w:type="dxa"/>
          </w:tblCellMar>
        </w:tblPrEx>
        <w:trPr>
          <w:trHeight w:val="240"/>
        </w:trPr>
        <w:tc>
          <w:tcPr>
            <w:tcW w:w="1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2000</w:t>
            </w:r>
          </w:p>
        </w:tc>
        <w:tc>
          <w:tcPr>
            <w:tcW w:w="1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New Roman" w:hAnsi="Times New Roman" w:cs="Times New Roman"/>
                <w:w w:val="98"/>
                <w:sz w:val="20"/>
                <w:szCs w:val="20"/>
              </w:rPr>
              <w:t>27,871</w:t>
            </w:r>
          </w:p>
        </w:tc>
      </w:tr>
      <w:tr w:rsidR="00000000">
        <w:tblPrEx>
          <w:tblCellMar>
            <w:top w:w="0" w:type="dxa"/>
            <w:left w:w="0" w:type="dxa"/>
            <w:bottom w:w="0" w:type="dxa"/>
            <w:right w:w="0" w:type="dxa"/>
          </w:tblCellMar>
        </w:tblPrEx>
        <w:trPr>
          <w:trHeight w:val="240"/>
        </w:trPr>
        <w:tc>
          <w:tcPr>
            <w:tcW w:w="1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2010</w:t>
            </w:r>
          </w:p>
        </w:tc>
        <w:tc>
          <w:tcPr>
            <w:tcW w:w="1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New Roman" w:hAnsi="Times New Roman" w:cs="Times New Roman"/>
                <w:w w:val="98"/>
                <w:sz w:val="20"/>
                <w:szCs w:val="20"/>
              </w:rPr>
              <w:t>65,832</w:t>
            </w:r>
          </w:p>
        </w:tc>
      </w:tr>
      <w:tr w:rsidR="00000000">
        <w:tblPrEx>
          <w:tblCellMar>
            <w:top w:w="0" w:type="dxa"/>
            <w:left w:w="0" w:type="dxa"/>
            <w:bottom w:w="0" w:type="dxa"/>
            <w:right w:w="0" w:type="dxa"/>
          </w:tblCellMar>
        </w:tblPrEx>
        <w:trPr>
          <w:trHeight w:val="240"/>
        </w:trPr>
        <w:tc>
          <w:tcPr>
            <w:tcW w:w="1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2014</w:t>
            </w:r>
          </w:p>
        </w:tc>
        <w:tc>
          <w:tcPr>
            <w:tcW w:w="1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New Roman" w:hAnsi="Times New Roman" w:cs="Times New Roman"/>
                <w:w w:val="98"/>
                <w:sz w:val="20"/>
                <w:szCs w:val="20"/>
              </w:rPr>
              <w:t>83,921</w:t>
            </w:r>
          </w:p>
        </w:tc>
      </w:tr>
    </w:tbl>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Further gains in flo</w:t>
      </w:r>
      <w:r>
        <w:rPr>
          <w:rFonts w:ascii="Times New Roman" w:hAnsi="Times New Roman" w:cs="Times New Roman"/>
          <w:sz w:val="20"/>
          <w:szCs w:val="20"/>
        </w:rPr>
        <w:t>at will be tough to achieve. On the plus side, GEICO and our new commercial insurance operation are almost certain to grow at a good clip. National Indemnity’s reinsurance division, however, is party to a number of run-off contracts whose float drifts down</w:t>
      </w:r>
      <w:r>
        <w:rPr>
          <w:rFonts w:ascii="Times New Roman" w:hAnsi="Times New Roman" w:cs="Times New Roman"/>
          <w:sz w:val="20"/>
          <w:szCs w:val="20"/>
        </w:rPr>
        <w:t xml:space="preserve">ward. If we do in time experience a decline in float, it will be </w:t>
      </w:r>
      <w:r>
        <w:rPr>
          <w:rFonts w:ascii="Times New Roman" w:hAnsi="Times New Roman" w:cs="Times New Roman"/>
          <w:i/>
          <w:iCs/>
          <w:sz w:val="20"/>
          <w:szCs w:val="20"/>
        </w:rPr>
        <w:t>very</w:t>
      </w:r>
      <w:r>
        <w:rPr>
          <w:rFonts w:ascii="Times New Roman" w:hAnsi="Times New Roman" w:cs="Times New Roman"/>
          <w:sz w:val="20"/>
          <w:szCs w:val="20"/>
        </w:rPr>
        <w:t xml:space="preserve"> gradual – at the outside no more than 3% in any year. The nature of our insurance contracts is such that we can </w:t>
      </w:r>
      <w:r>
        <w:rPr>
          <w:rFonts w:ascii="Times New Roman" w:hAnsi="Times New Roman" w:cs="Times New Roman"/>
          <w:i/>
          <w:iCs/>
          <w:sz w:val="20"/>
          <w:szCs w:val="20"/>
        </w:rPr>
        <w:t>never</w:t>
      </w:r>
      <w:r>
        <w:rPr>
          <w:rFonts w:ascii="Times New Roman" w:hAnsi="Times New Roman" w:cs="Times New Roman"/>
          <w:sz w:val="20"/>
          <w:szCs w:val="20"/>
        </w:rPr>
        <w:t xml:space="preserve"> be subject to immediate demands for sums that are large compared to </w:t>
      </w:r>
      <w:r>
        <w:rPr>
          <w:rFonts w:ascii="Times New Roman" w:hAnsi="Times New Roman" w:cs="Times New Roman"/>
          <w:sz w:val="20"/>
          <w:szCs w:val="20"/>
        </w:rPr>
        <w:t>our cash resources. This strength is a key pillar in Berkshire’s economic fortress.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7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60" w:bottom="943" w:left="6080" w:header="720" w:footer="720" w:gutter="0"/>
          <w:cols w:space="720" w:equalWidth="0">
            <w:col w:w="100"/>
          </w:cols>
          <w:noEndnote/>
        </w:sectPr>
      </w:pPr>
    </w:p>
    <w:p w:rsidR="00000000" w:rsidRDefault="00A06965">
      <w:pPr>
        <w:pStyle w:val="DefaultParagraphFont"/>
        <w:widowControl w:val="0"/>
        <w:overflowPunct w:val="0"/>
        <w:autoSpaceDE w:val="0"/>
        <w:autoSpaceDN w:val="0"/>
        <w:adjustRightInd w:val="0"/>
        <w:spacing w:after="0" w:line="233" w:lineRule="auto"/>
        <w:ind w:firstLine="860"/>
        <w:jc w:val="both"/>
        <w:rPr>
          <w:rFonts w:ascii="Times New Roman" w:hAnsi="Times New Roman" w:cs="Times New Roman"/>
          <w:sz w:val="24"/>
          <w:szCs w:val="24"/>
        </w:rPr>
      </w:pPr>
      <w:r>
        <w:rPr>
          <w:rFonts w:ascii="Times New Roman" w:hAnsi="Times New Roman" w:cs="Times New Roman"/>
          <w:sz w:val="20"/>
          <w:szCs w:val="20"/>
        </w:rPr>
        <w:t>If our premiums exceed the total of our expenses and eventual losses, we register an underwriting profit that adds to the investme</w:t>
      </w:r>
      <w:r>
        <w:rPr>
          <w:rFonts w:ascii="Times New Roman" w:hAnsi="Times New Roman" w:cs="Times New Roman"/>
          <w:sz w:val="20"/>
          <w:szCs w:val="20"/>
        </w:rPr>
        <w:t>nt income our float produces. When such a profit is earned, we enjoy the use of free money</w:t>
      </w: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 and, better yet, get </w:t>
      </w:r>
      <w:r>
        <w:rPr>
          <w:rFonts w:ascii="Times New Roman" w:hAnsi="Times New Roman" w:cs="Times New Roman"/>
          <w:i/>
          <w:iCs/>
          <w:sz w:val="20"/>
          <w:szCs w:val="20"/>
        </w:rPr>
        <w:t>paid</w:t>
      </w:r>
      <w:r>
        <w:rPr>
          <w:rFonts w:ascii="Times New Roman" w:hAnsi="Times New Roman" w:cs="Times New Roman"/>
          <w:sz w:val="20"/>
          <w:szCs w:val="20"/>
        </w:rPr>
        <w:t xml:space="preserve"> for holding it.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860"/>
        <w:jc w:val="both"/>
        <w:rPr>
          <w:rFonts w:ascii="Times New Roman" w:hAnsi="Times New Roman" w:cs="Times New Roman"/>
          <w:sz w:val="24"/>
          <w:szCs w:val="24"/>
        </w:rPr>
      </w:pPr>
      <w:r>
        <w:rPr>
          <w:rFonts w:ascii="Times New Roman" w:hAnsi="Times New Roman" w:cs="Times New Roman"/>
          <w:sz w:val="20"/>
          <w:szCs w:val="20"/>
        </w:rPr>
        <w:t xml:space="preserve">Unfortunately, the wish of all insurers to achieve this happy result creates intense competition, so vigorous indeed that it frequently causes the P/C industry as a whole to operate at a significant underwriting </w:t>
      </w:r>
      <w:r>
        <w:rPr>
          <w:rFonts w:ascii="Times New Roman" w:hAnsi="Times New Roman" w:cs="Times New Roman"/>
          <w:i/>
          <w:iCs/>
          <w:sz w:val="20"/>
          <w:szCs w:val="20"/>
        </w:rPr>
        <w:t>loss</w:t>
      </w:r>
      <w:r>
        <w:rPr>
          <w:rFonts w:ascii="Times New Roman" w:hAnsi="Times New Roman" w:cs="Times New Roman"/>
          <w:sz w:val="20"/>
          <w:szCs w:val="20"/>
        </w:rPr>
        <w:t>. This loss, in effect, is what the indu</w:t>
      </w:r>
      <w:r>
        <w:rPr>
          <w:rFonts w:ascii="Times New Roman" w:hAnsi="Times New Roman" w:cs="Times New Roman"/>
          <w:sz w:val="20"/>
          <w:szCs w:val="20"/>
        </w:rPr>
        <w:t>stry pays to hold its float. Competitive dynamics almost guarantee that the insurance industry, despite the float income all its companies enjoy, will continue its dismal record of earning subnormal returns on tangible net worth as compared to other Americ</w:t>
      </w:r>
      <w:r>
        <w:rPr>
          <w:rFonts w:ascii="Times New Roman" w:hAnsi="Times New Roman" w:cs="Times New Roman"/>
          <w:sz w:val="20"/>
          <w:szCs w:val="20"/>
        </w:rPr>
        <w:t>an businesses. The prolonged period of low interest rates our country is now dealing with causes earnings on float to decrease, thereby exacerbating the profit problems of the industry.</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As noted in the first section of this report, Berkshire has now opera</w:t>
      </w:r>
      <w:r>
        <w:rPr>
          <w:rFonts w:ascii="Times New Roman" w:hAnsi="Times New Roman" w:cs="Times New Roman"/>
          <w:sz w:val="20"/>
          <w:szCs w:val="20"/>
        </w:rPr>
        <w:t xml:space="preserve">ted at an underwriting profit for twelve consecutive years, our pre-tax gain for the period having totaled $24 billion. Looking ahead, I believe we will continue to underwrite profitably in most years. Doing so is the daily focus of </w:t>
      </w:r>
      <w:r>
        <w:rPr>
          <w:rFonts w:ascii="Times New Roman" w:hAnsi="Times New Roman" w:cs="Times New Roman"/>
          <w:i/>
          <w:iCs/>
          <w:sz w:val="20"/>
          <w:szCs w:val="20"/>
        </w:rPr>
        <w:t>all</w:t>
      </w:r>
      <w:r>
        <w:rPr>
          <w:rFonts w:ascii="Times New Roman" w:hAnsi="Times New Roman" w:cs="Times New Roman"/>
          <w:sz w:val="20"/>
          <w:szCs w:val="20"/>
        </w:rPr>
        <w:t xml:space="preserve"> of our insurance ma</w:t>
      </w:r>
      <w:r>
        <w:rPr>
          <w:rFonts w:ascii="Times New Roman" w:hAnsi="Times New Roman" w:cs="Times New Roman"/>
          <w:sz w:val="20"/>
          <w:szCs w:val="20"/>
        </w:rPr>
        <w:t>nagers, who know that while float is valuable, its benefits can be drowned by poor underwriting results. That message is given at least lip service by all insurers; at Berkshire it is a religion.</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So how does our float affect intrinsic value? When Berkshir</w:t>
      </w:r>
      <w:r>
        <w:rPr>
          <w:rFonts w:ascii="Times New Roman" w:hAnsi="Times New Roman" w:cs="Times New Roman"/>
          <w:sz w:val="20"/>
          <w:szCs w:val="20"/>
        </w:rPr>
        <w:t xml:space="preserve">e’s </w:t>
      </w:r>
      <w:r>
        <w:rPr>
          <w:rFonts w:ascii="Times New Roman" w:hAnsi="Times New Roman" w:cs="Times New Roman"/>
          <w:i/>
          <w:iCs/>
          <w:sz w:val="20"/>
          <w:szCs w:val="20"/>
        </w:rPr>
        <w:t>book</w:t>
      </w:r>
      <w:r>
        <w:rPr>
          <w:rFonts w:ascii="Times New Roman" w:hAnsi="Times New Roman" w:cs="Times New Roman"/>
          <w:sz w:val="20"/>
          <w:szCs w:val="20"/>
        </w:rPr>
        <w:t xml:space="preserve"> value is calculated, the </w:t>
      </w:r>
      <w:r>
        <w:rPr>
          <w:rFonts w:ascii="Times New Roman" w:hAnsi="Times New Roman" w:cs="Times New Roman"/>
          <w:i/>
          <w:iCs/>
          <w:sz w:val="20"/>
          <w:szCs w:val="20"/>
        </w:rPr>
        <w:t>full</w:t>
      </w:r>
      <w:r>
        <w:rPr>
          <w:rFonts w:ascii="Times New Roman" w:hAnsi="Times New Roman" w:cs="Times New Roman"/>
          <w:sz w:val="20"/>
          <w:szCs w:val="20"/>
        </w:rPr>
        <w:t xml:space="preserve"> amount of our float is deducted as a </w:t>
      </w:r>
      <w:r>
        <w:rPr>
          <w:rFonts w:ascii="Times New Roman" w:hAnsi="Times New Roman" w:cs="Times New Roman"/>
          <w:i/>
          <w:iCs/>
          <w:sz w:val="20"/>
          <w:szCs w:val="20"/>
        </w:rPr>
        <w:t>liability</w:t>
      </w:r>
      <w:r>
        <w:rPr>
          <w:rFonts w:ascii="Times New Roman" w:hAnsi="Times New Roman" w:cs="Times New Roman"/>
          <w:sz w:val="20"/>
          <w:szCs w:val="20"/>
        </w:rPr>
        <w:t>, just as if we had to pay it out tomorrow and could not replenish it. But to think of float as strictly a liability is incorrect; it should instead be viewed as a revolvi</w:t>
      </w:r>
      <w:r>
        <w:rPr>
          <w:rFonts w:ascii="Times New Roman" w:hAnsi="Times New Roman" w:cs="Times New Roman"/>
          <w:sz w:val="20"/>
          <w:szCs w:val="20"/>
        </w:rPr>
        <w:t>ng fund. Daily, we pay old claims and related expenses – a huge $22.7 billion to more than six million claimants in 2014 – and that reduces float. Just as surely, we each day write new business and thereby generate new claims that add to float.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If our rev</w:t>
      </w:r>
      <w:r>
        <w:rPr>
          <w:rFonts w:ascii="Times New Roman" w:hAnsi="Times New Roman" w:cs="Times New Roman"/>
          <w:sz w:val="20"/>
          <w:szCs w:val="20"/>
        </w:rPr>
        <w:t xml:space="preserve">olving float is both costless and long-enduring, which I believe it will be, the true value of this liability is </w:t>
      </w:r>
      <w:r>
        <w:rPr>
          <w:rFonts w:ascii="Times New Roman" w:hAnsi="Times New Roman" w:cs="Times New Roman"/>
          <w:i/>
          <w:iCs/>
          <w:sz w:val="20"/>
          <w:szCs w:val="20"/>
        </w:rPr>
        <w:t>dramatically</w:t>
      </w:r>
      <w:r>
        <w:rPr>
          <w:rFonts w:ascii="Times New Roman" w:hAnsi="Times New Roman" w:cs="Times New Roman"/>
          <w:sz w:val="20"/>
          <w:szCs w:val="20"/>
        </w:rPr>
        <w:t xml:space="preserve"> less than the accounting liability. Owing $1 that in effect will never leave the premises –</w:t>
      </w:r>
      <w:r>
        <w:rPr>
          <w:rFonts w:ascii="Times New Roman" w:hAnsi="Times New Roman" w:cs="Times New Roman"/>
          <w:sz w:val="20"/>
          <w:szCs w:val="20"/>
        </w:rPr>
        <w:t xml:space="preserve"> because new business is almost certain to deliver a substitute – is worlds different from owing $1 that will go out the door tomorrow and not be replaced. The two types of liabilities are treated as equals, however, under GAAP.</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A partial offset to this o</w:t>
      </w:r>
      <w:r>
        <w:rPr>
          <w:rFonts w:ascii="Times New Roman" w:hAnsi="Times New Roman" w:cs="Times New Roman"/>
          <w:sz w:val="20"/>
          <w:szCs w:val="20"/>
        </w:rPr>
        <w:t xml:space="preserve">verstated liability is a $15.5 billion “goodwill” asset that we incurred in buying our insurance companies and that increases book value. In very large part, this goodwill represents the price we paid for the float-generating capabilities of our insurance </w:t>
      </w:r>
      <w:r>
        <w:rPr>
          <w:rFonts w:ascii="Times New Roman" w:hAnsi="Times New Roman" w:cs="Times New Roman"/>
          <w:sz w:val="20"/>
          <w:szCs w:val="20"/>
        </w:rPr>
        <w:t xml:space="preserve">operations. The cost of the goodwill, however, has </w:t>
      </w:r>
      <w:r>
        <w:rPr>
          <w:rFonts w:ascii="Times New Roman" w:hAnsi="Times New Roman" w:cs="Times New Roman"/>
          <w:i/>
          <w:iCs/>
          <w:sz w:val="20"/>
          <w:szCs w:val="20"/>
        </w:rPr>
        <w:t>no</w:t>
      </w:r>
      <w:r>
        <w:rPr>
          <w:rFonts w:ascii="Times New Roman" w:hAnsi="Times New Roman" w:cs="Times New Roman"/>
          <w:sz w:val="20"/>
          <w:szCs w:val="20"/>
        </w:rPr>
        <w:t xml:space="preserve"> bearing on its true value. For example, if an insurance company sustains large and prolonged underwriting losses, </w:t>
      </w:r>
      <w:r>
        <w:rPr>
          <w:rFonts w:ascii="Times New Roman" w:hAnsi="Times New Roman" w:cs="Times New Roman"/>
          <w:i/>
          <w:iCs/>
          <w:sz w:val="20"/>
          <w:szCs w:val="20"/>
        </w:rPr>
        <w:t>any</w:t>
      </w:r>
      <w:r>
        <w:rPr>
          <w:rFonts w:ascii="Times New Roman" w:hAnsi="Times New Roman" w:cs="Times New Roman"/>
          <w:sz w:val="20"/>
          <w:szCs w:val="20"/>
        </w:rPr>
        <w:t xml:space="preserve"> goodwill asset carried on the books should be deemed valueless, whatever its origina</w:t>
      </w:r>
      <w:r>
        <w:rPr>
          <w:rFonts w:ascii="Times New Roman" w:hAnsi="Times New Roman" w:cs="Times New Roman"/>
          <w:sz w:val="20"/>
          <w:szCs w:val="20"/>
        </w:rPr>
        <w:t>l cost.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 xml:space="preserve">Fortunately, that does not describe Berkshire. Charlie and I believe the true economic value of our insurance goodwill – what we would happily pay for float </w:t>
      </w:r>
      <w:r>
        <w:rPr>
          <w:rFonts w:ascii="Times New Roman" w:hAnsi="Times New Roman" w:cs="Times New Roman"/>
          <w:i/>
          <w:iCs/>
          <w:sz w:val="20"/>
          <w:szCs w:val="20"/>
        </w:rPr>
        <w:t>of similar quality</w:t>
      </w:r>
      <w:r>
        <w:rPr>
          <w:rFonts w:ascii="Times New Roman" w:hAnsi="Times New Roman" w:cs="Times New Roman"/>
          <w:sz w:val="20"/>
          <w:szCs w:val="20"/>
        </w:rPr>
        <w:t xml:space="preserve"> were we to purchase an insurance operation possessing it – to be </w:t>
      </w:r>
      <w:r>
        <w:rPr>
          <w:rFonts w:ascii="Times New Roman" w:hAnsi="Times New Roman" w:cs="Times New Roman"/>
          <w:i/>
          <w:iCs/>
          <w:sz w:val="20"/>
          <w:szCs w:val="20"/>
        </w:rPr>
        <w:t>far</w:t>
      </w:r>
      <w:r>
        <w:rPr>
          <w:rFonts w:ascii="Times New Roman" w:hAnsi="Times New Roman" w:cs="Times New Roman"/>
          <w:sz w:val="20"/>
          <w:szCs w:val="20"/>
        </w:rPr>
        <w:t xml:space="preserve"> in</w:t>
      </w:r>
      <w:r>
        <w:rPr>
          <w:rFonts w:ascii="Times New Roman" w:hAnsi="Times New Roman" w:cs="Times New Roman"/>
          <w:sz w:val="20"/>
          <w:szCs w:val="20"/>
        </w:rPr>
        <w:t xml:space="preserve"> excess of its historic carrying value. Under present accounting rules (with which we agree) this excess value will </w:t>
      </w:r>
      <w:r>
        <w:rPr>
          <w:rFonts w:ascii="Times New Roman" w:hAnsi="Times New Roman" w:cs="Times New Roman"/>
          <w:i/>
          <w:iCs/>
          <w:sz w:val="20"/>
          <w:szCs w:val="20"/>
        </w:rPr>
        <w:t>never</w:t>
      </w:r>
      <w:r>
        <w:rPr>
          <w:rFonts w:ascii="Times New Roman" w:hAnsi="Times New Roman" w:cs="Times New Roman"/>
          <w:sz w:val="20"/>
          <w:szCs w:val="20"/>
        </w:rPr>
        <w:t xml:space="preserve"> be entered on our books. But I can assure you that it’s real. That’s one reason – a huge reason – why we believe Berkshire’s intrinsic</w:t>
      </w:r>
      <w:r>
        <w:rPr>
          <w:rFonts w:ascii="Times New Roman" w:hAnsi="Times New Roman" w:cs="Times New Roman"/>
          <w:sz w:val="20"/>
          <w:szCs w:val="20"/>
        </w:rPr>
        <w:t xml:space="preserve"> business value substantially exceeds its book value.</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80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860"/>
        <w:jc w:val="both"/>
        <w:rPr>
          <w:rFonts w:ascii="Times New Roman" w:hAnsi="Times New Roman" w:cs="Times New Roman"/>
          <w:sz w:val="24"/>
          <w:szCs w:val="24"/>
        </w:rPr>
      </w:pPr>
      <w:r>
        <w:rPr>
          <w:rFonts w:ascii="Times New Roman" w:hAnsi="Times New Roman" w:cs="Times New Roman"/>
          <w:sz w:val="20"/>
          <w:szCs w:val="20"/>
        </w:rPr>
        <w:t>Berkshire’</w:t>
      </w:r>
      <w:r>
        <w:rPr>
          <w:rFonts w:ascii="Times New Roman" w:hAnsi="Times New Roman" w:cs="Times New Roman"/>
          <w:sz w:val="20"/>
          <w:szCs w:val="20"/>
        </w:rPr>
        <w:t>s attractive insurance economics exist only because we have some terrific managers running disciplined operations that possess hard-to-replicate business models. Let me tell you about the major units.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First by float size is the Berkshire Hathaway Reinsura</w:t>
      </w:r>
      <w:r>
        <w:rPr>
          <w:rFonts w:ascii="Times New Roman" w:hAnsi="Times New Roman" w:cs="Times New Roman"/>
          <w:sz w:val="20"/>
          <w:szCs w:val="20"/>
        </w:rPr>
        <w:t>nce Group, managed by Ajit Jain. Ajit insures risks that no one else has the desire or the capital to take on. His operation combines capacity, speed, decisiveness and, most important, brains in a manner unique in the insurance business. Yet he never expos</w:t>
      </w:r>
      <w:r>
        <w:rPr>
          <w:rFonts w:ascii="Times New Roman" w:hAnsi="Times New Roman" w:cs="Times New Roman"/>
          <w:sz w:val="20"/>
          <w:szCs w:val="20"/>
        </w:rPr>
        <w:t>es Berkshire to risks that are inappropriate in relation to our resources.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4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60" w:bottom="943" w:left="6080" w:header="720" w:footer="720" w:gutter="0"/>
          <w:cols w:space="720" w:equalWidth="0">
            <w:col w:w="100"/>
          </w:cols>
          <w:noEndnote/>
        </w:sect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 xml:space="preserve">Indeed, we are </w:t>
      </w:r>
      <w:r>
        <w:rPr>
          <w:rFonts w:ascii="Times New Roman" w:hAnsi="Times New Roman" w:cs="Times New Roman"/>
          <w:i/>
          <w:iCs/>
          <w:sz w:val="20"/>
          <w:szCs w:val="20"/>
        </w:rPr>
        <w:t>far</w:t>
      </w:r>
      <w:r>
        <w:rPr>
          <w:rFonts w:ascii="Times New Roman" w:hAnsi="Times New Roman" w:cs="Times New Roman"/>
          <w:sz w:val="20"/>
          <w:szCs w:val="20"/>
        </w:rPr>
        <w:t xml:space="preserve"> more conservative in </w:t>
      </w:r>
      <w:r>
        <w:rPr>
          <w:rFonts w:ascii="Times New Roman" w:hAnsi="Times New Roman" w:cs="Times New Roman"/>
          <w:sz w:val="20"/>
          <w:szCs w:val="20"/>
        </w:rPr>
        <w:t xml:space="preserve">avoiding risk than most large insurers. For example, if the insurance industry should experience a $250 billion loss from some mega-catastrophe – a loss about triple anything it has ever experienced – Berkshire as a whole would likely record a significant </w:t>
      </w:r>
      <w:r>
        <w:rPr>
          <w:rFonts w:ascii="Times New Roman" w:hAnsi="Times New Roman" w:cs="Times New Roman"/>
          <w:sz w:val="20"/>
          <w:szCs w:val="20"/>
        </w:rPr>
        <w:t>profit for the year because of its many streams of earnings. We would also remain awash in cash and be looking for large opportunities in a market that might well have gone into shock. Meanwhile, other major insurers and reinsurers would be far in the red,</w:t>
      </w:r>
      <w:r>
        <w:rPr>
          <w:rFonts w:ascii="Times New Roman" w:hAnsi="Times New Roman" w:cs="Times New Roman"/>
          <w:sz w:val="20"/>
          <w:szCs w:val="20"/>
        </w:rPr>
        <w:t xml:space="preserve"> if not facing insolvency.</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Ajit’s underwriting skills are unmatched. His mind, moreover, is an idea factory that is always looking for more lines of business he can add to his current assortment. Last year I told you about his formation of Berkshire Hatha</w:t>
      </w:r>
      <w:r>
        <w:rPr>
          <w:rFonts w:ascii="Times New Roman" w:hAnsi="Times New Roman" w:cs="Times New Roman"/>
          <w:sz w:val="20"/>
          <w:szCs w:val="20"/>
        </w:rPr>
        <w:t>way Specialty Insurance (“BHSI”). This initiative took us into commercial insurance, where we were instantly welcomed by both major insurance brokers and corporate risk managers throughout America. Previously, we had written only a few specialized lines of</w:t>
      </w:r>
      <w:r>
        <w:rPr>
          <w:rFonts w:ascii="Times New Roman" w:hAnsi="Times New Roman" w:cs="Times New Roman"/>
          <w:sz w:val="20"/>
          <w:szCs w:val="20"/>
        </w:rPr>
        <w:t xml:space="preserve"> commercial insurance.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 xml:space="preserve">BHSI is led by Peter Eastwood, an experienced underwriter who is widely respected in the insurance world. During 2014, Peter expanded his talented group, moving into both international business and new lines of insurance. We repeat </w:t>
      </w:r>
      <w:r>
        <w:rPr>
          <w:rFonts w:ascii="Times New Roman" w:hAnsi="Times New Roman" w:cs="Times New Roman"/>
          <w:sz w:val="20"/>
          <w:szCs w:val="20"/>
        </w:rPr>
        <w:t>last year’s prediction that BHSI will be a major asset for Berkshire, one that will generate volume in the billions within a few years.</w:t>
      </w:r>
    </w:p>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80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860"/>
        <w:rPr>
          <w:rFonts w:ascii="Times New Roman" w:hAnsi="Times New Roman" w:cs="Times New Roman"/>
          <w:sz w:val="24"/>
          <w:szCs w:val="24"/>
        </w:rPr>
      </w:pPr>
      <w:r>
        <w:rPr>
          <w:rFonts w:ascii="Times New Roman" w:hAnsi="Times New Roman" w:cs="Times New Roman"/>
          <w:sz w:val="20"/>
          <w:szCs w:val="20"/>
        </w:rPr>
        <w:t>We have another reinsurance powerhouse in General Re, managed by Tad Montross.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 xml:space="preserve">At bottom, a sound insurance operation needs to adhere to four disciplines. It must (1) understand </w:t>
      </w:r>
      <w:r>
        <w:rPr>
          <w:rFonts w:ascii="Times New Roman" w:hAnsi="Times New Roman" w:cs="Times New Roman"/>
          <w:i/>
          <w:iCs/>
          <w:sz w:val="20"/>
          <w:szCs w:val="20"/>
        </w:rPr>
        <w:t>all</w:t>
      </w:r>
      <w:r>
        <w:rPr>
          <w:rFonts w:ascii="Times New Roman" w:hAnsi="Times New Roman" w:cs="Times New Roman"/>
          <w:sz w:val="20"/>
          <w:szCs w:val="20"/>
        </w:rPr>
        <w:t xml:space="preserve"> exposures that might cause a policy to incur losses; (2) conservatively assess the likelihood of any exposure actually causing a loss and the probable co</w:t>
      </w:r>
      <w:r>
        <w:rPr>
          <w:rFonts w:ascii="Times New Roman" w:hAnsi="Times New Roman" w:cs="Times New Roman"/>
          <w:sz w:val="20"/>
          <w:szCs w:val="20"/>
        </w:rPr>
        <w:t>st if it does; (3) set a premium that, on average, will deliver a profit after both prospective loss costs and operating expenses are covered; and (4) be willing to walk away if the appropriate premium can’t be obtained.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Many insurers pass the first three</w:t>
      </w:r>
      <w:r>
        <w:rPr>
          <w:rFonts w:ascii="Times New Roman" w:hAnsi="Times New Roman" w:cs="Times New Roman"/>
          <w:sz w:val="20"/>
          <w:szCs w:val="20"/>
        </w:rPr>
        <w:t xml:space="preserve"> tests and flunk the fourth. They simply can’t turn their back on business that is being eagerly written by their competitors. That old line, “The other guy is doing it, so we must as well,” spells trouble in any business, but in none more so than insuranc</w:t>
      </w:r>
      <w:r>
        <w:rPr>
          <w:rFonts w:ascii="Times New Roman" w:hAnsi="Times New Roman" w:cs="Times New Roman"/>
          <w:sz w:val="20"/>
          <w:szCs w:val="20"/>
        </w:rPr>
        <w:t>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Tad has observed all four of the insurance commandments, and it shows in his results. General Re’s huge float has been considerably better than cost-free under his leadership, and we expect that, on average, to continue. We are particularly enthusiasti</w:t>
      </w:r>
      <w:r>
        <w:rPr>
          <w:rFonts w:ascii="Times New Roman" w:hAnsi="Times New Roman" w:cs="Times New Roman"/>
          <w:sz w:val="20"/>
          <w:szCs w:val="20"/>
        </w:rPr>
        <w:t>c about General Re’s international life reinsurance business, which has grown consistently and profitably since we acquired the company in 1998.</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It can be remembered that soon after we purchased General Re, it was beset by problems that caused commentator</w:t>
      </w:r>
      <w:r>
        <w:rPr>
          <w:rFonts w:ascii="Times New Roman" w:hAnsi="Times New Roman" w:cs="Times New Roman"/>
          <w:sz w:val="20"/>
          <w:szCs w:val="20"/>
        </w:rPr>
        <w:t>s – and me as well, briefly – to believe I had made a huge mistake. That day is long gone. General Re is now a gem.</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80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Finally, there is GEICO, the insurer on which I cut my teeth 64 years ago. GEICO is managed by Tony Nicely, who jo</w:t>
      </w:r>
      <w:r>
        <w:rPr>
          <w:rFonts w:ascii="Times New Roman" w:hAnsi="Times New Roman" w:cs="Times New Roman"/>
          <w:sz w:val="20"/>
          <w:szCs w:val="20"/>
        </w:rPr>
        <w:t xml:space="preserve">ined the company at 18 and completed 53 years of service in 2014. Tony became CEO in 1993, and since then the company has been flying. There is </w:t>
      </w:r>
      <w:r>
        <w:rPr>
          <w:rFonts w:ascii="Times New Roman" w:hAnsi="Times New Roman" w:cs="Times New Roman"/>
          <w:i/>
          <w:iCs/>
          <w:sz w:val="20"/>
          <w:szCs w:val="20"/>
        </w:rPr>
        <w:t>no</w:t>
      </w:r>
      <w:r>
        <w:rPr>
          <w:rFonts w:ascii="Times New Roman" w:hAnsi="Times New Roman" w:cs="Times New Roman"/>
          <w:sz w:val="20"/>
          <w:szCs w:val="20"/>
        </w:rPr>
        <w:t xml:space="preserve"> better manager than Tony.</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 xml:space="preserve">When I was first introduced to GEICO in January 1951, I was blown away by the huge cost advantage the company enjoyed compared to the expenses borne by the giants of the industry. It was clear to me that GEICO would succeed because it </w:t>
      </w:r>
      <w:r>
        <w:rPr>
          <w:rFonts w:ascii="Times New Roman" w:hAnsi="Times New Roman" w:cs="Times New Roman"/>
          <w:i/>
          <w:iCs/>
          <w:sz w:val="20"/>
          <w:szCs w:val="20"/>
        </w:rPr>
        <w:t>deserved</w:t>
      </w:r>
      <w:r>
        <w:rPr>
          <w:rFonts w:ascii="Times New Roman" w:hAnsi="Times New Roman" w:cs="Times New Roman"/>
          <w:sz w:val="20"/>
          <w:szCs w:val="20"/>
        </w:rPr>
        <w:t xml:space="preserve"> to succeed. </w:t>
      </w:r>
      <w:r>
        <w:rPr>
          <w:rFonts w:ascii="Times New Roman" w:hAnsi="Times New Roman" w:cs="Times New Roman"/>
          <w:sz w:val="20"/>
          <w:szCs w:val="20"/>
        </w:rPr>
        <w:t xml:space="preserve">No one </w:t>
      </w:r>
      <w:r>
        <w:rPr>
          <w:rFonts w:ascii="Times New Roman" w:hAnsi="Times New Roman" w:cs="Times New Roman"/>
          <w:i/>
          <w:iCs/>
          <w:sz w:val="20"/>
          <w:szCs w:val="20"/>
        </w:rPr>
        <w:t>likes</w:t>
      </w:r>
      <w:r>
        <w:rPr>
          <w:rFonts w:ascii="Times New Roman" w:hAnsi="Times New Roman" w:cs="Times New Roman"/>
          <w:sz w:val="20"/>
          <w:szCs w:val="20"/>
        </w:rPr>
        <w:t xml:space="preserve"> to buy auto insurance. Almost everyone, though, likes to drive. The insurance consequently needed is a major expenditure for most families. Savings matter to them – and </w:t>
      </w:r>
      <w:r>
        <w:rPr>
          <w:rFonts w:ascii="Times New Roman" w:hAnsi="Times New Roman" w:cs="Times New Roman"/>
          <w:i/>
          <w:iCs/>
          <w:sz w:val="20"/>
          <w:szCs w:val="20"/>
        </w:rPr>
        <w:t xml:space="preserve">only </w:t>
      </w:r>
      <w:r>
        <w:rPr>
          <w:rFonts w:ascii="Times New Roman" w:hAnsi="Times New Roman" w:cs="Times New Roman"/>
          <w:sz w:val="20"/>
          <w:szCs w:val="20"/>
        </w:rPr>
        <w:t>a low-cost operation can deliver these. Indeed, at least 40% of the p</w:t>
      </w:r>
      <w:r>
        <w:rPr>
          <w:rFonts w:ascii="Times New Roman" w:hAnsi="Times New Roman" w:cs="Times New Roman"/>
          <w:sz w:val="20"/>
          <w:szCs w:val="20"/>
        </w:rPr>
        <w:t>eople reading this letter can save money by</w:t>
      </w:r>
      <w:r>
        <w:rPr>
          <w:rFonts w:ascii="Times New Roman" w:hAnsi="Times New Roman" w:cs="Times New Roman"/>
          <w:i/>
          <w:iCs/>
          <w:sz w:val="20"/>
          <w:szCs w:val="20"/>
        </w:rPr>
        <w:t xml:space="preserve"> </w:t>
      </w:r>
      <w:r>
        <w:rPr>
          <w:rFonts w:ascii="Times New Roman" w:hAnsi="Times New Roman" w:cs="Times New Roman"/>
          <w:sz w:val="20"/>
          <w:szCs w:val="20"/>
        </w:rPr>
        <w:t>insuring with GEICO. So stop reading and go to geico.com or call 800-368-2734.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GEICO’s cost advantage is the factor that has enabled the company to gobble up market sh</w:t>
      </w:r>
      <w:r>
        <w:rPr>
          <w:rFonts w:ascii="Times New Roman" w:hAnsi="Times New Roman" w:cs="Times New Roman"/>
          <w:sz w:val="20"/>
          <w:szCs w:val="20"/>
        </w:rPr>
        <w:t xml:space="preserve">are year after year. (We ended 2014 at 10.8% compared to 2.5% in 1995, when Berkshire acquired control of GEICO.) The company’s low costs create a moat – an </w:t>
      </w:r>
      <w:r>
        <w:rPr>
          <w:rFonts w:ascii="Times New Roman" w:hAnsi="Times New Roman" w:cs="Times New Roman"/>
          <w:i/>
          <w:iCs/>
          <w:sz w:val="20"/>
          <w:szCs w:val="20"/>
        </w:rPr>
        <w:t>enduring</w:t>
      </w:r>
      <w:r>
        <w:rPr>
          <w:rFonts w:ascii="Times New Roman" w:hAnsi="Times New Roman" w:cs="Times New Roman"/>
          <w:sz w:val="20"/>
          <w:szCs w:val="20"/>
        </w:rPr>
        <w:t xml:space="preserve"> one – that competitors are unable to cross. Our gecko never tires of telling Americans how</w:t>
      </w:r>
      <w:r>
        <w:rPr>
          <w:rFonts w:ascii="Times New Roman" w:hAnsi="Times New Roman" w:cs="Times New Roman"/>
          <w:sz w:val="20"/>
          <w:szCs w:val="20"/>
        </w:rPr>
        <w:t xml:space="preserve"> GEICO can save them important money. The gecko, I should add, has one particularly endearing quality – he works without pay. Unlike a human spokesperson, he never gets a swelled head from his fame nor does he have an agent to constantly remind us how valu</w:t>
      </w:r>
      <w:r>
        <w:rPr>
          <w:rFonts w:ascii="Times New Roman" w:hAnsi="Times New Roman" w:cs="Times New Roman"/>
          <w:sz w:val="20"/>
          <w:szCs w:val="20"/>
        </w:rPr>
        <w:t>able he is. I love the little guy.</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80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 xml:space="preserve">In addition to our three major insurance operations, we own a group of smaller </w:t>
      </w:r>
      <w:r>
        <w:rPr>
          <w:rFonts w:ascii="Times New Roman" w:hAnsi="Times New Roman" w:cs="Times New Roman"/>
          <w:sz w:val="20"/>
          <w:szCs w:val="20"/>
        </w:rPr>
        <w:t>companies, most of them plying their trade in odd corners of the insurance world. In aggregate, these companies are a growing operation that consistently delivers an underwriting profit. Indeed, over the past decade, they have earned $2.95 billion from und</w:t>
      </w:r>
      <w:r>
        <w:rPr>
          <w:rFonts w:ascii="Times New Roman" w:hAnsi="Times New Roman" w:cs="Times New Roman"/>
          <w:sz w:val="20"/>
          <w:szCs w:val="20"/>
        </w:rPr>
        <w:t>erwriting while growing their float from $1.7 billion to $8.6 billion. Charlie and I treasure these companies and their managers.</w:t>
      </w:r>
    </w:p>
    <w:p w:rsidR="00000000" w:rsidRDefault="00A06965">
      <w:pPr>
        <w:pStyle w:val="DefaultParagraphFont"/>
        <w:widowControl w:val="0"/>
        <w:autoSpaceDE w:val="0"/>
        <w:autoSpaceDN w:val="0"/>
        <w:adjustRightInd w:val="0"/>
        <w:spacing w:after="0" w:line="171" w:lineRule="exact"/>
        <w:rPr>
          <w:rFonts w:ascii="Times New Roman" w:hAnsi="Times New Roman" w:cs="Times New Roman"/>
          <w:sz w:val="24"/>
          <w:szCs w:val="24"/>
        </w:rPr>
      </w:pPr>
    </w:p>
    <w:tbl>
      <w:tblPr>
        <w:tblW w:w="0" w:type="auto"/>
        <w:tblInd w:w="280" w:type="dxa"/>
        <w:tblLayout w:type="fixed"/>
        <w:tblCellMar>
          <w:left w:w="0" w:type="dxa"/>
          <w:right w:w="0" w:type="dxa"/>
        </w:tblCellMar>
        <w:tblLook w:val="0000" w:firstRow="0" w:lastRow="0" w:firstColumn="0" w:lastColumn="0" w:noHBand="0" w:noVBand="0"/>
      </w:tblPr>
      <w:tblGrid>
        <w:gridCol w:w="4320"/>
        <w:gridCol w:w="140"/>
        <w:gridCol w:w="100"/>
        <w:gridCol w:w="500"/>
        <w:gridCol w:w="500"/>
        <w:gridCol w:w="600"/>
        <w:gridCol w:w="540"/>
        <w:gridCol w:w="700"/>
        <w:gridCol w:w="500"/>
        <w:gridCol w:w="700"/>
      </w:tblGrid>
      <w:tr w:rsidR="00000000">
        <w:tblPrEx>
          <w:tblCellMar>
            <w:top w:w="0" w:type="dxa"/>
            <w:left w:w="0" w:type="dxa"/>
            <w:bottom w:w="0" w:type="dxa"/>
            <w:right w:w="0" w:type="dxa"/>
          </w:tblCellMar>
        </w:tblPrEx>
        <w:trPr>
          <w:trHeight w:val="230"/>
        </w:trPr>
        <w:tc>
          <w:tcPr>
            <w:tcW w:w="4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7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sz w:val="20"/>
                <w:szCs w:val="20"/>
                <w:u w:val="single"/>
              </w:rPr>
              <w:t>Underwriting Profit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9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New Roman" w:hAnsi="Times New Roman" w:cs="Times New Roman"/>
                <w:i/>
                <w:iCs/>
                <w:sz w:val="20"/>
                <w:szCs w:val="20"/>
                <w:u w:val="single"/>
              </w:rPr>
              <w:t>Yearend Float</w:t>
            </w:r>
          </w:p>
        </w:tc>
      </w:tr>
      <w:tr w:rsidR="00000000">
        <w:tblPrEx>
          <w:tblCellMar>
            <w:top w:w="0" w:type="dxa"/>
            <w:left w:w="0" w:type="dxa"/>
            <w:bottom w:w="0" w:type="dxa"/>
            <w:right w:w="0" w:type="dxa"/>
          </w:tblCellMar>
        </w:tblPrEx>
        <w:trPr>
          <w:trHeight w:val="240"/>
        </w:trPr>
        <w:tc>
          <w:tcPr>
            <w:tcW w:w="4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New Roman" w:hAnsi="Times New Roman" w:cs="Times New Roman"/>
                <w:i/>
                <w:iCs/>
                <w:sz w:val="20"/>
                <w:szCs w:val="20"/>
              </w:rPr>
              <w:t>(in millions)</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20"/>
        </w:trPr>
        <w:tc>
          <w:tcPr>
            <w:tcW w:w="4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New Roman" w:hAnsi="Times New Roman" w:cs="Times New Roman"/>
                <w:i/>
                <w:iCs/>
                <w:sz w:val="20"/>
                <w:szCs w:val="20"/>
                <w:u w:val="single"/>
              </w:rPr>
              <w:t>Insurance Operations</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New Roman" w:hAnsi="Times New Roman" w:cs="Times New Roman"/>
                <w:i/>
                <w:iCs/>
                <w:sz w:val="20"/>
                <w:szCs w:val="20"/>
                <w:u w:val="single"/>
              </w:rPr>
              <w:t>2014</w:t>
            </w:r>
          </w:p>
        </w:tc>
        <w:tc>
          <w:tcPr>
            <w:tcW w:w="1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New Roman" w:hAnsi="Times New Roman" w:cs="Times New Roman"/>
                <w:i/>
                <w:iCs/>
                <w:sz w:val="20"/>
                <w:szCs w:val="20"/>
                <w:u w:val="single"/>
              </w:rPr>
              <w:t>2013</w:t>
            </w:r>
          </w:p>
        </w:tc>
        <w:tc>
          <w:tcPr>
            <w:tcW w:w="1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New Roman" w:hAnsi="Times New Roman" w:cs="Times New Roman"/>
                <w:i/>
                <w:iCs/>
                <w:sz w:val="20"/>
                <w:szCs w:val="20"/>
                <w:u w:val="single"/>
              </w:rPr>
              <w:t>2014</w:t>
            </w:r>
          </w:p>
        </w:tc>
        <w:tc>
          <w:tcPr>
            <w:tcW w:w="1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New Roman" w:hAnsi="Times New Roman" w:cs="Times New Roman"/>
                <w:i/>
                <w:iCs/>
                <w:sz w:val="20"/>
                <w:szCs w:val="20"/>
                <w:u w:val="single"/>
              </w:rPr>
              <w:t>2013</w:t>
            </w:r>
          </w:p>
        </w:tc>
      </w:tr>
      <w:tr w:rsidR="00000000">
        <w:tblPrEx>
          <w:tblCellMar>
            <w:top w:w="0" w:type="dxa"/>
            <w:left w:w="0" w:type="dxa"/>
            <w:bottom w:w="0" w:type="dxa"/>
            <w:right w:w="0" w:type="dxa"/>
          </w:tblCellMar>
        </w:tblPrEx>
        <w:trPr>
          <w:trHeight w:val="260"/>
        </w:trPr>
        <w:tc>
          <w:tcPr>
            <w:tcW w:w="4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7"/>
                <w:sz w:val="20"/>
                <w:szCs w:val="20"/>
              </w:rPr>
              <w:t>BH Reinsurance . . . . . . . . . . . . . . . . . . . . . . . . . . . . . . . . . . . .</w:t>
            </w: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606</w:t>
            </w:r>
          </w:p>
        </w:tc>
        <w:tc>
          <w:tcPr>
            <w:tcW w:w="1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$1,294</w:t>
            </w:r>
          </w:p>
        </w:tc>
        <w:tc>
          <w:tcPr>
            <w:tcW w:w="1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$42,454</w:t>
            </w:r>
          </w:p>
        </w:tc>
        <w:tc>
          <w:tcPr>
            <w:tcW w:w="1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$37,231</w:t>
            </w:r>
          </w:p>
        </w:tc>
      </w:tr>
      <w:tr w:rsidR="00000000">
        <w:tblPrEx>
          <w:tblCellMar>
            <w:top w:w="0" w:type="dxa"/>
            <w:left w:w="0" w:type="dxa"/>
            <w:bottom w:w="0" w:type="dxa"/>
            <w:right w:w="0" w:type="dxa"/>
          </w:tblCellMar>
        </w:tblPrEx>
        <w:trPr>
          <w:trHeight w:val="240"/>
        </w:trPr>
        <w:tc>
          <w:tcPr>
            <w:tcW w:w="4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85"/>
                <w:sz w:val="20"/>
                <w:szCs w:val="20"/>
              </w:rPr>
              <w:t>General Re . . . . . . . . . . . . . . . . . . . . . . . . . . . . . . . . . . . . . . . . .</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0"/>
                <w:szCs w:val="20"/>
              </w:rPr>
              <w:t>277</w:t>
            </w:r>
          </w:p>
        </w:tc>
        <w:tc>
          <w:tcPr>
            <w:tcW w:w="1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0"/>
                <w:szCs w:val="20"/>
              </w:rPr>
              <w:t>283</w:t>
            </w:r>
          </w:p>
        </w:tc>
        <w:tc>
          <w:tcPr>
            <w:tcW w:w="1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0"/>
                <w:szCs w:val="20"/>
              </w:rPr>
              <w:t>19,280</w:t>
            </w:r>
          </w:p>
        </w:tc>
        <w:tc>
          <w:tcPr>
            <w:tcW w:w="1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0"/>
                <w:szCs w:val="20"/>
              </w:rPr>
              <w:t>20,013</w:t>
            </w:r>
          </w:p>
        </w:tc>
      </w:tr>
      <w:tr w:rsidR="00000000">
        <w:tblPrEx>
          <w:tblCellMar>
            <w:top w:w="0" w:type="dxa"/>
            <w:left w:w="0" w:type="dxa"/>
            <w:bottom w:w="0" w:type="dxa"/>
            <w:right w:w="0" w:type="dxa"/>
          </w:tblCellMar>
        </w:tblPrEx>
        <w:trPr>
          <w:trHeight w:val="240"/>
        </w:trPr>
        <w:tc>
          <w:tcPr>
            <w:tcW w:w="4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5"/>
                <w:sz w:val="20"/>
                <w:szCs w:val="20"/>
              </w:rPr>
              <w:t>GEICO . . . . . . . . . . . . . . . . . . . . . . . . . . . . . . . . . . . . . . . . . . . .</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3"/>
                <w:sz w:val="20"/>
                <w:szCs w:val="20"/>
              </w:rPr>
              <w:t>1,159</w:t>
            </w:r>
          </w:p>
        </w:tc>
        <w:tc>
          <w:tcPr>
            <w:tcW w:w="1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1,127</w:t>
            </w:r>
          </w:p>
        </w:tc>
        <w:tc>
          <w:tcPr>
            <w:tcW w:w="1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13,569</w:t>
            </w:r>
          </w:p>
        </w:tc>
        <w:tc>
          <w:tcPr>
            <w:tcW w:w="1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12,566</w:t>
            </w:r>
          </w:p>
        </w:tc>
      </w:tr>
      <w:tr w:rsidR="00000000">
        <w:tblPrEx>
          <w:tblCellMar>
            <w:top w:w="0" w:type="dxa"/>
            <w:left w:w="0" w:type="dxa"/>
            <w:bottom w:w="0" w:type="dxa"/>
            <w:right w:w="0" w:type="dxa"/>
          </w:tblCellMar>
        </w:tblPrEx>
        <w:trPr>
          <w:trHeight w:val="228"/>
        </w:trPr>
        <w:tc>
          <w:tcPr>
            <w:tcW w:w="4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rPr>
                <w:rFonts w:ascii="Times New Roman" w:hAnsi="Times New Roman" w:cs="Times New Roman"/>
                <w:sz w:val="24"/>
                <w:szCs w:val="24"/>
              </w:rPr>
            </w:pPr>
            <w:r>
              <w:rPr>
                <w:rFonts w:ascii="Times New Roman" w:hAnsi="Times New Roman" w:cs="Times New Roman"/>
                <w:w w:val="86"/>
                <w:sz w:val="20"/>
                <w:szCs w:val="20"/>
              </w:rPr>
              <w:t>Other Primary . . . . . . . . . . . . . . . . . . . . . . . . . . . . . . . . . . . . . .</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New Roman" w:hAnsi="Times New Roman" w:cs="Times New Roman"/>
                <w:sz w:val="20"/>
                <w:szCs w:val="20"/>
              </w:rPr>
              <w:t>626</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New Roman" w:hAnsi="Times New Roman" w:cs="Times New Roman"/>
                <w:sz w:val="20"/>
                <w:szCs w:val="20"/>
              </w:rPr>
              <w:t>385</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New Roman" w:hAnsi="Times New Roman" w:cs="Times New Roman"/>
                <w:sz w:val="20"/>
                <w:szCs w:val="20"/>
              </w:rPr>
              <w:t>8,618</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New Roman" w:hAnsi="Times New Roman" w:cs="Times New Roman"/>
                <w:sz w:val="20"/>
                <w:szCs w:val="20"/>
              </w:rPr>
              <w:t>7,430</w:t>
            </w:r>
          </w:p>
        </w:tc>
      </w:tr>
      <w:tr w:rsidR="00000000">
        <w:tblPrEx>
          <w:tblCellMar>
            <w:top w:w="0" w:type="dxa"/>
            <w:left w:w="0" w:type="dxa"/>
            <w:bottom w:w="0" w:type="dxa"/>
            <w:right w:w="0" w:type="dxa"/>
          </w:tblCellMar>
        </w:tblPrEx>
        <w:trPr>
          <w:trHeight w:val="272"/>
        </w:trPr>
        <w:tc>
          <w:tcPr>
            <w:tcW w:w="4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u w:val="single"/>
              </w:rPr>
              <w:t>$</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3"/>
                <w:sz w:val="20"/>
                <w:szCs w:val="20"/>
                <w:u w:val="single"/>
              </w:rPr>
              <w:t>2,668</w:t>
            </w:r>
          </w:p>
        </w:tc>
        <w:tc>
          <w:tcPr>
            <w:tcW w:w="1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u w:val="single"/>
              </w:rPr>
              <w:t>$3,089</w:t>
            </w:r>
          </w:p>
        </w:tc>
        <w:tc>
          <w:tcPr>
            <w:tcW w:w="1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u w:val="single"/>
              </w:rPr>
              <w:t>$83,921</w:t>
            </w:r>
          </w:p>
        </w:tc>
        <w:tc>
          <w:tcPr>
            <w:tcW w:w="1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u w:val="single"/>
              </w:rPr>
              <w:t>$77,240</w:t>
            </w:r>
          </w:p>
        </w:tc>
      </w:tr>
    </w:tbl>
    <w:p w:rsidR="00000000" w:rsidRDefault="00A06965">
      <w:pPr>
        <w:pStyle w:val="DefaultParagraphFont"/>
        <w:widowControl w:val="0"/>
        <w:autoSpaceDE w:val="0"/>
        <w:autoSpaceDN w:val="0"/>
        <w:adjustRightInd w:val="0"/>
        <w:spacing w:after="0" w:line="26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80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860"/>
        <w:jc w:val="both"/>
        <w:rPr>
          <w:rFonts w:ascii="Times New Roman" w:hAnsi="Times New Roman" w:cs="Times New Roman"/>
          <w:sz w:val="24"/>
          <w:szCs w:val="24"/>
        </w:rPr>
      </w:pPr>
      <w:r>
        <w:rPr>
          <w:rFonts w:ascii="Times New Roman" w:hAnsi="Times New Roman" w:cs="Times New Roman"/>
          <w:sz w:val="20"/>
          <w:szCs w:val="20"/>
        </w:rPr>
        <w:t>Simply put, insurance is the sale of promises. The “customer” pays money now; the insurer promises to pay money in the future should certain unwanted events occur.</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Sometimes, the promise will not be tested for decades. (Think of life insurance bought by people in their 20s.) Therefore, both the ability and willingness of the insurer to pay, even if economic chaos prevails when payment time arrives, is all-important.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Berkshire’s promises have no equal, a fact affirmed in recent years by certain of the world’s largest and most sophisticated P/C insurers, who wished to shed themselves of huge and exceptionally long-lived liabilities. That is, these insurers wished to “c</w:t>
      </w:r>
      <w:r>
        <w:rPr>
          <w:rFonts w:ascii="Times New Roman" w:hAnsi="Times New Roman" w:cs="Times New Roman"/>
          <w:sz w:val="20"/>
          <w:szCs w:val="20"/>
        </w:rPr>
        <w:t>ede” these liabilities – most of them potential losses from asbestos claims – to a reinsurer. They needed the right one, though: If a reinsurer fails to pay a loss, the original insurer is still on the hook for it. Choosing a reinsurer, therefore, that dow</w:t>
      </w:r>
      <w:r>
        <w:rPr>
          <w:rFonts w:ascii="Times New Roman" w:hAnsi="Times New Roman" w:cs="Times New Roman"/>
          <w:sz w:val="20"/>
          <w:szCs w:val="20"/>
        </w:rPr>
        <w:t>n the road proves to be financially strapped or a bad actor threatens the original insurer with getting huge liabilities right back in its lap.</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Last year, our premier position in reinsurance was reaffirmed by our writing a policy carrying a $3 billion sin</w:t>
      </w:r>
      <w:r>
        <w:rPr>
          <w:rFonts w:ascii="Times New Roman" w:hAnsi="Times New Roman" w:cs="Times New Roman"/>
          <w:sz w:val="20"/>
          <w:szCs w:val="20"/>
        </w:rPr>
        <w:t>gle premium. I believe that the policy’s size has only been exceeded by our 2007 transaction with Lloyd’s, in which the premium was $7.1 billion.</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In fact, I know of only eight P/C policies in history that had a single premium exceeding $1 billion. And, ye</w:t>
      </w:r>
      <w:r>
        <w:rPr>
          <w:rFonts w:ascii="Times New Roman" w:hAnsi="Times New Roman" w:cs="Times New Roman"/>
          <w:sz w:val="20"/>
          <w:szCs w:val="20"/>
        </w:rPr>
        <w:t>s, all eight were written by Berkshire. Certain of these contracts will require us to make substantial payments 50 years or more from now. When major insurers have needed an unquestionable promise that payments of this type will be made, Berkshire has been</w:t>
      </w:r>
      <w:r>
        <w:rPr>
          <w:rFonts w:ascii="Times New Roman" w:hAnsi="Times New Roman" w:cs="Times New Roman"/>
          <w:sz w:val="20"/>
          <w:szCs w:val="20"/>
        </w:rPr>
        <w:t xml:space="preserve"> the party – the </w:t>
      </w:r>
      <w:r>
        <w:rPr>
          <w:rFonts w:ascii="Times New Roman" w:hAnsi="Times New Roman" w:cs="Times New Roman"/>
          <w:i/>
          <w:iCs/>
          <w:sz w:val="20"/>
          <w:szCs w:val="20"/>
        </w:rPr>
        <w:t>only</w:t>
      </w:r>
      <w:r>
        <w:rPr>
          <w:rFonts w:ascii="Times New Roman" w:hAnsi="Times New Roman" w:cs="Times New Roman"/>
          <w:sz w:val="20"/>
          <w:szCs w:val="20"/>
        </w:rPr>
        <w:t xml:space="preserve"> party – to call.</w:t>
      </w:r>
    </w:p>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80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Berkshire’s great managers, premier financial strength and a variety of business models protected by wide moats amount to something unique in the insurance world. This assemblage of strengths</w:t>
      </w:r>
      <w:r>
        <w:rPr>
          <w:rFonts w:ascii="Times New Roman" w:hAnsi="Times New Roman" w:cs="Times New Roman"/>
          <w:sz w:val="20"/>
          <w:szCs w:val="20"/>
        </w:rPr>
        <w:t xml:space="preserve"> is a huge asset for Berkshire shareholders that will only get more valuable with time.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4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Regulated, Capital-Intensive Businesses</w:t>
      </w: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We have two major operations, BNSF and Berkshire Hathaway Energy (“BHE”</w:t>
      </w:r>
      <w:r>
        <w:rPr>
          <w:rFonts w:ascii="Times New Roman" w:hAnsi="Times New Roman" w:cs="Times New Roman"/>
          <w:sz w:val="20"/>
          <w:szCs w:val="20"/>
        </w:rPr>
        <w:t>), that share important characteristics distinguishing them from our other businesses. Consequently, we assign them their own section in this letter and split out their combined financial statistics in our GAAP balance sheet and income statement.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A key ch</w:t>
      </w:r>
      <w:r>
        <w:rPr>
          <w:rFonts w:ascii="Times New Roman" w:hAnsi="Times New Roman" w:cs="Times New Roman"/>
          <w:sz w:val="20"/>
          <w:szCs w:val="20"/>
        </w:rPr>
        <w:t xml:space="preserve">aracteristic of both companies is their huge investment in very long-lived, regulated assets, with these partially funded by large amounts of long-term debt that is </w:t>
      </w:r>
      <w:r>
        <w:rPr>
          <w:rFonts w:ascii="Times New Roman" w:hAnsi="Times New Roman" w:cs="Times New Roman"/>
          <w:i/>
          <w:iCs/>
          <w:sz w:val="20"/>
          <w:szCs w:val="20"/>
        </w:rPr>
        <w:t>not</w:t>
      </w:r>
      <w:r>
        <w:rPr>
          <w:rFonts w:ascii="Times New Roman" w:hAnsi="Times New Roman" w:cs="Times New Roman"/>
          <w:sz w:val="20"/>
          <w:szCs w:val="20"/>
        </w:rPr>
        <w:t xml:space="preserve"> guaranteed by Berkshire. Our credit is in fact not needed because each company has earn</w:t>
      </w:r>
      <w:r>
        <w:rPr>
          <w:rFonts w:ascii="Times New Roman" w:hAnsi="Times New Roman" w:cs="Times New Roman"/>
          <w:sz w:val="20"/>
          <w:szCs w:val="20"/>
        </w:rPr>
        <w:t xml:space="preserve">ing power that even under terrible economic conditions will far exceed its interest requirements. Last year, for example, BNSF’s interest coverage was more than 8:1. (Our definition of coverage is pre-tax earnings/interest, </w:t>
      </w:r>
      <w:r>
        <w:rPr>
          <w:rFonts w:ascii="Times New Roman" w:hAnsi="Times New Roman" w:cs="Times New Roman"/>
          <w:i/>
          <w:iCs/>
          <w:sz w:val="20"/>
          <w:szCs w:val="20"/>
        </w:rPr>
        <w:t>not</w:t>
      </w:r>
      <w:r>
        <w:rPr>
          <w:rFonts w:ascii="Times New Roman" w:hAnsi="Times New Roman" w:cs="Times New Roman"/>
          <w:sz w:val="20"/>
          <w:szCs w:val="20"/>
        </w:rPr>
        <w:t xml:space="preserve"> EBITDA/interest, a commonly </w:t>
      </w:r>
      <w:r>
        <w:rPr>
          <w:rFonts w:ascii="Times New Roman" w:hAnsi="Times New Roman" w:cs="Times New Roman"/>
          <w:sz w:val="20"/>
          <w:szCs w:val="20"/>
        </w:rPr>
        <w:t>used measure we view as seriously flawed.)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860"/>
        <w:jc w:val="both"/>
        <w:rPr>
          <w:rFonts w:ascii="Times New Roman" w:hAnsi="Times New Roman" w:cs="Times New Roman"/>
          <w:sz w:val="24"/>
          <w:szCs w:val="24"/>
        </w:rPr>
      </w:pPr>
      <w:r>
        <w:rPr>
          <w:rFonts w:ascii="Times New Roman" w:hAnsi="Times New Roman" w:cs="Times New Roman"/>
          <w:sz w:val="20"/>
          <w:szCs w:val="20"/>
        </w:rPr>
        <w:t>At BHE, meanwhile, two factors ensure the company’s ability to service its debt under all circumstances. The first is common to all utilities: recession-resistant earnings, which result from these companies offer</w:t>
      </w:r>
      <w:r>
        <w:rPr>
          <w:rFonts w:ascii="Times New Roman" w:hAnsi="Times New Roman" w:cs="Times New Roman"/>
          <w:sz w:val="20"/>
          <w:szCs w:val="20"/>
        </w:rPr>
        <w:t>ing an essential service on an exclusive basis. The second is enjoyed by few other utilities: a great diversity of earnings streams, which shield us from being seriously harmed by any single regulatory body. Recently, we have further broadened that base th</w:t>
      </w:r>
      <w:r>
        <w:rPr>
          <w:rFonts w:ascii="Times New Roman" w:hAnsi="Times New Roman" w:cs="Times New Roman"/>
          <w:sz w:val="20"/>
          <w:szCs w:val="20"/>
        </w:rPr>
        <w:t>rough our $3 billion (Canadian) acquisition of AltaLink, an electric transmission system serving 85% of Alberta’s population. This multitude of profit streams, supplemented by the inherent advantage of being owned by a strong parent, has enabled BHE and it</w:t>
      </w:r>
      <w:r>
        <w:rPr>
          <w:rFonts w:ascii="Times New Roman" w:hAnsi="Times New Roman" w:cs="Times New Roman"/>
          <w:sz w:val="20"/>
          <w:szCs w:val="20"/>
        </w:rPr>
        <w:t xml:space="preserve">s utility subsidiaries to significantly lower their cost of debt. This economic fact benefits both us </w:t>
      </w:r>
      <w:r>
        <w:rPr>
          <w:rFonts w:ascii="Times New Roman" w:hAnsi="Times New Roman" w:cs="Times New Roman"/>
          <w:i/>
          <w:iCs/>
          <w:sz w:val="20"/>
          <w:szCs w:val="20"/>
        </w:rPr>
        <w:t>and</w:t>
      </w:r>
      <w:r>
        <w:rPr>
          <w:rFonts w:ascii="Times New Roman" w:hAnsi="Times New Roman" w:cs="Times New Roman"/>
          <w:sz w:val="20"/>
          <w:szCs w:val="20"/>
        </w:rPr>
        <w:t xml:space="preserve"> our customers.</w:t>
      </w:r>
    </w:p>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860"/>
        <w:rPr>
          <w:rFonts w:ascii="Times New Roman" w:hAnsi="Times New Roman" w:cs="Times New Roman"/>
          <w:sz w:val="24"/>
          <w:szCs w:val="24"/>
        </w:rPr>
      </w:pPr>
      <w:r>
        <w:rPr>
          <w:rFonts w:ascii="Times New Roman" w:hAnsi="Times New Roman" w:cs="Times New Roman"/>
          <w:sz w:val="20"/>
          <w:szCs w:val="20"/>
        </w:rPr>
        <w:t>Every day, our two subsidiaries power the American economy in major ways: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numPr>
          <w:ilvl w:val="0"/>
          <w:numId w:val="4"/>
        </w:numPr>
        <w:tabs>
          <w:tab w:val="clear" w:pos="720"/>
          <w:tab w:val="num" w:pos="860"/>
        </w:tabs>
        <w:overflowPunct w:val="0"/>
        <w:autoSpaceDE w:val="0"/>
        <w:autoSpaceDN w:val="0"/>
        <w:adjustRightInd w:val="0"/>
        <w:spacing w:after="0" w:line="235" w:lineRule="auto"/>
        <w:ind w:left="860"/>
        <w:jc w:val="both"/>
        <w:rPr>
          <w:rFonts w:ascii="Times New Roman" w:hAnsi="Times New Roman" w:cs="Times New Roman"/>
          <w:sz w:val="20"/>
          <w:szCs w:val="20"/>
        </w:rPr>
      </w:pPr>
      <w:r>
        <w:rPr>
          <w:rFonts w:ascii="Times New Roman" w:hAnsi="Times New Roman" w:cs="Times New Roman"/>
          <w:sz w:val="20"/>
          <w:szCs w:val="20"/>
        </w:rPr>
        <w:t xml:space="preserve">BNSF carries about 15% (measured by ton-miles) of </w:t>
      </w:r>
      <w:r>
        <w:rPr>
          <w:rFonts w:ascii="Times New Roman" w:hAnsi="Times New Roman" w:cs="Times New Roman"/>
          <w:i/>
          <w:iCs/>
          <w:sz w:val="20"/>
          <w:szCs w:val="20"/>
        </w:rPr>
        <w:t>all</w:t>
      </w:r>
      <w:r>
        <w:rPr>
          <w:rFonts w:ascii="Times New Roman" w:hAnsi="Times New Roman" w:cs="Times New Roman"/>
          <w:sz w:val="20"/>
          <w:szCs w:val="20"/>
        </w:rPr>
        <w:t xml:space="preserve"> inter-city freight, whether it is transported by truck, rail, water, air, or pipeline. Indeed, we move more ton-miles of goods than </w:t>
      </w:r>
      <w:r>
        <w:rPr>
          <w:rFonts w:ascii="Times New Roman" w:hAnsi="Times New Roman" w:cs="Times New Roman"/>
          <w:i/>
          <w:iCs/>
          <w:sz w:val="20"/>
          <w:szCs w:val="20"/>
        </w:rPr>
        <w:t>anyone</w:t>
      </w:r>
      <w:r>
        <w:rPr>
          <w:rFonts w:ascii="Times New Roman" w:hAnsi="Times New Roman" w:cs="Times New Roman"/>
          <w:sz w:val="20"/>
          <w:szCs w:val="20"/>
        </w:rPr>
        <w:t xml:space="preserve"> else, a fact establishing BNSF as the most important artery in our economy’s circulatory system.</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35" w:lineRule="auto"/>
        <w:ind w:left="860"/>
        <w:jc w:val="both"/>
        <w:rPr>
          <w:rFonts w:ascii="Times New Roman" w:hAnsi="Times New Roman" w:cs="Times New Roman"/>
          <w:sz w:val="20"/>
          <w:szCs w:val="20"/>
        </w:rPr>
      </w:pPr>
      <w:r>
        <w:rPr>
          <w:rFonts w:ascii="Times New Roman" w:hAnsi="Times New Roman" w:cs="Times New Roman"/>
          <w:sz w:val="20"/>
          <w:szCs w:val="20"/>
        </w:rPr>
        <w:t>BNSF, like all railroads, also moves its cargo in an extraordinarily fuel-efficient and environmentally friendly way, carrying a ton of freight about 500 miles on a single gallon of diesel fuel. Trucks taking on the same job guzzle about four times as much</w:t>
      </w:r>
      <w:r>
        <w:rPr>
          <w:rFonts w:ascii="Times New Roman" w:hAnsi="Times New Roman" w:cs="Times New Roman"/>
          <w:sz w:val="20"/>
          <w:szCs w:val="20"/>
        </w:rPr>
        <w:t xml:space="preserve"> fuel.</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0"/>
          <w:szCs w:val="20"/>
        </w:rPr>
      </w:pPr>
    </w:p>
    <w:p w:rsidR="00000000" w:rsidRDefault="00A06965">
      <w:pPr>
        <w:pStyle w:val="DefaultParagraphFont"/>
        <w:widowControl w:val="0"/>
        <w:numPr>
          <w:ilvl w:val="0"/>
          <w:numId w:val="4"/>
        </w:numPr>
        <w:tabs>
          <w:tab w:val="clear" w:pos="720"/>
          <w:tab w:val="num" w:pos="860"/>
        </w:tabs>
        <w:overflowPunct w:val="0"/>
        <w:autoSpaceDE w:val="0"/>
        <w:autoSpaceDN w:val="0"/>
        <w:adjustRightInd w:val="0"/>
        <w:spacing w:after="0" w:line="238" w:lineRule="auto"/>
        <w:ind w:left="860"/>
        <w:jc w:val="both"/>
        <w:rPr>
          <w:rFonts w:ascii="Times New Roman" w:hAnsi="Times New Roman" w:cs="Times New Roman"/>
          <w:sz w:val="20"/>
          <w:szCs w:val="20"/>
        </w:rPr>
      </w:pPr>
      <w:r>
        <w:rPr>
          <w:rFonts w:ascii="Times New Roman" w:hAnsi="Times New Roman" w:cs="Times New Roman"/>
          <w:sz w:val="20"/>
          <w:szCs w:val="20"/>
        </w:rPr>
        <w:t>BHE’s utilities serve regulated retail customers in eleven states. No utility company stretches further. In addition, we are a leader in renewables: From a standing start ten years ago, BHE now accounts for 6% of the country’s wind generation cap</w:t>
      </w:r>
      <w:r>
        <w:rPr>
          <w:rFonts w:ascii="Times New Roman" w:hAnsi="Times New Roman" w:cs="Times New Roman"/>
          <w:sz w:val="20"/>
          <w:szCs w:val="20"/>
        </w:rPr>
        <w:t>acity and 7% of its solar generation capacity. Beyond these businesses, BHE owns two large pipelines that deliver 8% of our country’s natural gas consumption; the recently-purchased electric transmission operation in Canada; and major electric businesses i</w:t>
      </w:r>
      <w:r>
        <w:rPr>
          <w:rFonts w:ascii="Times New Roman" w:hAnsi="Times New Roman" w:cs="Times New Roman"/>
          <w:sz w:val="20"/>
          <w:szCs w:val="20"/>
        </w:rPr>
        <w:t>n the U.K. and Philippines. And the beat goes on: We will continue to buy and build utility operations throughout the world for decades to come.</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36" w:lineRule="auto"/>
        <w:ind w:left="860"/>
        <w:jc w:val="both"/>
        <w:rPr>
          <w:rFonts w:ascii="Times New Roman" w:hAnsi="Times New Roman" w:cs="Times New Roman"/>
          <w:sz w:val="20"/>
          <w:szCs w:val="20"/>
        </w:rPr>
      </w:pPr>
      <w:r>
        <w:rPr>
          <w:rFonts w:ascii="Times New Roman" w:hAnsi="Times New Roman" w:cs="Times New Roman"/>
          <w:sz w:val="20"/>
          <w:szCs w:val="20"/>
        </w:rPr>
        <w:t xml:space="preserve">BHE can make these investments because it retains </w:t>
      </w:r>
      <w:r>
        <w:rPr>
          <w:rFonts w:ascii="Times New Roman" w:hAnsi="Times New Roman" w:cs="Times New Roman"/>
          <w:i/>
          <w:iCs/>
          <w:sz w:val="20"/>
          <w:szCs w:val="20"/>
        </w:rPr>
        <w:t>all</w:t>
      </w:r>
      <w:r>
        <w:rPr>
          <w:rFonts w:ascii="Times New Roman" w:hAnsi="Times New Roman" w:cs="Times New Roman"/>
          <w:sz w:val="20"/>
          <w:szCs w:val="20"/>
        </w:rPr>
        <w:t xml:space="preserve"> of its earnings. In fact, last year the company retaine</w:t>
      </w:r>
      <w:r>
        <w:rPr>
          <w:rFonts w:ascii="Times New Roman" w:hAnsi="Times New Roman" w:cs="Times New Roman"/>
          <w:sz w:val="20"/>
          <w:szCs w:val="20"/>
        </w:rPr>
        <w:t>d more dollars of earnings – by far – than any other American electric utility. We and our regulators see this 100% retention policy as an important advantage – one almost certain to distinguish BHE from other utilities for many years to come.</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When BHE completes certain renewables projects that are underway, the company’s renewables portfolio will have cost $15 billion. In addition, we have conventional projects in the works that will also cost many billions. We relish making such commitments as</w:t>
      </w:r>
      <w:r>
        <w:rPr>
          <w:rFonts w:ascii="Times New Roman" w:hAnsi="Times New Roman" w:cs="Times New Roman"/>
          <w:sz w:val="20"/>
          <w:szCs w:val="20"/>
        </w:rPr>
        <w:t xml:space="preserve"> long as they promise reasonable returns – and, on that front, we put a large amount of trust in future regulation.</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Our confidence is justified both by our past experience and by the knowledge that society will forever need massive investments in both tra</w:t>
      </w:r>
      <w:r>
        <w:rPr>
          <w:rFonts w:ascii="Times New Roman" w:hAnsi="Times New Roman" w:cs="Times New Roman"/>
          <w:sz w:val="20"/>
          <w:szCs w:val="20"/>
        </w:rPr>
        <w:t>nsportation and energy. It is in the self-interest of governments to treat capital providers in a manner that will ensure the continued flow of funds to essential projects. It is concomitantly in our self-interest to conduct our operations in a way that ea</w:t>
      </w:r>
      <w:r>
        <w:rPr>
          <w:rFonts w:ascii="Times New Roman" w:hAnsi="Times New Roman" w:cs="Times New Roman"/>
          <w:sz w:val="20"/>
          <w:szCs w:val="20"/>
        </w:rPr>
        <w:t>rns the approval of our regulators and the people they represent.</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3"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7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3" w:lineRule="auto"/>
        <w:ind w:firstLine="860"/>
        <w:jc w:val="both"/>
        <w:rPr>
          <w:rFonts w:ascii="Times New Roman" w:hAnsi="Times New Roman" w:cs="Times New Roman"/>
          <w:sz w:val="24"/>
          <w:szCs w:val="24"/>
        </w:rPr>
      </w:pPr>
      <w:r>
        <w:rPr>
          <w:rFonts w:ascii="Times New Roman" w:hAnsi="Times New Roman" w:cs="Times New Roman"/>
          <w:sz w:val="20"/>
          <w:szCs w:val="20"/>
        </w:rPr>
        <w:t>Last year we fully met this objective at BHE, just as we have in every year of our ownership. Our rates remain low, our customer satisfaction is hi</w:t>
      </w:r>
      <w:r>
        <w:rPr>
          <w:rFonts w:ascii="Times New Roman" w:hAnsi="Times New Roman" w:cs="Times New Roman"/>
          <w:sz w:val="20"/>
          <w:szCs w:val="20"/>
        </w:rPr>
        <w:t>gh and our record for employee safety is among the best in the industry.</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The story at BNSF, however – as I noted earlier –</w:t>
      </w:r>
      <w:r>
        <w:rPr>
          <w:rFonts w:ascii="Times New Roman" w:hAnsi="Times New Roman" w:cs="Times New Roman"/>
          <w:sz w:val="20"/>
          <w:szCs w:val="20"/>
        </w:rPr>
        <w:t xml:space="preserve"> was not good in 2014, a year in which the railroad disappointed many of its customers. This problem occurred despite the record capital expenditures that BNSF has made in recent years, with those having far exceeded the outlays made by Union Pacific, our </w:t>
      </w:r>
      <w:r>
        <w:rPr>
          <w:rFonts w:ascii="Times New Roman" w:hAnsi="Times New Roman" w:cs="Times New Roman"/>
          <w:sz w:val="20"/>
          <w:szCs w:val="20"/>
        </w:rPr>
        <w:t>principal competitor.</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The two railroads are of roughly equal size measured by revenues, though we carry considerably more freight (measured either by carloads or ton-miles). But our service problems exceeded Union Pacific’s last year, and we lost market s</w:t>
      </w:r>
      <w:r>
        <w:rPr>
          <w:rFonts w:ascii="Times New Roman" w:hAnsi="Times New Roman" w:cs="Times New Roman"/>
          <w:sz w:val="20"/>
          <w:szCs w:val="20"/>
        </w:rPr>
        <w:t>hare as a result. Moreover, U.P.’s earnings beat ours by a record amount. Clearly, we have a lot of work to do.</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0" w:lineRule="auto"/>
        <w:ind w:firstLine="860"/>
        <w:jc w:val="both"/>
        <w:rPr>
          <w:rFonts w:ascii="Times New Roman" w:hAnsi="Times New Roman" w:cs="Times New Roman"/>
          <w:sz w:val="24"/>
          <w:szCs w:val="24"/>
        </w:rPr>
      </w:pPr>
      <w:r>
        <w:rPr>
          <w:rFonts w:ascii="Times New Roman" w:hAnsi="Times New Roman" w:cs="Times New Roman"/>
          <w:sz w:val="20"/>
          <w:szCs w:val="20"/>
        </w:rPr>
        <w:t>We are wasting no time: As I also mentioned earlier, we will spend $6 billion in 2015 on improving our railroad’s operation. That will amount t</w:t>
      </w:r>
      <w:r>
        <w:rPr>
          <w:rFonts w:ascii="Times New Roman" w:hAnsi="Times New Roman" w:cs="Times New Roman"/>
          <w:sz w:val="20"/>
          <w:szCs w:val="20"/>
        </w:rPr>
        <w:t>o about 26% of estimated revenues (a calculation that serves as the industry’s yardstick). Outlays of this magnitude are largely unheard of among railroads. For us, this percentage compares to our average of 18% in 2009-2013 and to U.P.’s projection for th</w:t>
      </w:r>
      <w:r>
        <w:rPr>
          <w:rFonts w:ascii="Times New Roman" w:hAnsi="Times New Roman" w:cs="Times New Roman"/>
          <w:sz w:val="20"/>
          <w:szCs w:val="20"/>
        </w:rPr>
        <w:t>e near future of 16-17%. Our huge investments will soon lead to a system with greater capacity and much better service. Improved profits should follow.</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ind w:left="860"/>
        <w:rPr>
          <w:rFonts w:ascii="Times New Roman" w:hAnsi="Times New Roman" w:cs="Times New Roman"/>
          <w:sz w:val="24"/>
          <w:szCs w:val="24"/>
        </w:rPr>
      </w:pPr>
      <w:r>
        <w:rPr>
          <w:rFonts w:ascii="Times New Roman" w:hAnsi="Times New Roman" w:cs="Times New Roman"/>
          <w:sz w:val="20"/>
          <w:szCs w:val="20"/>
        </w:rPr>
        <w:t>Here are the key figures for Berkshire Hathaway Energy and BNSF:</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60"/>
        <w:gridCol w:w="2800"/>
        <w:gridCol w:w="200"/>
        <w:gridCol w:w="540"/>
        <w:gridCol w:w="300"/>
        <w:gridCol w:w="200"/>
        <w:gridCol w:w="560"/>
        <w:gridCol w:w="300"/>
        <w:gridCol w:w="200"/>
        <w:gridCol w:w="540"/>
      </w:tblGrid>
      <w:tr w:rsidR="00000000">
        <w:tblPrEx>
          <w:tblCellMar>
            <w:top w:w="0" w:type="dxa"/>
            <w:left w:w="0" w:type="dxa"/>
            <w:bottom w:w="0" w:type="dxa"/>
            <w:right w:w="0" w:type="dxa"/>
          </w:tblCellMar>
        </w:tblPrEx>
        <w:trPr>
          <w:trHeight w:val="268"/>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i/>
                <w:iCs/>
                <w:sz w:val="20"/>
                <w:szCs w:val="20"/>
              </w:rPr>
              <w:t>Berkshire Hathaway Energy (89.9% owned)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10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sz w:val="20"/>
                <w:szCs w:val="20"/>
              </w:rPr>
              <w:t>Earnings (in millions)</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22"/>
        </w:trPr>
        <w:tc>
          <w:tcPr>
            <w:tcW w:w="356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21" w:lineRule="exact"/>
              <w:jc w:val="right"/>
              <w:rPr>
                <w:rFonts w:ascii="Times New Roman" w:hAnsi="Times New Roman" w:cs="Times New Roman"/>
                <w:sz w:val="24"/>
                <w:szCs w:val="24"/>
              </w:rPr>
            </w:pPr>
            <w:r>
              <w:rPr>
                <w:rFonts w:ascii="Times New Roman" w:hAnsi="Times New Roman" w:cs="Times New Roman"/>
                <w:i/>
                <w:iCs/>
                <w:sz w:val="20"/>
                <w:szCs w:val="20"/>
              </w:rPr>
              <w:t>2014</w:t>
            </w:r>
          </w:p>
        </w:tc>
        <w:tc>
          <w:tcPr>
            <w:tcW w:w="30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21" w:lineRule="exact"/>
              <w:jc w:val="right"/>
              <w:rPr>
                <w:rFonts w:ascii="Times New Roman" w:hAnsi="Times New Roman" w:cs="Times New Roman"/>
                <w:sz w:val="24"/>
                <w:szCs w:val="24"/>
              </w:rPr>
            </w:pPr>
            <w:r>
              <w:rPr>
                <w:rFonts w:ascii="Times New Roman" w:hAnsi="Times New Roman" w:cs="Times New Roman"/>
                <w:i/>
                <w:iCs/>
                <w:sz w:val="20"/>
                <w:szCs w:val="20"/>
              </w:rPr>
              <w:t>2013</w:t>
            </w:r>
          </w:p>
        </w:tc>
        <w:tc>
          <w:tcPr>
            <w:tcW w:w="30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21" w:lineRule="exact"/>
              <w:jc w:val="right"/>
              <w:rPr>
                <w:rFonts w:ascii="Times New Roman" w:hAnsi="Times New Roman" w:cs="Times New Roman"/>
                <w:sz w:val="24"/>
                <w:szCs w:val="24"/>
              </w:rPr>
            </w:pPr>
            <w:r>
              <w:rPr>
                <w:rFonts w:ascii="Times New Roman" w:hAnsi="Times New Roman" w:cs="Times New Roman"/>
                <w:i/>
                <w:iCs/>
                <w:sz w:val="20"/>
                <w:szCs w:val="20"/>
              </w:rPr>
              <w:t>2012</w:t>
            </w:r>
          </w:p>
        </w:tc>
      </w:tr>
      <w:tr w:rsidR="00000000">
        <w:tblPrEx>
          <w:tblCellMar>
            <w:top w:w="0" w:type="dxa"/>
            <w:left w:w="0" w:type="dxa"/>
            <w:bottom w:w="0" w:type="dxa"/>
            <w:right w:w="0" w:type="dxa"/>
          </w:tblCellMar>
        </w:tblPrEx>
        <w:trPr>
          <w:trHeight w:val="24"/>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6"/>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5"/>
                <w:sz w:val="20"/>
                <w:szCs w:val="20"/>
              </w:rPr>
              <w:t>U.K. utilities . . . . . . . . . . . . . . . . . . . . . . . . . . . . . . . . . . . . . . . . . . . . . . . . . . . . . . . . . . . . . . .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527</w:t>
            </w: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362</w:t>
            </w: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New Roman" w:hAnsi="Times New Roman" w:cs="Times New Roman"/>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429</w:t>
            </w:r>
          </w:p>
        </w:tc>
      </w:tr>
      <w:tr w:rsidR="00000000">
        <w:tblPrEx>
          <w:tblCellMar>
            <w:top w:w="0" w:type="dxa"/>
            <w:left w:w="0" w:type="dxa"/>
            <w:bottom w:w="0" w:type="dxa"/>
            <w:right w:w="0" w:type="dxa"/>
          </w:tblCellMar>
        </w:tblPrEx>
        <w:trPr>
          <w:trHeight w:val="240"/>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5"/>
                <w:sz w:val="20"/>
                <w:szCs w:val="20"/>
              </w:rPr>
              <w:t>Iowa utility . . . . . . . . . . . . . . . . . . . . . . . . . . . . . . . . . . . . . . . . . . . . . . . . . . . . . . . . . . . . . . . .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298</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230</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236</w:t>
            </w:r>
          </w:p>
        </w:tc>
      </w:tr>
      <w:tr w:rsidR="00000000">
        <w:tblPrEx>
          <w:tblCellMar>
            <w:top w:w="0" w:type="dxa"/>
            <w:left w:w="0" w:type="dxa"/>
            <w:bottom w:w="0" w:type="dxa"/>
            <w:right w:w="0" w:type="dxa"/>
          </w:tblCellMar>
        </w:tblPrEx>
        <w:trPr>
          <w:trHeight w:val="240"/>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6"/>
                <w:sz w:val="20"/>
                <w:szCs w:val="20"/>
              </w:rPr>
              <w:t xml:space="preserve">Nevada utilities . . . . . . . . . . . . . . . . . . . . . . . . . . . . . . . . . . . . </w:t>
            </w:r>
            <w:r>
              <w:rPr>
                <w:rFonts w:ascii="Times New Roman" w:hAnsi="Times New Roman" w:cs="Times New Roman"/>
                <w:w w:val="86"/>
                <w:sz w:val="20"/>
                <w:szCs w:val="20"/>
              </w:rPr>
              <w:t>. . . . . . . . . . . . . . . . . . . . . . . .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549</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r>
      <w:tr w:rsidR="00000000">
        <w:tblPrEx>
          <w:tblCellMar>
            <w:top w:w="0" w:type="dxa"/>
            <w:left w:w="0" w:type="dxa"/>
            <w:bottom w:w="0" w:type="dxa"/>
            <w:right w:w="0" w:type="dxa"/>
          </w:tblCellMar>
        </w:tblPrEx>
        <w:trPr>
          <w:trHeight w:val="240"/>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1"/>
                <w:sz w:val="20"/>
                <w:szCs w:val="20"/>
              </w:rPr>
              <w:t>PacifiCorp (primarily Oregon and Utah) . . . . . . . . . . . . . . . . . . . . . . . . . . . . . . . . . . . .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1,010</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982</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737</w:t>
            </w:r>
          </w:p>
        </w:tc>
      </w:tr>
      <w:tr w:rsidR="00000000">
        <w:tblPrEx>
          <w:tblCellMar>
            <w:top w:w="0" w:type="dxa"/>
            <w:left w:w="0" w:type="dxa"/>
            <w:bottom w:w="0" w:type="dxa"/>
            <w:right w:w="0" w:type="dxa"/>
          </w:tblCellMar>
        </w:tblPrEx>
        <w:trPr>
          <w:trHeight w:val="240"/>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4"/>
                <w:sz w:val="20"/>
                <w:szCs w:val="20"/>
              </w:rPr>
              <w:t>Gas Pipelines (Northern Natural and Kern River) . . . . . . . . . . . . . . . . . . . . . . . . . . .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379</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385</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383</w:t>
            </w:r>
          </w:p>
        </w:tc>
      </w:tr>
      <w:tr w:rsidR="00000000">
        <w:tblPrEx>
          <w:tblCellMar>
            <w:top w:w="0" w:type="dxa"/>
            <w:left w:w="0" w:type="dxa"/>
            <w:bottom w:w="0" w:type="dxa"/>
            <w:right w:w="0" w:type="dxa"/>
          </w:tblCellMar>
        </w:tblPrEx>
        <w:trPr>
          <w:trHeight w:val="240"/>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6"/>
                <w:sz w:val="20"/>
                <w:szCs w:val="20"/>
              </w:rPr>
              <w:t>HomeServices . . . . . . . . . . . . . . . . . . . . . . . . . . . . . . . . . . . . . . . . . . . . . . . . . . . . . . . . . . . . .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139</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139</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82</w:t>
            </w:r>
          </w:p>
        </w:tc>
      </w:tr>
      <w:tr w:rsidR="00000000">
        <w:tblPrEx>
          <w:tblCellMar>
            <w:top w:w="0" w:type="dxa"/>
            <w:left w:w="0" w:type="dxa"/>
            <w:bottom w:w="0" w:type="dxa"/>
            <w:right w:w="0" w:type="dxa"/>
          </w:tblCellMar>
        </w:tblPrEx>
        <w:trPr>
          <w:trHeight w:val="258"/>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4"/>
                <w:sz w:val="20"/>
                <w:szCs w:val="20"/>
              </w:rPr>
              <w:t xml:space="preserve">Other (net) . . . . . . . . . . . . . . . . . . . . . . . . . . . . . . . . . . . . . . . . . . . . . </w:t>
            </w:r>
            <w:r>
              <w:rPr>
                <w:rFonts w:ascii="Times New Roman" w:hAnsi="Times New Roman" w:cs="Times New Roman"/>
                <w:w w:val="84"/>
                <w:sz w:val="20"/>
                <w:szCs w:val="20"/>
              </w:rPr>
              <w:t>. . . . . . . . . . . . . . . . . . . . .</w:t>
            </w: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236</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4</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91</w:t>
            </w:r>
          </w:p>
        </w:tc>
      </w:tr>
      <w:tr w:rsidR="00000000">
        <w:tblPrEx>
          <w:tblCellMar>
            <w:top w:w="0" w:type="dxa"/>
            <w:left w:w="0" w:type="dxa"/>
            <w:bottom w:w="0" w:type="dxa"/>
            <w:right w:w="0" w:type="dxa"/>
          </w:tblCellMar>
        </w:tblPrEx>
        <w:trPr>
          <w:trHeight w:val="282"/>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5"/>
                <w:sz w:val="20"/>
                <w:szCs w:val="20"/>
              </w:rPr>
              <w:t>Operating earnings before corporate interest and taxes . . . . . . . . . . . . . . . . . . . . . .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3,138</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2,102</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7"/>
                <w:sz w:val="20"/>
                <w:szCs w:val="20"/>
              </w:rPr>
              <w:t>1,958</w:t>
            </w:r>
          </w:p>
        </w:tc>
      </w:tr>
      <w:tr w:rsidR="00000000">
        <w:tblPrEx>
          <w:tblCellMar>
            <w:top w:w="0" w:type="dxa"/>
            <w:left w:w="0" w:type="dxa"/>
            <w:bottom w:w="0" w:type="dxa"/>
            <w:right w:w="0" w:type="dxa"/>
          </w:tblCellMar>
        </w:tblPrEx>
        <w:trPr>
          <w:trHeight w:val="240"/>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4"/>
                <w:sz w:val="20"/>
                <w:szCs w:val="20"/>
              </w:rPr>
              <w:t>Interest . . . . . . . . . . . . . . . . . . . . . . . . . . . . . . . . . . . . . . . . . . . . . . . . . . . . . . . . . . . . . . . . . . . .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427</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296</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314</w:t>
            </w:r>
          </w:p>
        </w:tc>
      </w:tr>
      <w:tr w:rsidR="00000000">
        <w:tblPrEx>
          <w:tblCellMar>
            <w:top w:w="0" w:type="dxa"/>
            <w:left w:w="0" w:type="dxa"/>
            <w:bottom w:w="0" w:type="dxa"/>
            <w:right w:w="0" w:type="dxa"/>
          </w:tblCellMar>
        </w:tblPrEx>
        <w:trPr>
          <w:trHeight w:val="258"/>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4"/>
                <w:sz w:val="20"/>
                <w:szCs w:val="20"/>
              </w:rPr>
              <w:t>Income taxes . . . . . . . . . . . . . . . . . . . . . . . . . . . . . . . . . . . . . . . . . . . . . . . . . . . . . . . . . . . . . . . .</w:t>
            </w: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616</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170</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172</w:t>
            </w:r>
          </w:p>
        </w:tc>
      </w:tr>
      <w:tr w:rsidR="00000000">
        <w:tblPrEx>
          <w:tblCellMar>
            <w:top w:w="0" w:type="dxa"/>
            <w:left w:w="0" w:type="dxa"/>
            <w:bottom w:w="0" w:type="dxa"/>
            <w:right w:w="0" w:type="dxa"/>
          </w:tblCellMar>
        </w:tblPrEx>
        <w:trPr>
          <w:trHeight w:val="282"/>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5"/>
                <w:sz w:val="20"/>
                <w:szCs w:val="20"/>
              </w:rPr>
              <w:t xml:space="preserve">Net earnings . . . . </w:t>
            </w:r>
            <w:r>
              <w:rPr>
                <w:rFonts w:ascii="Times New Roman" w:hAnsi="Times New Roman" w:cs="Times New Roman"/>
                <w:w w:val="85"/>
                <w:sz w:val="20"/>
                <w:szCs w:val="20"/>
              </w:rPr>
              <w:t>. . . . . . . . . . . . . . . . . . . . . . . . . . . . . . . . . . . . . . . . . . . . . . . . . . . . . . . . . . .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2,095</w:t>
            </w: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1,636</w:t>
            </w: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New Roman" w:hAnsi="Times New Roman" w:cs="Times New Roman"/>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7"/>
                <w:sz w:val="20"/>
                <w:szCs w:val="20"/>
              </w:rPr>
              <w:t>1,472</w:t>
            </w:r>
          </w:p>
        </w:tc>
      </w:tr>
      <w:tr w:rsidR="00000000">
        <w:tblPrEx>
          <w:tblCellMar>
            <w:top w:w="0" w:type="dxa"/>
            <w:left w:w="0" w:type="dxa"/>
            <w:bottom w:w="0" w:type="dxa"/>
            <w:right w:w="0" w:type="dxa"/>
          </w:tblCellMar>
        </w:tblPrEx>
        <w:trPr>
          <w:trHeight w:val="44"/>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r>
      <w:tr w:rsidR="00000000">
        <w:tblPrEx>
          <w:tblCellMar>
            <w:top w:w="0" w:type="dxa"/>
            <w:left w:w="0" w:type="dxa"/>
            <w:bottom w:w="0" w:type="dxa"/>
            <w:right w:w="0" w:type="dxa"/>
          </w:tblCellMar>
        </w:tblPrEx>
        <w:trPr>
          <w:trHeight w:val="20"/>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6"/>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0"/>
                <w:sz w:val="20"/>
                <w:szCs w:val="20"/>
              </w:rPr>
              <w:t>Earnings applicable to Berkshire . . . . . . . . . . . . . . . . . . . . . . . . . . . . . . . . . . . . . . . . . . .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1,882</w:t>
            </w: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1,470</w:t>
            </w: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New Roman" w:hAnsi="Times New Roman" w:cs="Times New Roman"/>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7"/>
                <w:sz w:val="20"/>
                <w:szCs w:val="20"/>
              </w:rPr>
              <w:t>1,323</w:t>
            </w:r>
          </w:p>
        </w:tc>
      </w:tr>
      <w:tr w:rsidR="00000000">
        <w:tblPrEx>
          <w:tblCellMar>
            <w:top w:w="0" w:type="dxa"/>
            <w:left w:w="0" w:type="dxa"/>
            <w:bottom w:w="0" w:type="dxa"/>
            <w:right w:w="0" w:type="dxa"/>
          </w:tblCellMar>
        </w:tblPrEx>
        <w:trPr>
          <w:trHeight w:val="44"/>
        </w:trPr>
        <w:tc>
          <w:tcPr>
            <w:tcW w:w="3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r>
      <w:tr w:rsidR="00000000">
        <w:tblPrEx>
          <w:tblCellMar>
            <w:top w:w="0" w:type="dxa"/>
            <w:left w:w="0" w:type="dxa"/>
            <w:bottom w:w="0" w:type="dxa"/>
            <w:right w:w="0" w:type="dxa"/>
          </w:tblCellMar>
        </w:tblPrEx>
        <w:trPr>
          <w:trHeight w:val="20"/>
        </w:trPr>
        <w:tc>
          <w:tcPr>
            <w:tcW w:w="3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9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80"/>
        <w:gridCol w:w="5880"/>
        <w:gridCol w:w="140"/>
        <w:gridCol w:w="600"/>
        <w:gridCol w:w="300"/>
        <w:gridCol w:w="140"/>
        <w:gridCol w:w="620"/>
        <w:gridCol w:w="300"/>
        <w:gridCol w:w="120"/>
        <w:gridCol w:w="620"/>
      </w:tblGrid>
      <w:tr w:rsidR="00000000">
        <w:tblPrEx>
          <w:tblCellMar>
            <w:top w:w="0" w:type="dxa"/>
            <w:left w:w="0" w:type="dxa"/>
            <w:bottom w:w="0" w:type="dxa"/>
            <w:right w:w="0" w:type="dxa"/>
          </w:tblCellMar>
        </w:tblPrEx>
        <w:trPr>
          <w:trHeight w:val="230"/>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i/>
                <w:iCs/>
                <w:sz w:val="20"/>
                <w:szCs w:val="20"/>
              </w:rPr>
              <w:t>BNSF</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700" w:type="dxa"/>
            <w:gridSpan w:val="7"/>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40"/>
              <w:jc w:val="right"/>
              <w:rPr>
                <w:rFonts w:ascii="Times New Roman" w:hAnsi="Times New Roman" w:cs="Times New Roman"/>
                <w:sz w:val="24"/>
                <w:szCs w:val="24"/>
              </w:rPr>
            </w:pPr>
            <w:r>
              <w:rPr>
                <w:rFonts w:ascii="Times New Roman" w:hAnsi="Times New Roman" w:cs="Times New Roman"/>
                <w:i/>
                <w:iCs/>
                <w:sz w:val="20"/>
                <w:szCs w:val="20"/>
              </w:rPr>
              <w:t>Earnings (in millions)</w:t>
            </w:r>
          </w:p>
        </w:tc>
      </w:tr>
      <w:tr w:rsidR="00000000">
        <w:tblPrEx>
          <w:tblCellMar>
            <w:top w:w="0" w:type="dxa"/>
            <w:left w:w="0" w:type="dxa"/>
            <w:bottom w:w="0" w:type="dxa"/>
            <w:right w:w="0" w:type="dxa"/>
          </w:tblCellMar>
        </w:tblPrEx>
        <w:trPr>
          <w:trHeight w:val="58"/>
        </w:trPr>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5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242"/>
        </w:trPr>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5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sz w:val="20"/>
                <w:szCs w:val="20"/>
              </w:rPr>
              <w:t>2014</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sz w:val="20"/>
                <w:szCs w:val="20"/>
              </w:rPr>
              <w:t>2013</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sz w:val="20"/>
                <w:szCs w:val="20"/>
              </w:rPr>
              <w:t>2012</w:t>
            </w:r>
          </w:p>
        </w:tc>
      </w:tr>
      <w:tr w:rsidR="00000000">
        <w:tblPrEx>
          <w:tblCellMar>
            <w:top w:w="0" w:type="dxa"/>
            <w:left w:w="0" w:type="dxa"/>
            <w:bottom w:w="0" w:type="dxa"/>
            <w:right w:w="0" w:type="dxa"/>
          </w:tblCellMar>
        </w:tblPrEx>
        <w:trPr>
          <w:trHeight w:val="23"/>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7"/>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4"/>
                <w:sz w:val="20"/>
                <w:szCs w:val="20"/>
              </w:rPr>
              <w:t>Revenues . . . . . . . . . . . . . . . . . . . . . . . . . . . . . . . . . . . . . . . . . . . . . . . . . . . . . . . . . . . . . . . . . . .</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23,239</w:t>
            </w:r>
          </w:p>
        </w:tc>
        <w:tc>
          <w:tcPr>
            <w:tcW w:w="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22,014</w:t>
            </w:r>
          </w:p>
        </w:tc>
        <w:tc>
          <w:tcPr>
            <w:tcW w:w="4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4"/>
                <w:sz w:val="20"/>
                <w:szCs w:val="20"/>
              </w:rPr>
              <w:t>20,835</w:t>
            </w:r>
          </w:p>
        </w:tc>
      </w:tr>
      <w:tr w:rsidR="00000000">
        <w:tblPrEx>
          <w:tblCellMar>
            <w:top w:w="0" w:type="dxa"/>
            <w:left w:w="0" w:type="dxa"/>
            <w:bottom w:w="0" w:type="dxa"/>
            <w:right w:w="0" w:type="dxa"/>
          </w:tblCellMar>
        </w:tblPrEx>
        <w:trPr>
          <w:trHeight w:val="258"/>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7"/>
                <w:sz w:val="20"/>
                <w:szCs w:val="20"/>
              </w:rPr>
              <w:t>Operating expenses . . . . . . . . . . . . . . . . . . . . . . . . . . . . . . . . . . . . . . . . . . . . . . . . . . . . . . . . .</w:t>
            </w: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16,237</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15,357</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4"/>
                <w:sz w:val="20"/>
                <w:szCs w:val="20"/>
              </w:rPr>
              <w:t>14,835</w:t>
            </w:r>
          </w:p>
        </w:tc>
      </w:tr>
      <w:tr w:rsidR="00000000">
        <w:tblPrEx>
          <w:tblCellMar>
            <w:top w:w="0" w:type="dxa"/>
            <w:left w:w="0" w:type="dxa"/>
            <w:bottom w:w="0" w:type="dxa"/>
            <w:right w:w="0" w:type="dxa"/>
          </w:tblCellMar>
        </w:tblPrEx>
        <w:trPr>
          <w:trHeight w:val="282"/>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2"/>
                <w:sz w:val="20"/>
                <w:szCs w:val="20"/>
              </w:rPr>
              <w:t>Operating earnings before interest and taxes . . . . . . . . . . . . . . . . . . . . . . . . . . . . . . . . .</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7,002</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6,657</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6,000</w:t>
            </w:r>
          </w:p>
        </w:tc>
      </w:tr>
      <w:tr w:rsidR="00000000">
        <w:tblPrEx>
          <w:tblCellMar>
            <w:top w:w="0" w:type="dxa"/>
            <w:left w:w="0" w:type="dxa"/>
            <w:bottom w:w="0" w:type="dxa"/>
            <w:right w:w="0" w:type="dxa"/>
          </w:tblCellMar>
        </w:tblPrEx>
        <w:trPr>
          <w:trHeight w:val="240"/>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5"/>
                <w:sz w:val="20"/>
                <w:szCs w:val="20"/>
              </w:rPr>
              <w:t>Interest (net) . . . . . . . . . . . . . . . . . . . . . . . . . . . . . . . . . . . . . . . . . . . . . . . . . . . . . . . . . . . . . . . .</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833</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729</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623</w:t>
            </w:r>
          </w:p>
        </w:tc>
      </w:tr>
      <w:tr w:rsidR="00000000">
        <w:tblPrEx>
          <w:tblCellMar>
            <w:top w:w="0" w:type="dxa"/>
            <w:left w:w="0" w:type="dxa"/>
            <w:bottom w:w="0" w:type="dxa"/>
            <w:right w:w="0" w:type="dxa"/>
          </w:tblCellMar>
        </w:tblPrEx>
        <w:trPr>
          <w:trHeight w:val="258"/>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4"/>
                <w:sz w:val="20"/>
                <w:szCs w:val="20"/>
              </w:rPr>
              <w:t>Income taxes . . . . . . . . . . . . . . . . . . . . . . . . . . . . . . . . . . . . . . . . . . . . . . . . . . . . . . . . . . . . . . . .</w:t>
            </w: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2,300</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2,135</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2,005</w:t>
            </w:r>
          </w:p>
        </w:tc>
      </w:tr>
      <w:tr w:rsidR="00000000">
        <w:tblPrEx>
          <w:tblCellMar>
            <w:top w:w="0" w:type="dxa"/>
            <w:left w:w="0" w:type="dxa"/>
            <w:bottom w:w="0" w:type="dxa"/>
            <w:right w:w="0" w:type="dxa"/>
          </w:tblCellMar>
        </w:tblPrEx>
        <w:trPr>
          <w:trHeight w:val="282"/>
        </w:trPr>
        <w:tc>
          <w:tcPr>
            <w:tcW w:w="6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5"/>
                <w:sz w:val="20"/>
                <w:szCs w:val="20"/>
              </w:rPr>
              <w:t>Net earnings . . . . . . . . . . . . . . . . . . . . . . . . . . . . . . . . . . . . . . . . . . . . . . . . . . . . . . . . . . . . . . . .</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3,869</w:t>
            </w:r>
          </w:p>
        </w:tc>
        <w:tc>
          <w:tcPr>
            <w:tcW w:w="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3,793</w:t>
            </w:r>
          </w:p>
        </w:tc>
        <w:tc>
          <w:tcPr>
            <w:tcW w:w="4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3,372</w:t>
            </w:r>
          </w:p>
        </w:tc>
      </w:tr>
      <w:tr w:rsidR="00000000">
        <w:tblPrEx>
          <w:tblCellMar>
            <w:top w:w="0" w:type="dxa"/>
            <w:left w:w="0" w:type="dxa"/>
            <w:bottom w:w="0" w:type="dxa"/>
            <w:right w:w="0" w:type="dxa"/>
          </w:tblCellMar>
        </w:tblPrEx>
        <w:trPr>
          <w:trHeight w:val="44"/>
        </w:trPr>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r>
      <w:tr w:rsidR="00000000">
        <w:tblPrEx>
          <w:tblCellMar>
            <w:top w:w="0" w:type="dxa"/>
            <w:left w:w="0" w:type="dxa"/>
            <w:bottom w:w="0" w:type="dxa"/>
            <w:right w:w="0" w:type="dxa"/>
          </w:tblCellMar>
        </w:tblPrEx>
        <w:trPr>
          <w:trHeight w:val="20"/>
        </w:trPr>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Manufacturing, Service and Retailing Operations</w:t>
      </w: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720"/>
        <w:rPr>
          <w:rFonts w:ascii="Times New Roman" w:hAnsi="Times New Roman" w:cs="Times New Roman"/>
          <w:sz w:val="24"/>
          <w:szCs w:val="24"/>
        </w:rPr>
      </w:pPr>
      <w:r>
        <w:rPr>
          <w:rFonts w:ascii="Times New Roman" w:hAnsi="Times New Roman" w:cs="Times New Roman"/>
          <w:sz w:val="20"/>
          <w:szCs w:val="20"/>
        </w:rPr>
        <w:t>Our activities in this part of Berkshire cover the waterfront. Let’s look, though, at a summary balance sheet and earnings statement for the entire group.</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3"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17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00"/>
        <w:gridCol w:w="2440"/>
        <w:gridCol w:w="980"/>
        <w:gridCol w:w="160"/>
        <w:gridCol w:w="580"/>
        <w:gridCol w:w="200"/>
        <w:gridCol w:w="1840"/>
        <w:gridCol w:w="1480"/>
      </w:tblGrid>
      <w:tr w:rsidR="00000000">
        <w:tblPrEx>
          <w:tblCellMar>
            <w:top w:w="0" w:type="dxa"/>
            <w:left w:w="0" w:type="dxa"/>
            <w:bottom w:w="0" w:type="dxa"/>
            <w:right w:w="0" w:type="dxa"/>
          </w:tblCellMar>
        </w:tblPrEx>
        <w:trPr>
          <w:trHeight w:val="230"/>
        </w:trPr>
        <w:tc>
          <w:tcPr>
            <w:tcW w:w="2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i/>
                <w:iCs/>
                <w:w w:val="99"/>
                <w:sz w:val="20"/>
                <w:szCs w:val="20"/>
              </w:rPr>
              <w:t>Balance Sheet 12/31/14 (in millions)</w:t>
            </w: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4"/>
        </w:trPr>
        <w:tc>
          <w:tcPr>
            <w:tcW w:w="5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56"/>
        </w:trPr>
        <w:tc>
          <w:tcPr>
            <w:tcW w:w="2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i/>
                <w:iCs/>
                <w:sz w:val="20"/>
                <w:szCs w:val="20"/>
              </w:rPr>
              <w:t>Assets</w:t>
            </w: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i/>
                <w:iCs/>
                <w:sz w:val="20"/>
                <w:szCs w:val="20"/>
              </w:rPr>
              <w:t>Liabilities and Equity</w:t>
            </w:r>
          </w:p>
        </w:tc>
      </w:tr>
      <w:tr w:rsidR="00000000">
        <w:tblPrEx>
          <w:tblCellMar>
            <w:top w:w="0" w:type="dxa"/>
            <w:left w:w="0" w:type="dxa"/>
            <w:bottom w:w="0" w:type="dxa"/>
            <w:right w:w="0" w:type="dxa"/>
          </w:tblCellMar>
        </w:tblPrEx>
        <w:trPr>
          <w:trHeight w:val="24"/>
        </w:trPr>
        <w:tc>
          <w:tcPr>
            <w:tcW w:w="5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6"/>
        </w:trPr>
        <w:tc>
          <w:tcPr>
            <w:tcW w:w="2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1"/>
                <w:sz w:val="20"/>
                <w:szCs w:val="20"/>
              </w:rPr>
              <w:t>Cash and equivalents . . . . . . . . . . . . . . .</w:t>
            </w:r>
          </w:p>
        </w:tc>
        <w:tc>
          <w:tcPr>
            <w:tcW w:w="11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w w:val="99"/>
                <w:sz w:val="20"/>
                <w:szCs w:val="20"/>
              </w:rPr>
              <w:t>. . . . . . .$</w:t>
            </w: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5,765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5"/>
                <w:sz w:val="20"/>
                <w:szCs w:val="20"/>
              </w:rPr>
              <w:t>Notes payable . . . . . . . . . . . . . . . . . . . . . . . . . . .</w:t>
            </w:r>
          </w:p>
        </w:tc>
      </w:tr>
      <w:tr w:rsidR="00000000">
        <w:tblPrEx>
          <w:tblCellMar>
            <w:top w:w="0" w:type="dxa"/>
            <w:left w:w="0" w:type="dxa"/>
            <w:bottom w:w="0" w:type="dxa"/>
            <w:right w:w="0" w:type="dxa"/>
          </w:tblCellMar>
        </w:tblPrEx>
        <w:trPr>
          <w:trHeight w:val="240"/>
        </w:trPr>
        <w:tc>
          <w:tcPr>
            <w:tcW w:w="2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6"/>
                <w:sz w:val="20"/>
                <w:szCs w:val="20"/>
              </w:rPr>
              <w:t>Accounts and notes receivable . . . . . .</w:t>
            </w: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8,264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2"/>
                <w:sz w:val="20"/>
                <w:szCs w:val="20"/>
              </w:rPr>
              <w:t>Other current liabilities . . . . . . . . . . . . . . . . .</w:t>
            </w:r>
          </w:p>
        </w:tc>
      </w:tr>
      <w:tr w:rsidR="00000000">
        <w:tblPrEx>
          <w:tblCellMar>
            <w:top w:w="0" w:type="dxa"/>
            <w:left w:w="0" w:type="dxa"/>
            <w:bottom w:w="0" w:type="dxa"/>
            <w:right w:w="0" w:type="dxa"/>
          </w:tblCellMar>
        </w:tblPrEx>
        <w:trPr>
          <w:trHeight w:val="320"/>
        </w:trPr>
        <w:tc>
          <w:tcPr>
            <w:tcW w:w="2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3"/>
                <w:sz w:val="20"/>
                <w:szCs w:val="20"/>
              </w:rPr>
              <w:t>Inventory . . . . . . . . . . . . . . . . . . . . . . . . . . .</w:t>
            </w: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4"/>
                <w:sz w:val="20"/>
                <w:szCs w:val="20"/>
              </w:rPr>
              <w:t>10,236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0"/>
                <w:sz w:val="20"/>
                <w:szCs w:val="20"/>
              </w:rPr>
              <w:t>Total current liabilities . . . . . . . . . . . . . . . . . .</w:t>
            </w:r>
          </w:p>
        </w:tc>
      </w:tr>
      <w:tr w:rsidR="00000000">
        <w:tblPrEx>
          <w:tblCellMar>
            <w:top w:w="0" w:type="dxa"/>
            <w:left w:w="0" w:type="dxa"/>
            <w:bottom w:w="0" w:type="dxa"/>
            <w:right w:w="0" w:type="dxa"/>
          </w:tblCellMar>
        </w:tblPrEx>
        <w:trPr>
          <w:trHeight w:val="258"/>
        </w:trPr>
        <w:tc>
          <w:tcPr>
            <w:tcW w:w="2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1"/>
                <w:sz w:val="20"/>
                <w:szCs w:val="20"/>
              </w:rPr>
              <w:t>Other current assets . . . . . . . . . . . . . . . .</w:t>
            </w: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w:t>
            </w: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1,117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82"/>
        </w:trPr>
        <w:tc>
          <w:tcPr>
            <w:tcW w:w="2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9"/>
                <w:sz w:val="20"/>
                <w:szCs w:val="20"/>
              </w:rPr>
              <w:t>Total current assets . . . . . . . . . . . . . . . . .</w:t>
            </w: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4"/>
                <w:sz w:val="20"/>
                <w:szCs w:val="20"/>
              </w:rPr>
              <w:t>25,382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7"/>
                <w:sz w:val="20"/>
                <w:szCs w:val="20"/>
              </w:rPr>
              <w:t>Deferred taxes . . . . . . . . . . . . . . . . . . . . . . . . . .</w:t>
            </w:r>
          </w:p>
        </w:tc>
      </w:tr>
      <w:tr w:rsidR="00000000">
        <w:tblPrEx>
          <w:tblCellMar>
            <w:top w:w="0" w:type="dxa"/>
            <w:left w:w="0" w:type="dxa"/>
            <w:bottom w:w="0" w:type="dxa"/>
            <w:right w:w="0" w:type="dxa"/>
          </w:tblCellMar>
        </w:tblPrEx>
        <w:trPr>
          <w:trHeight w:val="240"/>
        </w:trPr>
        <w:tc>
          <w:tcPr>
            <w:tcW w:w="2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7"/>
                <w:sz w:val="20"/>
                <w:szCs w:val="20"/>
              </w:rPr>
              <w:t>Goodwill and other intangibles . . . . .</w:t>
            </w: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4"/>
                <w:sz w:val="20"/>
                <w:szCs w:val="20"/>
              </w:rPr>
              <w:t>28,107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3"/>
                <w:sz w:val="20"/>
                <w:szCs w:val="20"/>
              </w:rPr>
              <w:t>Term debt and other liabilities . . . . . . . . . . .</w:t>
            </w:r>
          </w:p>
        </w:tc>
      </w:tr>
      <w:tr w:rsidR="00000000">
        <w:tblPrEx>
          <w:tblCellMar>
            <w:top w:w="0" w:type="dxa"/>
            <w:left w:w="0" w:type="dxa"/>
            <w:bottom w:w="0" w:type="dxa"/>
            <w:right w:w="0" w:type="dxa"/>
          </w:tblCellMar>
        </w:tblPrEx>
        <w:trPr>
          <w:trHeight w:val="240"/>
        </w:trPr>
        <w:tc>
          <w:tcPr>
            <w:tcW w:w="2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6"/>
                <w:sz w:val="20"/>
                <w:szCs w:val="20"/>
              </w:rPr>
              <w:t>Fixed assets . . . . . . . . . . . . . . . . . . . . . . . .</w:t>
            </w: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4"/>
                <w:sz w:val="20"/>
                <w:szCs w:val="20"/>
              </w:rPr>
              <w:t>13,806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1"/>
                <w:sz w:val="20"/>
                <w:szCs w:val="20"/>
              </w:rPr>
              <w:t>Non-controlling interests . . . . . . . . . . . . . . . .</w:t>
            </w:r>
          </w:p>
        </w:tc>
      </w:tr>
      <w:tr w:rsidR="00000000">
        <w:tblPrEx>
          <w:tblCellMar>
            <w:top w:w="0" w:type="dxa"/>
            <w:left w:w="0" w:type="dxa"/>
            <w:bottom w:w="0" w:type="dxa"/>
            <w:right w:w="0" w:type="dxa"/>
          </w:tblCellMar>
        </w:tblPrEx>
        <w:trPr>
          <w:trHeight w:val="258"/>
        </w:trPr>
        <w:tc>
          <w:tcPr>
            <w:tcW w:w="2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6"/>
                <w:sz w:val="20"/>
                <w:szCs w:val="20"/>
              </w:rPr>
              <w:t>Other assets . . . . . . . . . . . . . . . . . . . . . . . .</w:t>
            </w: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w:t>
            </w: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5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3,793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3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8"/>
                <w:sz w:val="20"/>
                <w:szCs w:val="20"/>
              </w:rPr>
              <w:t>Berkshire equity . . . . . . . . . . . . . . . . . . . . . . . .</w:t>
            </w:r>
          </w:p>
        </w:tc>
      </w:tr>
      <w:tr w:rsidR="00000000">
        <w:tblPrEx>
          <w:tblCellMar>
            <w:top w:w="0" w:type="dxa"/>
            <w:left w:w="0" w:type="dxa"/>
            <w:bottom w:w="0" w:type="dxa"/>
            <w:right w:w="0" w:type="dxa"/>
          </w:tblCellMar>
        </w:tblPrEx>
        <w:trPr>
          <w:trHeight w:val="282"/>
        </w:trPr>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1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1040"/>
              <w:rPr>
                <w:rFonts w:ascii="Times New Roman" w:hAnsi="Times New Roman" w:cs="Times New Roman"/>
                <w:sz w:val="24"/>
                <w:szCs w:val="24"/>
              </w:rPr>
            </w:pPr>
            <w:r>
              <w:rPr>
                <w:rFonts w:ascii="Times New Roman" w:hAnsi="Times New Roman" w:cs="Times New Roman"/>
                <w:w w:val="79"/>
                <w:sz w:val="20"/>
                <w:szCs w:val="20"/>
              </w:rPr>
              <w:t>$</w:t>
            </w: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4"/>
                <w:sz w:val="20"/>
                <w:szCs w:val="20"/>
              </w:rPr>
              <w:t>71,088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4"/>
        </w:trPr>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r>
      <w:tr w:rsidR="00000000">
        <w:tblPrEx>
          <w:tblCellMar>
            <w:top w:w="0" w:type="dxa"/>
            <w:left w:w="0" w:type="dxa"/>
            <w:bottom w:w="0" w:type="dxa"/>
            <w:right w:w="0" w:type="dxa"/>
          </w:tblCellMar>
        </w:tblPrEx>
        <w:trPr>
          <w:trHeight w:val="20"/>
        </w:trPr>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620"/>
        <w:gridCol w:w="3700"/>
        <w:gridCol w:w="140"/>
        <w:gridCol w:w="600"/>
        <w:gridCol w:w="320"/>
        <w:gridCol w:w="140"/>
        <w:gridCol w:w="620"/>
        <w:gridCol w:w="20"/>
      </w:tblGrid>
      <w:tr w:rsidR="00000000">
        <w:tblPrEx>
          <w:tblCellMar>
            <w:top w:w="0" w:type="dxa"/>
            <w:left w:w="0" w:type="dxa"/>
            <w:bottom w:w="0" w:type="dxa"/>
            <w:right w:w="0" w:type="dxa"/>
          </w:tblCellMar>
        </w:tblPrEx>
        <w:trPr>
          <w:trHeight w:val="230"/>
        </w:trPr>
        <w:tc>
          <w:tcPr>
            <w:tcW w:w="6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i/>
                <w:iCs/>
                <w:sz w:val="20"/>
                <w:szCs w:val="20"/>
              </w:rPr>
              <w:t>Earnings Statement (in millions)</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
        </w:trPr>
        <w:tc>
          <w:tcPr>
            <w:tcW w:w="2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sz w:val="20"/>
                <w:szCs w:val="20"/>
              </w:rPr>
              <w:t>2014</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sz w:val="20"/>
                <w:szCs w:val="20"/>
              </w:rPr>
              <w:t>2013</w:t>
            </w:r>
            <w:r>
              <w:rPr>
                <w:rFonts w:ascii="Times New Roman" w:hAnsi="Times New Roman" w:cs="Times New Roman"/>
                <w:b/>
                <w:bC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8"/>
        </w:trPr>
        <w:tc>
          <w:tcPr>
            <w:tcW w:w="2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
        </w:trPr>
        <w:tc>
          <w:tcPr>
            <w:tcW w:w="6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56"/>
        </w:trPr>
        <w:tc>
          <w:tcPr>
            <w:tcW w:w="6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5"/>
                <w:sz w:val="20"/>
                <w:szCs w:val="20"/>
              </w:rPr>
              <w:t>Revenues . . . . . . . . . . . . . . . . . . . . . . . . . . . . . . . . . . . . . . . . . . . . . . . . . . . . . . . . . . . . . . . . . .</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4"/>
                <w:sz w:val="20"/>
                <w:szCs w:val="20"/>
              </w:rPr>
              <w:t>97,689</w:t>
            </w:r>
          </w:p>
        </w:tc>
        <w:tc>
          <w:tcPr>
            <w:tcW w:w="4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93,472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7"/>
                <w:sz w:val="20"/>
                <w:szCs w:val="20"/>
              </w:rPr>
              <w:t>Operating expenses . . . . . . . . . . . . . . . . . . . . . . . . . . . . . . . . . . . . . . . . . . . . . . . . . . . . . . . .</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4"/>
                <w:sz w:val="20"/>
                <w:szCs w:val="20"/>
              </w:rPr>
              <w:t>90,788</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87,208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8"/>
        </w:trPr>
        <w:tc>
          <w:tcPr>
            <w:tcW w:w="6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6"/>
                <w:sz w:val="20"/>
                <w:szCs w:val="20"/>
              </w:rPr>
              <w:t>Interest expense . . . . . . . . . . . . . . . . . . . . . . . . . . . . . . . . . . . . . . . . . . . . . . . . . . . . . . . . . . . .</w:t>
            </w: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109</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104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6"/>
                <w:sz w:val="20"/>
                <w:szCs w:val="20"/>
              </w:rPr>
              <w:t>Pre-tax earnings . . . . . . . . . . . . . . . . . . . . . . . . . . . . . . . . . . . . . . . . . . . . . . . . . . . . . . . . . . . .</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6,792</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6,160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8"/>
        </w:trPr>
        <w:tc>
          <w:tcPr>
            <w:tcW w:w="6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3"/>
                <w:sz w:val="20"/>
                <w:szCs w:val="20"/>
              </w:rPr>
              <w:t>Income taxes and non-controlling interests . . . . . . . . . . . . . . . . . . . . . . . . . . . . . . . . .</w:t>
            </w: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2,324</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2,283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86"/>
                <w:sz w:val="20"/>
                <w:szCs w:val="20"/>
              </w:rPr>
              <w:t>Net earnings . . . . . . . . . . . . . . . . . . . . . . . . . . . . . . . . . . . . . . . . . . . . . . . . . . . . . . . . . . . . . . .</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4,468</w:t>
            </w:r>
          </w:p>
        </w:tc>
        <w:tc>
          <w:tcPr>
            <w:tcW w:w="4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3,877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4"/>
        </w:trPr>
        <w:tc>
          <w:tcPr>
            <w:tcW w:w="2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2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0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61" w:lineRule="auto"/>
        <w:ind w:left="340" w:hanging="200"/>
        <w:rPr>
          <w:rFonts w:ascii="Times New Roman" w:hAnsi="Times New Roman" w:cs="Times New Roman"/>
          <w:sz w:val="24"/>
          <w:szCs w:val="24"/>
        </w:rPr>
      </w:pPr>
      <w:r>
        <w:rPr>
          <w:rFonts w:ascii="Times New Roman" w:hAnsi="Times New Roman" w:cs="Times New Roman"/>
          <w:sz w:val="19"/>
          <w:szCs w:val="19"/>
        </w:rPr>
        <w:t>$ 965 9,734</w:t>
      </w:r>
    </w:p>
    <w:p w:rsidR="00000000" w:rsidRDefault="00A06965">
      <w:pPr>
        <w:pStyle w:val="DefaultParagraphFont"/>
        <w:widowControl w:val="0"/>
        <w:autoSpaceDE w:val="0"/>
        <w:autoSpaceDN w:val="0"/>
        <w:adjustRightInd w:val="0"/>
        <w:spacing w:after="0" w:line="72" w:lineRule="exact"/>
        <w:rPr>
          <w:rFonts w:ascii="Times New Roman" w:hAnsi="Times New Roman" w:cs="Times New Roman"/>
          <w:sz w:val="24"/>
          <w:szCs w:val="24"/>
        </w:rPr>
      </w:pPr>
      <w:r>
        <w:rPr>
          <w:noProof/>
        </w:rPr>
        <mc:AlternateContent>
          <mc:Choice Requires="wps">
            <w:drawing>
              <wp:anchor distT="0" distB="0" distL="114300" distR="114300" simplePos="0" relativeHeight="251661312" behindDoc="1" locked="0" layoutInCell="0" allowOverlap="1">
                <wp:simplePos x="0" y="0"/>
                <wp:positionH relativeFrom="column">
                  <wp:posOffset>44450</wp:posOffset>
                </wp:positionH>
                <wp:positionV relativeFrom="paragraph">
                  <wp:posOffset>5715</wp:posOffset>
                </wp:positionV>
                <wp:extent cx="476250" cy="0"/>
                <wp:effectExtent l="0" t="0" r="0" b="0"/>
                <wp:wrapNone/>
                <wp:docPr id="6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45pt" to="4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" o:allowincell="f" strokeweight="1pt"/>
            </w:pict>
          </mc:Fallback>
        </mc:AlternateContent>
      </w:r>
    </w:p>
    <w:p w:rsidR="00000000" w:rsidRDefault="00A0696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Times New Roman" w:hAnsi="Times New Roman" w:cs="Times New Roman"/>
          <w:sz w:val="20"/>
          <w:szCs w:val="20"/>
        </w:rPr>
        <w:t>10,699</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7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Times New Roman" w:hAnsi="Times New Roman" w:cs="Times New Roman"/>
          <w:sz w:val="20"/>
          <w:szCs w:val="20"/>
        </w:rPr>
        <w:t>3,801</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Times New Roman" w:hAnsi="Times New Roman" w:cs="Times New Roman"/>
          <w:sz w:val="20"/>
          <w:szCs w:val="20"/>
        </w:rPr>
        <w:t>4,269</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Times New Roman" w:hAnsi="Times New Roman" w:cs="Times New Roman"/>
          <w:sz w:val="20"/>
          <w:szCs w:val="20"/>
        </w:rPr>
        <w:t>492</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Times New Roman" w:hAnsi="Times New Roman" w:cs="Times New Roman"/>
          <w:sz w:val="20"/>
          <w:szCs w:val="20"/>
        </w:rPr>
        <w:t>51,827</w:t>
      </w:r>
    </w:p>
    <w:p w:rsidR="00000000" w:rsidRDefault="00A06965">
      <w:pPr>
        <w:pStyle w:val="DefaultParagraphFont"/>
        <w:widowControl w:val="0"/>
        <w:autoSpaceDE w:val="0"/>
        <w:autoSpaceDN w:val="0"/>
        <w:adjustRightInd w:val="0"/>
        <w:spacing w:after="0" w:line="91" w:lineRule="exact"/>
        <w:rPr>
          <w:rFonts w:ascii="Times New Roman" w:hAnsi="Times New Roman" w:cs="Times New Roman"/>
          <w:sz w:val="24"/>
          <w:szCs w:val="24"/>
        </w:rPr>
      </w:pPr>
      <w:r>
        <w:rPr>
          <w:noProof/>
        </w:rPr>
        <mc:AlternateContent>
          <mc:Choice Requires="wps">
            <w:drawing>
              <wp:anchor distT="0" distB="0" distL="114300" distR="114300" simplePos="0" relativeHeight="251662336" behindDoc="1" locked="0" layoutInCell="0" allowOverlap="1">
                <wp:simplePos x="0" y="0"/>
                <wp:positionH relativeFrom="column">
                  <wp:posOffset>44450</wp:posOffset>
                </wp:positionH>
                <wp:positionV relativeFrom="paragraph">
                  <wp:posOffset>17780</wp:posOffset>
                </wp:positionV>
                <wp:extent cx="476250" cy="0"/>
                <wp:effectExtent l="0" t="0" r="0" b="0"/>
                <wp:wrapNone/>
                <wp:docPr id="6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4pt" to="41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" o:allowincell="f" strokeweight="1pt"/>
            </w:pict>
          </mc:Fallback>
        </mc:AlternateContent>
      </w:r>
    </w:p>
    <w:p w:rsidR="00000000" w:rsidRDefault="00A06965">
      <w:pPr>
        <w:pStyle w:val="DefaultParagraphFont"/>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0"/>
          <w:szCs w:val="20"/>
        </w:rPr>
        <w:t>$71,088</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663360" behindDoc="1" locked="0" layoutInCell="0" allowOverlap="1">
                <wp:simplePos x="0" y="0"/>
                <wp:positionH relativeFrom="column">
                  <wp:posOffset>44450</wp:posOffset>
                </wp:positionH>
                <wp:positionV relativeFrom="paragraph">
                  <wp:posOffset>32385</wp:posOffset>
                </wp:positionV>
                <wp:extent cx="476250" cy="0"/>
                <wp:effectExtent l="0" t="0" r="0" b="0"/>
                <wp:wrapNone/>
                <wp:docPr id="6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2.55pt" to="4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V6HQIAAEE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" o:allowincell="f"/>
            </w:pict>
          </mc:Fallback>
        </mc:AlternateContent>
      </w:r>
      <w:r>
        <w:rPr>
          <w:noProof/>
        </w:rPr>
        <mc:AlternateContent>
          <mc:Choice Requires="wps">
            <w:drawing>
              <wp:anchor distT="0" distB="0" distL="114300" distR="114300" simplePos="0" relativeHeight="251664384" behindDoc="1" locked="0" layoutInCell="0" allowOverlap="1">
                <wp:simplePos x="0" y="0"/>
                <wp:positionH relativeFrom="column">
                  <wp:posOffset>44450</wp:posOffset>
                </wp:positionH>
                <wp:positionV relativeFrom="paragraph">
                  <wp:posOffset>51435</wp:posOffset>
                </wp:positionV>
                <wp:extent cx="476250" cy="0"/>
                <wp:effectExtent l="0" t="0" r="0" b="0"/>
                <wp:wrapNone/>
                <wp:docPr id="6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4.05pt" to="41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" o:allowincell="f"/>
            </w:pict>
          </mc:Fallback>
        </mc:AlternateConten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180"/>
        <w:rPr>
          <w:rFonts w:ascii="Times New Roman" w:hAnsi="Times New Roman" w:cs="Times New Roman"/>
          <w:sz w:val="24"/>
          <w:szCs w:val="24"/>
        </w:rPr>
      </w:pPr>
      <w:r>
        <w:rPr>
          <w:rFonts w:ascii="Times New Roman" w:hAnsi="Times New Roman" w:cs="Times New Roman"/>
          <w:i/>
          <w:iCs/>
          <w:sz w:val="20"/>
          <w:szCs w:val="20"/>
        </w:rPr>
        <w:t>2012</w:t>
      </w:r>
      <w:r>
        <w:rPr>
          <w:rFonts w:ascii="Times New Roman" w:hAnsi="Times New Roman" w:cs="Times New Roman"/>
          <w:b/>
          <w:bCs/>
          <w:sz w:val="20"/>
          <w:szCs w:val="20"/>
        </w:rPr>
        <w:t>*</w:t>
      </w:r>
    </w:p>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r>
        <w:rPr>
          <w:noProof/>
        </w:rPr>
        <mc:AlternateContent>
          <mc:Choice Requires="wps">
            <w:drawing>
              <wp:anchor distT="0" distB="0" distL="114300" distR="114300" simplePos="0" relativeHeight="251665408" behindDoc="1" locked="0" layoutInCell="0" allowOverlap="1">
                <wp:simplePos x="0" y="0"/>
                <wp:positionH relativeFrom="column">
                  <wp:posOffset>-31750</wp:posOffset>
                </wp:positionH>
                <wp:positionV relativeFrom="paragraph">
                  <wp:posOffset>18415</wp:posOffset>
                </wp:positionV>
                <wp:extent cx="476250" cy="0"/>
                <wp:effectExtent l="0" t="0" r="0" b="0"/>
                <wp:wrapNone/>
                <wp:docPr id="6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5pt" to="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HQIAAEE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" o:allowincell="f"/>
            </w:pict>
          </mc:Fallback>
        </mc:AlternateContent>
      </w:r>
    </w:p>
    <w:p w:rsidR="00000000" w:rsidRDefault="00A06965">
      <w:pPr>
        <w:pStyle w:val="DefaultParagraphFont"/>
        <w:widowControl w:val="0"/>
        <w:overflowPunct w:val="0"/>
        <w:autoSpaceDE w:val="0"/>
        <w:autoSpaceDN w:val="0"/>
        <w:adjustRightInd w:val="0"/>
        <w:spacing w:after="0" w:line="262" w:lineRule="auto"/>
        <w:ind w:right="140"/>
        <w:jc w:val="right"/>
        <w:rPr>
          <w:rFonts w:ascii="Times New Roman" w:hAnsi="Times New Roman" w:cs="Times New Roman"/>
          <w:sz w:val="24"/>
          <w:szCs w:val="24"/>
        </w:rPr>
      </w:pPr>
      <w:r>
        <w:rPr>
          <w:rFonts w:ascii="Times New Roman" w:hAnsi="Times New Roman" w:cs="Times New Roman"/>
          <w:sz w:val="19"/>
          <w:szCs w:val="19"/>
        </w:rPr>
        <w:t>$81,432 75,734 112</w:t>
      </w:r>
    </w:p>
    <w:p w:rsidR="00000000" w:rsidRDefault="00A06965">
      <w:pPr>
        <w:pStyle w:val="DefaultParagraphFont"/>
        <w:widowControl w:val="0"/>
        <w:autoSpaceDE w:val="0"/>
        <w:autoSpaceDN w:val="0"/>
        <w:adjustRightInd w:val="0"/>
        <w:spacing w:after="0" w:line="71" w:lineRule="exact"/>
        <w:rPr>
          <w:rFonts w:ascii="Times New Roman" w:hAnsi="Times New Roman" w:cs="Times New Roman"/>
          <w:sz w:val="24"/>
          <w:szCs w:val="24"/>
        </w:rPr>
      </w:pPr>
      <w:r>
        <w:rPr>
          <w:noProof/>
        </w:rPr>
        <mc:AlternateContent>
          <mc:Choice Requires="wps">
            <w:drawing>
              <wp:anchor distT="0" distB="0" distL="114300" distR="114300" simplePos="0" relativeHeight="251666432" behindDoc="1" locked="0" layoutInCell="0" allowOverlap="1">
                <wp:simplePos x="0" y="0"/>
                <wp:positionH relativeFrom="column">
                  <wp:posOffset>-31750</wp:posOffset>
                </wp:positionH>
                <wp:positionV relativeFrom="paragraph">
                  <wp:posOffset>5715</wp:posOffset>
                </wp:positionV>
                <wp:extent cx="476250" cy="0"/>
                <wp:effectExtent l="0" t="0" r="0" b="0"/>
                <wp:wrapNone/>
                <wp:docPr id="6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" o:allowincell="f" strokeweight="1pt"/>
            </w:pict>
          </mc:Fallback>
        </mc:AlternateContent>
      </w:r>
    </w:p>
    <w:p w:rsidR="00000000" w:rsidRDefault="00A06965">
      <w:pPr>
        <w:pStyle w:val="DefaultParagraphFont"/>
        <w:widowControl w:val="0"/>
        <w:autoSpaceDE w:val="0"/>
        <w:autoSpaceDN w:val="0"/>
        <w:adjustRightInd w:val="0"/>
        <w:spacing w:after="0" w:line="239" w:lineRule="auto"/>
        <w:ind w:left="200"/>
        <w:rPr>
          <w:rFonts w:ascii="Times New Roman" w:hAnsi="Times New Roman" w:cs="Times New Roman"/>
          <w:sz w:val="24"/>
          <w:szCs w:val="24"/>
        </w:rPr>
      </w:pPr>
      <w:r>
        <w:rPr>
          <w:rFonts w:ascii="Times New Roman" w:hAnsi="Times New Roman" w:cs="Times New Roman"/>
          <w:sz w:val="20"/>
          <w:szCs w:val="20"/>
        </w:rPr>
        <w:t>5,586</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00"/>
        <w:rPr>
          <w:rFonts w:ascii="Times New Roman" w:hAnsi="Times New Roman" w:cs="Times New Roman"/>
          <w:sz w:val="24"/>
          <w:szCs w:val="24"/>
        </w:rPr>
      </w:pPr>
      <w:r>
        <w:rPr>
          <w:rFonts w:ascii="Times New Roman" w:hAnsi="Times New Roman" w:cs="Times New Roman"/>
          <w:sz w:val="20"/>
          <w:szCs w:val="20"/>
        </w:rPr>
        <w:t>2,229</w:t>
      </w:r>
    </w:p>
    <w:p w:rsidR="00000000" w:rsidRDefault="00A06965">
      <w:pPr>
        <w:pStyle w:val="DefaultParagraphFont"/>
        <w:widowControl w:val="0"/>
        <w:autoSpaceDE w:val="0"/>
        <w:autoSpaceDN w:val="0"/>
        <w:adjustRightInd w:val="0"/>
        <w:spacing w:after="0" w:line="91" w:lineRule="exact"/>
        <w:rPr>
          <w:rFonts w:ascii="Times New Roman" w:hAnsi="Times New Roman" w:cs="Times New Roman"/>
          <w:sz w:val="24"/>
          <w:szCs w:val="24"/>
        </w:rPr>
      </w:pPr>
      <w:r>
        <w:rPr>
          <w:noProof/>
        </w:rPr>
        <mc:AlternateContent>
          <mc:Choice Requires="wps">
            <w:drawing>
              <wp:anchor distT="0" distB="0" distL="114300" distR="114300" simplePos="0" relativeHeight="251667456" behindDoc="1" locked="0" layoutInCell="0" allowOverlap="1">
                <wp:simplePos x="0" y="0"/>
                <wp:positionH relativeFrom="column">
                  <wp:posOffset>-31750</wp:posOffset>
                </wp:positionH>
                <wp:positionV relativeFrom="paragraph">
                  <wp:posOffset>17780</wp:posOffset>
                </wp:positionV>
                <wp:extent cx="476250" cy="0"/>
                <wp:effectExtent l="0" t="0" r="0" b="0"/>
                <wp:wrapNone/>
                <wp:docPr id="6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pt" to="3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" o:allowincell="f" strokeweight="1pt"/>
            </w:pict>
          </mc:Fallback>
        </mc:AlternateContent>
      </w: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$ 3,357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1520" w:bottom="943" w:left="1440" w:header="720" w:footer="720" w:gutter="0"/>
          <w:cols w:num="2" w:space="320" w:equalWidth="0">
            <w:col w:w="8180" w:space="320"/>
            <w:col w:w="780"/>
          </w:cols>
          <w:noEndnote/>
        </w:sectPr>
      </w:pPr>
      <w:r>
        <w:rPr>
          <w:noProof/>
        </w:rPr>
        <mc:AlternateContent>
          <mc:Choice Requires="wps">
            <w:drawing>
              <wp:anchor distT="0" distB="0" distL="114300" distR="114300" simplePos="0" relativeHeight="251668480" behindDoc="1" locked="0" layoutInCell="0" allowOverlap="1">
                <wp:simplePos x="0" y="0"/>
                <wp:positionH relativeFrom="column">
                  <wp:posOffset>-31750</wp:posOffset>
                </wp:positionH>
                <wp:positionV relativeFrom="paragraph">
                  <wp:posOffset>32385</wp:posOffset>
                </wp:positionV>
                <wp:extent cx="476250" cy="0"/>
                <wp:effectExtent l="0" t="0" r="0" b="0"/>
                <wp:wrapNone/>
                <wp:docPr id="5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55pt" to="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" o:allowincell="f"/>
            </w:pict>
          </mc:Fallback>
        </mc:AlternateContent>
      </w:r>
      <w:r>
        <w:rPr>
          <w:noProof/>
        </w:rPr>
        <mc:AlternateContent>
          <mc:Choice Requires="wps">
            <w:drawing>
              <wp:anchor distT="0" distB="0" distL="114300" distR="114300" simplePos="0" relativeHeight="251669504" behindDoc="1" locked="0" layoutInCell="0" allowOverlap="1">
                <wp:simplePos x="0" y="0"/>
                <wp:positionH relativeFrom="column">
                  <wp:posOffset>-31750</wp:posOffset>
                </wp:positionH>
                <wp:positionV relativeFrom="paragraph">
                  <wp:posOffset>51435</wp:posOffset>
                </wp:positionV>
                <wp:extent cx="476250" cy="0"/>
                <wp:effectExtent l="0" t="0" r="0" b="0"/>
                <wp:wrapNone/>
                <wp:docPr id="5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" o:allowincell="f"/>
            </w:pict>
          </mc:Fallback>
        </mc:AlternateContent>
      </w:r>
    </w:p>
    <w:p w:rsidR="00000000" w:rsidRDefault="00A06965">
      <w:pPr>
        <w:pStyle w:val="DefaultParagraphFont"/>
        <w:widowControl w:val="0"/>
        <w:autoSpaceDE w:val="0"/>
        <w:autoSpaceDN w:val="0"/>
        <w:adjustRightInd w:val="0"/>
        <w:spacing w:after="0" w:line="25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*Earnings for 2012 and 2013 have been restated to exclude Marmon’s leasing operations, which are now included in the Finance and Financial Products section.</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Our income and expense data conforming to GAAP is on page 49. In contrast, the operating expense figures above are non-GAAP and exclude some purchase-accounting items (primarily the amortization of certain intangible assets). We present the data in this ma</w:t>
      </w:r>
      <w:r>
        <w:rPr>
          <w:rFonts w:ascii="Times New Roman" w:hAnsi="Times New Roman" w:cs="Times New Roman"/>
          <w:sz w:val="20"/>
          <w:szCs w:val="20"/>
        </w:rPr>
        <w:t>nner because Charlie and I believe the adjusted numbers more accurately reflect the true economic expenses and profits of the businesses aggregated in the table than do GAAP figures.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I won’t explain all of the adjustments – some are tiny and arcane – but </w:t>
      </w:r>
      <w:r>
        <w:rPr>
          <w:rFonts w:ascii="Times New Roman" w:hAnsi="Times New Roman" w:cs="Times New Roman"/>
          <w:sz w:val="20"/>
          <w:szCs w:val="20"/>
        </w:rPr>
        <w:t xml:space="preserve">serious investors should understand the disparate nature of intangible assets. Some truly deplete over time, while others </w:t>
      </w:r>
      <w:r>
        <w:rPr>
          <w:rFonts w:ascii="Times New Roman" w:hAnsi="Times New Roman" w:cs="Times New Roman"/>
          <w:i/>
          <w:iCs/>
          <w:sz w:val="20"/>
          <w:szCs w:val="20"/>
        </w:rPr>
        <w:t>in no way</w:t>
      </w:r>
      <w:r>
        <w:rPr>
          <w:rFonts w:ascii="Times New Roman" w:hAnsi="Times New Roman" w:cs="Times New Roman"/>
          <w:sz w:val="20"/>
          <w:szCs w:val="20"/>
        </w:rPr>
        <w:t xml:space="preserve"> lose value. For software, as a big example, amortization charges are very real expenses. The concept of making charges again</w:t>
      </w:r>
      <w:r>
        <w:rPr>
          <w:rFonts w:ascii="Times New Roman" w:hAnsi="Times New Roman" w:cs="Times New Roman"/>
          <w:sz w:val="20"/>
          <w:szCs w:val="20"/>
        </w:rPr>
        <w:t>st other intangibles, such as the amortization of customer relationships, however, arises through purchase-accounting rules and clearly does not reflect reality. GAAP accounting draws no distinction between the two types of charges. Both, that is, are reco</w:t>
      </w:r>
      <w:r>
        <w:rPr>
          <w:rFonts w:ascii="Times New Roman" w:hAnsi="Times New Roman" w:cs="Times New Roman"/>
          <w:sz w:val="20"/>
          <w:szCs w:val="20"/>
        </w:rPr>
        <w:t>rded as expenses when earnings are calculated – even though from an investor’s viewpoint they could not be more different.</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1440" w:bottom="943" w:left="1440" w:header="720" w:footer="720" w:gutter="0"/>
          <w:cols w:space="320" w:equalWidth="0">
            <w:col w:w="9360" w:space="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2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6020" w:bottom="943" w:left="6020" w:header="720" w:footer="720" w:gutter="0"/>
          <w:cols w:space="320" w:equalWidth="0">
            <w:col w:w="200" w:space="320"/>
          </w:cols>
          <w:noEndnote/>
        </w:sect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In the GAAP-compliant figures we show on page 49, amortization charges of $1.15 billion have been deducted as expenses. We would call about 20% of these “real,” the rest not. The “non-real” charges, once non-existent at Berkshire, have become significant b</w:t>
      </w:r>
      <w:r>
        <w:rPr>
          <w:rFonts w:ascii="Times New Roman" w:hAnsi="Times New Roman" w:cs="Times New Roman"/>
          <w:sz w:val="20"/>
          <w:szCs w:val="20"/>
        </w:rPr>
        <w:t>ecause of the many acquisitions we have made. Non-real amortization charges will almost certainly rise further as we acquire more companies.</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The GAAP-compliant table on page 67 gives you the current status of our intangible assets. We now have $7.4 billio</w:t>
      </w:r>
      <w:r>
        <w:rPr>
          <w:rFonts w:ascii="Times New Roman" w:hAnsi="Times New Roman" w:cs="Times New Roman"/>
          <w:sz w:val="20"/>
          <w:szCs w:val="20"/>
        </w:rPr>
        <w:t>n left to amortize, of which $4.1 billion will be charged over the next five years. Eventually, of course, every dollar of non-real costs becomes entirely charged off. When that happens, reported earnings increase even if true earnings are flat.</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Depreciat</w:t>
      </w:r>
      <w:r>
        <w:rPr>
          <w:rFonts w:ascii="Times New Roman" w:hAnsi="Times New Roman" w:cs="Times New Roman"/>
          <w:sz w:val="20"/>
          <w:szCs w:val="20"/>
        </w:rPr>
        <w:t>ion charges, we want to emphasize, are different: Every dime of depreciation expense we report is a real cost. That’s true, moreover, at most other companies. When CEOs tout EBITDA as a valuation guide, wire them up for a polygraph test.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Times New Roman" w:hAnsi="Times New Roman" w:cs="Times New Roman"/>
          <w:sz w:val="20"/>
          <w:szCs w:val="20"/>
        </w:rPr>
        <w:t>Our public report</w:t>
      </w:r>
      <w:r>
        <w:rPr>
          <w:rFonts w:ascii="Times New Roman" w:hAnsi="Times New Roman" w:cs="Times New Roman"/>
          <w:sz w:val="20"/>
          <w:szCs w:val="20"/>
        </w:rPr>
        <w:t>s of earnings will, of course, continue to conform to GAAP. To embrace reality, however, you should remember to add back most of the amortization charges we report.</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80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To get back to our many manufacturing, service and retailing operations, they sell products ranging from lollipops to jet airplanes. Some of this sector’s businesses, measured by earnings on unleveraged net </w:t>
      </w:r>
      <w:r>
        <w:rPr>
          <w:rFonts w:ascii="Times New Roman" w:hAnsi="Times New Roman" w:cs="Times New Roman"/>
          <w:i/>
          <w:iCs/>
          <w:sz w:val="20"/>
          <w:szCs w:val="20"/>
        </w:rPr>
        <w:t>tangible</w:t>
      </w:r>
      <w:r>
        <w:rPr>
          <w:rFonts w:ascii="Times New Roman" w:hAnsi="Times New Roman" w:cs="Times New Roman"/>
          <w:sz w:val="20"/>
          <w:szCs w:val="20"/>
        </w:rPr>
        <w:t xml:space="preserve"> assets, enjoy terrific economics, produc</w:t>
      </w:r>
      <w:r>
        <w:rPr>
          <w:rFonts w:ascii="Times New Roman" w:hAnsi="Times New Roman" w:cs="Times New Roman"/>
          <w:sz w:val="20"/>
          <w:szCs w:val="20"/>
        </w:rPr>
        <w:t>ing profits that run from 25% after-tax to far more than 100%. Others generate good returns in the area of 12% to 20%. A few, however, have very poor returns, the result of some serious mistakes I made in my job of capital allocation. I was not misled: I s</w:t>
      </w:r>
      <w:r>
        <w:rPr>
          <w:rFonts w:ascii="Times New Roman" w:hAnsi="Times New Roman" w:cs="Times New Roman"/>
          <w:sz w:val="20"/>
          <w:szCs w:val="20"/>
        </w:rPr>
        <w:t>imply was wrong in my evaluation of the economic dynamics of the company or the industry in which it operates.</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Fortunately, my blunders normally involved relatively small acquisitions. Our large buys have generally worked out well and, in a few cases, mor</w:t>
      </w:r>
      <w:r>
        <w:rPr>
          <w:rFonts w:ascii="Times New Roman" w:hAnsi="Times New Roman" w:cs="Times New Roman"/>
          <w:sz w:val="20"/>
          <w:szCs w:val="20"/>
        </w:rPr>
        <w:t>e than well. I have not, nonetheless, made my last mistake in purchasing either businesses or stocks. Not everything works out as planned.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Viewed as a single entity, the companies in this group are an excellent business. They employed an average of $24 bi</w:t>
      </w:r>
      <w:r>
        <w:rPr>
          <w:rFonts w:ascii="Times New Roman" w:hAnsi="Times New Roman" w:cs="Times New Roman"/>
          <w:sz w:val="20"/>
          <w:szCs w:val="20"/>
        </w:rPr>
        <w:t>llion of net tangible assets during 2014 and, despite their holding large quantities of excess cash and using little leverage, earned 18.7% after-tax on that capital.</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Of course, a business with terrific economics can be a bad investment if it is bought fo</w:t>
      </w:r>
      <w:r>
        <w:rPr>
          <w:rFonts w:ascii="Times New Roman" w:hAnsi="Times New Roman" w:cs="Times New Roman"/>
          <w:sz w:val="20"/>
          <w:szCs w:val="20"/>
        </w:rPr>
        <w:t xml:space="preserve">r too high a price. We have paid substantial premiums to net tangible assets for most of our businesses, a cost that is reflected in the large figure we show for goodwill. Overall, however, we are getting a decent return on the capital we have deployed in </w:t>
      </w:r>
      <w:r>
        <w:rPr>
          <w:rFonts w:ascii="Times New Roman" w:hAnsi="Times New Roman" w:cs="Times New Roman"/>
          <w:sz w:val="20"/>
          <w:szCs w:val="20"/>
        </w:rPr>
        <w:t>this sector. Furthermore, the intrinsic value of these businesses, in aggregate, exceeds their carrying value by a good margin, and that premium is likely to widen. Even so, the difference between intrinsic value and carrying value in both the insurance an</w:t>
      </w:r>
      <w:r>
        <w:rPr>
          <w:rFonts w:ascii="Times New Roman" w:hAnsi="Times New Roman" w:cs="Times New Roman"/>
          <w:sz w:val="20"/>
          <w:szCs w:val="20"/>
        </w:rPr>
        <w:t xml:space="preserve">d regulated-industry segments is </w:t>
      </w:r>
      <w:r>
        <w:rPr>
          <w:rFonts w:ascii="Times New Roman" w:hAnsi="Times New Roman" w:cs="Times New Roman"/>
          <w:i/>
          <w:iCs/>
          <w:sz w:val="20"/>
          <w:szCs w:val="20"/>
        </w:rPr>
        <w:t>far</w:t>
      </w:r>
      <w:r>
        <w:rPr>
          <w:rFonts w:ascii="Times New Roman" w:hAnsi="Times New Roman" w:cs="Times New Roman"/>
          <w:sz w:val="20"/>
          <w:szCs w:val="20"/>
        </w:rPr>
        <w:t xml:space="preserve"> greater. It is there that the truly big winners reside.</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80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We have far too many companies in this group to comment on them individually. Moreover, their competitors – both current and potential – </w:t>
      </w:r>
      <w:r>
        <w:rPr>
          <w:rFonts w:ascii="Times New Roman" w:hAnsi="Times New Roman" w:cs="Times New Roman"/>
          <w:sz w:val="20"/>
          <w:szCs w:val="20"/>
        </w:rPr>
        <w:t>read this report. In a few of our businesses we might be disadvantaged if others knew our numbers. In some of our operations that are not of a size material to an evaluation of Berkshire, therefore, we only disclose what is required. You can find a good bi</w:t>
      </w:r>
      <w:r>
        <w:rPr>
          <w:rFonts w:ascii="Times New Roman" w:hAnsi="Times New Roman" w:cs="Times New Roman"/>
          <w:sz w:val="20"/>
          <w:szCs w:val="20"/>
        </w:rPr>
        <w:t>t of detail about many of our operations, however, on pages 97-100.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Finance and Financial Products</w:t>
      </w: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This year we include in this section Marmon’</w:t>
      </w:r>
      <w:r>
        <w:rPr>
          <w:rFonts w:ascii="Times New Roman" w:hAnsi="Times New Roman" w:cs="Times New Roman"/>
          <w:sz w:val="20"/>
          <w:szCs w:val="20"/>
        </w:rPr>
        <w:t>s very sizable leasing operations, whose wares are railcars, containers and cranes. We have also restated the previous two years to reflect that change. Why have we made it? At one time there was a large minority ownership at Marmon, and I felt it was more</w:t>
      </w:r>
      <w:r>
        <w:rPr>
          <w:rFonts w:ascii="Times New Roman" w:hAnsi="Times New Roman" w:cs="Times New Roman"/>
          <w:sz w:val="20"/>
          <w:szCs w:val="20"/>
        </w:rPr>
        <w:t xml:space="preserve"> understandable to include all of the company’s operations in one place. Today we own virtually 100% of Marmon, which makes me think you will gain more insight into our various businesses if we include Marmon’s leasing operations under this heading. (The f</w:t>
      </w:r>
      <w:r>
        <w:rPr>
          <w:rFonts w:ascii="Times New Roman" w:hAnsi="Times New Roman" w:cs="Times New Roman"/>
          <w:sz w:val="20"/>
          <w:szCs w:val="20"/>
        </w:rPr>
        <w:t>igures for the many dozens of Marmon’s other businesses remain in the previous section.)</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Our other leasing and rental operations are conducted by CORT (furniture) and XTRA (semi-trailers). These companies are industry leaders and have substantially increased their earnings as the American economy has gained strength. Both companies have invest</w:t>
      </w:r>
      <w:r>
        <w:rPr>
          <w:rFonts w:ascii="Times New Roman" w:hAnsi="Times New Roman" w:cs="Times New Roman"/>
          <w:sz w:val="20"/>
          <w:szCs w:val="20"/>
        </w:rPr>
        <w:t>ed more money in new equipment than have many of their competitors, and that’s paying off.</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Kevin Clayton has again delivered an industry-leading performance at Clayton Homes, the largest home builder in America. Last year, Clayton sold 30,871 homes, about</w:t>
      </w:r>
      <w:r>
        <w:rPr>
          <w:rFonts w:ascii="Times New Roman" w:hAnsi="Times New Roman" w:cs="Times New Roman"/>
          <w:sz w:val="20"/>
          <w:szCs w:val="20"/>
        </w:rPr>
        <w:t xml:space="preserve"> 45% of the manufactured homes bought by Americans. When we purchased Clayton in 2003 for $1.7 billion, its share was 14%.</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Key to Clayton’s earnings is the company’s $13 billion mortgage portfolio. During the financial panic of 2008 and 2009, when funding</w:t>
      </w:r>
      <w:r>
        <w:rPr>
          <w:rFonts w:ascii="Times New Roman" w:hAnsi="Times New Roman" w:cs="Times New Roman"/>
          <w:sz w:val="20"/>
          <w:szCs w:val="20"/>
        </w:rPr>
        <w:t xml:space="preserve"> for the industry dried up, Clayton was able to keep lending because of Berkshire’s backing. In fact, we continued during that period to finance our competitors’ retail sales as well as our own.</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Many of Clayton’s borrowers have low incomes and mediocre FI</w:t>
      </w:r>
      <w:r>
        <w:rPr>
          <w:rFonts w:ascii="Times New Roman" w:hAnsi="Times New Roman" w:cs="Times New Roman"/>
          <w:sz w:val="20"/>
          <w:szCs w:val="20"/>
        </w:rPr>
        <w:t>CO scores. But thanks to the company’s sensible lending practices, its portfolio performed well during the recession, meaning a very high percentage of our borrowers kept their homes. Our blue-collar borrowers, in many cases, proved much better credit risk</w:t>
      </w:r>
      <w:r>
        <w:rPr>
          <w:rFonts w:ascii="Times New Roman" w:hAnsi="Times New Roman" w:cs="Times New Roman"/>
          <w:sz w:val="20"/>
          <w:szCs w:val="20"/>
        </w:rPr>
        <w:t>s than their higher-income brethren.</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At Marmon’s railroad-car operation, lease rates have improved substantially over the past few years. The nature of this business, however, is that only 20% or so of our leases expire annually. Consequently, improved pr</w:t>
      </w:r>
      <w:r>
        <w:rPr>
          <w:rFonts w:ascii="Times New Roman" w:hAnsi="Times New Roman" w:cs="Times New Roman"/>
          <w:sz w:val="20"/>
          <w:szCs w:val="20"/>
        </w:rPr>
        <w:t>icing only gradually works its way into our revenue stream. The trend, though, is strong. Our 105,000-car fleet consists largely of tank cars, but only 8% of those transport crude oil.</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860"/>
        <w:jc w:val="both"/>
        <w:rPr>
          <w:rFonts w:ascii="Times New Roman" w:hAnsi="Times New Roman" w:cs="Times New Roman"/>
          <w:sz w:val="24"/>
          <w:szCs w:val="24"/>
        </w:rPr>
      </w:pPr>
      <w:r>
        <w:rPr>
          <w:rFonts w:ascii="Times New Roman" w:hAnsi="Times New Roman" w:cs="Times New Roman"/>
          <w:sz w:val="20"/>
          <w:szCs w:val="20"/>
        </w:rPr>
        <w:t>One further fact about our rail operation is important for you to know</w:t>
      </w:r>
      <w:r>
        <w:rPr>
          <w:rFonts w:ascii="Times New Roman" w:hAnsi="Times New Roman" w:cs="Times New Roman"/>
          <w:sz w:val="20"/>
          <w:szCs w:val="20"/>
        </w:rPr>
        <w:t xml:space="preserve">: Unlike many other lessors, we manufacture our own tank cars, about 6,000 of them in a good year. We do not book </w:t>
      </w:r>
      <w:r>
        <w:rPr>
          <w:rFonts w:ascii="Times New Roman" w:hAnsi="Times New Roman" w:cs="Times New Roman"/>
          <w:i/>
          <w:iCs/>
          <w:sz w:val="20"/>
          <w:szCs w:val="20"/>
        </w:rPr>
        <w:t>any</w:t>
      </w:r>
      <w:r>
        <w:rPr>
          <w:rFonts w:ascii="Times New Roman" w:hAnsi="Times New Roman" w:cs="Times New Roman"/>
          <w:sz w:val="20"/>
          <w:szCs w:val="20"/>
        </w:rPr>
        <w:t xml:space="preserve"> profit when we transfer cars from our manufacturing division to our leasing division. Our fleet is consequently placed on our books at a “</w:t>
      </w:r>
      <w:r>
        <w:rPr>
          <w:rFonts w:ascii="Times New Roman" w:hAnsi="Times New Roman" w:cs="Times New Roman"/>
          <w:sz w:val="20"/>
          <w:szCs w:val="20"/>
        </w:rPr>
        <w:t>bargain” price. The difference between that figure and a “retail” price is only slowly reflected in our earnings through smaller annual depreciation charges that we enjoy over the 30-year life of the car. Because of that fact as well as others, Marmon’s ra</w:t>
      </w:r>
      <w:r>
        <w:rPr>
          <w:rFonts w:ascii="Times New Roman" w:hAnsi="Times New Roman" w:cs="Times New Roman"/>
          <w:sz w:val="20"/>
          <w:szCs w:val="20"/>
        </w:rPr>
        <w:t>il fleet is worth considerably more than the $5 billion figure at which it is carried on our books.</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tbl>
      <w:tblPr>
        <w:tblW w:w="0" w:type="auto"/>
        <w:tblInd w:w="800" w:type="dxa"/>
        <w:tblLayout w:type="fixed"/>
        <w:tblCellMar>
          <w:left w:w="0" w:type="dxa"/>
          <w:right w:w="0" w:type="dxa"/>
        </w:tblCellMar>
        <w:tblLook w:val="0000" w:firstRow="0" w:lastRow="0" w:firstColumn="0" w:lastColumn="0" w:noHBand="0" w:noVBand="0"/>
      </w:tblPr>
      <w:tblGrid>
        <w:gridCol w:w="3520"/>
        <w:gridCol w:w="220"/>
        <w:gridCol w:w="780"/>
        <w:gridCol w:w="480"/>
        <w:gridCol w:w="140"/>
        <w:gridCol w:w="220"/>
        <w:gridCol w:w="720"/>
        <w:gridCol w:w="60"/>
        <w:gridCol w:w="520"/>
        <w:gridCol w:w="60"/>
        <w:gridCol w:w="160"/>
        <w:gridCol w:w="640"/>
        <w:gridCol w:w="40"/>
      </w:tblGrid>
      <w:tr w:rsidR="00000000">
        <w:tblPrEx>
          <w:tblCellMar>
            <w:top w:w="0" w:type="dxa"/>
            <w:left w:w="0" w:type="dxa"/>
            <w:bottom w:w="0" w:type="dxa"/>
            <w:right w:w="0" w:type="dxa"/>
          </w:tblCellMar>
        </w:tblPrEx>
        <w:trPr>
          <w:trHeight w:val="230"/>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60"/>
              <w:rPr>
                <w:rFonts w:ascii="Times New Roman" w:hAnsi="Times New Roman" w:cs="Times New Roman"/>
                <w:sz w:val="24"/>
                <w:szCs w:val="24"/>
              </w:rPr>
            </w:pPr>
            <w:r>
              <w:rPr>
                <w:rFonts w:ascii="Times New Roman" w:hAnsi="Times New Roman" w:cs="Times New Roman"/>
                <w:sz w:val="20"/>
                <w:szCs w:val="20"/>
              </w:rPr>
              <w:t>Here’s the earnings recap for this sector:</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418"/>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i/>
                <w:iCs/>
                <w:sz w:val="20"/>
                <w:szCs w:val="20"/>
              </w:rPr>
              <w:t>2014</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ind w:right="140"/>
              <w:jc w:val="right"/>
              <w:rPr>
                <w:rFonts w:ascii="Times New Roman" w:hAnsi="Times New Roman" w:cs="Times New Roman"/>
                <w:sz w:val="24"/>
                <w:szCs w:val="24"/>
              </w:rPr>
            </w:pPr>
            <w:r>
              <w:rPr>
                <w:rFonts w:ascii="Times New Roman" w:hAnsi="Times New Roman" w:cs="Times New Roman"/>
                <w:i/>
                <w:iCs/>
                <w:sz w:val="20"/>
                <w:szCs w:val="20"/>
              </w:rPr>
              <w:t>2013</w:t>
            </w: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i/>
                <w:iCs/>
                <w:sz w:val="20"/>
                <w:szCs w:val="20"/>
              </w:rPr>
              <w:t>2012</w:t>
            </w: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320"/>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80" w:type="dxa"/>
            <w:gridSpan w:val="3"/>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sz w:val="20"/>
                <w:szCs w:val="20"/>
              </w:rPr>
              <w:t>(in millions)</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342"/>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Berkadia (our 50% share) . . . . . . . . . . . . .</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w:t>
            </w: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122</w:t>
            </w:r>
          </w:p>
        </w:tc>
        <w:tc>
          <w:tcPr>
            <w:tcW w:w="8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80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New Roman" w:hAnsi="Times New Roman" w:cs="Times New Roman"/>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3"/>
                <w:sz w:val="20"/>
                <w:szCs w:val="20"/>
              </w:rPr>
              <w:t>Clayton . . . . . . . . . . . . . . . . . . . . . . . . . . . . . . .</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558</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416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255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3"/>
                <w:sz w:val="20"/>
                <w:szCs w:val="20"/>
              </w:rPr>
              <w:t>CORT . . . . . . . . . . . . . . . . . . . . . . . . . . . . . . . .</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36</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40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42</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Marmon – Containers and Cranes . . . . .</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238</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226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246</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8"/>
                <w:sz w:val="20"/>
                <w:szCs w:val="20"/>
              </w:rPr>
              <w:t>Marmon – Railcars . . . . . . . . . . . . . . . . . . . .</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442</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353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299</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w w:val="93"/>
                <w:sz w:val="20"/>
                <w:szCs w:val="20"/>
              </w:rPr>
              <w:t>XTRA . . . . . . . . . . . . . . . . . . . . . . . . . . . . . . . .</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147</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125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106</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58"/>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Net financial income* . . . . . . . . . . . . . . . . .</w:t>
            </w: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296</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324</w:t>
            </w: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410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82"/>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0"/>
                <w:szCs w:val="20"/>
              </w:rPr>
              <w:t>$</w:t>
            </w: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0"/>
                <w:szCs w:val="20"/>
              </w:rPr>
              <w:t>1,839</w:t>
            </w:r>
          </w:p>
        </w:tc>
        <w:tc>
          <w:tcPr>
            <w:tcW w:w="8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New Roman" w:hAnsi="Times New Roman" w:cs="Times New Roman"/>
                <w:sz w:val="20"/>
                <w:szCs w:val="20"/>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0"/>
                <w:szCs w:val="20"/>
              </w:rPr>
              <w:t>1,564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New Roman" w:hAnsi="Times New Roman" w:cs="Times New Roman"/>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0"/>
                <w:szCs w:val="20"/>
              </w:rPr>
              <w:t>1,393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4"/>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7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r>
      <w:tr w:rsidR="00000000">
        <w:tblPrEx>
          <w:tblCellMar>
            <w:top w:w="0" w:type="dxa"/>
            <w:left w:w="0" w:type="dxa"/>
            <w:bottom w:w="0" w:type="dxa"/>
            <w:right w:w="0" w:type="dxa"/>
          </w:tblCellMar>
        </w:tblPrEx>
        <w:trPr>
          <w:trHeight w:val="20"/>
        </w:trPr>
        <w:tc>
          <w:tcPr>
            <w:tcW w:w="3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1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800"/>
        <w:rPr>
          <w:rFonts w:ascii="Times New Roman" w:hAnsi="Times New Roman" w:cs="Times New Roman"/>
          <w:sz w:val="24"/>
          <w:szCs w:val="24"/>
        </w:rPr>
      </w:pPr>
      <w:r>
        <w:rPr>
          <w:rFonts w:ascii="Times New Roman" w:hAnsi="Times New Roman" w:cs="Times New Roman"/>
          <w:sz w:val="20"/>
          <w:szCs w:val="20"/>
        </w:rPr>
        <w:t>* Excludes capital gains or losses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3"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4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6020" w:bottom="94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Investments</w:t>
      </w:r>
    </w:p>
    <w:p w:rsidR="00000000" w:rsidRDefault="00A06965">
      <w:pPr>
        <w:pStyle w:val="DefaultParagraphFont"/>
        <w:widowControl w:val="0"/>
        <w:autoSpaceDE w:val="0"/>
        <w:autoSpaceDN w:val="0"/>
        <w:adjustRightInd w:val="0"/>
        <w:spacing w:after="0" w:line="19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860"/>
        <w:rPr>
          <w:rFonts w:ascii="Times New Roman" w:hAnsi="Times New Roman" w:cs="Times New Roman"/>
          <w:sz w:val="24"/>
          <w:szCs w:val="24"/>
        </w:rPr>
      </w:pPr>
      <w:r>
        <w:rPr>
          <w:rFonts w:ascii="Times New Roman" w:hAnsi="Times New Roman" w:cs="Times New Roman"/>
          <w:sz w:val="20"/>
          <w:szCs w:val="20"/>
        </w:rPr>
        <w:t>Below we list our fifteen common stock investments that at yearend had the largest market value.</w:t>
      </w:r>
    </w:p>
    <w:p w:rsidR="00000000" w:rsidRDefault="00A06965">
      <w:pPr>
        <w:pStyle w:val="DefaultParagraphFont"/>
        <w:widowControl w:val="0"/>
        <w:autoSpaceDE w:val="0"/>
        <w:autoSpaceDN w:val="0"/>
        <w:adjustRightInd w:val="0"/>
        <w:spacing w:after="0" w:line="291" w:lineRule="exact"/>
        <w:rPr>
          <w:rFonts w:ascii="Times New Roman" w:hAnsi="Times New Roman" w:cs="Times New Roman"/>
          <w:sz w:val="24"/>
          <w:szCs w:val="24"/>
        </w:rPr>
      </w:pPr>
    </w:p>
    <w:tbl>
      <w:tblPr>
        <w:tblW w:w="0" w:type="auto"/>
        <w:tblInd w:w="200" w:type="dxa"/>
        <w:tblLayout w:type="fixed"/>
        <w:tblCellMar>
          <w:left w:w="0" w:type="dxa"/>
          <w:right w:w="0" w:type="dxa"/>
        </w:tblCellMar>
        <w:tblLook w:val="0000" w:firstRow="0" w:lastRow="0" w:firstColumn="0" w:lastColumn="0" w:noHBand="0" w:noVBand="0"/>
      </w:tblPr>
      <w:tblGrid>
        <w:gridCol w:w="80"/>
        <w:gridCol w:w="740"/>
        <w:gridCol w:w="380"/>
        <w:gridCol w:w="1680"/>
        <w:gridCol w:w="780"/>
        <w:gridCol w:w="1480"/>
        <w:gridCol w:w="340"/>
        <w:gridCol w:w="560"/>
        <w:gridCol w:w="800"/>
        <w:gridCol w:w="180"/>
        <w:gridCol w:w="360"/>
        <w:gridCol w:w="220"/>
        <w:gridCol w:w="360"/>
        <w:gridCol w:w="220"/>
        <w:gridCol w:w="580"/>
        <w:gridCol w:w="140"/>
        <w:gridCol w:w="300"/>
      </w:tblGrid>
      <w:tr w:rsidR="00000000">
        <w:tblPrEx>
          <w:tblCellMar>
            <w:top w:w="0" w:type="dxa"/>
            <w:left w:w="0" w:type="dxa"/>
            <w:bottom w:w="0" w:type="dxa"/>
            <w:right w:w="0" w:type="dxa"/>
          </w:tblCellMar>
        </w:tblPrEx>
        <w:trPr>
          <w:trHeight w:val="230"/>
        </w:trPr>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1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40"/>
              <w:jc w:val="right"/>
              <w:rPr>
                <w:rFonts w:ascii="Times New Roman" w:hAnsi="Times New Roman" w:cs="Times New Roman"/>
                <w:sz w:val="24"/>
                <w:szCs w:val="24"/>
              </w:rPr>
            </w:pPr>
            <w:r>
              <w:rPr>
                <w:rFonts w:ascii="Times New Roman" w:hAnsi="Times New Roman" w:cs="Times New Roman"/>
                <w:i/>
                <w:iCs/>
                <w:sz w:val="20"/>
                <w:szCs w:val="20"/>
              </w:rPr>
              <w:t>12/31/14</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40"/>
        </w:trPr>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7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60"/>
              <w:jc w:val="center"/>
              <w:rPr>
                <w:rFonts w:ascii="Times New Roman" w:hAnsi="Times New Roman" w:cs="Times New Roman"/>
                <w:sz w:val="24"/>
                <w:szCs w:val="24"/>
              </w:rPr>
            </w:pPr>
            <w:r>
              <w:rPr>
                <w:rFonts w:ascii="Times New Roman" w:hAnsi="Times New Roman" w:cs="Times New Roman"/>
                <w:i/>
                <w:iCs/>
                <w:sz w:val="20"/>
                <w:szCs w:val="20"/>
              </w:rPr>
              <w:t>Percentage of</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38"/>
        </w:trPr>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380"/>
              <w:jc w:val="right"/>
              <w:rPr>
                <w:rFonts w:ascii="Times New Roman" w:hAnsi="Times New Roman" w:cs="Times New Roman"/>
                <w:sz w:val="24"/>
                <w:szCs w:val="24"/>
              </w:rPr>
            </w:pPr>
            <w:r>
              <w:rPr>
                <w:rFonts w:ascii="Times New Roman" w:hAnsi="Times New Roman" w:cs="Times New Roman"/>
                <w:i/>
                <w:iCs/>
                <w:w w:val="96"/>
                <w:sz w:val="20"/>
                <w:szCs w:val="20"/>
              </w:rPr>
              <w:t>Shares**</w:t>
            </w:r>
          </w:p>
        </w:tc>
        <w:tc>
          <w:tcPr>
            <w:tcW w:w="1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New Roman" w:hAnsi="Times New Roman" w:cs="Times New Roman"/>
                <w:i/>
                <w:iCs/>
                <w:sz w:val="20"/>
                <w:szCs w:val="20"/>
              </w:rPr>
              <w:t>Company</w:t>
            </w:r>
          </w:p>
        </w:tc>
        <w:tc>
          <w:tcPr>
            <w:tcW w:w="17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60"/>
              <w:jc w:val="center"/>
              <w:rPr>
                <w:rFonts w:ascii="Times New Roman" w:hAnsi="Times New Roman" w:cs="Times New Roman"/>
                <w:sz w:val="24"/>
                <w:szCs w:val="24"/>
              </w:rPr>
            </w:pPr>
            <w:r>
              <w:rPr>
                <w:rFonts w:ascii="Times New Roman" w:hAnsi="Times New Roman" w:cs="Times New Roman"/>
                <w:i/>
                <w:iCs/>
                <w:w w:val="99"/>
                <w:sz w:val="20"/>
                <w:szCs w:val="20"/>
              </w:rPr>
              <w:t>Company</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480"/>
              <w:jc w:val="center"/>
              <w:rPr>
                <w:rFonts w:ascii="Times New Roman" w:hAnsi="Times New Roman" w:cs="Times New Roman"/>
                <w:sz w:val="24"/>
                <w:szCs w:val="24"/>
              </w:rPr>
            </w:pPr>
            <w:r>
              <w:rPr>
                <w:rFonts w:ascii="Times New Roman" w:hAnsi="Times New Roman" w:cs="Times New Roman"/>
                <w:i/>
                <w:iCs/>
                <w:w w:val="98"/>
                <w:sz w:val="20"/>
                <w:szCs w:val="20"/>
              </w:rPr>
              <w:t>Cost*</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40"/>
              <w:jc w:val="right"/>
              <w:rPr>
                <w:rFonts w:ascii="Times New Roman" w:hAnsi="Times New Roman" w:cs="Times New Roman"/>
                <w:sz w:val="24"/>
                <w:szCs w:val="24"/>
              </w:rPr>
            </w:pPr>
            <w:r>
              <w:rPr>
                <w:rFonts w:ascii="Times New Roman" w:hAnsi="Times New Roman" w:cs="Times New Roman"/>
                <w:i/>
                <w:iCs/>
                <w:w w:val="96"/>
                <w:sz w:val="20"/>
                <w:szCs w:val="20"/>
              </w:rPr>
              <w:t>Market</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1" w:lineRule="exact"/>
              <w:ind w:right="800"/>
              <w:jc w:val="center"/>
              <w:rPr>
                <w:rFonts w:ascii="Times New Roman" w:hAnsi="Times New Roman" w:cs="Times New Roman"/>
                <w:sz w:val="24"/>
                <w:szCs w:val="24"/>
              </w:rPr>
            </w:pPr>
            <w:r>
              <w:rPr>
                <w:rFonts w:ascii="Times New Roman" w:hAnsi="Times New Roman" w:cs="Times New Roman"/>
                <w:i/>
                <w:iCs/>
                <w:w w:val="98"/>
                <w:sz w:val="20"/>
                <w:szCs w:val="20"/>
              </w:rPr>
              <w:t>Owned</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6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02"/>
        </w:trPr>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56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88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1" w:lineRule="exact"/>
              <w:ind w:right="540"/>
              <w:jc w:val="right"/>
              <w:rPr>
                <w:rFonts w:ascii="Times New Roman" w:hAnsi="Times New Roman" w:cs="Times New Roman"/>
                <w:sz w:val="24"/>
                <w:szCs w:val="24"/>
              </w:rPr>
            </w:pPr>
            <w:r>
              <w:rPr>
                <w:rFonts w:ascii="Times New Roman" w:hAnsi="Times New Roman" w:cs="Times New Roman"/>
                <w:i/>
                <w:iCs/>
                <w:sz w:val="20"/>
                <w:szCs w:val="20"/>
              </w:rPr>
              <w:t>(in millions)</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r>
      <w:tr w:rsidR="00000000">
        <w:tblPrEx>
          <w:tblCellMar>
            <w:top w:w="0" w:type="dxa"/>
            <w:left w:w="0" w:type="dxa"/>
            <w:bottom w:w="0" w:type="dxa"/>
            <w:right w:w="0" w:type="dxa"/>
          </w:tblCellMar>
        </w:tblPrEx>
        <w:trPr>
          <w:trHeight w:val="48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w w:val="97"/>
                <w:sz w:val="20"/>
                <w:szCs w:val="20"/>
              </w:rPr>
              <w:t>151,610,700</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93"/>
                <w:sz w:val="20"/>
                <w:szCs w:val="20"/>
              </w:rPr>
              <w:t>American Express Company . . . .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14.8</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  1,287</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   14,106</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w w:val="97"/>
                <w:sz w:val="20"/>
                <w:szCs w:val="20"/>
              </w:rPr>
              <w:t>400,000,000</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91"/>
                <w:sz w:val="20"/>
                <w:szCs w:val="20"/>
              </w:rPr>
              <w:t>The Coca-Cola Company . . . . . . .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9.2</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1,299</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16,888</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sz w:val="20"/>
                <w:szCs w:val="20"/>
              </w:rPr>
              <w:t>18,513,482</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95"/>
                <w:sz w:val="20"/>
                <w:szCs w:val="20"/>
              </w:rPr>
              <w:t>DaVita HealthCare Partners Inc.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8.6</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843</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1,402</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sz w:val="20"/>
                <w:szCs w:val="20"/>
              </w:rPr>
              <w:t>15,430,586</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90"/>
                <w:sz w:val="20"/>
                <w:szCs w:val="20"/>
              </w:rPr>
              <w:t>Deere &amp; Company . . . . . . . . . . . . .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4.5</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1,253</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1,365</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sz w:val="20"/>
                <w:szCs w:val="20"/>
              </w:rPr>
              <w:t>24,617,939</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87"/>
                <w:sz w:val="20"/>
                <w:szCs w:val="20"/>
              </w:rPr>
              <w:t>DIRECTV . . . . . . . . . . . . . . . . . . . . .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4.9</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1,454</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2,134</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sz w:val="20"/>
                <w:szCs w:val="20"/>
              </w:rPr>
              <w:t>13,062,594</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95"/>
                <w:sz w:val="20"/>
                <w:szCs w:val="20"/>
              </w:rPr>
              <w:t>The Goldman Sachs Group, Inc.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3.0</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750</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2,532</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sz w:val="20"/>
                <w:szCs w:val="20"/>
              </w:rPr>
              <w:t>76,971,817</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International Business Machines Corp.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7.8</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13,157</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12,349</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New Roman" w:hAnsi="Times New Roman" w:cs="Times New Roman"/>
                <w:sz w:val="20"/>
                <w:szCs w:val="20"/>
              </w:rPr>
              <w:t>24,669,778</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w w:val="89"/>
                <w:sz w:val="20"/>
                <w:szCs w:val="20"/>
              </w:rPr>
              <w:t>Moody’s Corporation . . . . . . . . . . .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New Roman" w:hAnsi="Times New Roman" w:cs="Times New Roman"/>
                <w:sz w:val="20"/>
                <w:szCs w:val="20"/>
              </w:rPr>
              <w:t>12.1</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New Roman" w:hAnsi="Times New Roman" w:cs="Times New Roman"/>
                <w:sz w:val="20"/>
                <w:szCs w:val="20"/>
              </w:rPr>
              <w:t>248</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New Roman" w:hAnsi="Times New Roman" w:cs="Times New Roman"/>
                <w:sz w:val="20"/>
                <w:szCs w:val="20"/>
              </w:rPr>
              <w:t>2,364</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sz w:val="20"/>
                <w:szCs w:val="20"/>
              </w:rPr>
              <w:t>20,060,390</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86"/>
                <w:sz w:val="20"/>
                <w:szCs w:val="20"/>
              </w:rPr>
              <w:t>Munich Re . . . . . . . . . . . . . . . . . . . . .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11.8</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2,990</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4,023</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sz w:val="20"/>
                <w:szCs w:val="20"/>
              </w:rPr>
              <w:t>52,477,678</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96"/>
                <w:sz w:val="20"/>
                <w:szCs w:val="20"/>
              </w:rPr>
              <w:t>The Procter &amp; Gamble Company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1.9</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336</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4,683</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3"/>
                <w:sz w:val="20"/>
                <w:szCs w:val="20"/>
              </w:rPr>
              <w:t>***</w:t>
            </w: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sz w:val="20"/>
                <w:szCs w:val="20"/>
              </w:rPr>
              <w:t>22,169,930</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84"/>
                <w:sz w:val="20"/>
                <w:szCs w:val="20"/>
              </w:rPr>
              <w:t>Sanofi . . . . . . . . . . . . . . . . . . . . . . . . . .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1.7</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1,721</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2,032</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sz w:val="20"/>
                <w:szCs w:val="20"/>
              </w:rPr>
              <w:t>96,890,665</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86"/>
                <w:sz w:val="20"/>
                <w:szCs w:val="20"/>
              </w:rPr>
              <w:t>U.S. Bancorp . . . . . . . . . . . . . . . . . . .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5.4</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3,033</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4,355</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sz w:val="20"/>
                <w:szCs w:val="20"/>
              </w:rPr>
              <w:t>43,387,980</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88"/>
                <w:sz w:val="20"/>
                <w:szCs w:val="20"/>
              </w:rPr>
              <w:t>USG Corporation . . . . . . . . . . . . . . .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30.0</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836</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1,214</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sz w:val="20"/>
                <w:szCs w:val="20"/>
              </w:rPr>
              <w:t>67,707,544</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91"/>
                <w:sz w:val="20"/>
                <w:szCs w:val="20"/>
              </w:rPr>
              <w:t>Wal-Mart Stores, Inc. . . . . . . . . . .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2.1</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3,798</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5,815</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12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New Roman" w:hAnsi="Times New Roman" w:cs="Times New Roman"/>
                <w:w w:val="97"/>
                <w:sz w:val="20"/>
                <w:szCs w:val="20"/>
              </w:rPr>
              <w:t>483,470,853</w:t>
            </w: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92"/>
                <w:sz w:val="20"/>
                <w:szCs w:val="20"/>
              </w:rPr>
              <w:t>Wells Fargo &amp; Company . . . . . . . . . . . . . . . . . . . .</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9.4</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11,871</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26,504</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58"/>
        </w:trPr>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w w:val="83"/>
                <w:sz w:val="20"/>
                <w:szCs w:val="20"/>
              </w:rPr>
              <w:t>Others . . . . . . . .</w:t>
            </w:r>
            <w:r>
              <w:rPr>
                <w:rFonts w:ascii="Times New Roman" w:hAnsi="Times New Roman" w:cs="Times New Roman"/>
                <w:w w:val="83"/>
                <w:sz w:val="20"/>
                <w:szCs w:val="20"/>
              </w:rPr>
              <w:t xml:space="preserve"> . . . . . . . . . . . . . . . . . . . . . . . . . . . . . . .</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gridSpan w:val="3"/>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10,180</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gridSpan w:val="3"/>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15,704</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82"/>
        </w:trPr>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Total Common Stocks Carried at Market . . . .</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New Roman" w:hAnsi="Times New Roman" w:cs="Times New Roman"/>
                <w:sz w:val="20"/>
                <w:szCs w:val="20"/>
              </w:rPr>
              <w:t>$55,056</w:t>
            </w: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$ 117,470</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4"/>
        </w:trPr>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r>
      <w:tr w:rsidR="00000000">
        <w:tblPrEx>
          <w:tblCellMar>
            <w:top w:w="0" w:type="dxa"/>
            <w:left w:w="0" w:type="dxa"/>
            <w:bottom w:w="0" w:type="dxa"/>
            <w:right w:w="0" w:type="dxa"/>
          </w:tblCellMar>
        </w:tblPrEx>
        <w:trPr>
          <w:trHeight w:val="20"/>
        </w:trPr>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5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right="40"/>
        <w:jc w:val="both"/>
        <w:rPr>
          <w:rFonts w:ascii="Times New Roman" w:hAnsi="Times New Roman" w:cs="Times New Roman"/>
          <w:sz w:val="24"/>
          <w:szCs w:val="24"/>
        </w:rPr>
      </w:pPr>
      <w:r>
        <w:rPr>
          <w:rFonts w:ascii="Times New Roman" w:hAnsi="Times New Roman" w:cs="Times New Roman"/>
          <w:sz w:val="20"/>
          <w:szCs w:val="20"/>
        </w:rPr>
        <w:t>*This is our actual purchase price and also our tax basis; GAAP “cost” differs in a few cases because of write-ups or write-downs that have been required under GAAP rules.</w:t>
      </w:r>
    </w:p>
    <w:p w:rsidR="00000000" w:rsidRDefault="00A06965">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**Excludes shares held by pension funds of Berkshire subsidiaries.</w:t>
      </w:r>
    </w:p>
    <w:p w:rsidR="00000000" w:rsidRDefault="00A06965">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***Held under c</w:t>
      </w:r>
      <w:r>
        <w:rPr>
          <w:rFonts w:ascii="Times New Roman" w:hAnsi="Times New Roman" w:cs="Times New Roman"/>
          <w:sz w:val="20"/>
          <w:szCs w:val="20"/>
        </w:rPr>
        <w:t>ontract of sale for this amount.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right="40" w:firstLine="860"/>
        <w:jc w:val="both"/>
        <w:rPr>
          <w:rFonts w:ascii="Times New Roman" w:hAnsi="Times New Roman" w:cs="Times New Roman"/>
          <w:sz w:val="24"/>
          <w:szCs w:val="24"/>
        </w:rPr>
      </w:pPr>
      <w:r>
        <w:rPr>
          <w:rFonts w:ascii="Times New Roman" w:hAnsi="Times New Roman" w:cs="Times New Roman"/>
          <w:sz w:val="20"/>
          <w:szCs w:val="20"/>
        </w:rPr>
        <w:t>Berkshire has one major equity position that is not included in the table: We can buy 700 million shares of Bank of America at any time prior to September 2021 for $5 billion. At yearend these shares were worth $12.5 billi</w:t>
      </w:r>
      <w:r>
        <w:rPr>
          <w:rFonts w:ascii="Times New Roman" w:hAnsi="Times New Roman" w:cs="Times New Roman"/>
          <w:sz w:val="20"/>
          <w:szCs w:val="20"/>
        </w:rPr>
        <w:t>on. We are likely to purchase the shares just before expiration of our option. In the meantime, it is important for you to realize that Bank of America is, in effect, our fourth largest equity investment – and one we value highly.</w:t>
      </w:r>
    </w:p>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ind w:left="380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right="40" w:firstLine="720"/>
        <w:jc w:val="both"/>
        <w:rPr>
          <w:rFonts w:ascii="Times New Roman" w:hAnsi="Times New Roman" w:cs="Times New Roman"/>
          <w:sz w:val="24"/>
          <w:szCs w:val="24"/>
        </w:rPr>
      </w:pPr>
      <w:r>
        <w:rPr>
          <w:rFonts w:ascii="Times New Roman" w:hAnsi="Times New Roman" w:cs="Times New Roman"/>
          <w:sz w:val="20"/>
          <w:szCs w:val="20"/>
        </w:rPr>
        <w:t xml:space="preserve">Attentive readers will notice that Tesco, which last year appeared in the list of our largest common stock investments, is now absent. An attentive </w:t>
      </w:r>
      <w:r>
        <w:rPr>
          <w:rFonts w:ascii="Times New Roman" w:hAnsi="Times New Roman" w:cs="Times New Roman"/>
          <w:i/>
          <w:iCs/>
          <w:sz w:val="20"/>
          <w:szCs w:val="20"/>
        </w:rPr>
        <w:t>investor</w:t>
      </w:r>
      <w:r>
        <w:rPr>
          <w:rFonts w:ascii="Times New Roman" w:hAnsi="Times New Roman" w:cs="Times New Roman"/>
          <w:sz w:val="20"/>
          <w:szCs w:val="20"/>
        </w:rPr>
        <w:t>, I’m embarrassed to report, would have sold Tesco shares earlier. I made a big mistake with this i</w:t>
      </w:r>
      <w:r>
        <w:rPr>
          <w:rFonts w:ascii="Times New Roman" w:hAnsi="Times New Roman" w:cs="Times New Roman"/>
          <w:sz w:val="20"/>
          <w:szCs w:val="20"/>
        </w:rPr>
        <w:t>nvestment by dawdling.</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right="40" w:firstLine="720"/>
        <w:jc w:val="both"/>
        <w:rPr>
          <w:rFonts w:ascii="Times New Roman" w:hAnsi="Times New Roman" w:cs="Times New Roman"/>
          <w:sz w:val="24"/>
          <w:szCs w:val="24"/>
        </w:rPr>
      </w:pPr>
      <w:r>
        <w:rPr>
          <w:rFonts w:ascii="Times New Roman" w:hAnsi="Times New Roman" w:cs="Times New Roman"/>
          <w:sz w:val="20"/>
          <w:szCs w:val="20"/>
        </w:rPr>
        <w:t>At the end of 2012 we owned 415 million shares of Tesco, then and now the leading food retailer in the U.K. and an important grocer in other countries as well. Our cost for this investment was $2.3 billion, and the market value was a similar amount.</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3" w:right="1400" w:bottom="943" w:left="1440" w:header="720" w:footer="720" w:gutter="0"/>
          <w:cols w:space="720" w:equalWidth="0">
            <w:col w:w="94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In 2013, I soured somewhat on the company’s then-management and sold 114 million shares, realizing a profit of $43 million. My leisurely pace in making sales would prove expensive. Charlie calls this sor</w:t>
      </w:r>
      <w:r>
        <w:rPr>
          <w:rFonts w:ascii="Times New Roman" w:hAnsi="Times New Roman" w:cs="Times New Roman"/>
          <w:sz w:val="20"/>
          <w:szCs w:val="20"/>
        </w:rPr>
        <w:t>t of behavior “thumb-sucking.” (Considering what my delay cost us, he is being kind.)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During 2014, Tesco’s problems worsened by the month. The company’</w:t>
      </w:r>
      <w:r>
        <w:rPr>
          <w:rFonts w:ascii="Times New Roman" w:hAnsi="Times New Roman" w:cs="Times New Roman"/>
          <w:sz w:val="20"/>
          <w:szCs w:val="20"/>
        </w:rPr>
        <w:t>s market share fell, its margins contracted and accounting problems surfaced. In the world of business, bad news often surfaces serially: You see a cockroach in your kitchen; as the days go by, you meet his relatives.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We sold Tesco shares throughout the y</w:t>
      </w:r>
      <w:r>
        <w:rPr>
          <w:rFonts w:ascii="Times New Roman" w:hAnsi="Times New Roman" w:cs="Times New Roman"/>
          <w:sz w:val="20"/>
          <w:szCs w:val="20"/>
        </w:rPr>
        <w:t>ear and are now out of the position. (The company, we should mention, has hired new management, and we wish them well.) Our after-tax loss from this investment was $444 million, about 1/5 of 1% of Berkshire’s net worth. In the past 50 years, we have only o</w:t>
      </w:r>
      <w:r>
        <w:rPr>
          <w:rFonts w:ascii="Times New Roman" w:hAnsi="Times New Roman" w:cs="Times New Roman"/>
          <w:sz w:val="20"/>
          <w:szCs w:val="20"/>
        </w:rPr>
        <w:t>nce realized an investment loss that at the time of sale cost us 2% of our net worth. Twice, we experienced 1% losses. All three of these losses occurred in the 1974-1975 period, when we sold stocks that were very cheap in order to buy others we believed t</w:t>
      </w:r>
      <w:r>
        <w:rPr>
          <w:rFonts w:ascii="Times New Roman" w:hAnsi="Times New Roman" w:cs="Times New Roman"/>
          <w:sz w:val="20"/>
          <w:szCs w:val="20"/>
        </w:rPr>
        <w:t>o be even cheaper.</w:t>
      </w:r>
    </w:p>
    <w:p w:rsidR="00000000" w:rsidRDefault="00A06965">
      <w:pPr>
        <w:pStyle w:val="DefaultParagraphFont"/>
        <w:widowControl w:val="0"/>
        <w:autoSpaceDE w:val="0"/>
        <w:autoSpaceDN w:val="0"/>
        <w:adjustRightInd w:val="0"/>
        <w:spacing w:after="0" w:line="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80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Our investment results have been helped by a terrific tailwind. During the 1964-2014 period, the S&amp;P 500 rose from 84 to 2,059, which, with reinvested dividends, generated the overall return of 11,196% shown on </w:t>
      </w:r>
      <w:r>
        <w:rPr>
          <w:rFonts w:ascii="Times New Roman" w:hAnsi="Times New Roman" w:cs="Times New Roman"/>
          <w:sz w:val="20"/>
          <w:szCs w:val="20"/>
        </w:rPr>
        <w:t>page 2. Concurrently, the purchasing power of the dollar declined a staggering 87%. That decrease means that it now takes $1 to buy what could be bought for 13¢ in 1965 (as measured by the Consumer Price Index).</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There is an important message for investors</w:t>
      </w:r>
      <w:r>
        <w:rPr>
          <w:rFonts w:ascii="Times New Roman" w:hAnsi="Times New Roman" w:cs="Times New Roman"/>
          <w:sz w:val="20"/>
          <w:szCs w:val="20"/>
        </w:rPr>
        <w:t xml:space="preserve"> in that disparate performance between stocks and dollars. Think back to our 2011 annual report, in which we defined investing as “the transfer to others of purchasing power now with the reasoned expectation of receiving more purchasing power – </w:t>
      </w:r>
      <w:r>
        <w:rPr>
          <w:rFonts w:ascii="Times New Roman" w:hAnsi="Times New Roman" w:cs="Times New Roman"/>
          <w:i/>
          <w:iCs/>
          <w:sz w:val="20"/>
          <w:szCs w:val="20"/>
        </w:rPr>
        <w:t>after taxes</w:t>
      </w:r>
      <w:r>
        <w:rPr>
          <w:rFonts w:ascii="Times New Roman" w:hAnsi="Times New Roman" w:cs="Times New Roman"/>
          <w:i/>
          <w:iCs/>
          <w:sz w:val="20"/>
          <w:szCs w:val="20"/>
        </w:rPr>
        <w:t xml:space="preserve"> have been paid on nominal</w:t>
      </w:r>
      <w:r>
        <w:rPr>
          <w:rFonts w:ascii="Times New Roman" w:hAnsi="Times New Roman" w:cs="Times New Roman"/>
          <w:sz w:val="20"/>
          <w:szCs w:val="20"/>
        </w:rPr>
        <w:t xml:space="preserve"> </w:t>
      </w:r>
      <w:r>
        <w:rPr>
          <w:rFonts w:ascii="Times New Roman" w:hAnsi="Times New Roman" w:cs="Times New Roman"/>
          <w:i/>
          <w:iCs/>
          <w:sz w:val="20"/>
          <w:szCs w:val="20"/>
        </w:rPr>
        <w:t xml:space="preserve">gains </w:t>
      </w:r>
      <w:r>
        <w:rPr>
          <w:rFonts w:ascii="Times New Roman" w:hAnsi="Times New Roman" w:cs="Times New Roman"/>
          <w:sz w:val="20"/>
          <w:szCs w:val="20"/>
        </w:rPr>
        <w:t>– in the future.”</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The unconventional, but inescapable, conclusion to be drawn from the past fifty years is that it has been </w:t>
      </w:r>
      <w:r>
        <w:rPr>
          <w:rFonts w:ascii="Times New Roman" w:hAnsi="Times New Roman" w:cs="Times New Roman"/>
          <w:i/>
          <w:iCs/>
          <w:sz w:val="20"/>
          <w:szCs w:val="20"/>
        </w:rPr>
        <w:t>far</w:t>
      </w:r>
      <w:r>
        <w:rPr>
          <w:rFonts w:ascii="Times New Roman" w:hAnsi="Times New Roman" w:cs="Times New Roman"/>
          <w:sz w:val="20"/>
          <w:szCs w:val="20"/>
        </w:rPr>
        <w:t xml:space="preserve"> safer to invest in a diversified collection of American businesses than to invest in securitie</w:t>
      </w:r>
      <w:r>
        <w:rPr>
          <w:rFonts w:ascii="Times New Roman" w:hAnsi="Times New Roman" w:cs="Times New Roman"/>
          <w:sz w:val="20"/>
          <w:szCs w:val="20"/>
        </w:rPr>
        <w:t>s – Treasuries, for example – whose values have been tied to American currency. That was also true in the preceding half-century, a period including the Great Depression and two world wars. Investors should heed this history. To one degree or another it is</w:t>
      </w:r>
      <w:r>
        <w:rPr>
          <w:rFonts w:ascii="Times New Roman" w:hAnsi="Times New Roman" w:cs="Times New Roman"/>
          <w:sz w:val="20"/>
          <w:szCs w:val="20"/>
        </w:rPr>
        <w:t xml:space="preserve"> almost certain to be repeated during the next century.</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Stock prices will always be far more </w:t>
      </w:r>
      <w:r>
        <w:rPr>
          <w:rFonts w:ascii="Times New Roman" w:hAnsi="Times New Roman" w:cs="Times New Roman"/>
          <w:i/>
          <w:iCs/>
          <w:sz w:val="20"/>
          <w:szCs w:val="20"/>
        </w:rPr>
        <w:t>volatile</w:t>
      </w:r>
      <w:r>
        <w:rPr>
          <w:rFonts w:ascii="Times New Roman" w:hAnsi="Times New Roman" w:cs="Times New Roman"/>
          <w:sz w:val="20"/>
          <w:szCs w:val="20"/>
        </w:rPr>
        <w:t xml:space="preserve"> than cash-equivalent holdings. </w:t>
      </w:r>
      <w:r>
        <w:rPr>
          <w:rFonts w:ascii="Times New Roman" w:hAnsi="Times New Roman" w:cs="Times New Roman"/>
          <w:i/>
          <w:iCs/>
          <w:sz w:val="20"/>
          <w:szCs w:val="20"/>
        </w:rPr>
        <w:t>Over the long term</w:t>
      </w:r>
      <w:r>
        <w:rPr>
          <w:rFonts w:ascii="Times New Roman" w:hAnsi="Times New Roman" w:cs="Times New Roman"/>
          <w:sz w:val="20"/>
          <w:szCs w:val="20"/>
        </w:rPr>
        <w:t xml:space="preserve">, however, currency-denominated instruments are </w:t>
      </w:r>
      <w:r>
        <w:rPr>
          <w:rFonts w:ascii="Times New Roman" w:hAnsi="Times New Roman" w:cs="Times New Roman"/>
          <w:i/>
          <w:iCs/>
          <w:sz w:val="20"/>
          <w:szCs w:val="20"/>
        </w:rPr>
        <w:t>riskier</w:t>
      </w:r>
      <w:r>
        <w:rPr>
          <w:rFonts w:ascii="Times New Roman" w:hAnsi="Times New Roman" w:cs="Times New Roman"/>
          <w:sz w:val="20"/>
          <w:szCs w:val="20"/>
        </w:rPr>
        <w:t xml:space="preserve"> investments – </w:t>
      </w:r>
      <w:r>
        <w:rPr>
          <w:rFonts w:ascii="Times New Roman" w:hAnsi="Times New Roman" w:cs="Times New Roman"/>
          <w:i/>
          <w:iCs/>
          <w:sz w:val="20"/>
          <w:szCs w:val="20"/>
        </w:rPr>
        <w:t>far</w:t>
      </w:r>
      <w:r>
        <w:rPr>
          <w:rFonts w:ascii="Times New Roman" w:hAnsi="Times New Roman" w:cs="Times New Roman"/>
          <w:sz w:val="20"/>
          <w:szCs w:val="20"/>
        </w:rPr>
        <w:t xml:space="preserve"> riskier investments – than wid</w:t>
      </w:r>
      <w:r>
        <w:rPr>
          <w:rFonts w:ascii="Times New Roman" w:hAnsi="Times New Roman" w:cs="Times New Roman"/>
          <w:sz w:val="20"/>
          <w:szCs w:val="20"/>
        </w:rPr>
        <w:t xml:space="preserve">ely-diversified stock portfolios that are bought over time and that are owned in a manner invoking only token fees and commissions. That lesson has not customarily been taught in business schools, where volatility is almost universally used as a proxy for </w:t>
      </w:r>
      <w:r>
        <w:rPr>
          <w:rFonts w:ascii="Times New Roman" w:hAnsi="Times New Roman" w:cs="Times New Roman"/>
          <w:sz w:val="20"/>
          <w:szCs w:val="20"/>
        </w:rPr>
        <w:t xml:space="preserve">risk. Though this pedagogic assumption makes for easy teaching, it is dead wrong: Volatility is </w:t>
      </w:r>
      <w:r>
        <w:rPr>
          <w:rFonts w:ascii="Times New Roman" w:hAnsi="Times New Roman" w:cs="Times New Roman"/>
          <w:i/>
          <w:iCs/>
          <w:sz w:val="20"/>
          <w:szCs w:val="20"/>
        </w:rPr>
        <w:t>far</w:t>
      </w:r>
      <w:r>
        <w:rPr>
          <w:rFonts w:ascii="Times New Roman" w:hAnsi="Times New Roman" w:cs="Times New Roman"/>
          <w:sz w:val="20"/>
          <w:szCs w:val="20"/>
        </w:rPr>
        <w:t xml:space="preserve"> from synonymous with risk. Popular formulas that equate the two terms lead students, investors and CEOs astray.</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It is true, of course, that owning equities for a day or a week or a year is far riskier (in both nominal and purchasing-power terms) than leaving funds in cash-equivalents. That is relevant to certain investors – say, investment banks – whose viability ca</w:t>
      </w:r>
      <w:r>
        <w:rPr>
          <w:rFonts w:ascii="Times New Roman" w:hAnsi="Times New Roman" w:cs="Times New Roman"/>
          <w:sz w:val="20"/>
          <w:szCs w:val="20"/>
        </w:rPr>
        <w:t>n be threatened by declines in asset prices and which might be forced to sell securities during depressed markets. Additionally, any party that might have meaningful near-term needs for funds should keep appropriate sums in Treasuries or insured bank depos</w:t>
      </w:r>
      <w:r>
        <w:rPr>
          <w:rFonts w:ascii="Times New Roman" w:hAnsi="Times New Roman" w:cs="Times New Roman"/>
          <w:sz w:val="20"/>
          <w:szCs w:val="20"/>
        </w:rPr>
        <w:t>its.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For the great majority of investors, however, who can – and </w:t>
      </w:r>
      <w:r>
        <w:rPr>
          <w:rFonts w:ascii="Times New Roman" w:hAnsi="Times New Roman" w:cs="Times New Roman"/>
          <w:i/>
          <w:iCs/>
          <w:sz w:val="20"/>
          <w:szCs w:val="20"/>
        </w:rPr>
        <w:t>should</w:t>
      </w:r>
      <w:r>
        <w:rPr>
          <w:rFonts w:ascii="Times New Roman" w:hAnsi="Times New Roman" w:cs="Times New Roman"/>
          <w:sz w:val="20"/>
          <w:szCs w:val="20"/>
        </w:rPr>
        <w:t xml:space="preserve"> – invest with a multi-decade horizon, quotational declines are unimportant. Their focus should remain fixed on attaining significant gains in purchasing power over their investing lif</w:t>
      </w:r>
      <w:r>
        <w:rPr>
          <w:rFonts w:ascii="Times New Roman" w:hAnsi="Times New Roman" w:cs="Times New Roman"/>
          <w:sz w:val="20"/>
          <w:szCs w:val="20"/>
        </w:rPr>
        <w:t xml:space="preserve">etime. For them, a diversified equity portfolio, </w:t>
      </w:r>
      <w:r>
        <w:rPr>
          <w:rFonts w:ascii="Times New Roman" w:hAnsi="Times New Roman" w:cs="Times New Roman"/>
          <w:i/>
          <w:iCs/>
          <w:sz w:val="20"/>
          <w:szCs w:val="20"/>
        </w:rPr>
        <w:t>bought over time</w:t>
      </w:r>
      <w:r>
        <w:rPr>
          <w:rFonts w:ascii="Times New Roman" w:hAnsi="Times New Roman" w:cs="Times New Roman"/>
          <w:sz w:val="20"/>
          <w:szCs w:val="20"/>
        </w:rPr>
        <w:t>, will prove far less risky than dollar-based securities.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8" w:lineRule="auto"/>
        <w:ind w:firstLine="720"/>
        <w:jc w:val="both"/>
        <w:rPr>
          <w:rFonts w:ascii="Times New Roman" w:hAnsi="Times New Roman" w:cs="Times New Roman"/>
          <w:sz w:val="24"/>
          <w:szCs w:val="24"/>
        </w:rPr>
      </w:pPr>
      <w:r>
        <w:rPr>
          <w:rFonts w:ascii="Times New Roman" w:hAnsi="Times New Roman" w:cs="Times New Roman"/>
          <w:sz w:val="20"/>
          <w:szCs w:val="20"/>
        </w:rPr>
        <w:t>If the investor, instead, fears price volatility, erroneously viewing it as a measure of risk, he may, ironically, end up doing some very risky things. Recall, if you will, the pundits who six years ago bemoaned falling stock prices and advised investing i</w:t>
      </w:r>
      <w:r>
        <w:rPr>
          <w:rFonts w:ascii="Times New Roman" w:hAnsi="Times New Roman" w:cs="Times New Roman"/>
          <w:sz w:val="20"/>
          <w:szCs w:val="20"/>
        </w:rPr>
        <w:t xml:space="preserve">n “safe” Treasury bills or bank certificates of deposit. People who heeded this sermon are now earning a pittance on sums they had previously expected would finance a pleasant retirement. (The S&amp;P 500 was then below 700; now it is about 2,100.) If not for </w:t>
      </w:r>
      <w:r>
        <w:rPr>
          <w:rFonts w:ascii="Times New Roman" w:hAnsi="Times New Roman" w:cs="Times New Roman"/>
          <w:sz w:val="20"/>
          <w:szCs w:val="20"/>
        </w:rPr>
        <w:t>their fear of meaningless price volatility, these investors could have assured themselves of a good income for life by simply buying a very low-cost index fund whose dividends would trend upward over the years and whose principal would grow as well (with m</w:t>
      </w:r>
      <w:r>
        <w:rPr>
          <w:rFonts w:ascii="Times New Roman" w:hAnsi="Times New Roman" w:cs="Times New Roman"/>
          <w:sz w:val="20"/>
          <w:szCs w:val="20"/>
        </w:rPr>
        <w:t>any ups and downs, to be sure).</w:t>
      </w:r>
    </w:p>
    <w:p w:rsidR="00000000" w:rsidRDefault="00A06965">
      <w:pPr>
        <w:pStyle w:val="DefaultParagraphFont"/>
        <w:widowControl w:val="0"/>
        <w:autoSpaceDE w:val="0"/>
        <w:autoSpaceDN w:val="0"/>
        <w:adjustRightInd w:val="0"/>
        <w:spacing w:after="0" w:line="21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Investors, of course, can, </w:t>
      </w:r>
      <w:r>
        <w:rPr>
          <w:rFonts w:ascii="Times New Roman" w:hAnsi="Times New Roman" w:cs="Times New Roman"/>
          <w:i/>
          <w:iCs/>
          <w:sz w:val="20"/>
          <w:szCs w:val="20"/>
        </w:rPr>
        <w:t>by their own behavior</w:t>
      </w:r>
      <w:r>
        <w:rPr>
          <w:rFonts w:ascii="Times New Roman" w:hAnsi="Times New Roman" w:cs="Times New Roman"/>
          <w:sz w:val="20"/>
          <w:szCs w:val="20"/>
        </w:rPr>
        <w:t xml:space="preserve">, make stock ownership highly risky. And many do. Active trading, attempts to “time” market movements, inadequate diversification, the payment of high and unnecessary fees to </w:t>
      </w:r>
      <w:r>
        <w:rPr>
          <w:rFonts w:ascii="Times New Roman" w:hAnsi="Times New Roman" w:cs="Times New Roman"/>
          <w:sz w:val="20"/>
          <w:szCs w:val="20"/>
        </w:rPr>
        <w:t xml:space="preserve">managers and advisors, and the use of borrowed money can destroy the decent returns that a life-long owner of equities would otherwise enjoy. Indeed, borrowed money has </w:t>
      </w:r>
      <w:r>
        <w:rPr>
          <w:rFonts w:ascii="Times New Roman" w:hAnsi="Times New Roman" w:cs="Times New Roman"/>
          <w:i/>
          <w:iCs/>
          <w:sz w:val="20"/>
          <w:szCs w:val="20"/>
        </w:rPr>
        <w:t>no</w:t>
      </w:r>
      <w:r>
        <w:rPr>
          <w:rFonts w:ascii="Times New Roman" w:hAnsi="Times New Roman" w:cs="Times New Roman"/>
          <w:sz w:val="20"/>
          <w:szCs w:val="20"/>
        </w:rPr>
        <w:t xml:space="preserve"> place in the investor’s tool kit: </w:t>
      </w:r>
      <w:r>
        <w:rPr>
          <w:rFonts w:ascii="Times New Roman" w:hAnsi="Times New Roman" w:cs="Times New Roman"/>
          <w:i/>
          <w:iCs/>
          <w:sz w:val="20"/>
          <w:szCs w:val="20"/>
        </w:rPr>
        <w:t>Anything</w:t>
      </w:r>
      <w:r>
        <w:rPr>
          <w:rFonts w:ascii="Times New Roman" w:hAnsi="Times New Roman" w:cs="Times New Roman"/>
          <w:sz w:val="20"/>
          <w:szCs w:val="20"/>
        </w:rPr>
        <w:t xml:space="preserve"> can happen </w:t>
      </w:r>
      <w:r>
        <w:rPr>
          <w:rFonts w:ascii="Times New Roman" w:hAnsi="Times New Roman" w:cs="Times New Roman"/>
          <w:i/>
          <w:iCs/>
          <w:sz w:val="20"/>
          <w:szCs w:val="20"/>
        </w:rPr>
        <w:t>anytime</w:t>
      </w:r>
      <w:r>
        <w:rPr>
          <w:rFonts w:ascii="Times New Roman" w:hAnsi="Times New Roman" w:cs="Times New Roman"/>
          <w:sz w:val="20"/>
          <w:szCs w:val="20"/>
        </w:rPr>
        <w:t xml:space="preserve"> in markets. And no adv</w:t>
      </w:r>
      <w:r>
        <w:rPr>
          <w:rFonts w:ascii="Times New Roman" w:hAnsi="Times New Roman" w:cs="Times New Roman"/>
          <w:sz w:val="20"/>
          <w:szCs w:val="20"/>
        </w:rPr>
        <w:t>isor, economist, or TV commentator – and definitely not Charlie nor I – can tell you when chaos will occur. Market forecasters will fill your ear but will never fill your wallet.</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The commission of the investment sins listed above is not limited to “the li</w:t>
      </w:r>
      <w:r>
        <w:rPr>
          <w:rFonts w:ascii="Times New Roman" w:hAnsi="Times New Roman" w:cs="Times New Roman"/>
          <w:sz w:val="20"/>
          <w:szCs w:val="20"/>
        </w:rPr>
        <w:t>ttle guy.” Huge institutional investors, viewed as a group, have long underperformed the unsophisticated index-fund investor who simply sits tight for decades. A major reason has been fees: Many institutions pay substantial sums to consultants who, in turn</w:t>
      </w:r>
      <w:r>
        <w:rPr>
          <w:rFonts w:ascii="Times New Roman" w:hAnsi="Times New Roman" w:cs="Times New Roman"/>
          <w:sz w:val="20"/>
          <w:szCs w:val="20"/>
        </w:rPr>
        <w:t>, recommend high-fee managers. And that is a fool’s game.</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There are a few investment managers, of course, who are very good – though in the short run, it’s difficult to determine whether a great record is due to luck or talent. Most advisors, however, are</w:t>
      </w:r>
      <w:r>
        <w:rPr>
          <w:rFonts w:ascii="Times New Roman" w:hAnsi="Times New Roman" w:cs="Times New Roman"/>
          <w:sz w:val="20"/>
          <w:szCs w:val="20"/>
        </w:rPr>
        <w:t xml:space="preserve"> far better at generating high fees than they are at generating high returns. In truth, their core competence is salesmanship. Rather than listen to their siren songs, investors – large and small – should instead read Jack Bogle’s </w:t>
      </w:r>
      <w:r>
        <w:rPr>
          <w:rFonts w:ascii="Times New Roman" w:hAnsi="Times New Roman" w:cs="Times New Roman"/>
          <w:i/>
          <w:iCs/>
          <w:sz w:val="20"/>
          <w:szCs w:val="20"/>
        </w:rPr>
        <w:t>The Little Book of Common</w:t>
      </w:r>
      <w:r>
        <w:rPr>
          <w:rFonts w:ascii="Times New Roman" w:hAnsi="Times New Roman" w:cs="Times New Roman"/>
          <w:i/>
          <w:iCs/>
          <w:sz w:val="20"/>
          <w:szCs w:val="20"/>
        </w:rPr>
        <w:t xml:space="preserve"> Sense</w:t>
      </w:r>
      <w:r>
        <w:rPr>
          <w:rFonts w:ascii="Times New Roman" w:hAnsi="Times New Roman" w:cs="Times New Roman"/>
          <w:sz w:val="20"/>
          <w:szCs w:val="20"/>
        </w:rPr>
        <w:t xml:space="preserve"> </w:t>
      </w:r>
      <w:r>
        <w:rPr>
          <w:rFonts w:ascii="Times New Roman" w:hAnsi="Times New Roman" w:cs="Times New Roman"/>
          <w:i/>
          <w:iCs/>
          <w:sz w:val="20"/>
          <w:szCs w:val="20"/>
        </w:rPr>
        <w:t>Investing</w:t>
      </w:r>
      <w:r>
        <w:rPr>
          <w:rFonts w:ascii="Times New Roman" w:hAnsi="Times New Roman" w:cs="Times New Roman"/>
          <w:sz w:val="20"/>
          <w:szCs w:val="20"/>
        </w:rPr>
        <w: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Times New Roman" w:hAnsi="Times New Roman" w:cs="Times New Roman"/>
          <w:sz w:val="20"/>
          <w:szCs w:val="20"/>
        </w:rPr>
        <w:t>Decades ago, Ben Graham pinpointed the blame for investment failure, using a quote from Shakespeare: “The fault, dear Brutus, is not in our stars, but in ourselves.”</w:t>
      </w:r>
    </w:p>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The Annual Meeting</w:t>
      </w: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14" w:lineRule="auto"/>
        <w:ind w:firstLine="860"/>
        <w:jc w:val="both"/>
        <w:rPr>
          <w:rFonts w:ascii="Times New Roman" w:hAnsi="Times New Roman" w:cs="Times New Roman"/>
          <w:sz w:val="24"/>
          <w:szCs w:val="24"/>
        </w:rPr>
      </w:pPr>
      <w:r>
        <w:rPr>
          <w:rFonts w:ascii="Times New Roman" w:hAnsi="Times New Roman" w:cs="Times New Roman"/>
          <w:sz w:val="20"/>
          <w:szCs w:val="20"/>
        </w:rPr>
        <w:t>The annual meeting will be held on Saturday, May 2</w:t>
      </w:r>
      <w:r>
        <w:rPr>
          <w:rFonts w:ascii="Times New Roman" w:hAnsi="Times New Roman" w:cs="Times New Roman"/>
          <w:sz w:val="26"/>
          <w:szCs w:val="26"/>
          <w:vertAlign w:val="superscript"/>
        </w:rPr>
        <w:t>nd</w:t>
      </w:r>
      <w:r>
        <w:rPr>
          <w:rFonts w:ascii="Times New Roman" w:hAnsi="Times New Roman" w:cs="Times New Roman"/>
          <w:sz w:val="20"/>
          <w:szCs w:val="20"/>
        </w:rPr>
        <w:t xml:space="preserve"> at the CenturyLink Center. Last year’s attendance of 39,000 set a record, and we expect a further increase this year as we celebrate our Golden Anniversary. Be there when the doors open at 7 a.m.</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Berkshire’</w:t>
      </w:r>
      <w:r>
        <w:rPr>
          <w:rFonts w:ascii="Times New Roman" w:hAnsi="Times New Roman" w:cs="Times New Roman"/>
          <w:sz w:val="20"/>
          <w:szCs w:val="20"/>
        </w:rPr>
        <w:t>s talented Carrie Sova will again be in charge. Carrie joined us six years ago at the age of 24 as a secretary. Then, four years ago, I asked her to take charge of the meeting – a huge undertaking, requiring a multitude of skills – and she jumped at the ch</w:t>
      </w:r>
      <w:r>
        <w:rPr>
          <w:rFonts w:ascii="Times New Roman" w:hAnsi="Times New Roman" w:cs="Times New Roman"/>
          <w:sz w:val="20"/>
          <w:szCs w:val="20"/>
        </w:rPr>
        <w:t>ance. Carrie is unflappable, ingenious and expert at bringing out the best in the hundreds who work with her. She is aided by our entire home office crew who enjoy pitching in to make the weekend fun and informative for our owners.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20" w:lineRule="auto"/>
        <w:ind w:firstLine="860"/>
        <w:jc w:val="both"/>
        <w:rPr>
          <w:rFonts w:ascii="Times New Roman" w:hAnsi="Times New Roman" w:cs="Times New Roman"/>
          <w:sz w:val="24"/>
          <w:szCs w:val="24"/>
        </w:rPr>
      </w:pPr>
      <w:r>
        <w:rPr>
          <w:rFonts w:ascii="Times New Roman" w:hAnsi="Times New Roman" w:cs="Times New Roman"/>
          <w:sz w:val="20"/>
          <w:szCs w:val="20"/>
        </w:rPr>
        <w:t>And, yes, we also try t</w:t>
      </w:r>
      <w:r>
        <w:rPr>
          <w:rFonts w:ascii="Times New Roman" w:hAnsi="Times New Roman" w:cs="Times New Roman"/>
          <w:sz w:val="20"/>
          <w:szCs w:val="20"/>
        </w:rPr>
        <w:t>o sell our visiting shareholders our products while they’re here. In fact, this year we will substantially increase the hours available for purchases, opening for business at the CenturyLink on Friday, May 1</w:t>
      </w:r>
      <w:r>
        <w:rPr>
          <w:rFonts w:ascii="Times New Roman" w:hAnsi="Times New Roman" w:cs="Times New Roman"/>
          <w:sz w:val="26"/>
          <w:szCs w:val="26"/>
          <w:vertAlign w:val="superscript"/>
        </w:rPr>
        <w:t>st</w:t>
      </w:r>
      <w:r>
        <w:rPr>
          <w:rFonts w:ascii="Times New Roman" w:hAnsi="Times New Roman" w:cs="Times New Roman"/>
          <w:sz w:val="20"/>
          <w:szCs w:val="20"/>
        </w:rPr>
        <w:t>, from noon to 5 p.m. as well as the usual 7 a.</w:t>
      </w:r>
      <w:r>
        <w:rPr>
          <w:rFonts w:ascii="Times New Roman" w:hAnsi="Times New Roman" w:cs="Times New Roman"/>
          <w:sz w:val="20"/>
          <w:szCs w:val="20"/>
        </w:rPr>
        <w:t>m. to 4 p.m. on meeting day. So bring a smile to Charlie’s face and do some serious shopping.</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23" w:lineRule="auto"/>
        <w:ind w:firstLine="860"/>
        <w:jc w:val="both"/>
        <w:rPr>
          <w:rFonts w:ascii="Times New Roman" w:hAnsi="Times New Roman" w:cs="Times New Roman"/>
          <w:sz w:val="24"/>
          <w:szCs w:val="24"/>
        </w:rPr>
      </w:pPr>
      <w:r>
        <w:rPr>
          <w:rFonts w:ascii="Times New Roman" w:hAnsi="Times New Roman" w:cs="Times New Roman"/>
          <w:sz w:val="20"/>
          <w:szCs w:val="20"/>
        </w:rPr>
        <w:t>Get up early on Saturday morning. At 6:20 a.m., Norman and Jake, two Texas longhorns each weighing about a ton, will proceed down 10</w:t>
      </w:r>
      <w:r>
        <w:rPr>
          <w:rFonts w:ascii="Times New Roman" w:hAnsi="Times New Roman" w:cs="Times New Roman"/>
          <w:sz w:val="26"/>
          <w:szCs w:val="26"/>
          <w:vertAlign w:val="superscript"/>
        </w:rPr>
        <w:t>th</w:t>
      </w:r>
      <w:r>
        <w:rPr>
          <w:rFonts w:ascii="Times New Roman" w:hAnsi="Times New Roman" w:cs="Times New Roman"/>
          <w:sz w:val="20"/>
          <w:szCs w:val="20"/>
        </w:rPr>
        <w:t xml:space="preserve"> Street to the CenturyLink.</w:t>
      </w:r>
      <w:r>
        <w:rPr>
          <w:rFonts w:ascii="Times New Roman" w:hAnsi="Times New Roman" w:cs="Times New Roman"/>
          <w:sz w:val="20"/>
          <w:szCs w:val="20"/>
        </w:rPr>
        <w:t xml:space="preserve"> Aboard them will be a couple of our Justin Boot executives, who do double duty as cowboys. Following the steers will be four horses pulling a Wells Fargo stagecoach. Berkshire already markets planes, trains and automobiles. Adding steers and stagecoaches </w:t>
      </w:r>
      <w:r>
        <w:rPr>
          <w:rFonts w:ascii="Times New Roman" w:hAnsi="Times New Roman" w:cs="Times New Roman"/>
          <w:sz w:val="20"/>
          <w:szCs w:val="20"/>
        </w:rPr>
        <w:t>to our portfolio should seal our reputation as America’s all-purpose transportation company.</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3" w:lineRule="auto"/>
        <w:ind w:firstLine="860"/>
        <w:jc w:val="both"/>
        <w:rPr>
          <w:rFonts w:ascii="Times New Roman" w:hAnsi="Times New Roman" w:cs="Times New Roman"/>
          <w:sz w:val="24"/>
          <w:szCs w:val="24"/>
        </w:rPr>
      </w:pPr>
      <w:r>
        <w:rPr>
          <w:rFonts w:ascii="Times New Roman" w:hAnsi="Times New Roman" w:cs="Times New Roman"/>
          <w:sz w:val="20"/>
          <w:szCs w:val="20"/>
        </w:rPr>
        <w:t>At about 7:30 a.m. on Saturday, we will have our fourth International Newspaper Tossing Challenge. Our target again will be a Clayton Home porch, located precisely 35 feet from the throwing line. When I was a teenager</w:t>
      </w:r>
    </w:p>
    <w:p w:rsidR="00000000" w:rsidRDefault="00A06965">
      <w:pPr>
        <w:pStyle w:val="DefaultParagraphFont"/>
        <w:widowControl w:val="0"/>
        <w:autoSpaceDE w:val="0"/>
        <w:autoSpaceDN w:val="0"/>
        <w:adjustRightInd w:val="0"/>
        <w:spacing w:after="0" w:line="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jc w:val="both"/>
        <w:rPr>
          <w:rFonts w:ascii="Times New Roman" w:hAnsi="Times New Roman" w:cs="Times New Roman"/>
          <w:sz w:val="24"/>
          <w:szCs w:val="24"/>
        </w:rPr>
      </w:pPr>
      <w:r>
        <w:rPr>
          <w:rFonts w:ascii="Times New Roman" w:hAnsi="Times New Roman" w:cs="Times New Roman"/>
          <w:sz w:val="20"/>
          <w:szCs w:val="20"/>
        </w:rPr>
        <w:t>– in my one brief flirtation with hon</w:t>
      </w:r>
      <w:r>
        <w:rPr>
          <w:rFonts w:ascii="Times New Roman" w:hAnsi="Times New Roman" w:cs="Times New Roman"/>
          <w:sz w:val="20"/>
          <w:szCs w:val="20"/>
        </w:rPr>
        <w:t>est labor – I tossed about 500,000 papers. So I think I’m pretty good. Challenge me! Humiliate me! Knock me down a peg! I’ll buy a Dilly Bar for anyone who lands his or her throw closer to the doorstep than I do. The papers will run 36 to 42 pages, and you</w:t>
      </w:r>
      <w:r>
        <w:rPr>
          <w:rFonts w:ascii="Times New Roman" w:hAnsi="Times New Roman" w:cs="Times New Roman"/>
          <w:sz w:val="20"/>
          <w:szCs w:val="20"/>
        </w:rPr>
        <w:t xml:space="preserve"> must fold them yourself (no rubber bands allowed). I’ll present a special prize to the 12-or-under contestant who makes the best toss. Deb Bosanek will be the judge.</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At 8:30 a.m., a new Berkshire movie will be shown. An hour later, we will start the question-and-answer period, which (with a break for lunch at CenturyLink’s stands) will last until 3:30 p.m. After a short recess, Charlie and I will convene the annual mee</w:t>
      </w:r>
      <w:r>
        <w:rPr>
          <w:rFonts w:ascii="Times New Roman" w:hAnsi="Times New Roman" w:cs="Times New Roman"/>
          <w:sz w:val="20"/>
          <w:szCs w:val="20"/>
        </w:rPr>
        <w:t>ting at 3:45 p.m. This business session typically lasts only a half hour or so.</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Your venue for shopping will be the 194,300-square-foot hall that adjoins the meeting and in which products from dozens of Berkshire subsidiaries will be for sale. If you don’</w:t>
      </w:r>
      <w:r>
        <w:rPr>
          <w:rFonts w:ascii="Times New Roman" w:hAnsi="Times New Roman" w:cs="Times New Roman"/>
          <w:sz w:val="20"/>
          <w:szCs w:val="20"/>
        </w:rPr>
        <w:t>t get your shopping done on Friday, slip out while Charlie’s talking on Saturday and binge on our bargains. Check the terrific BNSF railroad layout also. Even though I’m 84, it still excites me.</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Last year you did your part as a shopper, and most of our bu</w:t>
      </w:r>
      <w:r>
        <w:rPr>
          <w:rFonts w:ascii="Times New Roman" w:hAnsi="Times New Roman" w:cs="Times New Roman"/>
          <w:sz w:val="20"/>
          <w:szCs w:val="20"/>
        </w:rPr>
        <w:t>sinesses racked up record sales. In a nine-hour period on Saturday, we sold 1,385 pairs of Justin boots (that’s a pair every 23 seconds), 13,440 pounds of See’s candy, 7,276 pairs of Wells Lamont work gloves and 10,000 bottles of Heinz ketchup. Heinz has a</w:t>
      </w:r>
      <w:r>
        <w:rPr>
          <w:rFonts w:ascii="Times New Roman" w:hAnsi="Times New Roman" w:cs="Times New Roman"/>
          <w:sz w:val="20"/>
          <w:szCs w:val="20"/>
        </w:rPr>
        <w:t xml:space="preserve"> new mustard product, so both mustard and ketchup will be available this year. (Buy both!) Now that we are open for business on Friday as well, we expect new records in every precinct.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Brooks, our running-shoe company, will again have a special commemorat</w:t>
      </w:r>
      <w:r>
        <w:rPr>
          <w:rFonts w:ascii="Times New Roman" w:hAnsi="Times New Roman" w:cs="Times New Roman"/>
          <w:sz w:val="20"/>
          <w:szCs w:val="20"/>
        </w:rPr>
        <w:t xml:space="preserve">ive shoe to offer at the meeting. After you purchase a pair, wear them the next day at our third annual “Berkshire 5K,” an 8 a.m. race starting at the CenturyLink. Full details for participating will be included in the Visitor’s Guide that will be sent to </w:t>
      </w:r>
      <w:r>
        <w:rPr>
          <w:rFonts w:ascii="Times New Roman" w:hAnsi="Times New Roman" w:cs="Times New Roman"/>
          <w:sz w:val="20"/>
          <w:szCs w:val="20"/>
        </w:rPr>
        <w:t>you with your credentials for the meeting. Entrants in the race will find themselves running alongside many of Berkshire’s managers, directors and associates. (Charlie and I, however, will sleep in.)</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A GEICO booth in the shopping area will be staffed by a</w:t>
      </w:r>
      <w:r>
        <w:rPr>
          <w:rFonts w:ascii="Times New Roman" w:hAnsi="Times New Roman" w:cs="Times New Roman"/>
          <w:sz w:val="20"/>
          <w:szCs w:val="20"/>
        </w:rPr>
        <w:t xml:space="preserve"> number of the company’s top counselors from around the country. Stop by for a quote. In most cases, GEICO will be able to give you a shareholder discount (usually 8%). This special offer is permitted by 44 of the 51 jurisdictions in which we operate. (One</w:t>
      </w:r>
      <w:r>
        <w:rPr>
          <w:rFonts w:ascii="Times New Roman" w:hAnsi="Times New Roman" w:cs="Times New Roman"/>
          <w:sz w:val="20"/>
          <w:szCs w:val="20"/>
        </w:rPr>
        <w:t xml:space="preserve"> supplemental point: The discount is not additive if you qualify for another discount, such as that available to certain groups.) Bring the details of your existing insurance and check out our price. We can save many of you real money.</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Be sure to visit th</w:t>
      </w:r>
      <w:r>
        <w:rPr>
          <w:rFonts w:ascii="Times New Roman" w:hAnsi="Times New Roman" w:cs="Times New Roman"/>
          <w:sz w:val="20"/>
          <w:szCs w:val="20"/>
        </w:rPr>
        <w:t>e Bookworm. It will carry about 35 books and DVDs, among them a couple of new titles. Last year, many shareholders purchased Max Olson’s compilation of Berkshire letters going back to 1965, and he has produced an updated edition for the meeting. We also ex</w:t>
      </w:r>
      <w:r>
        <w:rPr>
          <w:rFonts w:ascii="Times New Roman" w:hAnsi="Times New Roman" w:cs="Times New Roman"/>
          <w:sz w:val="20"/>
          <w:szCs w:val="20"/>
        </w:rPr>
        <w:t>pect to be selling an inexpensive book commemorating our fifty years. It’s currently a work in process, but I expect it to contain a wide variety of historical material, including documents from the 19</w:t>
      </w:r>
      <w:r>
        <w:rPr>
          <w:rFonts w:ascii="Times New Roman" w:hAnsi="Times New Roman" w:cs="Times New Roman"/>
          <w:sz w:val="26"/>
          <w:szCs w:val="26"/>
          <w:vertAlign w:val="superscript"/>
        </w:rPr>
        <w:t>th</w:t>
      </w:r>
      <w:r>
        <w:rPr>
          <w:rFonts w:ascii="Times New Roman" w:hAnsi="Times New Roman" w:cs="Times New Roman"/>
          <w:sz w:val="20"/>
          <w:szCs w:val="20"/>
        </w:rPr>
        <w:t xml:space="preserve"> Century.</w:t>
      </w:r>
    </w:p>
    <w:p w:rsidR="00000000" w:rsidRDefault="00A06965">
      <w:pPr>
        <w:pStyle w:val="DefaultParagraphFont"/>
        <w:widowControl w:val="0"/>
        <w:autoSpaceDE w:val="0"/>
        <w:autoSpaceDN w:val="0"/>
        <w:adjustRightInd w:val="0"/>
        <w:spacing w:after="0" w:line="14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27" w:lineRule="exact"/>
        <w:ind w:firstLine="860"/>
        <w:jc w:val="both"/>
        <w:rPr>
          <w:rFonts w:ascii="Times New Roman" w:hAnsi="Times New Roman" w:cs="Times New Roman"/>
          <w:sz w:val="24"/>
          <w:szCs w:val="24"/>
        </w:rPr>
      </w:pPr>
      <w:r>
        <w:rPr>
          <w:rFonts w:ascii="Times New Roman" w:hAnsi="Times New Roman" w:cs="Times New Roman"/>
          <w:sz w:val="20"/>
          <w:szCs w:val="20"/>
        </w:rPr>
        <w:t>An attachment to the proxy material that i</w:t>
      </w:r>
      <w:r>
        <w:rPr>
          <w:rFonts w:ascii="Times New Roman" w:hAnsi="Times New Roman" w:cs="Times New Roman"/>
          <w:sz w:val="20"/>
          <w:szCs w:val="20"/>
        </w:rPr>
        <w:t>s enclosed with this report explains how you can obtain the credential you will need for admission to both the meeting and other events. Airlines have sometimes jacked up prices for the Berkshire weekend. If you are coming from far away, compare the cost o</w:t>
      </w:r>
      <w:r>
        <w:rPr>
          <w:rFonts w:ascii="Times New Roman" w:hAnsi="Times New Roman" w:cs="Times New Roman"/>
          <w:sz w:val="20"/>
          <w:szCs w:val="20"/>
        </w:rPr>
        <w:t>f flying to Kansas City vs. Omaha. The drive between the two cities is about 2</w:t>
      </w:r>
      <w:r>
        <w:rPr>
          <w:rFonts w:ascii="Times New Roman" w:hAnsi="Times New Roman" w:cs="Times New Roman"/>
          <w:sz w:val="26"/>
          <w:szCs w:val="26"/>
          <w:vertAlign w:val="superscript"/>
        </w:rPr>
        <w:t>1</w:t>
      </w:r>
      <w:r>
        <w:rPr>
          <w:rFonts w:ascii="Arial Unicode MS" w:eastAsia="Arial Unicode MS" w:hAnsi="Times New Roman" w:cs="Arial Unicode MS" w:hint="eastAsia"/>
          <w:sz w:val="20"/>
          <w:szCs w:val="20"/>
        </w:rPr>
        <w:t>⁄</w:t>
      </w:r>
      <w:r>
        <w:rPr>
          <w:rFonts w:ascii="Times New Roman" w:hAnsi="Times New Roman" w:cs="Times New Roman"/>
          <w:sz w:val="20"/>
          <w:szCs w:val="20"/>
        </w:rPr>
        <w:t xml:space="preserve"> </w:t>
      </w:r>
      <w:r>
        <w:rPr>
          <w:rFonts w:ascii="Times New Roman" w:hAnsi="Times New Roman" w:cs="Times New Roman"/>
          <w:sz w:val="13"/>
          <w:szCs w:val="13"/>
        </w:rPr>
        <w:t>2</w:t>
      </w:r>
      <w:r>
        <w:rPr>
          <w:rFonts w:ascii="Times New Roman" w:hAnsi="Times New Roman" w:cs="Times New Roman"/>
          <w:sz w:val="20"/>
          <w:szCs w:val="20"/>
        </w:rPr>
        <w:t xml:space="preserve"> hours, and it may be that Kansas City can save you significant money, particularly if you had planned to rent a car in Omaha. The savings for a couple could run to $1,000 or</w:t>
      </w:r>
      <w:r>
        <w:rPr>
          <w:rFonts w:ascii="Times New Roman" w:hAnsi="Times New Roman" w:cs="Times New Roman"/>
          <w:sz w:val="20"/>
          <w:szCs w:val="20"/>
        </w:rPr>
        <w:t xml:space="preserve"> more. Spend that money with us.</w:t>
      </w:r>
    </w:p>
    <w:p w:rsidR="00000000" w:rsidRDefault="00A06965">
      <w:pPr>
        <w:pStyle w:val="DefaultParagraphFont"/>
        <w:widowControl w:val="0"/>
        <w:autoSpaceDE w:val="0"/>
        <w:autoSpaceDN w:val="0"/>
        <w:adjustRightInd w:val="0"/>
        <w:spacing w:after="0" w:line="21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14" w:lineRule="auto"/>
        <w:ind w:firstLine="860"/>
        <w:jc w:val="both"/>
        <w:rPr>
          <w:rFonts w:ascii="Times New Roman" w:hAnsi="Times New Roman" w:cs="Times New Roman"/>
          <w:sz w:val="24"/>
          <w:szCs w:val="24"/>
        </w:rPr>
      </w:pPr>
      <w:r>
        <w:rPr>
          <w:rFonts w:ascii="Times New Roman" w:hAnsi="Times New Roman" w:cs="Times New Roman"/>
          <w:sz w:val="20"/>
          <w:szCs w:val="20"/>
        </w:rPr>
        <w:t>At Nebraska Furniture Mart, located on a 77-acre site on 72</w:t>
      </w:r>
      <w:r>
        <w:rPr>
          <w:rFonts w:ascii="Times New Roman" w:hAnsi="Times New Roman" w:cs="Times New Roman"/>
          <w:sz w:val="26"/>
          <w:szCs w:val="26"/>
          <w:vertAlign w:val="superscript"/>
        </w:rPr>
        <w:t>nd</w:t>
      </w:r>
      <w:r>
        <w:rPr>
          <w:rFonts w:ascii="Times New Roman" w:hAnsi="Times New Roman" w:cs="Times New Roman"/>
          <w:sz w:val="20"/>
          <w:szCs w:val="20"/>
        </w:rPr>
        <w:t xml:space="preserve"> Street between Dodge and Pacific, we will again be having “Berkshire Weekend”</w:t>
      </w:r>
      <w:r>
        <w:rPr>
          <w:rFonts w:ascii="Times New Roman" w:hAnsi="Times New Roman" w:cs="Times New Roman"/>
          <w:sz w:val="20"/>
          <w:szCs w:val="20"/>
        </w:rPr>
        <w:t xml:space="preserve"> discount pricing. Last year in the week surrounding the meeting, the store did a record $40,481,817 of business. (An average week for NFM’s Omaha store is about $9 million.)</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16" w:lineRule="auto"/>
        <w:ind w:firstLine="860"/>
        <w:jc w:val="both"/>
        <w:rPr>
          <w:rFonts w:ascii="Times New Roman" w:hAnsi="Times New Roman" w:cs="Times New Roman"/>
          <w:sz w:val="24"/>
          <w:szCs w:val="24"/>
        </w:rPr>
      </w:pPr>
      <w:r>
        <w:rPr>
          <w:rFonts w:ascii="Times New Roman" w:hAnsi="Times New Roman" w:cs="Times New Roman"/>
          <w:sz w:val="20"/>
          <w:szCs w:val="20"/>
        </w:rPr>
        <w:t xml:space="preserve">To obtain the Berkshire discount </w:t>
      </w:r>
      <w:r>
        <w:rPr>
          <w:rFonts w:ascii="Times New Roman" w:hAnsi="Times New Roman" w:cs="Times New Roman"/>
          <w:sz w:val="20"/>
          <w:szCs w:val="20"/>
        </w:rPr>
        <w:t>at NFM, you must make your purchases between Tuesday, April 28</w:t>
      </w:r>
      <w:r>
        <w:rPr>
          <w:rFonts w:ascii="Times New Roman" w:hAnsi="Times New Roman" w:cs="Times New Roman"/>
          <w:sz w:val="26"/>
          <w:szCs w:val="26"/>
          <w:vertAlign w:val="superscript"/>
        </w:rPr>
        <w:t>th</w:t>
      </w:r>
      <w:r>
        <w:rPr>
          <w:rFonts w:ascii="Times New Roman" w:hAnsi="Times New Roman" w:cs="Times New Roman"/>
          <w:sz w:val="20"/>
          <w:szCs w:val="20"/>
        </w:rPr>
        <w:t xml:space="preserve"> and Monday, May 4</w:t>
      </w:r>
      <w:r>
        <w:rPr>
          <w:rFonts w:ascii="Times New Roman" w:hAnsi="Times New Roman" w:cs="Times New Roman"/>
          <w:sz w:val="26"/>
          <w:szCs w:val="26"/>
          <w:vertAlign w:val="superscript"/>
        </w:rPr>
        <w:t>th</w:t>
      </w:r>
      <w:r>
        <w:rPr>
          <w:rFonts w:ascii="Times New Roman" w:hAnsi="Times New Roman" w:cs="Times New Roman"/>
          <w:sz w:val="20"/>
          <w:szCs w:val="20"/>
        </w:rPr>
        <w:t xml:space="preserve"> inclusive, and also present your meeting credential. The period’s special pricing will even apply to the products of several prestigious manufacturers that normally have i</w:t>
      </w:r>
      <w:r>
        <w:rPr>
          <w:rFonts w:ascii="Times New Roman" w:hAnsi="Times New Roman" w:cs="Times New Roman"/>
          <w:sz w:val="20"/>
          <w:szCs w:val="20"/>
        </w:rPr>
        <w:t>ronclad rules against discounting but which, in the spirit of our shareholder weekend, have made an exception for you. We appreciate their cooperation. NFM is open from 10 a.m. to 9 p.m. Monday through Friday, 10 a.m. to 9:30 p.m. on Saturday and 10 a.m. t</w:t>
      </w:r>
      <w:r>
        <w:rPr>
          <w:rFonts w:ascii="Times New Roman" w:hAnsi="Times New Roman" w:cs="Times New Roman"/>
          <w:sz w:val="20"/>
          <w:szCs w:val="20"/>
        </w:rPr>
        <w:t>o 8 p.m. on Sunday. From 5:30 p.m. to 8 p.m. on Saturday, NFM is having a picnic to which you are all invited.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20" w:lineRule="auto"/>
        <w:ind w:firstLine="860"/>
        <w:jc w:val="both"/>
        <w:rPr>
          <w:rFonts w:ascii="Times New Roman" w:hAnsi="Times New Roman" w:cs="Times New Roman"/>
          <w:sz w:val="24"/>
          <w:szCs w:val="24"/>
        </w:rPr>
      </w:pPr>
      <w:r>
        <w:rPr>
          <w:rFonts w:ascii="Times New Roman" w:hAnsi="Times New Roman" w:cs="Times New Roman"/>
          <w:sz w:val="20"/>
          <w:szCs w:val="20"/>
        </w:rPr>
        <w:t>At Borsheims, we will again have two shareholder-only events. The first will be a cocktail reception from 6 p.m. to 9 p.m. on Friday, May 1</w:t>
      </w:r>
      <w:r>
        <w:rPr>
          <w:rFonts w:ascii="Times New Roman" w:hAnsi="Times New Roman" w:cs="Times New Roman"/>
          <w:sz w:val="26"/>
          <w:szCs w:val="26"/>
          <w:vertAlign w:val="superscript"/>
        </w:rPr>
        <w:t>st</w:t>
      </w:r>
      <w:r>
        <w:rPr>
          <w:rFonts w:ascii="Times New Roman" w:hAnsi="Times New Roman" w:cs="Times New Roman"/>
          <w:sz w:val="20"/>
          <w:szCs w:val="20"/>
        </w:rPr>
        <w:t>. The second, the main gala, will be held on Sunday, May 3</w:t>
      </w:r>
      <w:r>
        <w:rPr>
          <w:rFonts w:ascii="Times New Roman" w:hAnsi="Times New Roman" w:cs="Times New Roman"/>
          <w:sz w:val="26"/>
          <w:szCs w:val="26"/>
          <w:vertAlign w:val="superscript"/>
        </w:rPr>
        <w:t>rd</w:t>
      </w:r>
      <w:r>
        <w:rPr>
          <w:rFonts w:ascii="Times New Roman" w:hAnsi="Times New Roman" w:cs="Times New Roman"/>
          <w:sz w:val="20"/>
          <w:szCs w:val="20"/>
        </w:rPr>
        <w:t>, from 9 a.m. to 4 p.m. On Saturday, we will remain open until 6 p.m. In recent years, our three-day volume has far exceeded our sales in all of December, normally a jeweler’s best month.</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20" w:lineRule="auto"/>
        <w:ind w:firstLine="720"/>
        <w:jc w:val="both"/>
        <w:rPr>
          <w:rFonts w:ascii="Times New Roman" w:hAnsi="Times New Roman" w:cs="Times New Roman"/>
          <w:sz w:val="24"/>
          <w:szCs w:val="24"/>
        </w:rPr>
      </w:pPr>
      <w:r>
        <w:rPr>
          <w:rFonts w:ascii="Times New Roman" w:hAnsi="Times New Roman" w:cs="Times New Roman"/>
          <w:sz w:val="20"/>
          <w:szCs w:val="20"/>
        </w:rPr>
        <w:t>We will</w:t>
      </w:r>
      <w:r>
        <w:rPr>
          <w:rFonts w:ascii="Times New Roman" w:hAnsi="Times New Roman" w:cs="Times New Roman"/>
          <w:sz w:val="20"/>
          <w:szCs w:val="20"/>
        </w:rPr>
        <w:t xml:space="preserve"> have huge crowds at Borsheims throughout the weekend. For your convenience, therefore, shareholder prices will be available from Monday, April 27</w:t>
      </w:r>
      <w:r>
        <w:rPr>
          <w:rFonts w:ascii="Times New Roman" w:hAnsi="Times New Roman" w:cs="Times New Roman"/>
          <w:sz w:val="26"/>
          <w:szCs w:val="26"/>
          <w:vertAlign w:val="superscript"/>
        </w:rPr>
        <w:t>th</w:t>
      </w:r>
      <w:r>
        <w:rPr>
          <w:rFonts w:ascii="Times New Roman" w:hAnsi="Times New Roman" w:cs="Times New Roman"/>
          <w:sz w:val="20"/>
          <w:szCs w:val="20"/>
        </w:rPr>
        <w:t xml:space="preserve"> through Saturday, May 9</w:t>
      </w:r>
      <w:r>
        <w:rPr>
          <w:rFonts w:ascii="Times New Roman" w:hAnsi="Times New Roman" w:cs="Times New Roman"/>
          <w:sz w:val="26"/>
          <w:szCs w:val="26"/>
          <w:vertAlign w:val="superscript"/>
        </w:rPr>
        <w:t>th</w:t>
      </w:r>
      <w:r>
        <w:rPr>
          <w:rFonts w:ascii="Times New Roman" w:hAnsi="Times New Roman" w:cs="Times New Roman"/>
          <w:sz w:val="20"/>
          <w:szCs w:val="20"/>
        </w:rPr>
        <w:t>. During that period, please identify yourself as a shareholder by presenting your</w:t>
      </w:r>
      <w:r>
        <w:rPr>
          <w:rFonts w:ascii="Times New Roman" w:hAnsi="Times New Roman" w:cs="Times New Roman"/>
          <w:sz w:val="20"/>
          <w:szCs w:val="20"/>
        </w:rPr>
        <w:t xml:space="preserve"> meeting credentials or a brokerage statement that shows you are a Berkshire holder.</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860"/>
        <w:jc w:val="both"/>
        <w:rPr>
          <w:rFonts w:ascii="Times New Roman" w:hAnsi="Times New Roman" w:cs="Times New Roman"/>
          <w:sz w:val="24"/>
          <w:szCs w:val="24"/>
        </w:rPr>
      </w:pPr>
      <w:r>
        <w:rPr>
          <w:rFonts w:ascii="Times New Roman" w:hAnsi="Times New Roman" w:cs="Times New Roman"/>
          <w:sz w:val="20"/>
          <w:szCs w:val="20"/>
        </w:rPr>
        <w:t>On Sunday, in the mall outside of Borsheims, Norman Beck, a remarkable magician from Dallas, will bewilder onlookers. Additionally, we will have Bob Hamman and Sharon Osb</w:t>
      </w:r>
      <w:r>
        <w:rPr>
          <w:rFonts w:ascii="Times New Roman" w:hAnsi="Times New Roman" w:cs="Times New Roman"/>
          <w:sz w:val="20"/>
          <w:szCs w:val="20"/>
        </w:rPr>
        <w:t>erg, two of the world’s top bridge experts, available to play bridge with our shareholders on Sunday afternoon. Don’t play them for money.</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My friend, Ariel Hsing, will be in the mall as well on Sunday, taking on challengers at table tennis. I met Ariel wh</w:t>
      </w:r>
      <w:r>
        <w:rPr>
          <w:rFonts w:ascii="Times New Roman" w:hAnsi="Times New Roman" w:cs="Times New Roman"/>
          <w:sz w:val="20"/>
          <w:szCs w:val="20"/>
        </w:rPr>
        <w:t>en she was nine and even then I was unable to score a point against her. Now, she’s a sophomore at Princeton, having already represented the United States in the 2012 Olympics. If you don’t mind embarrassing yourself, test your skills against her, beginnin</w:t>
      </w:r>
      <w:r>
        <w:rPr>
          <w:rFonts w:ascii="Times New Roman" w:hAnsi="Times New Roman" w:cs="Times New Roman"/>
          <w:sz w:val="20"/>
          <w:szCs w:val="20"/>
        </w:rPr>
        <w:t>g at 1 p.m. Bill Gates and I will lead off and try to soften her up.</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11" w:lineRule="auto"/>
        <w:ind w:firstLine="860"/>
        <w:jc w:val="both"/>
        <w:rPr>
          <w:rFonts w:ascii="Times New Roman" w:hAnsi="Times New Roman" w:cs="Times New Roman"/>
          <w:sz w:val="24"/>
          <w:szCs w:val="24"/>
        </w:rPr>
      </w:pPr>
      <w:r>
        <w:rPr>
          <w:rFonts w:ascii="Times New Roman" w:hAnsi="Times New Roman" w:cs="Times New Roman"/>
          <w:sz w:val="20"/>
          <w:szCs w:val="20"/>
        </w:rPr>
        <w:t>Gorat’s and Piccolo’s will again be open exclusively for Berkshire shareholders on Sunday, May 3</w:t>
      </w:r>
      <w:r>
        <w:rPr>
          <w:rFonts w:ascii="Times New Roman" w:hAnsi="Times New Roman" w:cs="Times New Roman"/>
          <w:sz w:val="26"/>
          <w:szCs w:val="26"/>
          <w:vertAlign w:val="superscript"/>
        </w:rPr>
        <w:t>rd</w:t>
      </w:r>
      <w:r>
        <w:rPr>
          <w:rFonts w:ascii="Times New Roman" w:hAnsi="Times New Roman" w:cs="Times New Roman"/>
          <w:sz w:val="20"/>
          <w:szCs w:val="20"/>
        </w:rPr>
        <w:t>. Both will be serving until 10 p.m., with Gorat’s opening at 1 p.m. and Piccolo’s openi</w:t>
      </w:r>
      <w:r>
        <w:rPr>
          <w:rFonts w:ascii="Times New Roman" w:hAnsi="Times New Roman" w:cs="Times New Roman"/>
          <w:sz w:val="20"/>
          <w:szCs w:val="20"/>
        </w:rPr>
        <w:t>ng at 4 p.m. These restaurants are my favorites, and I will eat at both of them on Sunday evening. Remember: To make a reservation at Gorat’s, call 402-551-3733 on April 1</w:t>
      </w:r>
      <w:r>
        <w:rPr>
          <w:rFonts w:ascii="Times New Roman" w:hAnsi="Times New Roman" w:cs="Times New Roman"/>
          <w:sz w:val="26"/>
          <w:szCs w:val="26"/>
          <w:vertAlign w:val="superscript"/>
        </w:rPr>
        <w:t>st</w:t>
      </w:r>
      <w:r>
        <w:rPr>
          <w:rFonts w:ascii="Times New Roman" w:hAnsi="Times New Roman" w:cs="Times New Roman"/>
          <w:sz w:val="20"/>
          <w:szCs w:val="20"/>
        </w:rPr>
        <w:t xml:space="preserve"> (</w:t>
      </w:r>
      <w:r>
        <w:rPr>
          <w:rFonts w:ascii="Times New Roman" w:hAnsi="Times New Roman" w:cs="Times New Roman"/>
          <w:i/>
          <w:iCs/>
          <w:sz w:val="20"/>
          <w:szCs w:val="20"/>
        </w:rPr>
        <w:t>but not before</w:t>
      </w:r>
      <w:r>
        <w:rPr>
          <w:rFonts w:ascii="Times New Roman" w:hAnsi="Times New Roman" w:cs="Times New Roman"/>
          <w:sz w:val="20"/>
          <w:szCs w:val="20"/>
        </w:rPr>
        <w:t>); for Piccolo’s, call 402-346-2865. At Piccolo’</w:t>
      </w:r>
      <w:r>
        <w:rPr>
          <w:rFonts w:ascii="Times New Roman" w:hAnsi="Times New Roman" w:cs="Times New Roman"/>
          <w:sz w:val="20"/>
          <w:szCs w:val="20"/>
        </w:rPr>
        <w:t>s, order a giant root beer float for dessert. Only sissies get the small one.</w:t>
      </w:r>
    </w:p>
    <w:p w:rsidR="00000000" w:rsidRDefault="00A06965">
      <w:pPr>
        <w:pStyle w:val="DefaultParagraphFont"/>
        <w:widowControl w:val="0"/>
        <w:autoSpaceDE w:val="0"/>
        <w:autoSpaceDN w:val="0"/>
        <w:adjustRightInd w:val="0"/>
        <w:spacing w:after="0" w:line="21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We will again have the same three financial journalists lead the question-and-answer period at the meeting, asking Charlie and me questions that shareholders have submitted to them by e-mail. The journalists and their e-mail addresses are: Carol Loomis, wh</w:t>
      </w:r>
      <w:r>
        <w:rPr>
          <w:rFonts w:ascii="Times New Roman" w:hAnsi="Times New Roman" w:cs="Times New Roman"/>
          <w:sz w:val="20"/>
          <w:szCs w:val="20"/>
        </w:rPr>
        <w:t xml:space="preserve">o retired last year after sixty years at Fortune, but remains </w:t>
      </w:r>
      <w:r>
        <w:rPr>
          <w:rFonts w:ascii="Times New Roman" w:hAnsi="Times New Roman" w:cs="Times New Roman"/>
          <w:i/>
          <w:iCs/>
          <w:sz w:val="20"/>
          <w:szCs w:val="20"/>
        </w:rPr>
        <w:t>the</w:t>
      </w:r>
      <w:r>
        <w:rPr>
          <w:rFonts w:ascii="Times New Roman" w:hAnsi="Times New Roman" w:cs="Times New Roman"/>
          <w:sz w:val="20"/>
          <w:szCs w:val="20"/>
        </w:rPr>
        <w:t xml:space="preserve"> expert on business and financial matters, and who may be e-mailed at loomisbrk@gmail.com; Becky Quick, of CNBC, at BerkshireQuestions@cnbc.com; and Andrew Ross Sorkin, of The New York Times,</w:t>
      </w:r>
      <w:r>
        <w:rPr>
          <w:rFonts w:ascii="Times New Roman" w:hAnsi="Times New Roman" w:cs="Times New Roman"/>
          <w:sz w:val="20"/>
          <w:szCs w:val="20"/>
        </w:rPr>
        <w:t xml:space="preserve"> at arsorkin@nytimes.com.</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 xml:space="preserve">From the questions submitted, each journalist will choose the six he or she decides are the most interesting and important. The journalists have told me your question has the best chance of being selected if you keep it concise, </w:t>
      </w:r>
      <w:r>
        <w:rPr>
          <w:rFonts w:ascii="Times New Roman" w:hAnsi="Times New Roman" w:cs="Times New Roman"/>
          <w:sz w:val="20"/>
          <w:szCs w:val="20"/>
        </w:rPr>
        <w:t>avoid sending it in at the last moment, make it Berkshire-related and include no more than two questions in any e-mail you send them. (In your e-mail, let the journalist know if you would like your name mentioned if your question is asked.)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860"/>
        <w:jc w:val="both"/>
        <w:rPr>
          <w:rFonts w:ascii="Times New Roman" w:hAnsi="Times New Roman" w:cs="Times New Roman"/>
          <w:sz w:val="24"/>
          <w:szCs w:val="24"/>
        </w:rPr>
      </w:pPr>
      <w:r>
        <w:rPr>
          <w:rFonts w:ascii="Times New Roman" w:hAnsi="Times New Roman" w:cs="Times New Roman"/>
          <w:sz w:val="20"/>
          <w:szCs w:val="20"/>
        </w:rPr>
        <w:t>We will also h</w:t>
      </w:r>
      <w:r>
        <w:rPr>
          <w:rFonts w:ascii="Times New Roman" w:hAnsi="Times New Roman" w:cs="Times New Roman"/>
          <w:sz w:val="20"/>
          <w:szCs w:val="20"/>
        </w:rPr>
        <w:t>ave a panel of three analysts who follow Berkshire. This year the insurance specialist will be Gary Ransom of Dowling &amp; Partners. Questions that deal with our non-insurance operations will come from Jonathan Brandt of Ruane, Cunniff &amp; Goldfarb and Gregg Wa</w:t>
      </w:r>
      <w:r>
        <w:rPr>
          <w:rFonts w:ascii="Times New Roman" w:hAnsi="Times New Roman" w:cs="Times New Roman"/>
          <w:sz w:val="20"/>
          <w:szCs w:val="20"/>
        </w:rPr>
        <w:t>rren of Morningstar. Our hope is that the analysts and journalists will ask questions that add to our owners’ understanding and knowledge of their investment.</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Neither Charlie nor I will get so much as a clue about the questions headed our way. Some will be tough, for sure, and that’s the way we like it. All told we expect at least 54 questions, which will allow for six from each analyst and journalist and for 18</w:t>
      </w:r>
      <w:r>
        <w:rPr>
          <w:rFonts w:ascii="Times New Roman" w:hAnsi="Times New Roman" w:cs="Times New Roman"/>
          <w:sz w:val="20"/>
          <w:szCs w:val="20"/>
        </w:rPr>
        <w:t xml:space="preserve"> from the audience. (Last year we had 62 in total.) The questioners from the audience will be chosen by means of 11 drawings that will take place at 8:15 a.m. on the morning of the annual meeting. Each of the 11 microphones installed in the arena and main </w:t>
      </w:r>
      <w:r>
        <w:rPr>
          <w:rFonts w:ascii="Times New Roman" w:hAnsi="Times New Roman" w:cs="Times New Roman"/>
          <w:sz w:val="20"/>
          <w:szCs w:val="20"/>
        </w:rPr>
        <w:t>overflow room will host, so to speak, a drawing.</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While I’m on the subject of our owners’ gaining knowledge, let me remind you that Charlie and I believe all shareholders should simultaneously have access to new information that Berkshire releases and shou</w:t>
      </w:r>
      <w:r>
        <w:rPr>
          <w:rFonts w:ascii="Times New Roman" w:hAnsi="Times New Roman" w:cs="Times New Roman"/>
          <w:sz w:val="20"/>
          <w:szCs w:val="20"/>
        </w:rPr>
        <w:t>ld also have adequate time to analyze it. That’s why we try to issue financial data late on Fridays or early on Saturdays and why our annual meeting is always held on a Saturday. We do not talk one-on-one to large institutional investors or analysts, treat</w:t>
      </w:r>
      <w:r>
        <w:rPr>
          <w:rFonts w:ascii="Times New Roman" w:hAnsi="Times New Roman" w:cs="Times New Roman"/>
          <w:sz w:val="20"/>
          <w:szCs w:val="20"/>
        </w:rPr>
        <w:t>ing them instead as we do all other shareholders.</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24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860"/>
        <w:jc w:val="both"/>
        <w:rPr>
          <w:rFonts w:ascii="Times New Roman" w:hAnsi="Times New Roman" w:cs="Times New Roman"/>
          <w:sz w:val="24"/>
          <w:szCs w:val="24"/>
        </w:rPr>
      </w:pPr>
      <w:r>
        <w:rPr>
          <w:rFonts w:ascii="Times New Roman" w:hAnsi="Times New Roman" w:cs="Times New Roman"/>
          <w:sz w:val="20"/>
          <w:szCs w:val="20"/>
        </w:rPr>
        <w:t>We get terrific help at meeting time from literally thousands of Omaha residents and businesses who want you to enjoy yourselves. This year, because we expect record attendance, we</w:t>
      </w:r>
      <w:r>
        <w:rPr>
          <w:rFonts w:ascii="Times New Roman" w:hAnsi="Times New Roman" w:cs="Times New Roman"/>
          <w:sz w:val="20"/>
          <w:szCs w:val="20"/>
        </w:rPr>
        <w:t xml:space="preserve"> have worried about a shortage of hotel rooms. To deal with that possible problem, Airbnb is making a special effort to obtain listings for the period around meeting time and is likely to have a wide array of accommodations to offer. Airbnb’s services may </w:t>
      </w:r>
      <w:r>
        <w:rPr>
          <w:rFonts w:ascii="Times New Roman" w:hAnsi="Times New Roman" w:cs="Times New Roman"/>
          <w:sz w:val="20"/>
          <w:szCs w:val="20"/>
        </w:rPr>
        <w:t>be especially helpful to shareholders who expect to spend only a single night in Omaha and are aware that last year a few hotels required guests to pay for a minimum of three nights. That gets expensive. Those people on a tight budget should check the Airb</w:t>
      </w:r>
      <w:r>
        <w:rPr>
          <w:rFonts w:ascii="Times New Roman" w:hAnsi="Times New Roman" w:cs="Times New Roman"/>
          <w:sz w:val="20"/>
          <w:szCs w:val="20"/>
        </w:rPr>
        <w:t>nb website.</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24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For good reason, I regularly extol the accomplishments of our operating managers. They are truly All-Stars who run their businesses as if they were the only asset o</w:t>
      </w:r>
      <w:r>
        <w:rPr>
          <w:rFonts w:ascii="Times New Roman" w:hAnsi="Times New Roman" w:cs="Times New Roman"/>
          <w:sz w:val="20"/>
          <w:szCs w:val="20"/>
        </w:rPr>
        <w:t>wned by their families. I believe the mindset of our managers also to be as shareholder-oriented as can be found in the universe of large publicly-owned companies. Most of our managers have no financial need to work. The joy of hitting business “home runs”</w:t>
      </w:r>
      <w:r>
        <w:rPr>
          <w:rFonts w:ascii="Times New Roman" w:hAnsi="Times New Roman" w:cs="Times New Roman"/>
          <w:sz w:val="20"/>
          <w:szCs w:val="20"/>
        </w:rPr>
        <w:t xml:space="preserve"> means as much to them as their paycheck.</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Equally important, however, are the 24 men and women who work with me at our corporate office. This group efficiently deals with a multitude of SEC and other regulatory requirements, files a 24,100-page Federal in</w:t>
      </w:r>
      <w:r>
        <w:rPr>
          <w:rFonts w:ascii="Times New Roman" w:hAnsi="Times New Roman" w:cs="Times New Roman"/>
          <w:sz w:val="20"/>
          <w:szCs w:val="20"/>
        </w:rPr>
        <w:t>come tax return and oversees the filing of 3,400 state tax returns, responds to countless shareholder and media inquiries, gets out the annual report, prepares for the country’s largest annual meeting, coordinates the Board’s activities – and the list goes</w:t>
      </w:r>
      <w:r>
        <w:rPr>
          <w:rFonts w:ascii="Times New Roman" w:hAnsi="Times New Roman" w:cs="Times New Roman"/>
          <w:sz w:val="20"/>
          <w:szCs w:val="20"/>
        </w:rPr>
        <w:t xml:space="preserve"> on and on.</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They handle all of these business tasks cheerfully and with unbelievable efficiency, making my life easy and pleasant. Their efforts go beyond activities strictly related to Berkshire: Last year they dealt with the 40 universities (selected fr</w:t>
      </w:r>
      <w:r>
        <w:rPr>
          <w:rFonts w:ascii="Times New Roman" w:hAnsi="Times New Roman" w:cs="Times New Roman"/>
          <w:sz w:val="20"/>
          <w:szCs w:val="20"/>
        </w:rPr>
        <w:t>om 200 applicants) who sent students to Omaha for a Q&amp;A day with me. They also handle all kinds of requests that I receive, arrange my travel, and even get me hamburgers and french fries (smothered in Heinz ketchup, of course) for lunch. No CEO has it bett</w:t>
      </w:r>
      <w:r>
        <w:rPr>
          <w:rFonts w:ascii="Times New Roman" w:hAnsi="Times New Roman" w:cs="Times New Roman"/>
          <w:sz w:val="20"/>
          <w:szCs w:val="20"/>
        </w:rPr>
        <w:t>er; I truly do feel like tap dancing to work every day.</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860"/>
        <w:jc w:val="both"/>
        <w:rPr>
          <w:rFonts w:ascii="Times New Roman" w:hAnsi="Times New Roman" w:cs="Times New Roman"/>
          <w:sz w:val="24"/>
          <w:szCs w:val="24"/>
        </w:rPr>
      </w:pPr>
      <w:r>
        <w:rPr>
          <w:rFonts w:ascii="Times New Roman" w:hAnsi="Times New Roman" w:cs="Times New Roman"/>
          <w:sz w:val="20"/>
          <w:szCs w:val="20"/>
        </w:rPr>
        <w:t>Last year, for the annual report, we dropped our 48-year-old “no pictures” policy – who says I’m not flexible? – and ran a photo of our remarkable home-office crew that was taken at our Christmas lun</w:t>
      </w:r>
      <w:r>
        <w:rPr>
          <w:rFonts w:ascii="Times New Roman" w:hAnsi="Times New Roman" w:cs="Times New Roman"/>
          <w:sz w:val="20"/>
          <w:szCs w:val="20"/>
        </w:rPr>
        <w:t>ch. I didn’t warn the gang of the public exposure they were to receive, so they didn’t have on their Sunday best. This year was a different story: On the facing page you will see what our group looks like when they think someone will be noticing. However t</w:t>
      </w:r>
      <w:r>
        <w:rPr>
          <w:rFonts w:ascii="Times New Roman" w:hAnsi="Times New Roman" w:cs="Times New Roman"/>
          <w:sz w:val="20"/>
          <w:szCs w:val="20"/>
        </w:rPr>
        <w:t>hey dress, their performance is mind-boggling.</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860"/>
        <w:rPr>
          <w:rFonts w:ascii="Times New Roman" w:hAnsi="Times New Roman" w:cs="Times New Roman"/>
          <w:sz w:val="24"/>
          <w:szCs w:val="24"/>
        </w:rPr>
      </w:pPr>
      <w:r>
        <w:rPr>
          <w:rFonts w:ascii="Times New Roman" w:hAnsi="Times New Roman" w:cs="Times New Roman"/>
          <w:sz w:val="20"/>
          <w:szCs w:val="20"/>
        </w:rPr>
        <w:t>Come meet them on May 2</w:t>
      </w:r>
      <w:r>
        <w:rPr>
          <w:rFonts w:ascii="Times New Roman" w:hAnsi="Times New Roman" w:cs="Times New Roman"/>
          <w:sz w:val="26"/>
          <w:szCs w:val="26"/>
          <w:vertAlign w:val="superscript"/>
        </w:rPr>
        <w:t>nd</w:t>
      </w:r>
      <w:r>
        <w:rPr>
          <w:rFonts w:ascii="Times New Roman" w:hAnsi="Times New Roman" w:cs="Times New Roman"/>
          <w:sz w:val="20"/>
          <w:szCs w:val="20"/>
        </w:rPr>
        <w:t xml:space="preserve"> and enjoy our Woodstock for Capitalists.</w:t>
      </w:r>
    </w:p>
    <w:p w:rsidR="00000000" w:rsidRDefault="00A06965">
      <w:pPr>
        <w:pStyle w:val="DefaultParagraphFont"/>
        <w:widowControl w:val="0"/>
        <w:autoSpaceDE w:val="0"/>
        <w:autoSpaceDN w:val="0"/>
        <w:adjustRightInd w:val="0"/>
        <w:spacing w:after="0" w:line="13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February 27, 2015</w:t>
      </w:r>
    </w:p>
    <w:p w:rsidR="00000000" w:rsidRDefault="00A0696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0"/>
        <w:rPr>
          <w:rFonts w:ascii="Times New Roman" w:hAnsi="Times New Roman" w:cs="Times New Roman"/>
          <w:sz w:val="24"/>
          <w:szCs w:val="24"/>
        </w:rPr>
      </w:pPr>
      <w:r>
        <w:rPr>
          <w:rFonts w:ascii="Times New Roman" w:hAnsi="Times New Roman" w:cs="Times New Roman"/>
          <w:sz w:val="20"/>
          <w:szCs w:val="20"/>
        </w:rPr>
        <w:t>Warren E. Buffett</w:t>
      </w:r>
    </w:p>
    <w:p w:rsidR="00000000" w:rsidRDefault="00A0696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ind w:left="4000"/>
        <w:rPr>
          <w:rFonts w:ascii="Times New Roman" w:hAnsi="Times New Roman" w:cs="Times New Roman"/>
          <w:sz w:val="24"/>
          <w:szCs w:val="24"/>
        </w:rPr>
      </w:pPr>
      <w:r>
        <w:rPr>
          <w:rFonts w:ascii="Times New Roman" w:hAnsi="Times New Roman" w:cs="Times New Roman"/>
          <w:sz w:val="20"/>
          <w:szCs w:val="20"/>
        </w:rPr>
        <w:t>Chairman of the Board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ind w:left="3940"/>
        <w:rPr>
          <w:rFonts w:ascii="Times New Roman" w:hAnsi="Times New Roman" w:cs="Times New Roman"/>
          <w:sz w:val="24"/>
          <w:szCs w:val="24"/>
        </w:rPr>
      </w:pPr>
      <w:r>
        <w:rPr>
          <w:rFonts w:ascii="Times New Roman" w:hAnsi="Times New Roman" w:cs="Times New Roman"/>
          <w:b/>
          <w:bCs/>
          <w:sz w:val="20"/>
          <w:szCs w:val="20"/>
        </w:rPr>
        <w:t>BERKSHIRE HATHAWAY INC.</w:t>
      </w:r>
    </w:p>
    <w:p w:rsidR="00000000" w:rsidRDefault="00A06965">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200"/>
        <w:rPr>
          <w:rFonts w:ascii="Times New Roman" w:hAnsi="Times New Roman" w:cs="Times New Roman"/>
          <w:sz w:val="24"/>
          <w:szCs w:val="24"/>
        </w:rPr>
      </w:pPr>
      <w:r>
        <w:rPr>
          <w:rFonts w:ascii="Times New Roman" w:hAnsi="Times New Roman" w:cs="Times New Roman"/>
          <w:b/>
          <w:bCs/>
          <w:sz w:val="20"/>
          <w:szCs w:val="20"/>
        </w:rPr>
        <w:t>ACQUISITION CRITERIA</w:t>
      </w:r>
    </w:p>
    <w:p w:rsidR="00000000" w:rsidRDefault="00A06965">
      <w:pPr>
        <w:pStyle w:val="DefaultParagraphFont"/>
        <w:widowControl w:val="0"/>
        <w:autoSpaceDE w:val="0"/>
        <w:autoSpaceDN w:val="0"/>
        <w:adjustRightInd w:val="0"/>
        <w:spacing w:after="0" w:line="19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80"/>
        <w:rPr>
          <w:rFonts w:ascii="Times New Roman" w:hAnsi="Times New Roman" w:cs="Times New Roman"/>
          <w:sz w:val="24"/>
          <w:szCs w:val="24"/>
        </w:rPr>
      </w:pPr>
      <w:r>
        <w:rPr>
          <w:rFonts w:ascii="Times New Roman" w:hAnsi="Times New Roman" w:cs="Times New Roman"/>
          <w:sz w:val="20"/>
          <w:szCs w:val="20"/>
        </w:rPr>
        <w:t xml:space="preserve">We are eager to hear </w:t>
      </w:r>
      <w:r>
        <w:rPr>
          <w:rFonts w:ascii="Times New Roman" w:hAnsi="Times New Roman" w:cs="Times New Roman"/>
          <w:i/>
          <w:iCs/>
          <w:sz w:val="20"/>
          <w:szCs w:val="20"/>
        </w:rPr>
        <w:t>from principals or their representatives</w:t>
      </w:r>
      <w:r>
        <w:rPr>
          <w:rFonts w:ascii="Times New Roman" w:hAnsi="Times New Roman" w:cs="Times New Roman"/>
          <w:sz w:val="20"/>
          <w:szCs w:val="20"/>
        </w:rPr>
        <w:t xml:space="preserve"> about businesses that meet all of the following criteria:</w:t>
      </w:r>
    </w:p>
    <w:p w:rsidR="00000000" w:rsidRDefault="00A06965">
      <w:pPr>
        <w:pStyle w:val="DefaultParagraphFont"/>
        <w:widowControl w:val="0"/>
        <w:autoSpaceDE w:val="0"/>
        <w:autoSpaceDN w:val="0"/>
        <w:adjustRightInd w:val="0"/>
        <w:spacing w:after="0" w:line="81" w:lineRule="exact"/>
        <w:rPr>
          <w:rFonts w:ascii="Times New Roman" w:hAnsi="Times New Roman" w:cs="Times New Roman"/>
          <w:sz w:val="24"/>
          <w:szCs w:val="24"/>
        </w:rPr>
      </w:pPr>
    </w:p>
    <w:p w:rsidR="00000000" w:rsidRDefault="00A06965">
      <w:pPr>
        <w:pStyle w:val="DefaultParagraphFont"/>
        <w:widowControl w:val="0"/>
        <w:numPr>
          <w:ilvl w:val="0"/>
          <w:numId w:val="5"/>
        </w:numPr>
        <w:tabs>
          <w:tab w:val="clear" w:pos="720"/>
          <w:tab w:val="num" w:pos="960"/>
        </w:tabs>
        <w:overflowPunct w:val="0"/>
        <w:autoSpaceDE w:val="0"/>
        <w:autoSpaceDN w:val="0"/>
        <w:adjustRightInd w:val="0"/>
        <w:spacing w:after="0" w:line="239" w:lineRule="auto"/>
        <w:ind w:left="960" w:hanging="480"/>
        <w:jc w:val="both"/>
        <w:rPr>
          <w:rFonts w:ascii="Times New Roman" w:hAnsi="Times New Roman" w:cs="Times New Roman"/>
          <w:sz w:val="20"/>
          <w:szCs w:val="20"/>
        </w:rPr>
      </w:pPr>
      <w:r>
        <w:rPr>
          <w:rFonts w:ascii="Times New Roman" w:hAnsi="Times New Roman" w:cs="Times New Roman"/>
          <w:sz w:val="20"/>
          <w:szCs w:val="20"/>
        </w:rPr>
        <w:t>Large purchases (at least $75 million of pre-tax earnings unless the business will fit into one of our existing units),</w:t>
      </w:r>
    </w:p>
    <w:p w:rsidR="00000000" w:rsidRDefault="00A06965">
      <w:pPr>
        <w:pStyle w:val="DefaultParagraphFont"/>
        <w:widowControl w:val="0"/>
        <w:numPr>
          <w:ilvl w:val="0"/>
          <w:numId w:val="5"/>
        </w:numPr>
        <w:tabs>
          <w:tab w:val="clear" w:pos="720"/>
          <w:tab w:val="num" w:pos="960"/>
        </w:tabs>
        <w:overflowPunct w:val="0"/>
        <w:autoSpaceDE w:val="0"/>
        <w:autoSpaceDN w:val="0"/>
        <w:adjustRightInd w:val="0"/>
        <w:spacing w:after="0" w:line="239" w:lineRule="auto"/>
        <w:ind w:left="960" w:hanging="480"/>
        <w:jc w:val="both"/>
        <w:rPr>
          <w:rFonts w:ascii="Times New Roman" w:hAnsi="Times New Roman" w:cs="Times New Roman"/>
          <w:sz w:val="20"/>
          <w:szCs w:val="20"/>
        </w:rPr>
      </w:pPr>
      <w:r>
        <w:rPr>
          <w:rFonts w:ascii="Times New Roman" w:hAnsi="Times New Roman" w:cs="Times New Roman"/>
          <w:sz w:val="20"/>
          <w:szCs w:val="20"/>
        </w:rPr>
        <w:t>Demonstrated consistent earning power (future projections are of no interest to us, nor are “turnaround” situations),</w:t>
      </w:r>
    </w:p>
    <w:p w:rsidR="00000000" w:rsidRDefault="00A06965">
      <w:pPr>
        <w:pStyle w:val="DefaultParagraphFont"/>
        <w:widowControl w:val="0"/>
        <w:numPr>
          <w:ilvl w:val="0"/>
          <w:numId w:val="5"/>
        </w:numPr>
        <w:tabs>
          <w:tab w:val="clear" w:pos="720"/>
          <w:tab w:val="num" w:pos="960"/>
        </w:tabs>
        <w:overflowPunct w:val="0"/>
        <w:autoSpaceDE w:val="0"/>
        <w:autoSpaceDN w:val="0"/>
        <w:adjustRightInd w:val="0"/>
        <w:spacing w:after="0" w:line="239" w:lineRule="auto"/>
        <w:ind w:left="960" w:hanging="480"/>
        <w:jc w:val="both"/>
        <w:rPr>
          <w:rFonts w:ascii="Times New Roman" w:hAnsi="Times New Roman" w:cs="Times New Roman"/>
          <w:sz w:val="20"/>
          <w:szCs w:val="20"/>
        </w:rPr>
      </w:pPr>
      <w:r>
        <w:rPr>
          <w:rFonts w:ascii="Times New Roman" w:hAnsi="Times New Roman" w:cs="Times New Roman"/>
          <w:sz w:val="20"/>
          <w:szCs w:val="20"/>
        </w:rPr>
        <w:t>Businesses</w:t>
      </w:r>
      <w:r>
        <w:rPr>
          <w:rFonts w:ascii="Times New Roman" w:hAnsi="Times New Roman" w:cs="Times New Roman"/>
          <w:sz w:val="20"/>
          <w:szCs w:val="20"/>
        </w:rPr>
        <w:t xml:space="preserve"> earning good returns on equity while employing little or no debt,</w:t>
      </w:r>
    </w:p>
    <w:p w:rsidR="00000000" w:rsidRDefault="00A06965">
      <w:pPr>
        <w:pStyle w:val="DefaultParagraphFont"/>
        <w:widowControl w:val="0"/>
        <w:numPr>
          <w:ilvl w:val="0"/>
          <w:numId w:val="5"/>
        </w:numPr>
        <w:tabs>
          <w:tab w:val="clear" w:pos="720"/>
          <w:tab w:val="num" w:pos="960"/>
        </w:tabs>
        <w:overflowPunct w:val="0"/>
        <w:autoSpaceDE w:val="0"/>
        <w:autoSpaceDN w:val="0"/>
        <w:adjustRightInd w:val="0"/>
        <w:spacing w:after="0" w:line="239" w:lineRule="auto"/>
        <w:ind w:left="960" w:hanging="480"/>
        <w:jc w:val="both"/>
        <w:rPr>
          <w:rFonts w:ascii="Times New Roman" w:hAnsi="Times New Roman" w:cs="Times New Roman"/>
          <w:sz w:val="20"/>
          <w:szCs w:val="20"/>
        </w:rPr>
      </w:pPr>
      <w:r>
        <w:rPr>
          <w:rFonts w:ascii="Times New Roman" w:hAnsi="Times New Roman" w:cs="Times New Roman"/>
          <w:sz w:val="20"/>
          <w:szCs w:val="20"/>
        </w:rPr>
        <w:t>Management in place (we can’t supply it),</w:t>
      </w:r>
    </w:p>
    <w:p w:rsidR="00000000" w:rsidRDefault="00A06965">
      <w:pPr>
        <w:pStyle w:val="DefaultParagraphFont"/>
        <w:widowControl w:val="0"/>
        <w:numPr>
          <w:ilvl w:val="0"/>
          <w:numId w:val="5"/>
        </w:numPr>
        <w:tabs>
          <w:tab w:val="clear" w:pos="720"/>
          <w:tab w:val="num" w:pos="960"/>
        </w:tabs>
        <w:overflowPunct w:val="0"/>
        <w:autoSpaceDE w:val="0"/>
        <w:autoSpaceDN w:val="0"/>
        <w:adjustRightInd w:val="0"/>
        <w:spacing w:after="0" w:line="239" w:lineRule="auto"/>
        <w:ind w:left="960" w:hanging="480"/>
        <w:jc w:val="both"/>
        <w:rPr>
          <w:rFonts w:ascii="Times New Roman" w:hAnsi="Times New Roman" w:cs="Times New Roman"/>
          <w:sz w:val="20"/>
          <w:szCs w:val="20"/>
        </w:rPr>
      </w:pPr>
      <w:r>
        <w:rPr>
          <w:rFonts w:ascii="Times New Roman" w:hAnsi="Times New Roman" w:cs="Times New Roman"/>
          <w:sz w:val="20"/>
          <w:szCs w:val="20"/>
        </w:rPr>
        <w:t>Simple businesses (if there’s lots of technology, we won’t understand it),</w:t>
      </w:r>
    </w:p>
    <w:p w:rsidR="00000000" w:rsidRDefault="00A06965">
      <w:pPr>
        <w:pStyle w:val="DefaultParagraphFont"/>
        <w:widowControl w:val="0"/>
        <w:autoSpaceDE w:val="0"/>
        <w:autoSpaceDN w:val="0"/>
        <w:adjustRightInd w:val="0"/>
        <w:spacing w:after="0" w:line="14" w:lineRule="exact"/>
        <w:rPr>
          <w:rFonts w:ascii="Times New Roman" w:hAnsi="Times New Roman" w:cs="Times New Roman"/>
          <w:sz w:val="20"/>
          <w:szCs w:val="20"/>
        </w:rPr>
      </w:pPr>
    </w:p>
    <w:p w:rsidR="00000000" w:rsidRDefault="00A06965">
      <w:pPr>
        <w:pStyle w:val="DefaultParagraphFont"/>
        <w:widowControl w:val="0"/>
        <w:numPr>
          <w:ilvl w:val="0"/>
          <w:numId w:val="5"/>
        </w:numPr>
        <w:tabs>
          <w:tab w:val="clear" w:pos="720"/>
          <w:tab w:val="num" w:pos="960"/>
        </w:tabs>
        <w:overflowPunct w:val="0"/>
        <w:autoSpaceDE w:val="0"/>
        <w:autoSpaceDN w:val="0"/>
        <w:adjustRightInd w:val="0"/>
        <w:spacing w:after="0" w:line="233" w:lineRule="auto"/>
        <w:ind w:left="960" w:hanging="480"/>
        <w:jc w:val="both"/>
        <w:rPr>
          <w:rFonts w:ascii="Times New Roman" w:hAnsi="Times New Roman" w:cs="Times New Roman"/>
          <w:sz w:val="20"/>
          <w:szCs w:val="20"/>
        </w:rPr>
      </w:pPr>
      <w:r>
        <w:rPr>
          <w:rFonts w:ascii="Times New Roman" w:hAnsi="Times New Roman" w:cs="Times New Roman"/>
          <w:sz w:val="20"/>
          <w:szCs w:val="20"/>
        </w:rPr>
        <w:t xml:space="preserve">An offering price (we don’t want to waste our time or that </w:t>
      </w:r>
      <w:r>
        <w:rPr>
          <w:rFonts w:ascii="Times New Roman" w:hAnsi="Times New Roman" w:cs="Times New Roman"/>
          <w:sz w:val="20"/>
          <w:szCs w:val="20"/>
        </w:rPr>
        <w:t>of the seller by talking, even preliminarily, about a transaction when price is unknown).</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480"/>
        <w:jc w:val="both"/>
        <w:rPr>
          <w:rFonts w:ascii="Times New Roman" w:hAnsi="Times New Roman" w:cs="Times New Roman"/>
          <w:sz w:val="24"/>
          <w:szCs w:val="24"/>
        </w:rPr>
      </w:pPr>
      <w:r>
        <w:rPr>
          <w:rFonts w:ascii="Times New Roman" w:hAnsi="Times New Roman" w:cs="Times New Roman"/>
          <w:sz w:val="20"/>
          <w:szCs w:val="20"/>
        </w:rPr>
        <w:t xml:space="preserve">The larger the company, the greater will be our interest: We would like to make an acquisition in the $5-20 billion range. </w:t>
      </w:r>
      <w:r>
        <w:rPr>
          <w:rFonts w:ascii="Times New Roman" w:hAnsi="Times New Roman" w:cs="Times New Roman"/>
          <w:i/>
          <w:iCs/>
          <w:sz w:val="20"/>
          <w:szCs w:val="20"/>
        </w:rPr>
        <w:t>We</w:t>
      </w:r>
      <w:r>
        <w:rPr>
          <w:rFonts w:ascii="Times New Roman" w:hAnsi="Times New Roman" w:cs="Times New Roman"/>
          <w:sz w:val="20"/>
          <w:szCs w:val="20"/>
        </w:rPr>
        <w:t xml:space="preserve"> </w:t>
      </w:r>
      <w:r>
        <w:rPr>
          <w:rFonts w:ascii="Times New Roman" w:hAnsi="Times New Roman" w:cs="Times New Roman"/>
          <w:i/>
          <w:iCs/>
          <w:sz w:val="20"/>
          <w:szCs w:val="20"/>
        </w:rPr>
        <w:t>are not interested, however, in receivi</w:t>
      </w:r>
      <w:r>
        <w:rPr>
          <w:rFonts w:ascii="Times New Roman" w:hAnsi="Times New Roman" w:cs="Times New Roman"/>
          <w:i/>
          <w:iCs/>
          <w:sz w:val="20"/>
          <w:szCs w:val="20"/>
        </w:rPr>
        <w:t>ng suggestions about purchases we might make in the general stock market.</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480"/>
        <w:jc w:val="both"/>
        <w:rPr>
          <w:rFonts w:ascii="Times New Roman" w:hAnsi="Times New Roman" w:cs="Times New Roman"/>
          <w:sz w:val="24"/>
          <w:szCs w:val="24"/>
        </w:rPr>
      </w:pPr>
      <w:r>
        <w:rPr>
          <w:rFonts w:ascii="Times New Roman" w:hAnsi="Times New Roman" w:cs="Times New Roman"/>
          <w:sz w:val="20"/>
          <w:szCs w:val="20"/>
        </w:rPr>
        <w:t>We will not engage in unfriendly takeovers. We can promise complete confidentiality and a very fast answer – customarily within five minutes – as to whether we’</w:t>
      </w:r>
      <w:r>
        <w:rPr>
          <w:rFonts w:ascii="Times New Roman" w:hAnsi="Times New Roman" w:cs="Times New Roman"/>
          <w:sz w:val="20"/>
          <w:szCs w:val="20"/>
        </w:rPr>
        <w:t xml:space="preserve">re interested. We prefer to buy for cash, but will consider issuing stock when we receive as much in intrinsic business value as we give. </w:t>
      </w:r>
      <w:r>
        <w:rPr>
          <w:rFonts w:ascii="Times New Roman" w:hAnsi="Times New Roman" w:cs="Times New Roman"/>
          <w:i/>
          <w:iCs/>
          <w:sz w:val="20"/>
          <w:szCs w:val="20"/>
        </w:rPr>
        <w:t>We don’t participate in auctions</w:t>
      </w:r>
      <w:r>
        <w:rPr>
          <w:rFonts w:ascii="Times New Roman" w:hAnsi="Times New Roman" w:cs="Times New Roman"/>
          <w:sz w:val="20"/>
          <w:szCs w:val="20"/>
        </w:rPr>
        <w: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480"/>
        <w:jc w:val="both"/>
        <w:rPr>
          <w:rFonts w:ascii="Times New Roman" w:hAnsi="Times New Roman" w:cs="Times New Roman"/>
          <w:sz w:val="24"/>
          <w:szCs w:val="24"/>
        </w:rPr>
      </w:pPr>
      <w:r>
        <w:rPr>
          <w:rFonts w:ascii="Times New Roman" w:hAnsi="Times New Roman" w:cs="Times New Roman"/>
          <w:sz w:val="20"/>
          <w:szCs w:val="20"/>
        </w:rPr>
        <w:t>Charlie and I frequently get approached about acquisitions that don’t come close to</w:t>
      </w:r>
      <w:r>
        <w:rPr>
          <w:rFonts w:ascii="Times New Roman" w:hAnsi="Times New Roman" w:cs="Times New Roman"/>
          <w:sz w:val="20"/>
          <w:szCs w:val="20"/>
        </w:rPr>
        <w:t xml:space="preserve"> meeting our tests: We’ve found that if you advertise an interest in buying collies, a lot of people will call hoping to sell you their cocker spaniels. A line from a country song expresses our feeling about new ventures, turnarounds, or auction-like sales</w:t>
      </w:r>
      <w:r>
        <w:rPr>
          <w:rFonts w:ascii="Times New Roman" w:hAnsi="Times New Roman" w:cs="Times New Roman"/>
          <w:sz w:val="20"/>
          <w:szCs w:val="20"/>
        </w:rPr>
        <w:t>: “When the phone don’t ring, you’ll know it’s me.”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183" w:right="720" w:bottom="823" w:left="720" w:header="720" w:footer="720" w:gutter="0"/>
          <w:cols w:space="720" w:equalWidth="0">
            <w:col w:w="10800"/>
          </w:cols>
          <w:noEndnote/>
        </w:sectPr>
      </w:pPr>
      <w:r>
        <w:rPr>
          <w:noProof/>
        </w:rPr>
        <mc:AlternateContent>
          <mc:Choice Requires="wps">
            <w:drawing>
              <wp:anchor distT="0" distB="0" distL="114300" distR="114300" simplePos="0" relativeHeight="251670528" behindDoc="1" locked="0" layoutInCell="0" allowOverlap="1">
                <wp:simplePos x="0" y="0"/>
                <wp:positionH relativeFrom="column">
                  <wp:posOffset>0</wp:posOffset>
                </wp:positionH>
                <wp:positionV relativeFrom="paragraph">
                  <wp:posOffset>313690</wp:posOffset>
                </wp:positionV>
                <wp:extent cx="6858000" cy="0"/>
                <wp:effectExtent l="0" t="0" r="0" b="0"/>
                <wp:wrapNone/>
                <wp:docPr id="5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7pt" to="540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y/jHgIAAEMEAAAOAAAAZHJzL2Uyb0RvYy54bWysU8GO2jAQvVfqP1i+QxI2sG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" o:allowincell="f" strokeweight=".5pt"/>
            </w:pict>
          </mc:Fallback>
        </mc:AlternateContent>
      </w:r>
      <w:r>
        <w:rPr>
          <w:noProof/>
        </w:rPr>
        <w:drawing>
          <wp:anchor distT="0" distB="0" distL="114300" distR="114300" simplePos="0" relativeHeight="251671552" behindDoc="1" locked="0" layoutInCell="0" allowOverlap="1">
            <wp:simplePos x="0" y="0"/>
            <wp:positionH relativeFrom="column">
              <wp:posOffset>544195</wp:posOffset>
            </wp:positionH>
            <wp:positionV relativeFrom="paragraph">
              <wp:posOffset>651510</wp:posOffset>
            </wp:positionV>
            <wp:extent cx="5769610" cy="2776855"/>
            <wp:effectExtent l="0" t="0" r="2540" b="4445"/>
            <wp:wrapNone/>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9610" cy="27768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183" w:right="6020" w:bottom="8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ind w:left="3100"/>
        <w:rPr>
          <w:rFonts w:ascii="Times New Roman" w:hAnsi="Times New Roman" w:cs="Times New Roman"/>
          <w:sz w:val="24"/>
          <w:szCs w:val="24"/>
        </w:rPr>
      </w:pPr>
      <w:r>
        <w:rPr>
          <w:rFonts w:ascii="Times New Roman" w:hAnsi="Times New Roman" w:cs="Times New Roman"/>
          <w:b/>
          <w:bCs/>
          <w:sz w:val="20"/>
          <w:szCs w:val="20"/>
        </w:rPr>
        <w:t>Berkshire – Past, Present and Future</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8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In the Beginning</w:t>
      </w: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On May 6, 1964, Berkshire Hathaway, then run by a man named Seabury Stanton, sent a letter to its shareholders offering to buy 225,000 shares of its stock for $11.375 per share. I had expected the letter; I was surprised by the price.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Berkshire then had 1</w:t>
      </w:r>
      <w:r>
        <w:rPr>
          <w:rFonts w:ascii="Times New Roman" w:hAnsi="Times New Roman" w:cs="Times New Roman"/>
          <w:sz w:val="20"/>
          <w:szCs w:val="20"/>
        </w:rPr>
        <w:t>,583,680 shares outstanding. About 7% of these were owned by Buffett Partnership Ltd. (“BPL”), an investing entity that I managed and in which I had virtually all of my net worth. Shortly before the tender offer was mailed, Stanton had asked me at what pri</w:t>
      </w:r>
      <w:r>
        <w:rPr>
          <w:rFonts w:ascii="Times New Roman" w:hAnsi="Times New Roman" w:cs="Times New Roman"/>
          <w:sz w:val="20"/>
          <w:szCs w:val="20"/>
        </w:rPr>
        <w:t>ce BPL would sell its holdings. I answered $11.50, and he said, “Fine, we have a deal.” Then came Berkshire’s letter, offering an eighth of a point less. I bristled at Stanton’s behavior and didn’t tender.</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sz w:val="20"/>
          <w:szCs w:val="20"/>
        </w:rPr>
        <w:t>That was a monumentally stupid decision.</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Berkshire was then a northern textile manufacturer mired in a terrible business. The industry in which it operated was heading south, both metaphorically and physically. And Berkshire, for a variety of reasons, was unable to change course.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That was true e</w:t>
      </w:r>
      <w:r>
        <w:rPr>
          <w:rFonts w:ascii="Times New Roman" w:hAnsi="Times New Roman" w:cs="Times New Roman"/>
          <w:sz w:val="20"/>
          <w:szCs w:val="20"/>
        </w:rPr>
        <w:t>ven though the industry’s problems had long been widely understood. Berkshire’s own Board minutes of July 29, 1954, laid out the grim facts: “The textile industry in New England started going out of business forty years ago. During the war years this trend</w:t>
      </w:r>
      <w:r>
        <w:rPr>
          <w:rFonts w:ascii="Times New Roman" w:hAnsi="Times New Roman" w:cs="Times New Roman"/>
          <w:sz w:val="20"/>
          <w:szCs w:val="20"/>
        </w:rPr>
        <w:t xml:space="preserve"> was stopped. The trend must continue until supply and demand have been balanced.”</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23" w:lineRule="auto"/>
        <w:ind w:firstLine="720"/>
        <w:jc w:val="both"/>
        <w:rPr>
          <w:rFonts w:ascii="Times New Roman" w:hAnsi="Times New Roman" w:cs="Times New Roman"/>
          <w:sz w:val="24"/>
          <w:szCs w:val="24"/>
        </w:rPr>
      </w:pPr>
      <w:r>
        <w:rPr>
          <w:rFonts w:ascii="Times New Roman" w:hAnsi="Times New Roman" w:cs="Times New Roman"/>
          <w:sz w:val="20"/>
          <w:szCs w:val="20"/>
        </w:rPr>
        <w:t>About a year after that board meeting, Berkshire Fine Spinning Associates and Hathaway Manufacturing – both with roots in the 19</w:t>
      </w:r>
      <w:r>
        <w:rPr>
          <w:rFonts w:ascii="Times New Roman" w:hAnsi="Times New Roman" w:cs="Times New Roman"/>
          <w:sz w:val="26"/>
          <w:szCs w:val="26"/>
          <w:vertAlign w:val="superscript"/>
        </w:rPr>
        <w:t>th</w:t>
      </w:r>
      <w:r>
        <w:rPr>
          <w:rFonts w:ascii="Times New Roman" w:hAnsi="Times New Roman" w:cs="Times New Roman"/>
          <w:sz w:val="20"/>
          <w:szCs w:val="20"/>
        </w:rPr>
        <w:t xml:space="preserve"> Century – joined forces, taking the name </w:t>
      </w:r>
      <w:r>
        <w:rPr>
          <w:rFonts w:ascii="Times New Roman" w:hAnsi="Times New Roman" w:cs="Times New Roman"/>
          <w:sz w:val="20"/>
          <w:szCs w:val="20"/>
        </w:rPr>
        <w:t>we bear today. With its fourteen plants and 10,000 employees, the merged company became the giant of New England textiles. What the two managements viewed as a merger agreement, however, soon morphed into a suicide pact. During the seven years following th</w:t>
      </w:r>
      <w:r>
        <w:rPr>
          <w:rFonts w:ascii="Times New Roman" w:hAnsi="Times New Roman" w:cs="Times New Roman"/>
          <w:sz w:val="20"/>
          <w:szCs w:val="20"/>
        </w:rPr>
        <w:t>e consolidation, Berkshire operated at an overall loss, and its net worth shrunk by 37%.</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Times New Roman" w:hAnsi="Times New Roman" w:cs="Times New Roman"/>
          <w:sz w:val="20"/>
          <w:szCs w:val="20"/>
        </w:rPr>
        <w:t>Meanwhile, the company closed nine plants, sometimes using the liquidation proceeds to repurchase shares. And that pattern caught my attention.</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I purchased BPL’</w:t>
      </w:r>
      <w:r>
        <w:rPr>
          <w:rFonts w:ascii="Times New Roman" w:hAnsi="Times New Roman" w:cs="Times New Roman"/>
          <w:sz w:val="20"/>
          <w:szCs w:val="20"/>
        </w:rPr>
        <w:t xml:space="preserve">s first shares of Berkshire in December 1962, anticipating more closings and more repurchases. The stock was then selling for $7.50, a wide discount from per-share working capital of $10.25 and book value of $20.20. Buying the stock at that price was like </w:t>
      </w:r>
      <w:r>
        <w:rPr>
          <w:rFonts w:ascii="Times New Roman" w:hAnsi="Times New Roman" w:cs="Times New Roman"/>
          <w:sz w:val="20"/>
          <w:szCs w:val="20"/>
        </w:rPr>
        <w:t>picking up a discarded cigar butt that had one puff remaining in it. Though the stub might be ugly and soggy, the puff would be free. Once that momentary pleasure was enjoyed, however, no more could be expected.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Berkshire thereafter stuck to the script: I</w:t>
      </w:r>
      <w:r>
        <w:rPr>
          <w:rFonts w:ascii="Times New Roman" w:hAnsi="Times New Roman" w:cs="Times New Roman"/>
          <w:sz w:val="20"/>
          <w:szCs w:val="20"/>
        </w:rPr>
        <w:t>t soon closed another two plants, and in that May 1964 move, set out to repurchase shares with the shutdown proceeds. The price that Stanton offered was 50% above the cost of our original purchases. There it was – my free puff, just waiting for me, after w</w:t>
      </w:r>
      <w:r>
        <w:rPr>
          <w:rFonts w:ascii="Times New Roman" w:hAnsi="Times New Roman" w:cs="Times New Roman"/>
          <w:sz w:val="20"/>
          <w:szCs w:val="20"/>
        </w:rPr>
        <w:t>hich I could look elsewhere for other discarded butts.</w:t>
      </w:r>
    </w:p>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sz w:val="20"/>
          <w:szCs w:val="20"/>
        </w:rPr>
        <w:t>Instead, irritated by Stanton’s chiseling, I ignored his offer and began to aggressively buy more Berkshire</w:t>
      </w:r>
    </w:p>
    <w:p w:rsidR="00000000" w:rsidRDefault="00A0696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shares.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3"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By April 1965, BPL owned 392,633 shares (out of 1,017,547 then outstanding) and at an early-May board meeting we formally took control of the company. Through Seabury’s and my childish behavior – after all, what was an eighth of a point to either of us? – </w:t>
      </w:r>
      <w:r>
        <w:rPr>
          <w:rFonts w:ascii="Times New Roman" w:hAnsi="Times New Roman" w:cs="Times New Roman"/>
          <w:sz w:val="20"/>
          <w:szCs w:val="20"/>
        </w:rPr>
        <w:t>he lost his job, and I found myself with more than 25% of BPL’s capital invested in a terrible business about which I knew very little. I became the dog who caught the car.</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Because of Berkshire’s operating losses and share repurchases, its net worth at th</w:t>
      </w:r>
      <w:r>
        <w:rPr>
          <w:rFonts w:ascii="Times New Roman" w:hAnsi="Times New Roman" w:cs="Times New Roman"/>
          <w:sz w:val="20"/>
          <w:szCs w:val="20"/>
        </w:rPr>
        <w:t>e end of fiscal 1964 had fallen to $22 million from $55 million at the time of the 1955 merger. The full $22 million was required by the textile operation: The company had no excess cash and owed its bank $2.5 million. (Berkshire’s 1964 annual report is re</w:t>
      </w:r>
      <w:r>
        <w:rPr>
          <w:rFonts w:ascii="Times New Roman" w:hAnsi="Times New Roman" w:cs="Times New Roman"/>
          <w:sz w:val="20"/>
          <w:szCs w:val="20"/>
        </w:rPr>
        <w:t>produced on pages 130-142.)</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For a time I got lucky: Berkshire immediately enjoyed two years of good operating conditions. Better yet, its earnings in those years were free of income tax because it possessed a large loss carry-forward that had arisen from </w:t>
      </w:r>
      <w:r>
        <w:rPr>
          <w:rFonts w:ascii="Times New Roman" w:hAnsi="Times New Roman" w:cs="Times New Roman"/>
          <w:sz w:val="20"/>
          <w:szCs w:val="20"/>
        </w:rPr>
        <w:t>the disastrous results in earlier years.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Then the honeymoon ended. During the 18 years following 1966, we struggled unremittingly with the textile business, all to no avail. But stubbornness – stupidity? –</w:t>
      </w:r>
      <w:r>
        <w:rPr>
          <w:rFonts w:ascii="Times New Roman" w:hAnsi="Times New Roman" w:cs="Times New Roman"/>
          <w:sz w:val="20"/>
          <w:szCs w:val="20"/>
        </w:rPr>
        <w:t xml:space="preserve"> has its limits. In 1985, I finally threw in the towel and closed the operation.</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6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Undeterred by my first mistake of committing much of BPL’s resources to a dying business, I quickly compounded the error. Indeed, my second blunder w</w:t>
      </w:r>
      <w:r>
        <w:rPr>
          <w:rFonts w:ascii="Times New Roman" w:hAnsi="Times New Roman" w:cs="Times New Roman"/>
          <w:sz w:val="20"/>
          <w:szCs w:val="20"/>
        </w:rPr>
        <w:t>as far more serious than the first, eventually becoming the most costly in my career.</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Early in 1967, I had Berkshire pay $8.6 million to buy National Indemnity Company (“NICO”), a small but promising Omaha-based insurer. (A tiny sister company was also in</w:t>
      </w:r>
      <w:r>
        <w:rPr>
          <w:rFonts w:ascii="Times New Roman" w:hAnsi="Times New Roman" w:cs="Times New Roman"/>
          <w:sz w:val="20"/>
          <w:szCs w:val="20"/>
        </w:rPr>
        <w:t>cluded in the deal.) Insurance was in my sweet spot: I understood and liked the industry.</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Jack Ringwalt, the owner of NICO, was a long-time friend who wanted to sell to me – me, personally. In no way was his offer intended for Berkshire. So why did I purc</w:t>
      </w:r>
      <w:r>
        <w:rPr>
          <w:rFonts w:ascii="Times New Roman" w:hAnsi="Times New Roman" w:cs="Times New Roman"/>
          <w:sz w:val="20"/>
          <w:szCs w:val="20"/>
        </w:rPr>
        <w:t>hase NICO for Berkshire rather than for BPL? I’ve had 48 years to think about that question, and I’ve yet to come up with a good answer. I simply made a colossal mistake.</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720"/>
        <w:jc w:val="both"/>
        <w:rPr>
          <w:rFonts w:ascii="Times New Roman" w:hAnsi="Times New Roman" w:cs="Times New Roman"/>
          <w:sz w:val="24"/>
          <w:szCs w:val="24"/>
        </w:rPr>
      </w:pPr>
      <w:r>
        <w:rPr>
          <w:rFonts w:ascii="Times New Roman" w:hAnsi="Times New Roman" w:cs="Times New Roman"/>
          <w:sz w:val="20"/>
          <w:szCs w:val="20"/>
        </w:rPr>
        <w:t>If BPL had been the purchaser, my partners and I would have owned 100% of a fine bus</w:t>
      </w:r>
      <w:r>
        <w:rPr>
          <w:rFonts w:ascii="Times New Roman" w:hAnsi="Times New Roman" w:cs="Times New Roman"/>
          <w:sz w:val="20"/>
          <w:szCs w:val="20"/>
        </w:rPr>
        <w:t>iness, destined to form the base for building the company Berkshire has become. Moreover, our growth would not have been impeded for nearly two decades by the unproductive funds imprisoned in the textile operation. Finally, our subsequent acquisitions woul</w:t>
      </w:r>
      <w:r>
        <w:rPr>
          <w:rFonts w:ascii="Times New Roman" w:hAnsi="Times New Roman" w:cs="Times New Roman"/>
          <w:sz w:val="20"/>
          <w:szCs w:val="20"/>
        </w:rPr>
        <w:t>d have been owned in their entirety by my partners and me rather than being 39%-owned by the legacy shareholders of Berkshire, to whom we had no obligation. Despite these facts staring me in the face, I opted to marry 100% of an excellent business (NICO) t</w:t>
      </w:r>
      <w:r>
        <w:rPr>
          <w:rFonts w:ascii="Times New Roman" w:hAnsi="Times New Roman" w:cs="Times New Roman"/>
          <w:sz w:val="20"/>
          <w:szCs w:val="20"/>
        </w:rPr>
        <w:t>o a 61%-owned terrible business (Berkshire Hathaway), a decision that eventually diverted $100 billion or so from BPL partners to a collection of strangers.</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6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One more confession and then I’ll go on to more pleasan</w:t>
      </w:r>
      <w:r>
        <w:rPr>
          <w:rFonts w:ascii="Times New Roman" w:hAnsi="Times New Roman" w:cs="Times New Roman"/>
          <w:sz w:val="20"/>
          <w:szCs w:val="20"/>
        </w:rPr>
        <w:t xml:space="preserve">t topics: Can you believe that in 1975 I bought Waumbec Mills, another New England textile company? Of course, the purchase price was a “bargain” based on the assets we received and the </w:t>
      </w:r>
      <w:r>
        <w:rPr>
          <w:rFonts w:ascii="Times New Roman" w:hAnsi="Times New Roman" w:cs="Times New Roman"/>
          <w:i/>
          <w:iCs/>
          <w:sz w:val="20"/>
          <w:szCs w:val="20"/>
        </w:rPr>
        <w:t>projected</w:t>
      </w:r>
      <w:r>
        <w:rPr>
          <w:rFonts w:ascii="Times New Roman" w:hAnsi="Times New Roman" w:cs="Times New Roman"/>
          <w:sz w:val="20"/>
          <w:szCs w:val="20"/>
        </w:rPr>
        <w:t xml:space="preserve"> synergies with Berkshire’s existing textile business. Nevert</w:t>
      </w:r>
      <w:r>
        <w:rPr>
          <w:rFonts w:ascii="Times New Roman" w:hAnsi="Times New Roman" w:cs="Times New Roman"/>
          <w:sz w:val="20"/>
          <w:szCs w:val="20"/>
        </w:rPr>
        <w:t>heless – surprise, surprise – Waumbec was a disaster, with the mill having to be closed down not many years later.</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Times New Roman" w:hAnsi="Times New Roman" w:cs="Times New Roman"/>
          <w:sz w:val="20"/>
          <w:szCs w:val="20"/>
        </w:rPr>
        <w:t>And now some good news: The northern textile industry is finally extinct. You need no longer panic if you hear that I’ve been spotted wander</w:t>
      </w:r>
      <w:r>
        <w:rPr>
          <w:rFonts w:ascii="Times New Roman" w:hAnsi="Times New Roman" w:cs="Times New Roman"/>
          <w:sz w:val="20"/>
          <w:szCs w:val="20"/>
        </w:rPr>
        <w:t>ing around New England.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8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Charlie Straightens Me Out</w:t>
      </w: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My cigar-butt strategy worked very well while I was managing small sums. Indeed, the many doze</w:t>
      </w:r>
      <w:r>
        <w:rPr>
          <w:rFonts w:ascii="Times New Roman" w:hAnsi="Times New Roman" w:cs="Times New Roman"/>
          <w:sz w:val="20"/>
          <w:szCs w:val="20"/>
        </w:rPr>
        <w:t>ns of free puffs I obtained in the 1950s made that decade by far the best of my life for both relative and absolute investment performance.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Even then, however, I made a few exceptions to cigar butts, the most important being GEICO. Thanks to a 1951 conver</w:t>
      </w:r>
      <w:r>
        <w:rPr>
          <w:rFonts w:ascii="Times New Roman" w:hAnsi="Times New Roman" w:cs="Times New Roman"/>
          <w:sz w:val="20"/>
          <w:szCs w:val="20"/>
        </w:rPr>
        <w:t>sation I had with Lorimer Davidson, a wonderful man who later became CEO of the company, I learned that GEICO was a terrific business and promptly put 65% of my $9,800 net worth into its shares. Most of my gains in those early years, though, came from inve</w:t>
      </w:r>
      <w:r>
        <w:rPr>
          <w:rFonts w:ascii="Times New Roman" w:hAnsi="Times New Roman" w:cs="Times New Roman"/>
          <w:sz w:val="20"/>
          <w:szCs w:val="20"/>
        </w:rPr>
        <w:t>stments in mediocre companies that traded at bargain prices. Ben Graham had taught me that technique, and it worked.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Times New Roman" w:hAnsi="Times New Roman" w:cs="Times New Roman"/>
          <w:sz w:val="20"/>
          <w:szCs w:val="20"/>
        </w:rPr>
        <w:t>But a major weakness in this approach gradually became apparent: Cigar-butt investing was scalable only to a point. With large sums, it wo</w:t>
      </w:r>
      <w:r>
        <w:rPr>
          <w:rFonts w:ascii="Times New Roman" w:hAnsi="Times New Roman" w:cs="Times New Roman"/>
          <w:sz w:val="20"/>
          <w:szCs w:val="20"/>
        </w:rPr>
        <w:t>uld never work well.</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In addition, though marginal businesses purchased at cheap prices may be attractive as short-term investments, they are the wrong foundation on which to build a large and enduring enterprise. Selecting a marriage partner clearly requi</w:t>
      </w:r>
      <w:r>
        <w:rPr>
          <w:rFonts w:ascii="Times New Roman" w:hAnsi="Times New Roman" w:cs="Times New Roman"/>
          <w:sz w:val="20"/>
          <w:szCs w:val="20"/>
        </w:rPr>
        <w:t xml:space="preserve">res more demanding criteria than does dating. (Berkshire, it should be noted, would have been a highly satisfactory “date”: If we had taken Seabury Stanton’s $11.375 offer for our shares, BPL’s weighted annual return on its Berkshire investment would have </w:t>
      </w:r>
      <w:r>
        <w:rPr>
          <w:rFonts w:ascii="Times New Roman" w:hAnsi="Times New Roman" w:cs="Times New Roman"/>
          <w:sz w:val="20"/>
          <w:szCs w:val="20"/>
        </w:rPr>
        <w:t>been about 40%.)</w:t>
      </w:r>
    </w:p>
    <w:p w:rsidR="00000000" w:rsidRDefault="00A0696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6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It took Charlie Munger to break my cigar-butt habits and set the course for building a business that could combine huge size with satisfactory profits. Charlie had g</w:t>
      </w:r>
      <w:r>
        <w:rPr>
          <w:rFonts w:ascii="Times New Roman" w:hAnsi="Times New Roman" w:cs="Times New Roman"/>
          <w:sz w:val="20"/>
          <w:szCs w:val="20"/>
        </w:rPr>
        <w:t>rown up a few hundred feet from where I now live and as a youth had worked, as did I, in my grandfather’s grocery store. Nevertheless, it was 1959 before I met Charlie, long after he had left Omaha to make Los Angeles his home. I was then 28 and he was 35.</w:t>
      </w:r>
      <w:r>
        <w:rPr>
          <w:rFonts w:ascii="Times New Roman" w:hAnsi="Times New Roman" w:cs="Times New Roman"/>
          <w:sz w:val="20"/>
          <w:szCs w:val="20"/>
        </w:rPr>
        <w:t xml:space="preserve"> The Omaha doctor who introduced us predicted that we would hit it off – and we did.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If you’ve attended our annual meetings, you know Charlie has a wide-ranging brilliance, a prodigious memory, and some firm opinions. I’m not exactly wishy-washy myself, a</w:t>
      </w:r>
      <w:r>
        <w:rPr>
          <w:rFonts w:ascii="Times New Roman" w:hAnsi="Times New Roman" w:cs="Times New Roman"/>
          <w:sz w:val="20"/>
          <w:szCs w:val="20"/>
        </w:rPr>
        <w:t>nd we sometimes don’t agree. In 56 years, however, we’ve never had an argument. When we differ, Charlie usually ends the conversation by saying: “Warren, think it over and you’ll agree with me because you’re smart and I’m right.”</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What most of you do </w:t>
      </w:r>
      <w:r>
        <w:rPr>
          <w:rFonts w:ascii="Times New Roman" w:hAnsi="Times New Roman" w:cs="Times New Roman"/>
          <w:i/>
          <w:iCs/>
          <w:sz w:val="20"/>
          <w:szCs w:val="20"/>
        </w:rPr>
        <w:t>not</w:t>
      </w:r>
      <w:r>
        <w:rPr>
          <w:rFonts w:ascii="Times New Roman" w:hAnsi="Times New Roman" w:cs="Times New Roman"/>
          <w:sz w:val="20"/>
          <w:szCs w:val="20"/>
        </w:rPr>
        <w:t xml:space="preserve"> k</w:t>
      </w:r>
      <w:r>
        <w:rPr>
          <w:rFonts w:ascii="Times New Roman" w:hAnsi="Times New Roman" w:cs="Times New Roman"/>
          <w:sz w:val="20"/>
          <w:szCs w:val="20"/>
        </w:rPr>
        <w:t xml:space="preserve">now about Charlie is that architecture is among his passions. Though he began his career as a practicing lawyer (with his time billed at $15 per hour), Charlie made his first real money in his 30s by designing and building five apartment projects near Los </w:t>
      </w:r>
      <w:r>
        <w:rPr>
          <w:rFonts w:ascii="Times New Roman" w:hAnsi="Times New Roman" w:cs="Times New Roman"/>
          <w:sz w:val="20"/>
          <w:szCs w:val="20"/>
        </w:rPr>
        <w:t>Angeles. Concurrently, he designed the house that he lives in today – some 55 years later. (Like me, Charlie can’t be budged if he is happy in his surroundings.) In recent years, Charlie has designed large dorm complexes at Stanford and the University of M</w:t>
      </w:r>
      <w:r>
        <w:rPr>
          <w:rFonts w:ascii="Times New Roman" w:hAnsi="Times New Roman" w:cs="Times New Roman"/>
          <w:sz w:val="20"/>
          <w:szCs w:val="20"/>
        </w:rPr>
        <w:t>ichigan and today, at age 91, is working on another major project.</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From my perspective, though, Charlie’s most important architectural feat was the design of today’s Berkshire. The blueprint he gave me was simple: Forget what you know about buying fair bu</w:t>
      </w:r>
      <w:r>
        <w:rPr>
          <w:rFonts w:ascii="Times New Roman" w:hAnsi="Times New Roman" w:cs="Times New Roman"/>
          <w:sz w:val="20"/>
          <w:szCs w:val="20"/>
        </w:rPr>
        <w:t>sinesses at wonderful prices; instead, buy wonderful businesses at fair prices.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3"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Altering my behavior is not an easy task (ask my family). I had enjoyed reasonable success without Charlie’</w:t>
      </w:r>
      <w:r>
        <w:rPr>
          <w:rFonts w:ascii="Times New Roman" w:hAnsi="Times New Roman" w:cs="Times New Roman"/>
          <w:sz w:val="20"/>
          <w:szCs w:val="20"/>
        </w:rPr>
        <w:t xml:space="preserve">s input, so why should I listen to a lawyer who had never spent a day in business school (when – ahem – </w:t>
      </w:r>
      <w:r>
        <w:rPr>
          <w:rFonts w:ascii="Times New Roman" w:hAnsi="Times New Roman" w:cs="Times New Roman"/>
          <w:i/>
          <w:iCs/>
          <w:sz w:val="20"/>
          <w:szCs w:val="20"/>
        </w:rPr>
        <w:t>I</w:t>
      </w:r>
      <w:r>
        <w:rPr>
          <w:rFonts w:ascii="Times New Roman" w:hAnsi="Times New Roman" w:cs="Times New Roman"/>
          <w:sz w:val="20"/>
          <w:szCs w:val="20"/>
        </w:rPr>
        <w:t xml:space="preserve"> had attended </w:t>
      </w:r>
      <w:r>
        <w:rPr>
          <w:rFonts w:ascii="Times New Roman" w:hAnsi="Times New Roman" w:cs="Times New Roman"/>
          <w:i/>
          <w:iCs/>
          <w:sz w:val="20"/>
          <w:szCs w:val="20"/>
        </w:rPr>
        <w:t>three</w:t>
      </w:r>
      <w:r>
        <w:rPr>
          <w:rFonts w:ascii="Times New Roman" w:hAnsi="Times New Roman" w:cs="Times New Roman"/>
          <w:sz w:val="20"/>
          <w:szCs w:val="20"/>
        </w:rPr>
        <w:t xml:space="preserve">). But Charlie never tired of repeating his maxims about business and investing to me, and his logic was irrefutable. Consequently, </w:t>
      </w:r>
      <w:r>
        <w:rPr>
          <w:rFonts w:ascii="Times New Roman" w:hAnsi="Times New Roman" w:cs="Times New Roman"/>
          <w:sz w:val="20"/>
          <w:szCs w:val="20"/>
        </w:rPr>
        <w:t>Berkshire has been built to Charlie’s blueprint. My role has been that of general contractor, with the CEOs of Berkshire’s subsidiaries doing the real work as sub-contractors.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The year 1972 was a turning point for Berk</w:t>
      </w:r>
      <w:r>
        <w:rPr>
          <w:rFonts w:ascii="Times New Roman" w:hAnsi="Times New Roman" w:cs="Times New Roman"/>
          <w:sz w:val="20"/>
          <w:szCs w:val="20"/>
        </w:rPr>
        <w:t>shire (though not without occasional backsliding on my part – remember my 1975 purchase of Waumbec). We had the opportunity then to buy See’s Candy for Blue Chip Stamps, a company in which Charlie, I and Berkshire had major stakes, and which was later merg</w:t>
      </w:r>
      <w:r>
        <w:rPr>
          <w:rFonts w:ascii="Times New Roman" w:hAnsi="Times New Roman" w:cs="Times New Roman"/>
          <w:sz w:val="20"/>
          <w:szCs w:val="20"/>
        </w:rPr>
        <w:t>ed into Berkshire.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See’s was a legendary West Coast manufacturer and retailer of boxed chocolates, then annually earning about $4 million pre-tax while utilizing only $8 million of net tangible assets. Moreover, the company had a huge asset that did not a</w:t>
      </w:r>
      <w:r>
        <w:rPr>
          <w:rFonts w:ascii="Times New Roman" w:hAnsi="Times New Roman" w:cs="Times New Roman"/>
          <w:sz w:val="20"/>
          <w:szCs w:val="20"/>
        </w:rPr>
        <w:t>ppear on its balance sheet: a broad and durable competitive advantage that gave it significant pricing power. That strength was virtually certain to give See’s major gains in earnings over time. Better yet, these would materialize with only minor amounts o</w:t>
      </w:r>
      <w:r>
        <w:rPr>
          <w:rFonts w:ascii="Times New Roman" w:hAnsi="Times New Roman" w:cs="Times New Roman"/>
          <w:sz w:val="20"/>
          <w:szCs w:val="20"/>
        </w:rPr>
        <w:t>f incremental investment. In other words, See’s could be expected to gush cash for decades to come.</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The family controlling See’s wanted $30 million for the business, and Charlie rightly said it was worth that much. But I didn’t want to pay more than $25 m</w:t>
      </w:r>
      <w:r>
        <w:rPr>
          <w:rFonts w:ascii="Times New Roman" w:hAnsi="Times New Roman" w:cs="Times New Roman"/>
          <w:sz w:val="20"/>
          <w:szCs w:val="20"/>
        </w:rPr>
        <w:t>illion and wasn’t all that enthusiastic even at that figure. (A price that was three times net tangible assets made me gulp.) My misguided caution could have scuttled a terrific purchase. But, luckily, the sellers decided to take our $25 million bid.</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To d</w:t>
      </w:r>
      <w:r>
        <w:rPr>
          <w:rFonts w:ascii="Times New Roman" w:hAnsi="Times New Roman" w:cs="Times New Roman"/>
          <w:sz w:val="20"/>
          <w:szCs w:val="20"/>
        </w:rPr>
        <w:t>ate, See’s has earned $1.9 billion pre-tax, with its growth having required added investment of only $40 million. See’s has thus been able to distribute huge sums that have helped Berkshire buy other businesses that, in turn, have themselves produced large</w:t>
      </w:r>
      <w:r>
        <w:rPr>
          <w:rFonts w:ascii="Times New Roman" w:hAnsi="Times New Roman" w:cs="Times New Roman"/>
          <w:sz w:val="20"/>
          <w:szCs w:val="20"/>
        </w:rPr>
        <w:t xml:space="preserve"> distributable profits. (Envision rabbits breeding.) Additionally, through watching See’s in action, I gained a business education about the value of powerful brands that opened my eyes to many other profitable investments.</w:t>
      </w:r>
    </w:p>
    <w:p w:rsidR="00000000" w:rsidRDefault="00A0696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6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Even w</w:t>
      </w:r>
      <w:r>
        <w:rPr>
          <w:rFonts w:ascii="Times New Roman" w:hAnsi="Times New Roman" w:cs="Times New Roman"/>
          <w:sz w:val="20"/>
          <w:szCs w:val="20"/>
        </w:rPr>
        <w:t>ith Charlie’s blueprint, I have made plenty of mistakes since Waumbec. The most gruesome was Dexter Shoe. When we purchased the company in 1993, it had a terrific record and in no way looked to me like a cigar butt. Its competitive strengths, however, were</w:t>
      </w:r>
      <w:r>
        <w:rPr>
          <w:rFonts w:ascii="Times New Roman" w:hAnsi="Times New Roman" w:cs="Times New Roman"/>
          <w:sz w:val="20"/>
          <w:szCs w:val="20"/>
        </w:rPr>
        <w:t xml:space="preserve"> soon to evaporate because of foreign competition. And I simply didn’t see that coming.</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Consequently, Berkshire paid $433 million for Dexter and, rather promptly, its value went to zero. GAAP accounting, however, doesn’</w:t>
      </w:r>
      <w:r>
        <w:rPr>
          <w:rFonts w:ascii="Times New Roman" w:hAnsi="Times New Roman" w:cs="Times New Roman"/>
          <w:sz w:val="20"/>
          <w:szCs w:val="20"/>
        </w:rPr>
        <w:t>t come close to recording the magnitude of my error. The fact is that I gave Berkshire stock to the sellers of Dexter rather than cash, and the shares I used for the purchase are now worth about $5.7 billion. As a financial disaster, this one deserves a sp</w:t>
      </w:r>
      <w:r>
        <w:rPr>
          <w:rFonts w:ascii="Times New Roman" w:hAnsi="Times New Roman" w:cs="Times New Roman"/>
          <w:sz w:val="20"/>
          <w:szCs w:val="20"/>
        </w:rPr>
        <w:t>ot in the Guinness Book of World Records.</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Several of my subsequent errors also involved the use of Berkshire shares to purchase businesses whose earnings were destined to simply limp along. Mistakes of that kind are deadly. Trading shares of a wonderful b</w:t>
      </w:r>
      <w:r>
        <w:rPr>
          <w:rFonts w:ascii="Times New Roman" w:hAnsi="Times New Roman" w:cs="Times New Roman"/>
          <w:sz w:val="20"/>
          <w:szCs w:val="20"/>
        </w:rPr>
        <w:t>usiness – which Berkshire most certainly is – for ownership of a so-so business irreparably destroys value.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We’ve also suffered financially when this mistake has been committed by companies whose shares Berkshire has owned (with the errors sometimes occur</w:t>
      </w:r>
      <w:r>
        <w:rPr>
          <w:rFonts w:ascii="Times New Roman" w:hAnsi="Times New Roman" w:cs="Times New Roman"/>
          <w:sz w:val="20"/>
          <w:szCs w:val="20"/>
        </w:rPr>
        <w:t>ring while I was serving as a director). Too often CEOs seem blind to an elementary reality: The intrinsic value of the shares you give in an acquisition must not be greater than the intrinsic value of the business you receive.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2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8" w:lineRule="auto"/>
        <w:ind w:firstLine="720"/>
        <w:jc w:val="both"/>
        <w:rPr>
          <w:rFonts w:ascii="Times New Roman" w:hAnsi="Times New Roman" w:cs="Times New Roman"/>
          <w:sz w:val="24"/>
          <w:szCs w:val="24"/>
        </w:rPr>
      </w:pPr>
      <w:r>
        <w:rPr>
          <w:rFonts w:ascii="Times New Roman" w:hAnsi="Times New Roman" w:cs="Times New Roman"/>
          <w:sz w:val="20"/>
          <w:szCs w:val="20"/>
        </w:rPr>
        <w:t>I’ve yet to see an investment banker quantify this all-important math when he is presenting a stock-for-stock deal to the board of a potential acquirer. Instead, the banker’s focus will be on describing “customary” premiums-to-market-</w:t>
      </w:r>
      <w:r>
        <w:rPr>
          <w:rFonts w:ascii="Times New Roman" w:hAnsi="Times New Roman" w:cs="Times New Roman"/>
          <w:sz w:val="20"/>
          <w:szCs w:val="20"/>
        </w:rPr>
        <w:t>price that are currently being paid for acquisitions – an absolutely asinine way to evaluate the attractiveness of an acquisition – or whether the deal will increase the acquirer’s earnings-per-share (which in itself should be far from determinative). In s</w:t>
      </w:r>
      <w:r>
        <w:rPr>
          <w:rFonts w:ascii="Times New Roman" w:hAnsi="Times New Roman" w:cs="Times New Roman"/>
          <w:sz w:val="20"/>
          <w:szCs w:val="20"/>
        </w:rPr>
        <w:t>triving to achieve the desired per-share number, a panting CEO and his “helpers” will often conjure up fanciful “synergies.” (As a director of 19 companies over the years, I’ve never heard “dis-synergies” mentioned, though I’ve witnessed plenty of these on</w:t>
      </w:r>
      <w:r>
        <w:rPr>
          <w:rFonts w:ascii="Times New Roman" w:hAnsi="Times New Roman" w:cs="Times New Roman"/>
          <w:sz w:val="20"/>
          <w:szCs w:val="20"/>
        </w:rPr>
        <w:t>ce deals have closed.) Post mortems of acquisitions, in which reality is honestly compared to the original projections, are rare in American boardrooms. They should instead be standard practice.</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I can promise you that long after I’m gone, Berkshire’s CEO </w:t>
      </w:r>
      <w:r>
        <w:rPr>
          <w:rFonts w:ascii="Times New Roman" w:hAnsi="Times New Roman" w:cs="Times New Roman"/>
          <w:sz w:val="20"/>
          <w:szCs w:val="20"/>
        </w:rPr>
        <w:t>and Board will carefully make intrinsic value calculations before issuing shares in any acquisitions. You can’t get rich trading a hundred-dollar bill for eight tens (even if your advisor has handed you an expensive “fairness” opinion endorsing that swap).</w:t>
      </w:r>
    </w:p>
    <w:p w:rsidR="00000000" w:rsidRDefault="00A0696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6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Overall, Berkshire’s acquisitions have worked out well – and </w:t>
      </w:r>
      <w:r>
        <w:rPr>
          <w:rFonts w:ascii="Times New Roman" w:hAnsi="Times New Roman" w:cs="Times New Roman"/>
          <w:i/>
          <w:iCs/>
          <w:sz w:val="20"/>
          <w:szCs w:val="20"/>
        </w:rPr>
        <w:t>very</w:t>
      </w:r>
      <w:r>
        <w:rPr>
          <w:rFonts w:ascii="Times New Roman" w:hAnsi="Times New Roman" w:cs="Times New Roman"/>
          <w:sz w:val="20"/>
          <w:szCs w:val="20"/>
        </w:rPr>
        <w:t xml:space="preserve"> well in the case of a few large ones. So, too, have our investments in marketable securities. The latter are always valued on our balance sheet at their market pri</w:t>
      </w:r>
      <w:r>
        <w:rPr>
          <w:rFonts w:ascii="Times New Roman" w:hAnsi="Times New Roman" w:cs="Times New Roman"/>
          <w:sz w:val="20"/>
          <w:szCs w:val="20"/>
        </w:rPr>
        <w:t>ces so any gains – including those unrealized – are immediately reflected in our net worth. But the businesses we buy outright are never revalued upward on our balance sheet, even when we could sell them for many billions of dollars more than their carryin</w:t>
      </w:r>
      <w:r>
        <w:rPr>
          <w:rFonts w:ascii="Times New Roman" w:hAnsi="Times New Roman" w:cs="Times New Roman"/>
          <w:sz w:val="20"/>
          <w:szCs w:val="20"/>
        </w:rPr>
        <w:t>g value. The unrecorded gains in the value of Berkshire’s subsidiaries have become huge, with these growing at a particularly fast pace in the last decade.</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sz w:val="20"/>
          <w:szCs w:val="20"/>
        </w:rPr>
        <w:t>Listening to Charlie has paid off.</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Berkshire Today</w:t>
      </w:r>
    </w:p>
    <w:p w:rsidR="00000000" w:rsidRDefault="00A0696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sz w:val="20"/>
          <w:szCs w:val="20"/>
        </w:rPr>
        <w:t>Berkshire is now a sprawling conglomerate, constantly trying to sprawl further.</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Conglomerates, it should be acknowledged, have a terrible reputation with investors. And they rich</w:t>
      </w:r>
      <w:r>
        <w:rPr>
          <w:rFonts w:ascii="Times New Roman" w:hAnsi="Times New Roman" w:cs="Times New Roman"/>
          <w:sz w:val="20"/>
          <w:szCs w:val="20"/>
        </w:rPr>
        <w:t>ly deserve it. Let me first explain why they are in the doghouse, and then I will go on to describe why the conglomerate form brings huge and enduring advantages to Berkshire.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Since I entered the business world, conglomerates have enjoyed several periods </w:t>
      </w:r>
      <w:r>
        <w:rPr>
          <w:rFonts w:ascii="Times New Roman" w:hAnsi="Times New Roman" w:cs="Times New Roman"/>
          <w:sz w:val="20"/>
          <w:szCs w:val="20"/>
        </w:rPr>
        <w:t>of extreme popularity, the silliest of which occurred in the late 1960s. The drill for conglomerate CEOs then was simple: By personality, promotion or dubious accounting – and often by all three – these managers drove a fledgling conglomerate’s stock to, s</w:t>
      </w:r>
      <w:r>
        <w:rPr>
          <w:rFonts w:ascii="Times New Roman" w:hAnsi="Times New Roman" w:cs="Times New Roman"/>
          <w:sz w:val="20"/>
          <w:szCs w:val="20"/>
        </w:rPr>
        <w:t xml:space="preserve">ay, 20 times earnings and then issued shares as fast as possible to acquire another business selling at ten-or-so times earnings. They immediately applied “pooling” accounting to the acquisition, which – with not a dime’s worth of change in the underlying </w:t>
      </w:r>
      <w:r>
        <w:rPr>
          <w:rFonts w:ascii="Times New Roman" w:hAnsi="Times New Roman" w:cs="Times New Roman"/>
          <w:sz w:val="20"/>
          <w:szCs w:val="20"/>
        </w:rPr>
        <w:t>businesses – automatically increased per-share earnings, and used the rise as proof of managerial genius. They next explained to investors that this sort of talent justified the maintenance, or even the enhancement, of the acquirer’s p/e multiple. And, fin</w:t>
      </w:r>
      <w:r>
        <w:rPr>
          <w:rFonts w:ascii="Times New Roman" w:hAnsi="Times New Roman" w:cs="Times New Roman"/>
          <w:sz w:val="20"/>
          <w:szCs w:val="20"/>
        </w:rPr>
        <w:t>ally, they promised to endlessly repeat this procedure and thereby create ever-increasing per-share earnings.</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Wall Street’s love affair with this hocus-pocus intensified as the 1960s rolled by. The Street’s denizens are always ready to suspend disbelief w</w:t>
      </w:r>
      <w:r>
        <w:rPr>
          <w:rFonts w:ascii="Times New Roman" w:hAnsi="Times New Roman" w:cs="Times New Roman"/>
          <w:sz w:val="20"/>
          <w:szCs w:val="20"/>
        </w:rPr>
        <w:t>hen dubious maneuvers are used to manufacture rising per-share earnings, particularly if these acrobatics produce mergers that generate huge fees for investment bankers. Auditors willingly sprinkled their holy water on the conglomerates’ accounting and som</w:t>
      </w:r>
      <w:r>
        <w:rPr>
          <w:rFonts w:ascii="Times New Roman" w:hAnsi="Times New Roman" w:cs="Times New Roman"/>
          <w:sz w:val="20"/>
          <w:szCs w:val="20"/>
        </w:rPr>
        <w:t>etimes even made suggestions as to how to further juice the numbers. For many, gushers of easy money washed away ethical sensitivities.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Since the per-share earnings gains of an expanding conglomerate came from exploiting p/e differences, its CEO had to se</w:t>
      </w:r>
      <w:r>
        <w:rPr>
          <w:rFonts w:ascii="Times New Roman" w:hAnsi="Times New Roman" w:cs="Times New Roman"/>
          <w:sz w:val="20"/>
          <w:szCs w:val="20"/>
        </w:rPr>
        <w:t>arch for businesses selling at low multiples of earnings. These, of course, were characteristically mediocre businesses with poor long-term prospects. This incentive to bottom-fish usually led to a conglomerate’s collection of underlying businesses becomin</w:t>
      </w:r>
      <w:r>
        <w:rPr>
          <w:rFonts w:ascii="Times New Roman" w:hAnsi="Times New Roman" w:cs="Times New Roman"/>
          <w:sz w:val="20"/>
          <w:szCs w:val="20"/>
        </w:rPr>
        <w:t>g more and more junky. That mattered little to investors: It was deal velocity and pooling accounting they looked to for increased earnings.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The resulting firestorm of merger activity was fanned by an adoring press. Companies such as ITT, Litton Industrie</w:t>
      </w:r>
      <w:r>
        <w:rPr>
          <w:rFonts w:ascii="Times New Roman" w:hAnsi="Times New Roman" w:cs="Times New Roman"/>
          <w:sz w:val="20"/>
          <w:szCs w:val="20"/>
        </w:rPr>
        <w:t>s, Gulf &amp; Western, and LTV were lionized, and their CEOs became celebrities. (These once-famous conglomerates are now long gone. As Yogi Berra said, “Every Napoleon meets his Watergate.”)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Back then, accounting shenanigans of all sorts – many of them ridic</w:t>
      </w:r>
      <w:r>
        <w:rPr>
          <w:rFonts w:ascii="Times New Roman" w:hAnsi="Times New Roman" w:cs="Times New Roman"/>
          <w:sz w:val="20"/>
          <w:szCs w:val="20"/>
        </w:rPr>
        <w:t xml:space="preserve">ulously transparent – were excused or overlooked. Indeed, having an accounting wizard at the helm of an expanding conglomerate was viewed as a huge plus: Shareholders in those instances could be sure that </w:t>
      </w:r>
      <w:r>
        <w:rPr>
          <w:rFonts w:ascii="Times New Roman" w:hAnsi="Times New Roman" w:cs="Times New Roman"/>
          <w:i/>
          <w:iCs/>
          <w:sz w:val="20"/>
          <w:szCs w:val="20"/>
        </w:rPr>
        <w:t>reported</w:t>
      </w:r>
      <w:r>
        <w:rPr>
          <w:rFonts w:ascii="Times New Roman" w:hAnsi="Times New Roman" w:cs="Times New Roman"/>
          <w:sz w:val="20"/>
          <w:szCs w:val="20"/>
        </w:rPr>
        <w:t xml:space="preserve"> earnings would never disappoint, no matter</w:t>
      </w:r>
      <w:r>
        <w:rPr>
          <w:rFonts w:ascii="Times New Roman" w:hAnsi="Times New Roman" w:cs="Times New Roman"/>
          <w:sz w:val="20"/>
          <w:szCs w:val="20"/>
        </w:rPr>
        <w:t xml:space="preserve"> how bad the operating realities of the business might become.</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In the late 1960s, I attended a meeting at which an acquisitive CEO bragged of his “bold, imaginative accounting.”</w:t>
      </w:r>
      <w:r>
        <w:rPr>
          <w:rFonts w:ascii="Times New Roman" w:hAnsi="Times New Roman" w:cs="Times New Roman"/>
          <w:sz w:val="20"/>
          <w:szCs w:val="20"/>
        </w:rPr>
        <w:t xml:space="preserve"> Most of the analysts listening responded with approving nods, seeing themselves as having found a manager whose forecasts were certain to be met, whatever the business results might be.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3"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29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Eventually, however, the clock struck twelve, and everything turned to pumpkins and mice. Once again, it became evident that business models based on the serial issuances of overpriced shares – just like chain-letter models – most assuredly redistribute we</w:t>
      </w:r>
      <w:r>
        <w:rPr>
          <w:rFonts w:ascii="Times New Roman" w:hAnsi="Times New Roman" w:cs="Times New Roman"/>
          <w:sz w:val="20"/>
          <w:szCs w:val="20"/>
        </w:rPr>
        <w:t>alth, but in no way create it. Both phenomena, nevertheless, periodically blossom in our country – they are every promoter’s dream – though often they appear in a carefully-crafted disguise. The ending is always the same: Money flows from the gullible to t</w:t>
      </w:r>
      <w:r>
        <w:rPr>
          <w:rFonts w:ascii="Times New Roman" w:hAnsi="Times New Roman" w:cs="Times New Roman"/>
          <w:sz w:val="20"/>
          <w:szCs w:val="20"/>
        </w:rPr>
        <w:t>he fraudster. And with stocks, unlike chain letters, the sums hijacked can be staggering.</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At both BPL and Berkshire, we have </w:t>
      </w:r>
      <w:r>
        <w:rPr>
          <w:rFonts w:ascii="Times New Roman" w:hAnsi="Times New Roman" w:cs="Times New Roman"/>
          <w:i/>
          <w:iCs/>
          <w:sz w:val="20"/>
          <w:szCs w:val="20"/>
        </w:rPr>
        <w:t>never</w:t>
      </w:r>
      <w:r>
        <w:rPr>
          <w:rFonts w:ascii="Times New Roman" w:hAnsi="Times New Roman" w:cs="Times New Roman"/>
          <w:sz w:val="20"/>
          <w:szCs w:val="20"/>
        </w:rPr>
        <w:t xml:space="preserve"> invested in companies that are hell-bent on issuing shares. That behavior is one of the surest indicators of a promotion-min</w:t>
      </w:r>
      <w:r>
        <w:rPr>
          <w:rFonts w:ascii="Times New Roman" w:hAnsi="Times New Roman" w:cs="Times New Roman"/>
          <w:sz w:val="20"/>
          <w:szCs w:val="20"/>
        </w:rPr>
        <w:t>ded management, weak accounting, a stock that is overpriced and – all too often – outright dishonesty.</w:t>
      </w:r>
    </w:p>
    <w:p w:rsidR="00000000" w:rsidRDefault="00A0696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8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So what do Charlie and I find so attractive about Berkshire’</w:t>
      </w:r>
      <w:r>
        <w:rPr>
          <w:rFonts w:ascii="Times New Roman" w:hAnsi="Times New Roman" w:cs="Times New Roman"/>
          <w:sz w:val="20"/>
          <w:szCs w:val="20"/>
        </w:rPr>
        <w:t>s conglomerate structure? To put the case simply: If the conglomerate form is used judiciously, it is an ideal structure for maximizing long-term capital growth.</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One of the heralded virtues of capitalism is that it efficiently allocates funds. The argumen</w:t>
      </w:r>
      <w:r>
        <w:rPr>
          <w:rFonts w:ascii="Times New Roman" w:hAnsi="Times New Roman" w:cs="Times New Roman"/>
          <w:sz w:val="20"/>
          <w:szCs w:val="20"/>
        </w:rPr>
        <w:t>t is that markets will direct investment to promising businesses and deny it to those destined to wither. That is true: With all its excesses, market-driven allocation of capital is usually far superior to any alternative.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Nevertheless, there are often ob</w:t>
      </w:r>
      <w:r>
        <w:rPr>
          <w:rFonts w:ascii="Times New Roman" w:hAnsi="Times New Roman" w:cs="Times New Roman"/>
          <w:sz w:val="20"/>
          <w:szCs w:val="20"/>
        </w:rPr>
        <w:t>stacles to the rational movement of capital. As those 1954 Berkshire minutes made clear, capital withdrawals within the textile industry that should have been obvious were delayed for decades because of the vain hopes and self-interest of managements. Inde</w:t>
      </w:r>
      <w:r>
        <w:rPr>
          <w:rFonts w:ascii="Times New Roman" w:hAnsi="Times New Roman" w:cs="Times New Roman"/>
          <w:sz w:val="20"/>
          <w:szCs w:val="20"/>
        </w:rPr>
        <w:t>ed, I myself delayed abandoning our obsolete textile mills for far too long.</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A CEO with capital employed in a declining operation seldom elects to massively redeploy that capital into unrelated activities. A move of that kind would usually require that long-time associates be fired and mistakes be admitted. Moreover, it’s unlikely </w:t>
      </w:r>
      <w:r>
        <w:rPr>
          <w:rFonts w:ascii="Times New Roman" w:hAnsi="Times New Roman" w:cs="Times New Roman"/>
          <w:i/>
          <w:iCs/>
          <w:sz w:val="20"/>
          <w:szCs w:val="20"/>
        </w:rPr>
        <w:t>that</w:t>
      </w:r>
      <w:r>
        <w:rPr>
          <w:rFonts w:ascii="Times New Roman" w:hAnsi="Times New Roman" w:cs="Times New Roman"/>
          <w:sz w:val="20"/>
          <w:szCs w:val="20"/>
        </w:rPr>
        <w:t xml:space="preserve"> CEO would be the manager you would wish to handle the redeployment job even if he or she was inclined to undertake it.</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At the shareholder level, taxes and frictional costs weigh heavily on individual investors when they attempt to reallocate capital </w:t>
      </w:r>
      <w:r>
        <w:rPr>
          <w:rFonts w:ascii="Times New Roman" w:hAnsi="Times New Roman" w:cs="Times New Roman"/>
          <w:sz w:val="20"/>
          <w:szCs w:val="20"/>
        </w:rPr>
        <w:t>among businesses and industries. Even tax-free institutional investors face major costs as they move capital because they usually need intermediaries to do this job. A lot of mouths with expensive tastes then clamor to be fed – among them investment banker</w:t>
      </w:r>
      <w:r>
        <w:rPr>
          <w:rFonts w:ascii="Times New Roman" w:hAnsi="Times New Roman" w:cs="Times New Roman"/>
          <w:sz w:val="20"/>
          <w:szCs w:val="20"/>
        </w:rPr>
        <w:t>s, accountants, consultants, lawyers and such capital-reallocators as leveraged buyout operators. Money-shufflers don’t come cheap.</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In contrast, a conglomerate such as Berkshire is perfectly positioned to allocate capital rationally and at minimal cost. O</w:t>
      </w:r>
      <w:r>
        <w:rPr>
          <w:rFonts w:ascii="Times New Roman" w:hAnsi="Times New Roman" w:cs="Times New Roman"/>
          <w:sz w:val="20"/>
          <w:szCs w:val="20"/>
        </w:rPr>
        <w:t>f course, form itself is no guarantee of success: We have made plenty of mistakes, and we will make more. Our structural advantages, however, are formidable.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At Berkshire, we can – without incurring taxes or much in the way of other costs – move huge sums</w:t>
      </w:r>
      <w:r>
        <w:rPr>
          <w:rFonts w:ascii="Times New Roman" w:hAnsi="Times New Roman" w:cs="Times New Roman"/>
          <w:sz w:val="20"/>
          <w:szCs w:val="20"/>
        </w:rPr>
        <w:t xml:space="preserve"> from businesses that have limited opportunities for incremental investment to other sectors with greater promise. Moreover, we are free of historical biases created by lifelong association with a given industry and are not subject to pressures from collea</w:t>
      </w:r>
      <w:r>
        <w:rPr>
          <w:rFonts w:ascii="Times New Roman" w:hAnsi="Times New Roman" w:cs="Times New Roman"/>
          <w:sz w:val="20"/>
          <w:szCs w:val="20"/>
        </w:rPr>
        <w:t>gues having a vested interest in maintaining the status quo. That’s important: If horses had controlled investment decisions, there would have been no auto industry.</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8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30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Another major advantage we possess is the ability to buy </w:t>
      </w:r>
      <w:r>
        <w:rPr>
          <w:rFonts w:ascii="Times New Roman" w:hAnsi="Times New Roman" w:cs="Times New Roman"/>
          <w:i/>
          <w:iCs/>
          <w:sz w:val="20"/>
          <w:szCs w:val="20"/>
        </w:rPr>
        <w:t>pieces</w:t>
      </w:r>
      <w:r>
        <w:rPr>
          <w:rFonts w:ascii="Times New Roman" w:hAnsi="Times New Roman" w:cs="Times New Roman"/>
          <w:sz w:val="20"/>
          <w:szCs w:val="20"/>
        </w:rPr>
        <w:t xml:space="preserve"> of wonderful businesses – a.k.a. common stocks. That’s not a course of action open to most managements. Over our history, this strategic alternative has proved to be very helpful; a broad rang</w:t>
      </w:r>
      <w:r>
        <w:rPr>
          <w:rFonts w:ascii="Times New Roman" w:hAnsi="Times New Roman" w:cs="Times New Roman"/>
          <w:sz w:val="20"/>
          <w:szCs w:val="20"/>
        </w:rPr>
        <w:t>e of options always sharpens decision-making. The businesses we are offered by the stock market every day – in small pieces, to be sure – are often far more attractive than the businesses we are concurrently being offered in their entirety. Additionally, t</w:t>
      </w:r>
      <w:r>
        <w:rPr>
          <w:rFonts w:ascii="Times New Roman" w:hAnsi="Times New Roman" w:cs="Times New Roman"/>
          <w:sz w:val="20"/>
          <w:szCs w:val="20"/>
        </w:rPr>
        <w:t>he gains we’ve realized from marketable securities have helped us make certain large acquisitions that would otherwise have been beyond our financial capabilities.</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In effect, the world is Berkshire’s oyster – a world offering us a range of opportunities f</w:t>
      </w:r>
      <w:r>
        <w:rPr>
          <w:rFonts w:ascii="Times New Roman" w:hAnsi="Times New Roman" w:cs="Times New Roman"/>
          <w:sz w:val="20"/>
          <w:szCs w:val="20"/>
        </w:rPr>
        <w:t>ar beyond those realistically open to most companies. We are limited, of course, to businesses whose economic prospects we can evaluate. And that’s a serious limitation: Charlie and I have no idea what a great many companies will look like ten years from n</w:t>
      </w:r>
      <w:r>
        <w:rPr>
          <w:rFonts w:ascii="Times New Roman" w:hAnsi="Times New Roman" w:cs="Times New Roman"/>
          <w:sz w:val="20"/>
          <w:szCs w:val="20"/>
        </w:rPr>
        <w:t xml:space="preserve">ow. But that limitation is much smaller than that borne by an executive whose experience has been confined to a single industry. On top of that, we can profitably scale to a </w:t>
      </w:r>
      <w:r>
        <w:rPr>
          <w:rFonts w:ascii="Times New Roman" w:hAnsi="Times New Roman" w:cs="Times New Roman"/>
          <w:i/>
          <w:iCs/>
          <w:sz w:val="20"/>
          <w:szCs w:val="20"/>
        </w:rPr>
        <w:t>far</w:t>
      </w:r>
      <w:r>
        <w:rPr>
          <w:rFonts w:ascii="Times New Roman" w:hAnsi="Times New Roman" w:cs="Times New Roman"/>
          <w:sz w:val="20"/>
          <w:szCs w:val="20"/>
        </w:rPr>
        <w:t xml:space="preserve"> larger size than the many businesses that are constrained by the limited poten</w:t>
      </w:r>
      <w:r>
        <w:rPr>
          <w:rFonts w:ascii="Times New Roman" w:hAnsi="Times New Roman" w:cs="Times New Roman"/>
          <w:sz w:val="20"/>
          <w:szCs w:val="20"/>
        </w:rPr>
        <w:t>tial of the single industry in which they operate.</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I mentioned earlier that See’s Candy had produced huge earnings compared to its modest capital requirements. We would have loved, of course, to intelligently use those funds to expand our candy operation.</w:t>
      </w:r>
      <w:r>
        <w:rPr>
          <w:rFonts w:ascii="Times New Roman" w:hAnsi="Times New Roman" w:cs="Times New Roman"/>
          <w:sz w:val="20"/>
          <w:szCs w:val="20"/>
        </w:rPr>
        <w:t xml:space="preserve"> But our many attempts to do so were largely futile. So, without incurring tax inefficiencies or frictional costs, we have used the excess funds generated by See’s to help purchase other businesses. If See’s had remained a stand-alone company, its earnings</w:t>
      </w:r>
      <w:r>
        <w:rPr>
          <w:rFonts w:ascii="Times New Roman" w:hAnsi="Times New Roman" w:cs="Times New Roman"/>
          <w:sz w:val="20"/>
          <w:szCs w:val="20"/>
        </w:rPr>
        <w:t xml:space="preserve"> would have had to be distributed to investors to redeploy, sometimes after being heavily depleted by large taxes and, almost always, by significant frictional and agency costs.</w:t>
      </w:r>
    </w:p>
    <w:p w:rsidR="00000000" w:rsidRDefault="00A06965">
      <w:pPr>
        <w:pStyle w:val="DefaultParagraphFont"/>
        <w:widowControl w:val="0"/>
        <w:autoSpaceDE w:val="0"/>
        <w:autoSpaceDN w:val="0"/>
        <w:adjustRightInd w:val="0"/>
        <w:spacing w:after="0" w:line="24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6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Times New Roman" w:hAnsi="Times New Roman" w:cs="Times New Roman"/>
          <w:sz w:val="20"/>
          <w:szCs w:val="20"/>
        </w:rPr>
        <w:t>Berkshire has one further advantage that has become increasingly important over the years: We are now the home of choice for the owners and managers of many outstanding businesses.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Families that own successful businesses have multiple options when they co</w:t>
      </w:r>
      <w:r>
        <w:rPr>
          <w:rFonts w:ascii="Times New Roman" w:hAnsi="Times New Roman" w:cs="Times New Roman"/>
          <w:sz w:val="20"/>
          <w:szCs w:val="20"/>
        </w:rPr>
        <w:t>ntemplate sale. Frequently, the best decision is to do nothing. There are worse things in life than having a prosperous business that one understands well. But sitting tight is seldom recommended by Wall Street. (Don’t ask the barber whether you need a hai</w:t>
      </w:r>
      <w:r>
        <w:rPr>
          <w:rFonts w:ascii="Times New Roman" w:hAnsi="Times New Roman" w:cs="Times New Roman"/>
          <w:sz w:val="20"/>
          <w:szCs w:val="20"/>
        </w:rPr>
        <w:t>rcut.)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Times New Roman" w:hAnsi="Times New Roman" w:cs="Times New Roman"/>
          <w:sz w:val="20"/>
          <w:szCs w:val="20"/>
        </w:rPr>
        <w:t>When one part of a family wishes to sell while others wish to continue, a public offering often makes sense. But, when owners wish to cash out entirely, they usually consider one of two paths.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The first is sale to a competitor who is salivating at</w:t>
      </w:r>
      <w:r>
        <w:rPr>
          <w:rFonts w:ascii="Times New Roman" w:hAnsi="Times New Roman" w:cs="Times New Roman"/>
          <w:sz w:val="20"/>
          <w:szCs w:val="20"/>
        </w:rPr>
        <w:t xml:space="preserve"> the possibility of wringing “synergies” from the combining of the two companies. This buyer invariably contemplates getting rid of large numbers of the seller’s associates, the very people who have helped the owner build his business. A caring owner, howe</w:t>
      </w:r>
      <w:r>
        <w:rPr>
          <w:rFonts w:ascii="Times New Roman" w:hAnsi="Times New Roman" w:cs="Times New Roman"/>
          <w:sz w:val="20"/>
          <w:szCs w:val="20"/>
        </w:rPr>
        <w:t>ver – and there are plenty of them – usually does not want to leave his long-time associates sadly singing the old country song: “</w:t>
      </w:r>
      <w:r>
        <w:rPr>
          <w:rFonts w:ascii="Times New Roman" w:hAnsi="Times New Roman" w:cs="Times New Roman"/>
          <w:i/>
          <w:iCs/>
          <w:sz w:val="20"/>
          <w:szCs w:val="20"/>
        </w:rPr>
        <w:t>She got</w:t>
      </w:r>
      <w:r>
        <w:rPr>
          <w:rFonts w:ascii="Times New Roman" w:hAnsi="Times New Roman" w:cs="Times New Roman"/>
          <w:sz w:val="20"/>
          <w:szCs w:val="20"/>
        </w:rPr>
        <w:t xml:space="preserve"> </w:t>
      </w:r>
      <w:r>
        <w:rPr>
          <w:rFonts w:ascii="Times New Roman" w:hAnsi="Times New Roman" w:cs="Times New Roman"/>
          <w:i/>
          <w:iCs/>
          <w:sz w:val="20"/>
          <w:szCs w:val="20"/>
        </w:rPr>
        <w:t>the goldmine, I got the shaft.</w:t>
      </w:r>
      <w:r>
        <w:rPr>
          <w:rFonts w:ascii="Times New Roman" w:hAnsi="Times New Roman" w:cs="Times New Roman"/>
          <w:sz w:val="20"/>
          <w:szCs w:val="20"/>
        </w:rPr>
        <w: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The second choice for sellers is the Wall Street buyer. For some years, these purchas</w:t>
      </w:r>
      <w:r>
        <w:rPr>
          <w:rFonts w:ascii="Times New Roman" w:hAnsi="Times New Roman" w:cs="Times New Roman"/>
          <w:sz w:val="20"/>
          <w:szCs w:val="20"/>
        </w:rPr>
        <w:t xml:space="preserve">ers accurately called themselves “leveraged buyout firms.” When that term got a bad name in the early 1990s – remember RJR and </w:t>
      </w:r>
      <w:r>
        <w:rPr>
          <w:rFonts w:ascii="Times New Roman" w:hAnsi="Times New Roman" w:cs="Times New Roman"/>
          <w:i/>
          <w:iCs/>
          <w:sz w:val="20"/>
          <w:szCs w:val="20"/>
        </w:rPr>
        <w:t>Barbarians at the Gate</w:t>
      </w:r>
      <w:r>
        <w:rPr>
          <w:rFonts w:ascii="Times New Roman" w:hAnsi="Times New Roman" w:cs="Times New Roman"/>
          <w:sz w:val="20"/>
          <w:szCs w:val="20"/>
        </w:rPr>
        <w:t>? – these buyers hastily relabeled themselves “private-equity.”</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The name may have changed but that was all</w:t>
      </w:r>
      <w:r>
        <w:rPr>
          <w:rFonts w:ascii="Times New Roman" w:hAnsi="Times New Roman" w:cs="Times New Roman"/>
          <w:sz w:val="20"/>
          <w:szCs w:val="20"/>
        </w:rPr>
        <w:t xml:space="preserve">: Equity is dramatically </w:t>
      </w:r>
      <w:r>
        <w:rPr>
          <w:rFonts w:ascii="Times New Roman" w:hAnsi="Times New Roman" w:cs="Times New Roman"/>
          <w:i/>
          <w:iCs/>
          <w:sz w:val="20"/>
          <w:szCs w:val="20"/>
        </w:rPr>
        <w:t>reduced</w:t>
      </w:r>
      <w:r>
        <w:rPr>
          <w:rFonts w:ascii="Times New Roman" w:hAnsi="Times New Roman" w:cs="Times New Roman"/>
          <w:sz w:val="20"/>
          <w:szCs w:val="20"/>
        </w:rPr>
        <w:t xml:space="preserve"> and debt is piled on in virtually all private-equity purchases. Indeed, the amount that a private-equity purchaser offers to the seller is in part determined by the buyer assessing the </w:t>
      </w:r>
      <w:r>
        <w:rPr>
          <w:rFonts w:ascii="Times New Roman" w:hAnsi="Times New Roman" w:cs="Times New Roman"/>
          <w:i/>
          <w:iCs/>
          <w:sz w:val="20"/>
          <w:szCs w:val="20"/>
        </w:rPr>
        <w:t>maximum</w:t>
      </w:r>
      <w:r>
        <w:rPr>
          <w:rFonts w:ascii="Times New Roman" w:hAnsi="Times New Roman" w:cs="Times New Roman"/>
          <w:sz w:val="20"/>
          <w:szCs w:val="20"/>
        </w:rPr>
        <w:t xml:space="preserve"> amount of debt that can be pla</w:t>
      </w:r>
      <w:r>
        <w:rPr>
          <w:rFonts w:ascii="Times New Roman" w:hAnsi="Times New Roman" w:cs="Times New Roman"/>
          <w:sz w:val="20"/>
          <w:szCs w:val="20"/>
        </w:rPr>
        <w:t>ced on the acquired company.</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8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31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Later, if things go well a</w:t>
      </w:r>
      <w:r>
        <w:rPr>
          <w:rFonts w:ascii="Times New Roman" w:hAnsi="Times New Roman" w:cs="Times New Roman"/>
          <w:sz w:val="20"/>
          <w:szCs w:val="20"/>
        </w:rPr>
        <w:t>nd equity begins to build, leveraged buy-out shops will often seek to re-leverage with new borrowings. They then typically use part of the proceeds to pay a huge dividend that drives equity sharply downward, sometimes even to a negative figure.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In truth, </w:t>
      </w:r>
      <w:r>
        <w:rPr>
          <w:rFonts w:ascii="Times New Roman" w:hAnsi="Times New Roman" w:cs="Times New Roman"/>
          <w:sz w:val="20"/>
          <w:szCs w:val="20"/>
        </w:rPr>
        <w:t>“equity” is a dirty word for many private-equity buyers; what they love is debt. And, because debt is currently so inexpensive, these buyers can frequently pay top dollar. Later, the business will be resold, often to another leveraged buyer. In effect, the</w:t>
      </w:r>
      <w:r>
        <w:rPr>
          <w:rFonts w:ascii="Times New Roman" w:hAnsi="Times New Roman" w:cs="Times New Roman"/>
          <w:sz w:val="20"/>
          <w:szCs w:val="20"/>
        </w:rPr>
        <w:t xml:space="preserve"> business becomes a piece of merchandise.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Berkshire offers a third choice to the business owner who wishes to sell: a permanent home, in which the company’s people and culture will be retained (though, occasionally, management changes will be needed). Bey</w:t>
      </w:r>
      <w:r>
        <w:rPr>
          <w:rFonts w:ascii="Times New Roman" w:hAnsi="Times New Roman" w:cs="Times New Roman"/>
          <w:sz w:val="20"/>
          <w:szCs w:val="20"/>
        </w:rPr>
        <w:t>ond that, any business we acquire dramatically increases its financial strength and ability to grow. Its days of dealing with banks and Wall Street analysts are also forever ended.</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Times New Roman" w:hAnsi="Times New Roman" w:cs="Times New Roman"/>
          <w:sz w:val="20"/>
          <w:szCs w:val="20"/>
        </w:rPr>
        <w:t>Some sellers don’</w:t>
      </w:r>
      <w:r>
        <w:rPr>
          <w:rFonts w:ascii="Times New Roman" w:hAnsi="Times New Roman" w:cs="Times New Roman"/>
          <w:sz w:val="20"/>
          <w:szCs w:val="20"/>
        </w:rPr>
        <w:t>t care about these matters. But, when sellers do, Berkshire does not have a lot of competition.</w:t>
      </w:r>
    </w:p>
    <w:p w:rsidR="00000000" w:rsidRDefault="00A06965">
      <w:pPr>
        <w:pStyle w:val="DefaultParagraphFont"/>
        <w:widowControl w:val="0"/>
        <w:autoSpaceDE w:val="0"/>
        <w:autoSpaceDN w:val="0"/>
        <w:adjustRightInd w:val="0"/>
        <w:spacing w:after="0" w:line="239" w:lineRule="auto"/>
        <w:ind w:left="416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3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Sometimes pundits propose that Berkshire spin-off certain of its businesses. These suggestions make no sense. Our companies are worth m</w:t>
      </w:r>
      <w:r>
        <w:rPr>
          <w:rFonts w:ascii="Times New Roman" w:hAnsi="Times New Roman" w:cs="Times New Roman"/>
          <w:sz w:val="20"/>
          <w:szCs w:val="20"/>
        </w:rPr>
        <w:t>ore as part of Berkshire than as separate entities. One reason is our ability to move funds between businesses or into new ventures instantly and without tax. In addition, certain costs duplicate themselves, in full or part, if operations are separated. He</w:t>
      </w:r>
      <w:r>
        <w:rPr>
          <w:rFonts w:ascii="Times New Roman" w:hAnsi="Times New Roman" w:cs="Times New Roman"/>
          <w:sz w:val="20"/>
          <w:szCs w:val="20"/>
        </w:rPr>
        <w:t>re’s the most obvious example: Berkshire incurs nominal costs for its single board of directors; were our dozens of subsidiaries to be split off, the overall cost for directors would soar. So, too, would regulatory and administration expenditures.</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Finally</w:t>
      </w:r>
      <w:r>
        <w:rPr>
          <w:rFonts w:ascii="Times New Roman" w:hAnsi="Times New Roman" w:cs="Times New Roman"/>
          <w:sz w:val="20"/>
          <w:szCs w:val="20"/>
        </w:rPr>
        <w:t>, there are sometimes important tax efficiencies for Subsidiary A because we own Subsidiary B. For example, certain tax credits that are available to our utilities are currently realizable only because we generate huge amounts of taxable income at other Be</w:t>
      </w:r>
      <w:r>
        <w:rPr>
          <w:rFonts w:ascii="Times New Roman" w:hAnsi="Times New Roman" w:cs="Times New Roman"/>
          <w:sz w:val="20"/>
          <w:szCs w:val="20"/>
        </w:rPr>
        <w:t>rkshire operations. That gives Berkshire Hathaway Energy a major advantage over most public-utility companies in developing wind and solar projects.</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Investment bankers, being paid as they are for action, constantly urge acquirers to pay 20% to 50% premium</w:t>
      </w:r>
      <w:r>
        <w:rPr>
          <w:rFonts w:ascii="Times New Roman" w:hAnsi="Times New Roman" w:cs="Times New Roman"/>
          <w:sz w:val="20"/>
          <w:szCs w:val="20"/>
        </w:rPr>
        <w:t>s over market price for publicly-held businesses. The bankers tell the buyer that the premium is justified for “control value” and for the wonderful things that are going to happen once the acquirer’s CEO takes charge. (What acquisition-hungry manager will</w:t>
      </w:r>
      <w:r>
        <w:rPr>
          <w:rFonts w:ascii="Times New Roman" w:hAnsi="Times New Roman" w:cs="Times New Roman"/>
          <w:sz w:val="20"/>
          <w:szCs w:val="20"/>
        </w:rPr>
        <w:t xml:space="preserve"> challenge </w:t>
      </w:r>
      <w:r>
        <w:rPr>
          <w:rFonts w:ascii="Times New Roman" w:hAnsi="Times New Roman" w:cs="Times New Roman"/>
          <w:i/>
          <w:iCs/>
          <w:sz w:val="20"/>
          <w:szCs w:val="20"/>
        </w:rPr>
        <w:t>that</w:t>
      </w:r>
      <w:r>
        <w:rPr>
          <w:rFonts w:ascii="Times New Roman" w:hAnsi="Times New Roman" w:cs="Times New Roman"/>
          <w:sz w:val="20"/>
          <w:szCs w:val="20"/>
        </w:rPr>
        <w:t xml:space="preserve"> assertion?)</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A few years later, bankers – bearing straight faces – again appear and just as earnestly urge spinning off the earlier acquisition in order to “unlock shareholder value.” Spin-offs, of course, strip the owning company of its pu</w:t>
      </w:r>
      <w:r>
        <w:rPr>
          <w:rFonts w:ascii="Times New Roman" w:hAnsi="Times New Roman" w:cs="Times New Roman"/>
          <w:sz w:val="20"/>
          <w:szCs w:val="20"/>
        </w:rPr>
        <w:t>rported “control value” without any compensating payment. The bankers explain that the spun-off company will flourish because its management will be more entrepreneurial, having been freed from the smothering bureaucracy of the parent company. (So much for</w:t>
      </w:r>
      <w:r>
        <w:rPr>
          <w:rFonts w:ascii="Times New Roman" w:hAnsi="Times New Roman" w:cs="Times New Roman"/>
          <w:sz w:val="20"/>
          <w:szCs w:val="20"/>
        </w:rPr>
        <w:t xml:space="preserve"> that talented CEO we met earlier.)</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 xml:space="preserve">If the divesting company later wishes to reacquire the spun-off operation, it presumably would again be urged by its bankers to pay a hefty “control” premium for the privilege. (Mental “flexibility” of this sort by the </w:t>
      </w:r>
      <w:r>
        <w:rPr>
          <w:rFonts w:ascii="Times New Roman" w:hAnsi="Times New Roman" w:cs="Times New Roman"/>
          <w:sz w:val="20"/>
          <w:szCs w:val="20"/>
        </w:rPr>
        <w:t>banking fraternity has prompted the saying that fees too often lead to transactions rather than transactions leading to fees.)</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It’</w:t>
      </w:r>
      <w:r>
        <w:rPr>
          <w:rFonts w:ascii="Times New Roman" w:hAnsi="Times New Roman" w:cs="Times New Roman"/>
          <w:sz w:val="20"/>
          <w:szCs w:val="20"/>
        </w:rPr>
        <w:t>s possible, of course, that someday a spin-off or sale at Berkshire would be required by regulators. Berkshire carried out such a spin-off in 1979, when new regulations for bank holding companies forced us to divest a bank we owned in Rockford, Illinois.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32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Voluntary spin-offs, though, make no sense for us: We would lose control value, capital-allocation flexibility and, in some cases, important tax advantages. The CEOs who brilliantly run our subsidiaries no</w:t>
      </w:r>
      <w:r>
        <w:rPr>
          <w:rFonts w:ascii="Times New Roman" w:hAnsi="Times New Roman" w:cs="Times New Roman"/>
          <w:sz w:val="20"/>
          <w:szCs w:val="20"/>
        </w:rPr>
        <w:t xml:space="preserve">w would have difficulty in being as effective if running a spun-off operation, given the operating and financial advantages derived from Berkshire’s ownership. Moreover, the parent and the spun-off operations, once separated, would likely incur moderately </w:t>
      </w:r>
      <w:r>
        <w:rPr>
          <w:rFonts w:ascii="Times New Roman" w:hAnsi="Times New Roman" w:cs="Times New Roman"/>
          <w:sz w:val="20"/>
          <w:szCs w:val="20"/>
        </w:rPr>
        <w:t>greater costs than existed when they were combined.</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6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Before I depart the subject of spin-offs, let’s look at a lesson to be learned from a conglomerate mentioned earlier: LTV. I’</w:t>
      </w:r>
      <w:r>
        <w:rPr>
          <w:rFonts w:ascii="Times New Roman" w:hAnsi="Times New Roman" w:cs="Times New Roman"/>
          <w:sz w:val="20"/>
          <w:szCs w:val="20"/>
        </w:rPr>
        <w:t xml:space="preserve">ll summarize here, but those who enjoy a good financial story should read the piece about Jimmy Ling that ran in the October 1982 issue of </w:t>
      </w:r>
      <w:r>
        <w:rPr>
          <w:rFonts w:ascii="Times New Roman" w:hAnsi="Times New Roman" w:cs="Times New Roman"/>
          <w:i/>
          <w:iCs/>
          <w:sz w:val="20"/>
          <w:szCs w:val="20"/>
        </w:rPr>
        <w:t>D Magazine</w:t>
      </w:r>
      <w:r>
        <w:rPr>
          <w:rFonts w:ascii="Times New Roman" w:hAnsi="Times New Roman" w:cs="Times New Roman"/>
          <w:sz w:val="20"/>
          <w:szCs w:val="20"/>
        </w:rPr>
        <w:t>. Look it up on the Internet.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Through a lot of corporate razzle-dazzle, Ling had taken LTV from sales of only $36 million in 1965 to number 14 on the Fortune 500 list just two years later. Ling, it should be noted, had never displayed any managerial skills. But Charlie told me long ago</w:t>
      </w:r>
      <w:r>
        <w:rPr>
          <w:rFonts w:ascii="Times New Roman" w:hAnsi="Times New Roman" w:cs="Times New Roman"/>
          <w:sz w:val="20"/>
          <w:szCs w:val="20"/>
        </w:rPr>
        <w:t xml:space="preserve"> to never underestimate the man who overestimates himself. And Ling had no peer in that respect.</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Ling’s strategy, which he labeled “project redeployment,” was to buy a large company and then partially spin off its various divisions. In LTV’s 1966 annual r</w:t>
      </w:r>
      <w:r>
        <w:rPr>
          <w:rFonts w:ascii="Times New Roman" w:hAnsi="Times New Roman" w:cs="Times New Roman"/>
          <w:sz w:val="20"/>
          <w:szCs w:val="20"/>
        </w:rPr>
        <w:t>eport, he explained the magic that would follow: “Most importantly, acquisitions must meet the test of the 2 plus 2 equals 5 (or 6) formula.” The press, the public and Wall Street loved this sort of talk.</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firstLine="720"/>
        <w:jc w:val="both"/>
        <w:rPr>
          <w:rFonts w:ascii="Times New Roman" w:hAnsi="Times New Roman" w:cs="Times New Roman"/>
          <w:sz w:val="24"/>
          <w:szCs w:val="24"/>
        </w:rPr>
      </w:pPr>
      <w:r>
        <w:rPr>
          <w:rFonts w:ascii="Times New Roman" w:hAnsi="Times New Roman" w:cs="Times New Roman"/>
          <w:sz w:val="20"/>
          <w:szCs w:val="20"/>
        </w:rPr>
        <w:t>In 1967 Ling bought Wilson &amp; Co., a huge meatpacke</w:t>
      </w:r>
      <w:r>
        <w:rPr>
          <w:rFonts w:ascii="Times New Roman" w:hAnsi="Times New Roman" w:cs="Times New Roman"/>
          <w:sz w:val="20"/>
          <w:szCs w:val="20"/>
        </w:rPr>
        <w:t>r that also had interests in golf equipment and pharmaceuticals. Soon after, he split the parent into three businesses, Wilson &amp; Co. (meatpacking), Wilson Sporting Goods and Wilson Pharmaceuticals, each of which was to be partially spun off. These companie</w:t>
      </w:r>
      <w:r>
        <w:rPr>
          <w:rFonts w:ascii="Times New Roman" w:hAnsi="Times New Roman" w:cs="Times New Roman"/>
          <w:sz w:val="20"/>
          <w:szCs w:val="20"/>
        </w:rPr>
        <w:t>s quickly became known on Wall Street as Meatball, Golf Ball and Goof Ball.</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firstLine="720"/>
        <w:jc w:val="both"/>
        <w:rPr>
          <w:rFonts w:ascii="Times New Roman" w:hAnsi="Times New Roman" w:cs="Times New Roman"/>
          <w:sz w:val="24"/>
          <w:szCs w:val="24"/>
        </w:rPr>
      </w:pPr>
      <w:r>
        <w:rPr>
          <w:rFonts w:ascii="Times New Roman" w:hAnsi="Times New Roman" w:cs="Times New Roman"/>
          <w:sz w:val="20"/>
          <w:szCs w:val="20"/>
        </w:rPr>
        <w:t>Soon thereafter, it became clear that, like Icarus, Ling had flown too close to the sun. By the early 1970s, Ling’s empire was melting, and he himself had been spun off from LTV .</w:t>
      </w:r>
      <w:r>
        <w:rPr>
          <w:rFonts w:ascii="Times New Roman" w:hAnsi="Times New Roman" w:cs="Times New Roman"/>
          <w:sz w:val="20"/>
          <w:szCs w:val="20"/>
        </w:rPr>
        <w:t xml:space="preserve"> . . that is, </w:t>
      </w:r>
      <w:r>
        <w:rPr>
          <w:rFonts w:ascii="Times New Roman" w:hAnsi="Times New Roman" w:cs="Times New Roman"/>
          <w:i/>
          <w:iCs/>
          <w:sz w:val="20"/>
          <w:szCs w:val="20"/>
        </w:rPr>
        <w:t>fired</w:t>
      </w:r>
      <w:r>
        <w:rPr>
          <w:rFonts w:ascii="Times New Roman" w:hAnsi="Times New Roman" w:cs="Times New Roman"/>
          <w:sz w:val="20"/>
          <w:szCs w:val="20"/>
        </w:rPr>
        <w:t>.</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720"/>
        <w:jc w:val="both"/>
        <w:rPr>
          <w:rFonts w:ascii="Times New Roman" w:hAnsi="Times New Roman" w:cs="Times New Roman"/>
          <w:sz w:val="24"/>
          <w:szCs w:val="24"/>
        </w:rPr>
      </w:pPr>
      <w:r>
        <w:rPr>
          <w:rFonts w:ascii="Times New Roman" w:hAnsi="Times New Roman" w:cs="Times New Roman"/>
          <w:sz w:val="20"/>
          <w:szCs w:val="20"/>
        </w:rPr>
        <w:t>Periodically, financial markets will become divorced from reality – you can count on that. More Jimmy Lings will appear. They will look and sound authoritativ</w:t>
      </w:r>
      <w:r>
        <w:rPr>
          <w:rFonts w:ascii="Times New Roman" w:hAnsi="Times New Roman" w:cs="Times New Roman"/>
          <w:sz w:val="20"/>
          <w:szCs w:val="20"/>
        </w:rPr>
        <w:t>e. The press will hang on their every word. Bankers will fight for their business. What they are saying will recently have “worked.” Their early followers will be feeling very clever. Our suggestion: Whatever their line, never forget that 2+2 will always e</w:t>
      </w:r>
      <w:r>
        <w:rPr>
          <w:rFonts w:ascii="Times New Roman" w:hAnsi="Times New Roman" w:cs="Times New Roman"/>
          <w:sz w:val="20"/>
          <w:szCs w:val="20"/>
        </w:rPr>
        <w:t>qual 4. And when someone tells you how old-fashioned that math is --- zip up your wallet, take a vacation and come back in a few years to buy stocks at cheap prices.</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60"/>
        <w:rPr>
          <w:rFonts w:ascii="Times New Roman" w:hAnsi="Times New Roman" w:cs="Times New Roman"/>
          <w:sz w:val="24"/>
          <w:szCs w:val="24"/>
        </w:rPr>
      </w:pPr>
      <w:r>
        <w:rPr>
          <w:rFonts w:ascii="Times New Roman" w:hAnsi="Times New Roman" w:cs="Times New Roman"/>
          <w:sz w:val="20"/>
          <w:szCs w:val="20"/>
        </w:rPr>
        <w:t>* * * * * * * * * * * *</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720"/>
        <w:jc w:val="both"/>
        <w:rPr>
          <w:rFonts w:ascii="Times New Roman" w:hAnsi="Times New Roman" w:cs="Times New Roman"/>
          <w:sz w:val="24"/>
          <w:szCs w:val="24"/>
        </w:rPr>
      </w:pPr>
      <w:r>
        <w:rPr>
          <w:rFonts w:ascii="Times New Roman" w:hAnsi="Times New Roman" w:cs="Times New Roman"/>
          <w:sz w:val="20"/>
          <w:szCs w:val="20"/>
        </w:rPr>
        <w:t>Today Berkshire possesses (1) an unmatched collection of busines</w:t>
      </w:r>
      <w:r>
        <w:rPr>
          <w:rFonts w:ascii="Times New Roman" w:hAnsi="Times New Roman" w:cs="Times New Roman"/>
          <w:sz w:val="20"/>
          <w:szCs w:val="20"/>
        </w:rPr>
        <w:t xml:space="preserve">ses, most of them now enjoying favorable economic prospects; (2) a cadre of outstanding managers who, with few exceptions, are unusually devoted to both the subsidiary they operate </w:t>
      </w:r>
      <w:r>
        <w:rPr>
          <w:rFonts w:ascii="Times New Roman" w:hAnsi="Times New Roman" w:cs="Times New Roman"/>
          <w:i/>
          <w:iCs/>
          <w:sz w:val="20"/>
          <w:szCs w:val="20"/>
        </w:rPr>
        <w:t>and</w:t>
      </w:r>
      <w:r>
        <w:rPr>
          <w:rFonts w:ascii="Times New Roman" w:hAnsi="Times New Roman" w:cs="Times New Roman"/>
          <w:sz w:val="20"/>
          <w:szCs w:val="20"/>
        </w:rPr>
        <w:t xml:space="preserve"> to Berkshire; (3) an extraordinary diversity of earnings, premier finan</w:t>
      </w:r>
      <w:r>
        <w:rPr>
          <w:rFonts w:ascii="Times New Roman" w:hAnsi="Times New Roman" w:cs="Times New Roman"/>
          <w:sz w:val="20"/>
          <w:szCs w:val="20"/>
        </w:rPr>
        <w:t xml:space="preserve">cial strength and oceans of liquidity that we will maintain under </w:t>
      </w:r>
      <w:r>
        <w:rPr>
          <w:rFonts w:ascii="Times New Roman" w:hAnsi="Times New Roman" w:cs="Times New Roman"/>
          <w:i/>
          <w:iCs/>
          <w:sz w:val="20"/>
          <w:szCs w:val="20"/>
        </w:rPr>
        <w:t>all</w:t>
      </w:r>
      <w:r>
        <w:rPr>
          <w:rFonts w:ascii="Times New Roman" w:hAnsi="Times New Roman" w:cs="Times New Roman"/>
          <w:sz w:val="20"/>
          <w:szCs w:val="20"/>
        </w:rPr>
        <w:t xml:space="preserve"> circumstances; (4) a first-choice ranking among many owners and managers who are contemplating sale of their businesses and (5) in a point related to the preceding item, a culture, disti</w:t>
      </w:r>
      <w:r>
        <w:rPr>
          <w:rFonts w:ascii="Times New Roman" w:hAnsi="Times New Roman" w:cs="Times New Roman"/>
          <w:sz w:val="20"/>
          <w:szCs w:val="20"/>
        </w:rPr>
        <w:t>nctive in many ways from that of most large companies, that we have worked 50 years to develop and that is now rock-solid.</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720"/>
        <w:rPr>
          <w:rFonts w:ascii="Times New Roman" w:hAnsi="Times New Roman" w:cs="Times New Roman"/>
          <w:sz w:val="24"/>
          <w:szCs w:val="24"/>
        </w:rPr>
      </w:pPr>
      <w:r>
        <w:rPr>
          <w:rFonts w:ascii="Times New Roman" w:hAnsi="Times New Roman" w:cs="Times New Roman"/>
          <w:sz w:val="20"/>
          <w:szCs w:val="20"/>
        </w:rPr>
        <w:t>These strengths provide us a wonderful foundation on which to build.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33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The Next 50 Years at Berkshire</w:t>
      </w:r>
    </w:p>
    <w:p w:rsidR="00000000" w:rsidRDefault="00A06965">
      <w:pPr>
        <w:pStyle w:val="DefaultParagraphFont"/>
        <w:widowControl w:val="0"/>
        <w:autoSpaceDE w:val="0"/>
        <w:autoSpaceDN w:val="0"/>
        <w:adjustRightInd w:val="0"/>
        <w:spacing w:after="0" w:line="23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firstLine="720"/>
        <w:jc w:val="both"/>
        <w:rPr>
          <w:rFonts w:ascii="Times New Roman" w:hAnsi="Times New Roman" w:cs="Times New Roman"/>
          <w:sz w:val="24"/>
          <w:szCs w:val="24"/>
        </w:rPr>
      </w:pPr>
      <w:r>
        <w:rPr>
          <w:rFonts w:ascii="Times New Roman" w:hAnsi="Times New Roman" w:cs="Times New Roman"/>
          <w:sz w:val="20"/>
          <w:szCs w:val="20"/>
        </w:rPr>
        <w:t>Now let’s take a look at the road ahead. Bear in mind that if I had attempted 50 years ago to gauge what was coming, certain of my predictions would have been far off the mark. With that warning, I will tell you what I would</w:t>
      </w:r>
      <w:r>
        <w:rPr>
          <w:rFonts w:ascii="Times New Roman" w:hAnsi="Times New Roman" w:cs="Times New Roman"/>
          <w:sz w:val="20"/>
          <w:szCs w:val="20"/>
        </w:rPr>
        <w:t xml:space="preserve"> say to my family today if they asked me about Berkshire’s future.</w:t>
      </w:r>
    </w:p>
    <w:p w:rsidR="00000000" w:rsidRDefault="00A0696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A06965">
      <w:pPr>
        <w:pStyle w:val="DefaultParagraphFont"/>
        <w:widowControl w:val="0"/>
        <w:numPr>
          <w:ilvl w:val="0"/>
          <w:numId w:val="6"/>
        </w:numPr>
        <w:overflowPunct w:val="0"/>
        <w:autoSpaceDE w:val="0"/>
        <w:autoSpaceDN w:val="0"/>
        <w:adjustRightInd w:val="0"/>
        <w:spacing w:after="0" w:line="235" w:lineRule="auto"/>
        <w:jc w:val="both"/>
        <w:rPr>
          <w:rFonts w:ascii="Arial" w:hAnsi="Arial" w:cs="Arial"/>
          <w:sz w:val="20"/>
          <w:szCs w:val="20"/>
          <w:vertAlign w:val="superscript"/>
        </w:rPr>
      </w:pPr>
      <w:r>
        <w:rPr>
          <w:rFonts w:ascii="Times New Roman" w:hAnsi="Times New Roman" w:cs="Times New Roman"/>
          <w:sz w:val="20"/>
          <w:szCs w:val="20"/>
        </w:rPr>
        <w:t>First and definitely foremost, I believe that the chance of permanent capital loss for patient Berkshire shareholders is as low as can be found among single-company investments. That’s b</w:t>
      </w:r>
      <w:r>
        <w:rPr>
          <w:rFonts w:ascii="Times New Roman" w:hAnsi="Times New Roman" w:cs="Times New Roman"/>
          <w:sz w:val="20"/>
          <w:szCs w:val="20"/>
        </w:rPr>
        <w:t xml:space="preserve">ecause our per-share </w:t>
      </w:r>
      <w:r>
        <w:rPr>
          <w:rFonts w:ascii="Times New Roman" w:hAnsi="Times New Roman" w:cs="Times New Roman"/>
          <w:i/>
          <w:iCs/>
          <w:sz w:val="20"/>
          <w:szCs w:val="20"/>
        </w:rPr>
        <w:t xml:space="preserve">intrinsic business value </w:t>
      </w:r>
      <w:r>
        <w:rPr>
          <w:rFonts w:ascii="Times New Roman" w:hAnsi="Times New Roman" w:cs="Times New Roman"/>
          <w:sz w:val="20"/>
          <w:szCs w:val="20"/>
        </w:rPr>
        <w:t>is almost certain to advance over time.</w:t>
      </w:r>
    </w:p>
    <w:p w:rsidR="00000000" w:rsidRDefault="00A06965">
      <w:pPr>
        <w:pStyle w:val="DefaultParagraphFont"/>
        <w:widowControl w:val="0"/>
        <w:autoSpaceDE w:val="0"/>
        <w:autoSpaceDN w:val="0"/>
        <w:adjustRightInd w:val="0"/>
        <w:spacing w:after="0" w:line="239"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720"/>
        <w:jc w:val="both"/>
        <w:rPr>
          <w:rFonts w:ascii="Arial" w:hAnsi="Arial" w:cs="Arial"/>
          <w:sz w:val="20"/>
          <w:szCs w:val="20"/>
          <w:vertAlign w:val="superscript"/>
        </w:rPr>
      </w:pPr>
      <w:r>
        <w:rPr>
          <w:rFonts w:ascii="Times New Roman" w:hAnsi="Times New Roman" w:cs="Times New Roman"/>
          <w:sz w:val="20"/>
          <w:szCs w:val="20"/>
        </w:rPr>
        <w:t>This cheery prediction comes, however, with an important caution: If an investor’s entry point into Berkshire stock is unusually high –</w:t>
      </w:r>
      <w:r>
        <w:rPr>
          <w:rFonts w:ascii="Times New Roman" w:hAnsi="Times New Roman" w:cs="Times New Roman"/>
          <w:sz w:val="20"/>
          <w:szCs w:val="20"/>
        </w:rPr>
        <w:t xml:space="preserve"> at a price, say, approaching double book value, which Berkshire shares have occasionally reached – it may well be many years before the investor can realize a profit. In other words, a sound investment can morph into a rash speculation if it is bought at </w:t>
      </w:r>
      <w:r>
        <w:rPr>
          <w:rFonts w:ascii="Times New Roman" w:hAnsi="Times New Roman" w:cs="Times New Roman"/>
          <w:sz w:val="20"/>
          <w:szCs w:val="20"/>
        </w:rPr>
        <w:t>an elevated price. Berkshire is not exempt from this truth.</w:t>
      </w:r>
    </w:p>
    <w:p w:rsidR="00000000" w:rsidRDefault="00A06965">
      <w:pPr>
        <w:pStyle w:val="DefaultParagraphFont"/>
        <w:widowControl w:val="0"/>
        <w:autoSpaceDE w:val="0"/>
        <w:autoSpaceDN w:val="0"/>
        <w:adjustRightInd w:val="0"/>
        <w:spacing w:after="0" w:line="240"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6" w:lineRule="auto"/>
        <w:ind w:left="720"/>
        <w:jc w:val="both"/>
        <w:rPr>
          <w:rFonts w:ascii="Arial" w:hAnsi="Arial" w:cs="Arial"/>
          <w:sz w:val="20"/>
          <w:szCs w:val="20"/>
          <w:vertAlign w:val="superscript"/>
        </w:rPr>
      </w:pPr>
      <w:r>
        <w:rPr>
          <w:rFonts w:ascii="Times New Roman" w:hAnsi="Times New Roman" w:cs="Times New Roman"/>
          <w:sz w:val="20"/>
          <w:szCs w:val="20"/>
        </w:rPr>
        <w:t>Purchases of Berkshire that investors make at a price modestly above the level at which the company would repurchase its shares, however, should produce gains within a reasonable period of time.</w:t>
      </w:r>
      <w:r>
        <w:rPr>
          <w:rFonts w:ascii="Times New Roman" w:hAnsi="Times New Roman" w:cs="Times New Roman"/>
          <w:sz w:val="20"/>
          <w:szCs w:val="20"/>
        </w:rPr>
        <w:t xml:space="preserve"> Berkshire’s directors will only authorize repurchases at a price they believe to be </w:t>
      </w:r>
      <w:r>
        <w:rPr>
          <w:rFonts w:ascii="Times New Roman" w:hAnsi="Times New Roman" w:cs="Times New Roman"/>
          <w:i/>
          <w:iCs/>
          <w:sz w:val="20"/>
          <w:szCs w:val="20"/>
        </w:rPr>
        <w:t>well below</w:t>
      </w:r>
      <w:r>
        <w:rPr>
          <w:rFonts w:ascii="Times New Roman" w:hAnsi="Times New Roman" w:cs="Times New Roman"/>
          <w:sz w:val="20"/>
          <w:szCs w:val="20"/>
        </w:rPr>
        <w:t xml:space="preserve"> intrinsic value. (In our view, that is an essential criterion for repurchases that is often ignored by other managements.)</w:t>
      </w:r>
    </w:p>
    <w:p w:rsidR="00000000" w:rsidRDefault="00A06965">
      <w:pPr>
        <w:pStyle w:val="DefaultParagraphFont"/>
        <w:widowControl w:val="0"/>
        <w:autoSpaceDE w:val="0"/>
        <w:autoSpaceDN w:val="0"/>
        <w:adjustRightInd w:val="0"/>
        <w:spacing w:after="0" w:line="241"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720"/>
        <w:jc w:val="both"/>
        <w:rPr>
          <w:rFonts w:ascii="Arial" w:hAnsi="Arial" w:cs="Arial"/>
          <w:sz w:val="20"/>
          <w:szCs w:val="20"/>
          <w:vertAlign w:val="superscript"/>
        </w:rPr>
      </w:pPr>
      <w:r>
        <w:rPr>
          <w:rFonts w:ascii="Times New Roman" w:hAnsi="Times New Roman" w:cs="Times New Roman"/>
          <w:sz w:val="20"/>
          <w:szCs w:val="20"/>
        </w:rPr>
        <w:t>For those investors who plan to sel</w:t>
      </w:r>
      <w:r>
        <w:rPr>
          <w:rFonts w:ascii="Times New Roman" w:hAnsi="Times New Roman" w:cs="Times New Roman"/>
          <w:sz w:val="20"/>
          <w:szCs w:val="20"/>
        </w:rPr>
        <w:t xml:space="preserve">l within a year or two after their purchase, I can offer </w:t>
      </w:r>
      <w:r>
        <w:rPr>
          <w:rFonts w:ascii="Times New Roman" w:hAnsi="Times New Roman" w:cs="Times New Roman"/>
          <w:i/>
          <w:iCs/>
          <w:sz w:val="20"/>
          <w:szCs w:val="20"/>
        </w:rPr>
        <w:t>no</w:t>
      </w:r>
      <w:r>
        <w:rPr>
          <w:rFonts w:ascii="Times New Roman" w:hAnsi="Times New Roman" w:cs="Times New Roman"/>
          <w:sz w:val="20"/>
          <w:szCs w:val="20"/>
        </w:rPr>
        <w:t xml:space="preserve"> assurances, whatever the entry price. Movements of the general stock market during such abbreviated periods will likely be far more important in determining your results than the concomitant chang</w:t>
      </w:r>
      <w:r>
        <w:rPr>
          <w:rFonts w:ascii="Times New Roman" w:hAnsi="Times New Roman" w:cs="Times New Roman"/>
          <w:sz w:val="20"/>
          <w:szCs w:val="20"/>
        </w:rPr>
        <w:t>e in the intrinsic value of your Berkshire shares. As Ben Graham said many decades ago: “In the short-term the market is a voting machine; in the long-run it acts as a weighing machine.” Occasionally, the voting decisions of investors – amateurs and profes</w:t>
      </w:r>
      <w:r>
        <w:rPr>
          <w:rFonts w:ascii="Times New Roman" w:hAnsi="Times New Roman" w:cs="Times New Roman"/>
          <w:sz w:val="20"/>
          <w:szCs w:val="20"/>
        </w:rPr>
        <w:t>sionals alike – border on lunacy.</w:t>
      </w:r>
    </w:p>
    <w:p w:rsidR="00000000" w:rsidRDefault="00A06965">
      <w:pPr>
        <w:pStyle w:val="DefaultParagraphFont"/>
        <w:widowControl w:val="0"/>
        <w:autoSpaceDE w:val="0"/>
        <w:autoSpaceDN w:val="0"/>
        <w:adjustRightInd w:val="0"/>
        <w:spacing w:after="0" w:line="243"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5" w:lineRule="auto"/>
        <w:ind w:left="720"/>
        <w:jc w:val="both"/>
        <w:rPr>
          <w:rFonts w:ascii="Arial" w:hAnsi="Arial" w:cs="Arial"/>
          <w:sz w:val="20"/>
          <w:szCs w:val="20"/>
          <w:vertAlign w:val="superscript"/>
        </w:rPr>
      </w:pPr>
      <w:r>
        <w:rPr>
          <w:rFonts w:ascii="Times New Roman" w:hAnsi="Times New Roman" w:cs="Times New Roman"/>
          <w:sz w:val="20"/>
          <w:szCs w:val="20"/>
        </w:rPr>
        <w:t xml:space="preserve">Since I know of no way to reliably predict market movements, I recommend that you purchase Berkshire shares </w:t>
      </w:r>
      <w:r>
        <w:rPr>
          <w:rFonts w:ascii="Times New Roman" w:hAnsi="Times New Roman" w:cs="Times New Roman"/>
          <w:i/>
          <w:iCs/>
          <w:sz w:val="20"/>
          <w:szCs w:val="20"/>
        </w:rPr>
        <w:t>only</w:t>
      </w:r>
      <w:r>
        <w:rPr>
          <w:rFonts w:ascii="Times New Roman" w:hAnsi="Times New Roman" w:cs="Times New Roman"/>
          <w:sz w:val="20"/>
          <w:szCs w:val="20"/>
        </w:rPr>
        <w:t xml:space="preserve"> if you expect to hold them for at least five years. Those who seek short-term profits should look elsewhere</w:t>
      </w:r>
      <w:r>
        <w:rPr>
          <w:rFonts w:ascii="Times New Roman" w:hAnsi="Times New Roman" w:cs="Times New Roman"/>
          <w:sz w:val="20"/>
          <w:szCs w:val="20"/>
        </w:rPr>
        <w:t>.</w:t>
      </w:r>
    </w:p>
    <w:p w:rsidR="00000000" w:rsidRDefault="00A06965">
      <w:pPr>
        <w:pStyle w:val="DefaultParagraphFont"/>
        <w:widowControl w:val="0"/>
        <w:autoSpaceDE w:val="0"/>
        <w:autoSpaceDN w:val="0"/>
        <w:adjustRightInd w:val="0"/>
        <w:spacing w:after="0" w:line="240"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720"/>
        <w:jc w:val="both"/>
        <w:rPr>
          <w:rFonts w:ascii="Arial" w:hAnsi="Arial" w:cs="Arial"/>
          <w:sz w:val="20"/>
          <w:szCs w:val="20"/>
          <w:vertAlign w:val="superscript"/>
        </w:rPr>
      </w:pPr>
      <w:r>
        <w:rPr>
          <w:rFonts w:ascii="Times New Roman" w:hAnsi="Times New Roman" w:cs="Times New Roman"/>
          <w:sz w:val="20"/>
          <w:szCs w:val="20"/>
        </w:rPr>
        <w:t>Another warning: Berkshire shares should not be purchased with borrowed money. There have been three times since 1965 when our stock has fallen about 50% from its high point. Someday, something close to this kind of drop will happen again, and no one k</w:t>
      </w:r>
      <w:r>
        <w:rPr>
          <w:rFonts w:ascii="Times New Roman" w:hAnsi="Times New Roman" w:cs="Times New Roman"/>
          <w:sz w:val="20"/>
          <w:szCs w:val="20"/>
        </w:rPr>
        <w:t xml:space="preserve">nows when. Berkshire will almost certainly be a satisfactory holding for </w:t>
      </w:r>
      <w:r>
        <w:rPr>
          <w:rFonts w:ascii="Times New Roman" w:hAnsi="Times New Roman" w:cs="Times New Roman"/>
          <w:i/>
          <w:iCs/>
          <w:sz w:val="20"/>
          <w:szCs w:val="20"/>
        </w:rPr>
        <w:t>investors</w:t>
      </w:r>
      <w:r>
        <w:rPr>
          <w:rFonts w:ascii="Times New Roman" w:hAnsi="Times New Roman" w:cs="Times New Roman"/>
          <w:sz w:val="20"/>
          <w:szCs w:val="20"/>
        </w:rPr>
        <w:t>. But it could well be a disastrous choice for speculators employing leverage.</w:t>
      </w:r>
    </w:p>
    <w:p w:rsidR="00000000" w:rsidRDefault="00A06965">
      <w:pPr>
        <w:pStyle w:val="DefaultParagraphFont"/>
        <w:widowControl w:val="0"/>
        <w:autoSpaceDE w:val="0"/>
        <w:autoSpaceDN w:val="0"/>
        <w:adjustRightInd w:val="0"/>
        <w:spacing w:after="0" w:line="240" w:lineRule="exact"/>
        <w:rPr>
          <w:rFonts w:ascii="Arial" w:hAnsi="Arial" w:cs="Arial"/>
          <w:sz w:val="20"/>
          <w:szCs w:val="20"/>
          <w:vertAlign w:val="superscript"/>
        </w:rPr>
      </w:pPr>
    </w:p>
    <w:p w:rsidR="00000000" w:rsidRDefault="00A06965">
      <w:pPr>
        <w:pStyle w:val="DefaultParagraphFont"/>
        <w:widowControl w:val="0"/>
        <w:numPr>
          <w:ilvl w:val="0"/>
          <w:numId w:val="6"/>
        </w:numPr>
        <w:overflowPunct w:val="0"/>
        <w:autoSpaceDE w:val="0"/>
        <w:autoSpaceDN w:val="0"/>
        <w:adjustRightInd w:val="0"/>
        <w:spacing w:after="0" w:line="237" w:lineRule="auto"/>
        <w:jc w:val="both"/>
        <w:rPr>
          <w:rFonts w:ascii="Arial" w:hAnsi="Arial" w:cs="Arial"/>
          <w:sz w:val="20"/>
          <w:szCs w:val="20"/>
          <w:vertAlign w:val="superscript"/>
        </w:rPr>
      </w:pPr>
      <w:r>
        <w:rPr>
          <w:rFonts w:ascii="Times New Roman" w:hAnsi="Times New Roman" w:cs="Times New Roman"/>
          <w:sz w:val="20"/>
          <w:szCs w:val="20"/>
        </w:rPr>
        <w:t>I believe the chance of any event causing Berkshire to experience financial problems is esse</w:t>
      </w:r>
      <w:r>
        <w:rPr>
          <w:rFonts w:ascii="Times New Roman" w:hAnsi="Times New Roman" w:cs="Times New Roman"/>
          <w:sz w:val="20"/>
          <w:szCs w:val="20"/>
        </w:rPr>
        <w:t>ntially zero. We will always be prepared for the thousand-year flood; in fact, if it occurs we will be selling life jackets to the unprepared. Berkshire played an important role as a “first responder” during the 2008-2009 meltdown, and we have since more t</w:t>
      </w:r>
      <w:r>
        <w:rPr>
          <w:rFonts w:ascii="Times New Roman" w:hAnsi="Times New Roman" w:cs="Times New Roman"/>
          <w:sz w:val="20"/>
          <w:szCs w:val="20"/>
        </w:rPr>
        <w:t>han doubled the strength of our balance sheet and our earnings potential. Your company is the Gibraltar of American business and will remain so.</w:t>
      </w:r>
    </w:p>
    <w:p w:rsidR="00000000" w:rsidRDefault="00A06965">
      <w:pPr>
        <w:pStyle w:val="DefaultParagraphFont"/>
        <w:widowControl w:val="0"/>
        <w:autoSpaceDE w:val="0"/>
        <w:autoSpaceDN w:val="0"/>
        <w:adjustRightInd w:val="0"/>
        <w:spacing w:after="0" w:line="239"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720"/>
        <w:jc w:val="both"/>
        <w:rPr>
          <w:rFonts w:ascii="Arial" w:hAnsi="Arial" w:cs="Arial"/>
          <w:sz w:val="20"/>
          <w:szCs w:val="20"/>
          <w:vertAlign w:val="superscript"/>
        </w:rPr>
      </w:pPr>
      <w:r>
        <w:rPr>
          <w:rFonts w:ascii="Times New Roman" w:hAnsi="Times New Roman" w:cs="Times New Roman"/>
          <w:sz w:val="20"/>
          <w:szCs w:val="20"/>
        </w:rPr>
        <w:t xml:space="preserve">Financial staying power requires a company to maintain three strengths under </w:t>
      </w:r>
      <w:r>
        <w:rPr>
          <w:rFonts w:ascii="Times New Roman" w:hAnsi="Times New Roman" w:cs="Times New Roman"/>
          <w:i/>
          <w:iCs/>
          <w:sz w:val="20"/>
          <w:szCs w:val="20"/>
        </w:rPr>
        <w:t>all</w:t>
      </w:r>
      <w:r>
        <w:rPr>
          <w:rFonts w:ascii="Times New Roman" w:hAnsi="Times New Roman" w:cs="Times New Roman"/>
          <w:sz w:val="20"/>
          <w:szCs w:val="20"/>
        </w:rPr>
        <w:t xml:space="preserve"> circumstances: (1) a large and reliable stream of earnings; (2) massive liquid assets and (3) </w:t>
      </w:r>
      <w:r>
        <w:rPr>
          <w:rFonts w:ascii="Times New Roman" w:hAnsi="Times New Roman" w:cs="Times New Roman"/>
          <w:i/>
          <w:iCs/>
          <w:sz w:val="20"/>
          <w:szCs w:val="20"/>
        </w:rPr>
        <w:t>no</w:t>
      </w:r>
      <w:r>
        <w:rPr>
          <w:rFonts w:ascii="Times New Roman" w:hAnsi="Times New Roman" w:cs="Times New Roman"/>
          <w:sz w:val="20"/>
          <w:szCs w:val="20"/>
        </w:rPr>
        <w:t xml:space="preserve"> significant near-term cash requirements. Ignoring that last necessity is what usually leads companies to experience unexpected problems: Too often, CEOs of pr</w:t>
      </w:r>
      <w:r>
        <w:rPr>
          <w:rFonts w:ascii="Times New Roman" w:hAnsi="Times New Roman" w:cs="Times New Roman"/>
          <w:sz w:val="20"/>
          <w:szCs w:val="20"/>
        </w:rPr>
        <w:t>ofitable companies feel they will always be able to refund maturing obligations, however large these are. In 2008-2009, many managements learned how perilous that mindset can be.</w:t>
      </w:r>
    </w:p>
    <w:p w:rsidR="00000000" w:rsidRDefault="00A06965">
      <w:pPr>
        <w:pStyle w:val="DefaultParagraphFont"/>
        <w:widowControl w:val="0"/>
        <w:autoSpaceDE w:val="0"/>
        <w:autoSpaceDN w:val="0"/>
        <w:adjustRightInd w:val="0"/>
        <w:spacing w:after="0" w:line="243"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720"/>
        <w:jc w:val="both"/>
        <w:rPr>
          <w:rFonts w:ascii="Arial" w:hAnsi="Arial" w:cs="Arial"/>
          <w:sz w:val="20"/>
          <w:szCs w:val="20"/>
          <w:vertAlign w:val="superscript"/>
        </w:rPr>
      </w:pPr>
      <w:r>
        <w:rPr>
          <w:rFonts w:ascii="Times New Roman" w:hAnsi="Times New Roman" w:cs="Times New Roman"/>
          <w:sz w:val="20"/>
          <w:szCs w:val="20"/>
        </w:rPr>
        <w:t xml:space="preserve">Here’s how we will </w:t>
      </w:r>
      <w:r>
        <w:rPr>
          <w:rFonts w:ascii="Times New Roman" w:hAnsi="Times New Roman" w:cs="Times New Roman"/>
          <w:i/>
          <w:iCs/>
          <w:sz w:val="20"/>
          <w:szCs w:val="20"/>
        </w:rPr>
        <w:t>always</w:t>
      </w:r>
      <w:r>
        <w:rPr>
          <w:rFonts w:ascii="Times New Roman" w:hAnsi="Times New Roman" w:cs="Times New Roman"/>
          <w:sz w:val="20"/>
          <w:szCs w:val="20"/>
        </w:rPr>
        <w:t xml:space="preserve"> stand on the three essentials. First, our earning</w:t>
      </w:r>
      <w:r>
        <w:rPr>
          <w:rFonts w:ascii="Times New Roman" w:hAnsi="Times New Roman" w:cs="Times New Roman"/>
          <w:sz w:val="20"/>
          <w:szCs w:val="20"/>
        </w:rPr>
        <w:t>s stream is huge and comes from a vast array of businesses. Our shareholders now own many large companies that have durable competitive advantages, and we will acquire more of those in the future. Our diversification assures Berkshire’s continued profitabi</w:t>
      </w:r>
      <w:r>
        <w:rPr>
          <w:rFonts w:ascii="Times New Roman" w:hAnsi="Times New Roman" w:cs="Times New Roman"/>
          <w:sz w:val="20"/>
          <w:szCs w:val="20"/>
        </w:rPr>
        <w:t>lity, even if a catastrophe causes insurance losses that far exceed any previously experienced.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3"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34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5" w:lineRule="auto"/>
        <w:ind w:left="360"/>
        <w:jc w:val="both"/>
        <w:rPr>
          <w:rFonts w:ascii="Times New Roman" w:hAnsi="Times New Roman" w:cs="Times New Roman"/>
          <w:sz w:val="24"/>
          <w:szCs w:val="24"/>
        </w:rPr>
      </w:pPr>
      <w:r>
        <w:rPr>
          <w:rFonts w:ascii="Times New Roman" w:hAnsi="Times New Roman" w:cs="Times New Roman"/>
          <w:sz w:val="20"/>
          <w:szCs w:val="20"/>
        </w:rPr>
        <w:t>Next up is cash. At a healthy business, cash is sometimes thought of as something to be minimized – as an unproductive a</w:t>
      </w:r>
      <w:r>
        <w:rPr>
          <w:rFonts w:ascii="Times New Roman" w:hAnsi="Times New Roman" w:cs="Times New Roman"/>
          <w:sz w:val="20"/>
          <w:szCs w:val="20"/>
        </w:rPr>
        <w:t>sset that acts as a drag on such markers as return on equity. Cash, though, is to a business as oxygen is to an individual: never thought about when it is present, the only thing in mind when it is absent.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left="360"/>
        <w:jc w:val="both"/>
        <w:rPr>
          <w:rFonts w:ascii="Times New Roman" w:hAnsi="Times New Roman" w:cs="Times New Roman"/>
          <w:sz w:val="24"/>
          <w:szCs w:val="24"/>
        </w:rPr>
      </w:pPr>
      <w:r>
        <w:rPr>
          <w:rFonts w:ascii="Times New Roman" w:hAnsi="Times New Roman" w:cs="Times New Roman"/>
          <w:sz w:val="20"/>
          <w:szCs w:val="20"/>
        </w:rPr>
        <w:t>American business provided a case study of that i</w:t>
      </w:r>
      <w:r>
        <w:rPr>
          <w:rFonts w:ascii="Times New Roman" w:hAnsi="Times New Roman" w:cs="Times New Roman"/>
          <w:sz w:val="20"/>
          <w:szCs w:val="20"/>
        </w:rPr>
        <w:t>n 2008. In September of that year, many long-prosperous companies suddenly wondered whether their checks would bounce in the days ahead. Overnight, their financial oxygen disappeared.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left="360"/>
        <w:jc w:val="both"/>
        <w:rPr>
          <w:rFonts w:ascii="Times New Roman" w:hAnsi="Times New Roman" w:cs="Times New Roman"/>
          <w:sz w:val="24"/>
          <w:szCs w:val="24"/>
        </w:rPr>
      </w:pPr>
      <w:r>
        <w:rPr>
          <w:rFonts w:ascii="Times New Roman" w:hAnsi="Times New Roman" w:cs="Times New Roman"/>
          <w:sz w:val="20"/>
          <w:szCs w:val="20"/>
        </w:rPr>
        <w:t>At Berkshire, our “breathing” went uninterrupted. Indeed, in a three-we</w:t>
      </w:r>
      <w:r>
        <w:rPr>
          <w:rFonts w:ascii="Times New Roman" w:hAnsi="Times New Roman" w:cs="Times New Roman"/>
          <w:sz w:val="20"/>
          <w:szCs w:val="20"/>
        </w:rPr>
        <w:t xml:space="preserve">ek period spanning late September and early October, we supplied $15.6 </w:t>
      </w:r>
      <w:r>
        <w:rPr>
          <w:rFonts w:ascii="Times New Roman" w:hAnsi="Times New Roman" w:cs="Times New Roman"/>
          <w:i/>
          <w:iCs/>
          <w:sz w:val="20"/>
          <w:szCs w:val="20"/>
        </w:rPr>
        <w:t>billion</w:t>
      </w:r>
      <w:r>
        <w:rPr>
          <w:rFonts w:ascii="Times New Roman" w:hAnsi="Times New Roman" w:cs="Times New Roman"/>
          <w:sz w:val="20"/>
          <w:szCs w:val="20"/>
        </w:rPr>
        <w:t xml:space="preserve"> of fresh money to American businesses.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left="360"/>
        <w:jc w:val="both"/>
        <w:rPr>
          <w:rFonts w:ascii="Times New Roman" w:hAnsi="Times New Roman" w:cs="Times New Roman"/>
          <w:sz w:val="24"/>
          <w:szCs w:val="24"/>
        </w:rPr>
      </w:pPr>
      <w:r>
        <w:rPr>
          <w:rFonts w:ascii="Times New Roman" w:hAnsi="Times New Roman" w:cs="Times New Roman"/>
          <w:sz w:val="20"/>
          <w:szCs w:val="20"/>
        </w:rPr>
        <w:t>We could do that because we always maintain at least $20 billion – and usually far more –</w:t>
      </w:r>
      <w:r>
        <w:rPr>
          <w:rFonts w:ascii="Times New Roman" w:hAnsi="Times New Roman" w:cs="Times New Roman"/>
          <w:sz w:val="20"/>
          <w:szCs w:val="20"/>
        </w:rPr>
        <w:t xml:space="preserve"> in cash equivalents. And by that we mean U.S. Treasury bills, not other substitutes for cash that are claimed to deliver liquidity and actually do so, </w:t>
      </w:r>
      <w:r>
        <w:rPr>
          <w:rFonts w:ascii="Times New Roman" w:hAnsi="Times New Roman" w:cs="Times New Roman"/>
          <w:i/>
          <w:iCs/>
          <w:sz w:val="20"/>
          <w:szCs w:val="20"/>
        </w:rPr>
        <w:t>except</w:t>
      </w:r>
      <w:r>
        <w:rPr>
          <w:rFonts w:ascii="Times New Roman" w:hAnsi="Times New Roman" w:cs="Times New Roman"/>
          <w:sz w:val="20"/>
          <w:szCs w:val="20"/>
        </w:rPr>
        <w:t xml:space="preserve"> when it is truly needed. When bills come due, only cash is legal tender. Don’t leave home without</w:t>
      </w:r>
      <w:r>
        <w:rPr>
          <w:rFonts w:ascii="Times New Roman" w:hAnsi="Times New Roman" w:cs="Times New Roman"/>
          <w:sz w:val="20"/>
          <w:szCs w:val="20"/>
        </w:rPr>
        <w:t xml:space="preserve"> it.</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left="360"/>
        <w:jc w:val="both"/>
        <w:rPr>
          <w:rFonts w:ascii="Times New Roman" w:hAnsi="Times New Roman" w:cs="Times New Roman"/>
          <w:sz w:val="24"/>
          <w:szCs w:val="24"/>
        </w:rPr>
      </w:pPr>
      <w:r>
        <w:rPr>
          <w:rFonts w:ascii="Times New Roman" w:hAnsi="Times New Roman" w:cs="Times New Roman"/>
          <w:sz w:val="20"/>
          <w:szCs w:val="20"/>
        </w:rPr>
        <w:t>Finally – getting to our third point – we will never engage in operating or investment practices that can result in sudden demands for large sums. That means we will not expose Berkshire to short-term debt maturities of size nor enter into derivative</w:t>
      </w:r>
      <w:r>
        <w:rPr>
          <w:rFonts w:ascii="Times New Roman" w:hAnsi="Times New Roman" w:cs="Times New Roman"/>
          <w:sz w:val="20"/>
          <w:szCs w:val="20"/>
        </w:rPr>
        <w:t xml:space="preserve"> contracts or other business arrangements that could require large collateral calls.</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left="360"/>
        <w:jc w:val="both"/>
        <w:rPr>
          <w:rFonts w:ascii="Times New Roman" w:hAnsi="Times New Roman" w:cs="Times New Roman"/>
          <w:sz w:val="24"/>
          <w:szCs w:val="24"/>
        </w:rPr>
      </w:pPr>
      <w:r>
        <w:rPr>
          <w:rFonts w:ascii="Times New Roman" w:hAnsi="Times New Roman" w:cs="Times New Roman"/>
          <w:sz w:val="20"/>
          <w:szCs w:val="20"/>
        </w:rPr>
        <w:t>Some years ago, we became a party to certain derivative contracts that we believed were significantly mispriced and that had only minor collateral requirements. These hav</w:t>
      </w:r>
      <w:r>
        <w:rPr>
          <w:rFonts w:ascii="Times New Roman" w:hAnsi="Times New Roman" w:cs="Times New Roman"/>
          <w:sz w:val="20"/>
          <w:szCs w:val="20"/>
        </w:rPr>
        <w:t>e proved to be quite profitable. Recently, however, newly-written derivative contracts have required full collateralization. And that ended our interest in derivatives, regardless of what profit potential they might offer. We have not, for some years, writ</w:t>
      </w:r>
      <w:r>
        <w:rPr>
          <w:rFonts w:ascii="Times New Roman" w:hAnsi="Times New Roman" w:cs="Times New Roman"/>
          <w:sz w:val="20"/>
          <w:szCs w:val="20"/>
        </w:rPr>
        <w:t>ten these contracts, except for a few needed for operational purposes at our utility businesses.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left="360"/>
        <w:jc w:val="both"/>
        <w:rPr>
          <w:rFonts w:ascii="Times New Roman" w:hAnsi="Times New Roman" w:cs="Times New Roman"/>
          <w:sz w:val="24"/>
          <w:szCs w:val="24"/>
        </w:rPr>
      </w:pPr>
      <w:r>
        <w:rPr>
          <w:rFonts w:ascii="Times New Roman" w:hAnsi="Times New Roman" w:cs="Times New Roman"/>
          <w:sz w:val="20"/>
          <w:szCs w:val="20"/>
        </w:rPr>
        <w:t xml:space="preserve">Moreover, we will not write insurance contracts that give policyholders the right to cash out at their option. Many </w:t>
      </w:r>
      <w:r>
        <w:rPr>
          <w:rFonts w:ascii="Times New Roman" w:hAnsi="Times New Roman" w:cs="Times New Roman"/>
          <w:i/>
          <w:iCs/>
          <w:sz w:val="20"/>
          <w:szCs w:val="20"/>
        </w:rPr>
        <w:t>life</w:t>
      </w:r>
      <w:r>
        <w:rPr>
          <w:rFonts w:ascii="Times New Roman" w:hAnsi="Times New Roman" w:cs="Times New Roman"/>
          <w:sz w:val="20"/>
          <w:szCs w:val="20"/>
        </w:rPr>
        <w:t xml:space="preserve"> insurance products contain redemption</w:t>
      </w:r>
      <w:r>
        <w:rPr>
          <w:rFonts w:ascii="Times New Roman" w:hAnsi="Times New Roman" w:cs="Times New Roman"/>
          <w:sz w:val="20"/>
          <w:szCs w:val="20"/>
        </w:rPr>
        <w:t xml:space="preserve"> features that make them susceptible to a “run” in times of extreme panic. Contracts of that sort, however, do not exist in the property-casualty world that we inhabit. If our premium volume should shrink, our float would decline – but only at a very slow </w:t>
      </w:r>
      <w:r>
        <w:rPr>
          <w:rFonts w:ascii="Times New Roman" w:hAnsi="Times New Roman" w:cs="Times New Roman"/>
          <w:sz w:val="20"/>
          <w:szCs w:val="20"/>
        </w:rPr>
        <w:t>pace.</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left="360"/>
        <w:jc w:val="both"/>
        <w:rPr>
          <w:rFonts w:ascii="Times New Roman" w:hAnsi="Times New Roman" w:cs="Times New Roman"/>
          <w:sz w:val="24"/>
          <w:szCs w:val="24"/>
        </w:rPr>
      </w:pPr>
      <w:r>
        <w:rPr>
          <w:rFonts w:ascii="Times New Roman" w:hAnsi="Times New Roman" w:cs="Times New Roman"/>
          <w:sz w:val="20"/>
          <w:szCs w:val="20"/>
        </w:rPr>
        <w:t>The reason for our conservatism, which may impress some people as extreme, is that it is entirely predictable that people will occasionally panic, but not at all predictable when this will happen. Though practically all days are relatively uneventfu</w:t>
      </w:r>
      <w:r>
        <w:rPr>
          <w:rFonts w:ascii="Times New Roman" w:hAnsi="Times New Roman" w:cs="Times New Roman"/>
          <w:sz w:val="20"/>
          <w:szCs w:val="20"/>
        </w:rPr>
        <w:t xml:space="preserve">l, tomorrow is </w:t>
      </w:r>
      <w:r>
        <w:rPr>
          <w:rFonts w:ascii="Times New Roman" w:hAnsi="Times New Roman" w:cs="Times New Roman"/>
          <w:i/>
          <w:iCs/>
          <w:sz w:val="20"/>
          <w:szCs w:val="20"/>
        </w:rPr>
        <w:t>always</w:t>
      </w:r>
      <w:r>
        <w:rPr>
          <w:rFonts w:ascii="Times New Roman" w:hAnsi="Times New Roman" w:cs="Times New Roman"/>
          <w:sz w:val="20"/>
          <w:szCs w:val="20"/>
        </w:rPr>
        <w:t xml:space="preserve"> uncertain. (I felt no special apprehension on December 6, 1941 or September 10, 2001.) And if you can’t predict what tomorrow will bring, you must be prepared for whatever it does.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left="360"/>
        <w:jc w:val="both"/>
        <w:rPr>
          <w:rFonts w:ascii="Times New Roman" w:hAnsi="Times New Roman" w:cs="Times New Roman"/>
          <w:sz w:val="24"/>
          <w:szCs w:val="24"/>
        </w:rPr>
      </w:pPr>
      <w:r>
        <w:rPr>
          <w:rFonts w:ascii="Times New Roman" w:hAnsi="Times New Roman" w:cs="Times New Roman"/>
          <w:sz w:val="20"/>
          <w:szCs w:val="20"/>
        </w:rPr>
        <w:t>A CEO who is 64 and plans to retire at 65 may have h</w:t>
      </w:r>
      <w:r>
        <w:rPr>
          <w:rFonts w:ascii="Times New Roman" w:hAnsi="Times New Roman" w:cs="Times New Roman"/>
          <w:sz w:val="20"/>
          <w:szCs w:val="20"/>
        </w:rPr>
        <w:t>is own special calculus in evaluating risks that have only a tiny chance of happening in a given year. He may, in fact, be “right” 99% of the time. Those odds, however, hold no appeal for us. We will never play financial Russian roulette with the funds you</w:t>
      </w:r>
      <w:r>
        <w:rPr>
          <w:rFonts w:ascii="Times New Roman" w:hAnsi="Times New Roman" w:cs="Times New Roman"/>
          <w:sz w:val="20"/>
          <w:szCs w:val="20"/>
        </w:rPr>
        <w:t xml:space="preserve">’ve entrusted to us, even if the metaphorical gun has 100 chambers and only one bullet. In our view, it is madness to risk losing what you </w:t>
      </w:r>
      <w:r>
        <w:rPr>
          <w:rFonts w:ascii="Times New Roman" w:hAnsi="Times New Roman" w:cs="Times New Roman"/>
          <w:i/>
          <w:iCs/>
          <w:sz w:val="20"/>
          <w:szCs w:val="20"/>
        </w:rPr>
        <w:t>need</w:t>
      </w:r>
      <w:r>
        <w:rPr>
          <w:rFonts w:ascii="Times New Roman" w:hAnsi="Times New Roman" w:cs="Times New Roman"/>
          <w:sz w:val="20"/>
          <w:szCs w:val="20"/>
        </w:rPr>
        <w:t xml:space="preserve"> in pursuing what you simply </w:t>
      </w:r>
      <w:r>
        <w:rPr>
          <w:rFonts w:ascii="Times New Roman" w:hAnsi="Times New Roman" w:cs="Times New Roman"/>
          <w:i/>
          <w:iCs/>
          <w:sz w:val="20"/>
          <w:szCs w:val="20"/>
        </w:rPr>
        <w:t>desire</w:t>
      </w:r>
      <w:r>
        <w:rPr>
          <w:rFonts w:ascii="Times New Roman" w:hAnsi="Times New Roman" w:cs="Times New Roman"/>
          <w:sz w:val="20"/>
          <w:szCs w:val="20"/>
        </w:rPr>
        <w: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numPr>
          <w:ilvl w:val="0"/>
          <w:numId w:val="7"/>
        </w:numPr>
        <w:tabs>
          <w:tab w:val="clear" w:pos="720"/>
          <w:tab w:val="num" w:pos="360"/>
        </w:tabs>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 xml:space="preserve">Despite our conservatism, I think we will be able </w:t>
      </w:r>
      <w:r>
        <w:rPr>
          <w:rFonts w:ascii="Times New Roman" w:hAnsi="Times New Roman" w:cs="Times New Roman"/>
          <w:i/>
          <w:iCs/>
          <w:sz w:val="20"/>
          <w:szCs w:val="20"/>
        </w:rPr>
        <w:t>every</w:t>
      </w:r>
      <w:r>
        <w:rPr>
          <w:rFonts w:ascii="Times New Roman" w:hAnsi="Times New Roman" w:cs="Times New Roman"/>
          <w:sz w:val="20"/>
          <w:szCs w:val="20"/>
        </w:rPr>
        <w:t xml:space="preserve"> year to build the</w:t>
      </w:r>
      <w:r>
        <w:rPr>
          <w:rFonts w:ascii="Times New Roman" w:hAnsi="Times New Roman" w:cs="Times New Roman"/>
          <w:sz w:val="20"/>
          <w:szCs w:val="20"/>
        </w:rPr>
        <w:t xml:space="preserve"> underlying per-share earning power of Berkshire. That does </w:t>
      </w:r>
      <w:r>
        <w:rPr>
          <w:rFonts w:ascii="Times New Roman" w:hAnsi="Times New Roman" w:cs="Times New Roman"/>
          <w:i/>
          <w:iCs/>
          <w:sz w:val="20"/>
          <w:szCs w:val="20"/>
        </w:rPr>
        <w:t>not</w:t>
      </w:r>
      <w:r>
        <w:rPr>
          <w:rFonts w:ascii="Times New Roman" w:hAnsi="Times New Roman" w:cs="Times New Roman"/>
          <w:sz w:val="20"/>
          <w:szCs w:val="20"/>
        </w:rPr>
        <w:t xml:space="preserve"> mean operating earnings will increase each year – far from it. The U.S. economy will ebb and flow – though mostly flow – and, when it weakens, so will our current earnings. But we will continu</w:t>
      </w:r>
      <w:r>
        <w:rPr>
          <w:rFonts w:ascii="Times New Roman" w:hAnsi="Times New Roman" w:cs="Times New Roman"/>
          <w:sz w:val="20"/>
          <w:szCs w:val="20"/>
        </w:rPr>
        <w:t xml:space="preserve">e to achieve organic gains, make bolt-on acquisitions and enter new fields. I believe, therefore, that Berkshire will annually add to its </w:t>
      </w:r>
      <w:r>
        <w:rPr>
          <w:rFonts w:ascii="Times New Roman" w:hAnsi="Times New Roman" w:cs="Times New Roman"/>
          <w:i/>
          <w:iCs/>
          <w:sz w:val="20"/>
          <w:szCs w:val="20"/>
        </w:rPr>
        <w:t>underlying</w:t>
      </w:r>
      <w:r>
        <w:rPr>
          <w:rFonts w:ascii="Times New Roman" w:hAnsi="Times New Roman" w:cs="Times New Roman"/>
          <w:sz w:val="20"/>
          <w:szCs w:val="20"/>
        </w:rPr>
        <w:t xml:space="preserve"> earning power.</w:t>
      </w:r>
    </w:p>
    <w:p w:rsidR="00000000" w:rsidRDefault="00A06965">
      <w:pPr>
        <w:pStyle w:val="DefaultParagraphFont"/>
        <w:widowControl w:val="0"/>
        <w:autoSpaceDE w:val="0"/>
        <w:autoSpaceDN w:val="0"/>
        <w:adjustRightInd w:val="0"/>
        <w:spacing w:after="0" w:line="213"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In some years the gains will be substantial, and at other times they will be minor. Markets, competition, and chance will determine when opportunities come our way. Through it all, Berkshire will keep moving forward, powered by the array of solid businesse</w:t>
      </w:r>
      <w:r>
        <w:rPr>
          <w:rFonts w:ascii="Times New Roman" w:hAnsi="Times New Roman" w:cs="Times New Roman"/>
          <w:sz w:val="20"/>
          <w:szCs w:val="20"/>
        </w:rPr>
        <w:t>s we now possess and the new companies we will purchase. In most years, moreover, our country’s economy will provide a strong tailwind for business. We are blessed to have the United States as our home field.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800" w:header="720" w:footer="720" w:gutter="0"/>
          <w:cols w:space="720" w:equalWidth="0">
            <w:col w:w="90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4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35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numPr>
          <w:ilvl w:val="0"/>
          <w:numId w:val="8"/>
        </w:numPr>
        <w:tabs>
          <w:tab w:val="clear" w:pos="720"/>
          <w:tab w:val="num" w:pos="360"/>
        </w:tabs>
        <w:overflowPunct w:val="0"/>
        <w:autoSpaceDE w:val="0"/>
        <w:autoSpaceDN w:val="0"/>
        <w:adjustRightInd w:val="0"/>
        <w:spacing w:after="0" w:line="236" w:lineRule="auto"/>
        <w:ind w:left="360"/>
        <w:jc w:val="both"/>
        <w:rPr>
          <w:rFonts w:ascii="Arial" w:hAnsi="Arial" w:cs="Arial"/>
          <w:sz w:val="20"/>
          <w:szCs w:val="20"/>
          <w:vertAlign w:val="superscript"/>
        </w:rPr>
      </w:pPr>
      <w:r>
        <w:rPr>
          <w:rFonts w:ascii="Times New Roman" w:hAnsi="Times New Roman" w:cs="Times New Roman"/>
          <w:sz w:val="20"/>
          <w:szCs w:val="20"/>
        </w:rPr>
        <w:t xml:space="preserve">The bad news is that Berkshire’s long-term gains – measured by percentages, not by dollars – cannot be dramatic and </w:t>
      </w:r>
      <w:r>
        <w:rPr>
          <w:rFonts w:ascii="Times New Roman" w:hAnsi="Times New Roman" w:cs="Times New Roman"/>
          <w:i/>
          <w:iCs/>
          <w:sz w:val="20"/>
          <w:szCs w:val="20"/>
        </w:rPr>
        <w:t>will not come close</w:t>
      </w:r>
      <w:r>
        <w:rPr>
          <w:rFonts w:ascii="Times New Roman" w:hAnsi="Times New Roman" w:cs="Times New Roman"/>
          <w:sz w:val="20"/>
          <w:szCs w:val="20"/>
        </w:rPr>
        <w:t xml:space="preserve"> to those achieved in the past 50 years. The numbers have become too big. I think Berkshire will outperform the average</w:t>
      </w:r>
      <w:r>
        <w:rPr>
          <w:rFonts w:ascii="Times New Roman" w:hAnsi="Times New Roman" w:cs="Times New Roman"/>
          <w:sz w:val="20"/>
          <w:szCs w:val="20"/>
        </w:rPr>
        <w:t xml:space="preserve"> American company, but our advantage, if any, won’t be great.</w:t>
      </w:r>
    </w:p>
    <w:p w:rsidR="00000000" w:rsidRDefault="00A06965">
      <w:pPr>
        <w:pStyle w:val="DefaultParagraphFont"/>
        <w:widowControl w:val="0"/>
        <w:autoSpaceDE w:val="0"/>
        <w:autoSpaceDN w:val="0"/>
        <w:adjustRightInd w:val="0"/>
        <w:spacing w:after="0" w:line="214"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 xml:space="preserve">Eventually – probably between ten and twenty years from now – Berkshire’s earnings and capital resources will reach a level that will not allow management to intelligently reinvest all of the </w:t>
      </w:r>
      <w:r>
        <w:rPr>
          <w:rFonts w:ascii="Times New Roman" w:hAnsi="Times New Roman" w:cs="Times New Roman"/>
          <w:sz w:val="20"/>
          <w:szCs w:val="20"/>
        </w:rPr>
        <w:t>company’s earnings. At that time our directors will need to determine whether the best method to distribute the excess earnings is through dividends, share repurchases or both. If Berkshire shares are selling below intrinsic business value, massive repurch</w:t>
      </w:r>
      <w:r>
        <w:rPr>
          <w:rFonts w:ascii="Times New Roman" w:hAnsi="Times New Roman" w:cs="Times New Roman"/>
          <w:sz w:val="20"/>
          <w:szCs w:val="20"/>
        </w:rPr>
        <w:t>ases will almost certainly be the best choice. You can be comfortable that your directors will make the right decision.</w:t>
      </w:r>
    </w:p>
    <w:p w:rsidR="00000000" w:rsidRDefault="00A06965">
      <w:pPr>
        <w:pStyle w:val="DefaultParagraphFont"/>
        <w:widowControl w:val="0"/>
        <w:autoSpaceDE w:val="0"/>
        <w:autoSpaceDN w:val="0"/>
        <w:adjustRightInd w:val="0"/>
        <w:spacing w:after="0" w:line="217" w:lineRule="exact"/>
        <w:rPr>
          <w:rFonts w:ascii="Arial" w:hAnsi="Arial" w:cs="Arial"/>
          <w:sz w:val="20"/>
          <w:szCs w:val="20"/>
          <w:vertAlign w:val="superscript"/>
        </w:rPr>
      </w:pPr>
    </w:p>
    <w:p w:rsidR="00000000" w:rsidRDefault="00A06965">
      <w:pPr>
        <w:pStyle w:val="DefaultParagraphFont"/>
        <w:widowControl w:val="0"/>
        <w:numPr>
          <w:ilvl w:val="0"/>
          <w:numId w:val="8"/>
        </w:numPr>
        <w:tabs>
          <w:tab w:val="clear" w:pos="720"/>
          <w:tab w:val="num" w:pos="360"/>
        </w:tabs>
        <w:overflowPunct w:val="0"/>
        <w:autoSpaceDE w:val="0"/>
        <w:autoSpaceDN w:val="0"/>
        <w:adjustRightInd w:val="0"/>
        <w:spacing w:after="0" w:line="235" w:lineRule="auto"/>
        <w:ind w:left="360"/>
        <w:jc w:val="both"/>
        <w:rPr>
          <w:rFonts w:ascii="Arial" w:hAnsi="Arial" w:cs="Arial"/>
          <w:sz w:val="20"/>
          <w:szCs w:val="20"/>
          <w:vertAlign w:val="superscript"/>
        </w:rPr>
      </w:pPr>
      <w:r>
        <w:rPr>
          <w:rFonts w:ascii="Times New Roman" w:hAnsi="Times New Roman" w:cs="Times New Roman"/>
          <w:sz w:val="20"/>
          <w:szCs w:val="20"/>
        </w:rPr>
        <w:t xml:space="preserve">No company will be more shareholder-minded than Berkshire. For more than 30 years, we have annually reaffirmed our Shareholder Principles (see page 117), always leading off with: “Although our form is corporate, our attitude is partnership.” This covenant </w:t>
      </w:r>
      <w:r>
        <w:rPr>
          <w:rFonts w:ascii="Times New Roman" w:hAnsi="Times New Roman" w:cs="Times New Roman"/>
          <w:sz w:val="20"/>
          <w:szCs w:val="20"/>
        </w:rPr>
        <w:t>with you is etched in stone.</w:t>
      </w:r>
    </w:p>
    <w:p w:rsidR="00000000" w:rsidRDefault="00A06965">
      <w:pPr>
        <w:pStyle w:val="DefaultParagraphFont"/>
        <w:widowControl w:val="0"/>
        <w:autoSpaceDE w:val="0"/>
        <w:autoSpaceDN w:val="0"/>
        <w:adjustRightInd w:val="0"/>
        <w:spacing w:after="0" w:line="213"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6" w:lineRule="auto"/>
        <w:ind w:left="360"/>
        <w:jc w:val="both"/>
        <w:rPr>
          <w:rFonts w:ascii="Arial" w:hAnsi="Arial" w:cs="Arial"/>
          <w:sz w:val="20"/>
          <w:szCs w:val="20"/>
          <w:vertAlign w:val="superscript"/>
        </w:rPr>
      </w:pPr>
      <w:r>
        <w:rPr>
          <w:rFonts w:ascii="Times New Roman" w:hAnsi="Times New Roman" w:cs="Times New Roman"/>
          <w:sz w:val="20"/>
          <w:szCs w:val="20"/>
        </w:rPr>
        <w:t>We have an extraordinarily knowledgeable and business-oriented board of directors ready to carry out that promise of partnership. None took the job for the money: In an arrangement almost non-existent elsewhere, our directors</w:t>
      </w:r>
      <w:r>
        <w:rPr>
          <w:rFonts w:ascii="Times New Roman" w:hAnsi="Times New Roman" w:cs="Times New Roman"/>
          <w:sz w:val="20"/>
          <w:szCs w:val="20"/>
        </w:rPr>
        <w:t xml:space="preserve"> are paid only token fees. They receive their rewards instead through ownership of Berkshire shares and the satisfaction that comes from being good stewards of an important enterprise.</w:t>
      </w:r>
    </w:p>
    <w:p w:rsidR="00000000" w:rsidRDefault="00A06965">
      <w:pPr>
        <w:pStyle w:val="DefaultParagraphFont"/>
        <w:widowControl w:val="0"/>
        <w:autoSpaceDE w:val="0"/>
        <w:autoSpaceDN w:val="0"/>
        <w:adjustRightInd w:val="0"/>
        <w:spacing w:after="0" w:line="215"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6" w:lineRule="auto"/>
        <w:ind w:left="360"/>
        <w:jc w:val="both"/>
        <w:rPr>
          <w:rFonts w:ascii="Arial" w:hAnsi="Arial" w:cs="Arial"/>
          <w:sz w:val="20"/>
          <w:szCs w:val="20"/>
          <w:vertAlign w:val="superscript"/>
        </w:rPr>
      </w:pPr>
      <w:r>
        <w:rPr>
          <w:rFonts w:ascii="Times New Roman" w:hAnsi="Times New Roman" w:cs="Times New Roman"/>
          <w:sz w:val="20"/>
          <w:szCs w:val="20"/>
        </w:rPr>
        <w:t>The shares that they and their families own – which, in many cases, a</w:t>
      </w:r>
      <w:r>
        <w:rPr>
          <w:rFonts w:ascii="Times New Roman" w:hAnsi="Times New Roman" w:cs="Times New Roman"/>
          <w:sz w:val="20"/>
          <w:szCs w:val="20"/>
        </w:rPr>
        <w:t xml:space="preserve">re worth very substantial sums – were </w:t>
      </w:r>
      <w:r>
        <w:rPr>
          <w:rFonts w:ascii="Times New Roman" w:hAnsi="Times New Roman" w:cs="Times New Roman"/>
          <w:i/>
          <w:iCs/>
          <w:sz w:val="20"/>
          <w:szCs w:val="20"/>
        </w:rPr>
        <w:t xml:space="preserve">purchased </w:t>
      </w:r>
      <w:r>
        <w:rPr>
          <w:rFonts w:ascii="Times New Roman" w:hAnsi="Times New Roman" w:cs="Times New Roman"/>
          <w:sz w:val="20"/>
          <w:szCs w:val="20"/>
        </w:rPr>
        <w:t>in the market (rather than their materializing through options or grants). In addition, unlike</w:t>
      </w:r>
      <w:r>
        <w:rPr>
          <w:rFonts w:ascii="Times New Roman" w:hAnsi="Times New Roman" w:cs="Times New Roman"/>
          <w:i/>
          <w:iCs/>
          <w:sz w:val="20"/>
          <w:szCs w:val="20"/>
        </w:rPr>
        <w:t xml:space="preserve"> </w:t>
      </w:r>
      <w:r>
        <w:rPr>
          <w:rFonts w:ascii="Times New Roman" w:hAnsi="Times New Roman" w:cs="Times New Roman"/>
          <w:sz w:val="20"/>
          <w:szCs w:val="20"/>
        </w:rPr>
        <w:t xml:space="preserve">almost all other sizable public companies, we carry no directors and officers liability insurance. At Berkshire, </w:t>
      </w:r>
      <w:r>
        <w:rPr>
          <w:rFonts w:ascii="Times New Roman" w:hAnsi="Times New Roman" w:cs="Times New Roman"/>
          <w:sz w:val="20"/>
          <w:szCs w:val="20"/>
        </w:rPr>
        <w:t>directors walk in your shoes.</w:t>
      </w:r>
    </w:p>
    <w:p w:rsidR="00000000" w:rsidRDefault="00A06965">
      <w:pPr>
        <w:pStyle w:val="DefaultParagraphFont"/>
        <w:widowControl w:val="0"/>
        <w:autoSpaceDE w:val="0"/>
        <w:autoSpaceDN w:val="0"/>
        <w:adjustRightInd w:val="0"/>
        <w:spacing w:after="0" w:line="215"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 xml:space="preserve">To further ensure continuation of our culture, I have suggested that my son, Howard, succeed me as a </w:t>
      </w:r>
      <w:r>
        <w:rPr>
          <w:rFonts w:ascii="Times New Roman" w:hAnsi="Times New Roman" w:cs="Times New Roman"/>
          <w:i/>
          <w:iCs/>
          <w:sz w:val="20"/>
          <w:szCs w:val="20"/>
        </w:rPr>
        <w:t xml:space="preserve">non-executive </w:t>
      </w:r>
      <w:r>
        <w:rPr>
          <w:rFonts w:ascii="Times New Roman" w:hAnsi="Times New Roman" w:cs="Times New Roman"/>
          <w:sz w:val="20"/>
          <w:szCs w:val="20"/>
        </w:rPr>
        <w:t>Chairman. My only reason for this wish is to make change easier if the wrong CEO should ever</w:t>
      </w:r>
      <w:r>
        <w:rPr>
          <w:rFonts w:ascii="Times New Roman" w:hAnsi="Times New Roman" w:cs="Times New Roman"/>
          <w:i/>
          <w:iCs/>
          <w:sz w:val="20"/>
          <w:szCs w:val="20"/>
        </w:rPr>
        <w:t xml:space="preserve"> </w:t>
      </w:r>
      <w:r>
        <w:rPr>
          <w:rFonts w:ascii="Times New Roman" w:hAnsi="Times New Roman" w:cs="Times New Roman"/>
          <w:sz w:val="20"/>
          <w:szCs w:val="20"/>
        </w:rPr>
        <w:t xml:space="preserve">be employed and </w:t>
      </w:r>
      <w:r>
        <w:rPr>
          <w:rFonts w:ascii="Times New Roman" w:hAnsi="Times New Roman" w:cs="Times New Roman"/>
          <w:sz w:val="20"/>
          <w:szCs w:val="20"/>
        </w:rPr>
        <w:t xml:space="preserve">there occurs a need for the Chairman to move forcefully. I can assure you that this problem has a </w:t>
      </w:r>
      <w:r>
        <w:rPr>
          <w:rFonts w:ascii="Times New Roman" w:hAnsi="Times New Roman" w:cs="Times New Roman"/>
          <w:i/>
          <w:iCs/>
          <w:sz w:val="20"/>
          <w:szCs w:val="20"/>
        </w:rPr>
        <w:t>very</w:t>
      </w:r>
      <w:r>
        <w:rPr>
          <w:rFonts w:ascii="Times New Roman" w:hAnsi="Times New Roman" w:cs="Times New Roman"/>
          <w:sz w:val="20"/>
          <w:szCs w:val="20"/>
        </w:rPr>
        <w:t xml:space="preserve"> low probability of arising at Berkshire – likely as low as at any public company. In my service on the boards of nineteen public companies, however, I’ve</w:t>
      </w:r>
      <w:r>
        <w:rPr>
          <w:rFonts w:ascii="Times New Roman" w:hAnsi="Times New Roman" w:cs="Times New Roman"/>
          <w:sz w:val="20"/>
          <w:szCs w:val="20"/>
        </w:rPr>
        <w:t xml:space="preserve"> seen how hard it is to replace a mediocre CEO if that person is also Chairman. (The deed usually gets done, but almost always very late.)</w:t>
      </w:r>
    </w:p>
    <w:p w:rsidR="00000000" w:rsidRDefault="00A06965">
      <w:pPr>
        <w:pStyle w:val="DefaultParagraphFont"/>
        <w:widowControl w:val="0"/>
        <w:autoSpaceDE w:val="0"/>
        <w:autoSpaceDN w:val="0"/>
        <w:adjustRightInd w:val="0"/>
        <w:spacing w:after="0" w:line="217"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6" w:lineRule="auto"/>
        <w:ind w:left="360"/>
        <w:jc w:val="both"/>
        <w:rPr>
          <w:rFonts w:ascii="Arial" w:hAnsi="Arial" w:cs="Arial"/>
          <w:sz w:val="20"/>
          <w:szCs w:val="20"/>
          <w:vertAlign w:val="superscript"/>
        </w:rPr>
      </w:pPr>
      <w:r>
        <w:rPr>
          <w:rFonts w:ascii="Times New Roman" w:hAnsi="Times New Roman" w:cs="Times New Roman"/>
          <w:sz w:val="20"/>
          <w:szCs w:val="20"/>
        </w:rPr>
        <w:t>If elected, Howard will receive no pay and will spend no time at the job other than that required of all directors.</w:t>
      </w:r>
      <w:r>
        <w:rPr>
          <w:rFonts w:ascii="Times New Roman" w:hAnsi="Times New Roman" w:cs="Times New Roman"/>
          <w:sz w:val="20"/>
          <w:szCs w:val="20"/>
        </w:rPr>
        <w:t xml:space="preserve"> He will simply be a safety valve to whom any director can go if he or she has concerns about the CEO and wishes to learn if other directors are expressing doubts as well. Should multiple directors be apprehensive, Howard’s chairmanship will allow the matt</w:t>
      </w:r>
      <w:r>
        <w:rPr>
          <w:rFonts w:ascii="Times New Roman" w:hAnsi="Times New Roman" w:cs="Times New Roman"/>
          <w:sz w:val="20"/>
          <w:szCs w:val="20"/>
        </w:rPr>
        <w:t>er to be promptly and properly addressed.</w:t>
      </w:r>
    </w:p>
    <w:p w:rsidR="00000000" w:rsidRDefault="00A06965">
      <w:pPr>
        <w:pStyle w:val="DefaultParagraphFont"/>
        <w:widowControl w:val="0"/>
        <w:autoSpaceDE w:val="0"/>
        <w:autoSpaceDN w:val="0"/>
        <w:adjustRightInd w:val="0"/>
        <w:spacing w:after="0" w:line="215" w:lineRule="exact"/>
        <w:rPr>
          <w:rFonts w:ascii="Arial" w:hAnsi="Arial" w:cs="Arial"/>
          <w:sz w:val="20"/>
          <w:szCs w:val="20"/>
          <w:vertAlign w:val="superscript"/>
        </w:rPr>
      </w:pPr>
    </w:p>
    <w:p w:rsidR="00000000" w:rsidRDefault="00A06965">
      <w:pPr>
        <w:pStyle w:val="DefaultParagraphFont"/>
        <w:widowControl w:val="0"/>
        <w:numPr>
          <w:ilvl w:val="0"/>
          <w:numId w:val="8"/>
        </w:numPr>
        <w:tabs>
          <w:tab w:val="clear" w:pos="720"/>
          <w:tab w:val="num" w:pos="360"/>
        </w:tabs>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Choosing the right CEO is all-important and is a subject that commands much time at Berkshire board meetings. Managing Berkshire is primarily a job of capital allocation, coupled with the selection and retention</w:t>
      </w:r>
      <w:r>
        <w:rPr>
          <w:rFonts w:ascii="Times New Roman" w:hAnsi="Times New Roman" w:cs="Times New Roman"/>
          <w:sz w:val="20"/>
          <w:szCs w:val="20"/>
        </w:rPr>
        <w:t xml:space="preserve"> of outstanding managers to captain our operating subsidiaries. Obviously, the job also requires the replacement of a subsidiary’s CEO when that is called for. These duties require Berkshire’s CEO to be a rational, calm and decisive individual who has a br</w:t>
      </w:r>
      <w:r>
        <w:rPr>
          <w:rFonts w:ascii="Times New Roman" w:hAnsi="Times New Roman" w:cs="Times New Roman"/>
          <w:sz w:val="20"/>
          <w:szCs w:val="20"/>
        </w:rPr>
        <w:t>oad understanding of business and good insights into human behavior. It’s important as well that he knows his limits. (As Tom Watson, Sr. of IBM said, “I’m no genius, but I’m smart in spots and I stay around those spots.”)</w:t>
      </w:r>
    </w:p>
    <w:p w:rsidR="00000000" w:rsidRDefault="00A06965">
      <w:pPr>
        <w:pStyle w:val="DefaultParagraphFont"/>
        <w:widowControl w:val="0"/>
        <w:autoSpaceDE w:val="0"/>
        <w:autoSpaceDN w:val="0"/>
        <w:adjustRightInd w:val="0"/>
        <w:spacing w:after="0" w:line="219"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8" w:lineRule="auto"/>
        <w:ind w:left="360"/>
        <w:jc w:val="both"/>
        <w:rPr>
          <w:rFonts w:ascii="Arial" w:hAnsi="Arial" w:cs="Arial"/>
          <w:sz w:val="20"/>
          <w:szCs w:val="20"/>
          <w:vertAlign w:val="superscript"/>
        </w:rPr>
      </w:pPr>
      <w:r>
        <w:rPr>
          <w:rFonts w:ascii="Times New Roman" w:hAnsi="Times New Roman" w:cs="Times New Roman"/>
          <w:sz w:val="20"/>
          <w:szCs w:val="20"/>
        </w:rPr>
        <w:t>Character is crucial: A Berkshire CEO must be “all in” for the company, not for himself. (I’m using male pronouns to avoid awkward wording, but gender should never decide who becomes CEO.) He can’t help but earn money far in excess of any possible need for</w:t>
      </w:r>
      <w:r>
        <w:rPr>
          <w:rFonts w:ascii="Times New Roman" w:hAnsi="Times New Roman" w:cs="Times New Roman"/>
          <w:sz w:val="20"/>
          <w:szCs w:val="20"/>
        </w:rPr>
        <w:t xml:space="preserve"> it. But it’s important that neither ego nor avarice motivate him to reach for pay matching his most lavishly-compensated peers, even if his achievements far exceed theirs. A CEO’s behavior has a huge impact on managers down the line: If it’s clear to them</w:t>
      </w:r>
      <w:r>
        <w:rPr>
          <w:rFonts w:ascii="Times New Roman" w:hAnsi="Times New Roman" w:cs="Times New Roman"/>
          <w:sz w:val="20"/>
          <w:szCs w:val="20"/>
        </w:rPr>
        <w:t xml:space="preserve"> that shareholders’ interests are paramount to him, they will, with few exceptions, also embrace that way of thinking.</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800" w:header="720" w:footer="720" w:gutter="0"/>
          <w:cols w:space="720" w:equalWidth="0">
            <w:col w:w="90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4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36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6" w:lineRule="auto"/>
        <w:ind w:left="360"/>
        <w:jc w:val="both"/>
        <w:rPr>
          <w:rFonts w:ascii="Times New Roman" w:hAnsi="Times New Roman" w:cs="Times New Roman"/>
          <w:sz w:val="24"/>
          <w:szCs w:val="24"/>
        </w:rPr>
      </w:pPr>
      <w:r>
        <w:rPr>
          <w:rFonts w:ascii="Times New Roman" w:hAnsi="Times New Roman" w:cs="Times New Roman"/>
          <w:sz w:val="20"/>
          <w:szCs w:val="20"/>
        </w:rPr>
        <w:t xml:space="preserve">My successor will need one other particular strength: the ability to fight off the ABCs </w:t>
      </w:r>
      <w:r>
        <w:rPr>
          <w:rFonts w:ascii="Times New Roman" w:hAnsi="Times New Roman" w:cs="Times New Roman"/>
          <w:sz w:val="20"/>
          <w:szCs w:val="20"/>
        </w:rPr>
        <w:t xml:space="preserve">of business decay, which are arrogance, bureaucracy and complacency. When these corporate cancers metastasize, even the strongest of companies can falter. The examples available to prove the point are legion, but to maintain friendships I will exhume only </w:t>
      </w:r>
      <w:r>
        <w:rPr>
          <w:rFonts w:ascii="Times New Roman" w:hAnsi="Times New Roman" w:cs="Times New Roman"/>
          <w:sz w:val="20"/>
          <w:szCs w:val="20"/>
        </w:rPr>
        <w:t>cases from the distant past.</w:t>
      </w:r>
    </w:p>
    <w:p w:rsidR="00000000" w:rsidRDefault="00A0696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left="360"/>
        <w:jc w:val="both"/>
        <w:rPr>
          <w:rFonts w:ascii="Times New Roman" w:hAnsi="Times New Roman" w:cs="Times New Roman"/>
          <w:sz w:val="24"/>
          <w:szCs w:val="24"/>
        </w:rPr>
      </w:pPr>
      <w:r>
        <w:rPr>
          <w:rFonts w:ascii="Times New Roman" w:hAnsi="Times New Roman" w:cs="Times New Roman"/>
          <w:sz w:val="20"/>
          <w:szCs w:val="20"/>
        </w:rPr>
        <w:t xml:space="preserve">In their glory days, General Motors, IBM, Sears Roebuck and U.S. Steel sat atop huge industries. Their strengths seemed unassailable. But the destructive behavior I deplored above eventually led each of them to fall to depths </w:t>
      </w:r>
      <w:r>
        <w:rPr>
          <w:rFonts w:ascii="Times New Roman" w:hAnsi="Times New Roman" w:cs="Times New Roman"/>
          <w:sz w:val="20"/>
          <w:szCs w:val="20"/>
        </w:rPr>
        <w:t>that their CEOs and directors had not long before thought impossible. Their one-time financial strength and their historical earning power proved no defense.</w:t>
      </w:r>
    </w:p>
    <w:p w:rsidR="00000000" w:rsidRDefault="00A0696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left="360"/>
        <w:jc w:val="both"/>
        <w:rPr>
          <w:rFonts w:ascii="Times New Roman" w:hAnsi="Times New Roman" w:cs="Times New Roman"/>
          <w:sz w:val="24"/>
          <w:szCs w:val="24"/>
        </w:rPr>
      </w:pPr>
      <w:r>
        <w:rPr>
          <w:rFonts w:ascii="Times New Roman" w:hAnsi="Times New Roman" w:cs="Times New Roman"/>
          <w:sz w:val="20"/>
          <w:szCs w:val="20"/>
        </w:rPr>
        <w:t xml:space="preserve">Only a vigilant and determined CEO can ward off such debilitating forces as Berkshire grows ever </w:t>
      </w:r>
      <w:r>
        <w:rPr>
          <w:rFonts w:ascii="Times New Roman" w:hAnsi="Times New Roman" w:cs="Times New Roman"/>
          <w:sz w:val="20"/>
          <w:szCs w:val="20"/>
        </w:rPr>
        <w:t>larger. He must never forget Charlie’s plea: “Tell me where I’m going to die, so I’ll never go there.” If our non-economic values were to be lost, much of Berkshire’s economic value would collapse as well. “Tone at the top” will be key to maintaining Berks</w:t>
      </w:r>
      <w:r>
        <w:rPr>
          <w:rFonts w:ascii="Times New Roman" w:hAnsi="Times New Roman" w:cs="Times New Roman"/>
          <w:sz w:val="20"/>
          <w:szCs w:val="20"/>
        </w:rPr>
        <w:t>hire’s special culture.</w:t>
      </w:r>
    </w:p>
    <w:p w:rsidR="00000000" w:rsidRDefault="00A0696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left="360"/>
        <w:jc w:val="both"/>
        <w:rPr>
          <w:rFonts w:ascii="Times New Roman" w:hAnsi="Times New Roman" w:cs="Times New Roman"/>
          <w:sz w:val="24"/>
          <w:szCs w:val="24"/>
        </w:rPr>
      </w:pPr>
      <w:r>
        <w:rPr>
          <w:rFonts w:ascii="Times New Roman" w:hAnsi="Times New Roman" w:cs="Times New Roman"/>
          <w:sz w:val="20"/>
          <w:szCs w:val="20"/>
        </w:rPr>
        <w:t xml:space="preserve">Fortunately, the structure our future CEOs will need to be successful is firmly in place. The extraordinary delegation of authority now existing at Berkshire is the ideal antidote to bureaucracy. In an operating sense, Berkshire is not a giant company but </w:t>
      </w:r>
      <w:r>
        <w:rPr>
          <w:rFonts w:ascii="Times New Roman" w:hAnsi="Times New Roman" w:cs="Times New Roman"/>
          <w:sz w:val="20"/>
          <w:szCs w:val="20"/>
        </w:rPr>
        <w:t>rather a collection of large companies. At headquarters, we have never had a committee nor have we ever required our subsidiaries to submit budgets (though many use them as an important internal tool). We don’t have a legal office nor departments that othe</w:t>
      </w:r>
      <w:r>
        <w:rPr>
          <w:rFonts w:ascii="Times New Roman" w:hAnsi="Times New Roman" w:cs="Times New Roman"/>
          <w:sz w:val="20"/>
          <w:szCs w:val="20"/>
        </w:rPr>
        <w:t>r companies take for granted: human relations, public relations, investor relations, strategy, acquisitions, you name it.</w:t>
      </w:r>
    </w:p>
    <w:p w:rsidR="00000000" w:rsidRDefault="00A0696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left="360"/>
        <w:jc w:val="both"/>
        <w:rPr>
          <w:rFonts w:ascii="Times New Roman" w:hAnsi="Times New Roman" w:cs="Times New Roman"/>
          <w:sz w:val="24"/>
          <w:szCs w:val="24"/>
        </w:rPr>
      </w:pPr>
      <w:r>
        <w:rPr>
          <w:rFonts w:ascii="Times New Roman" w:hAnsi="Times New Roman" w:cs="Times New Roman"/>
          <w:sz w:val="20"/>
          <w:szCs w:val="20"/>
        </w:rPr>
        <w:t>We do, of course, have an active audit function; no sense being a damned fool. To an unusual degree, however, we trust our managers t</w:t>
      </w:r>
      <w:r>
        <w:rPr>
          <w:rFonts w:ascii="Times New Roman" w:hAnsi="Times New Roman" w:cs="Times New Roman"/>
          <w:sz w:val="20"/>
          <w:szCs w:val="20"/>
        </w:rPr>
        <w:t>o run their operations with a keen sense of stewardship. After all, they were doing exactly that before we acquired their businesses. With only occasional exceptions, furthermore, our trust produces better results than would be achieved by streams of direc</w:t>
      </w:r>
      <w:r>
        <w:rPr>
          <w:rFonts w:ascii="Times New Roman" w:hAnsi="Times New Roman" w:cs="Times New Roman"/>
          <w:sz w:val="20"/>
          <w:szCs w:val="20"/>
        </w:rPr>
        <w:t>tives, endless reviews and layers of bureaucracy. Charlie and I try to interact with our managers in a manner consistent with what we would wish for, if the positions were reversed.</w:t>
      </w:r>
    </w:p>
    <w:p w:rsidR="00000000" w:rsidRDefault="00A0696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A06965">
      <w:pPr>
        <w:pStyle w:val="DefaultParagraphFont"/>
        <w:widowControl w:val="0"/>
        <w:numPr>
          <w:ilvl w:val="0"/>
          <w:numId w:val="9"/>
        </w:numPr>
        <w:tabs>
          <w:tab w:val="clear" w:pos="720"/>
          <w:tab w:val="num" w:pos="360"/>
        </w:tabs>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Our directors believe that our future CEOs should come from internal ca</w:t>
      </w:r>
      <w:r>
        <w:rPr>
          <w:rFonts w:ascii="Times New Roman" w:hAnsi="Times New Roman" w:cs="Times New Roman"/>
          <w:sz w:val="20"/>
          <w:szCs w:val="20"/>
        </w:rPr>
        <w:t>ndidates whom the Berkshire board has grown to know well. Our directors also believe that an incoming CEO should be relatively young, so that he or she can have a long run in the job. Berkshire will operate best if its CEOs average well over ten years at t</w:t>
      </w:r>
      <w:r>
        <w:rPr>
          <w:rFonts w:ascii="Times New Roman" w:hAnsi="Times New Roman" w:cs="Times New Roman"/>
          <w:sz w:val="20"/>
          <w:szCs w:val="20"/>
        </w:rPr>
        <w:t>he helm. (It’s hard to teach a new dog old tricks.) And they are not likely to retire at 65 either (or have you noticed?).</w:t>
      </w:r>
    </w:p>
    <w:p w:rsidR="00000000" w:rsidRDefault="00A06965">
      <w:pPr>
        <w:pStyle w:val="DefaultParagraphFont"/>
        <w:widowControl w:val="0"/>
        <w:autoSpaceDE w:val="0"/>
        <w:autoSpaceDN w:val="0"/>
        <w:adjustRightInd w:val="0"/>
        <w:spacing w:after="0" w:line="238"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5" w:lineRule="auto"/>
        <w:ind w:left="360"/>
        <w:jc w:val="both"/>
        <w:rPr>
          <w:rFonts w:ascii="Arial" w:hAnsi="Arial" w:cs="Arial"/>
          <w:sz w:val="20"/>
          <w:szCs w:val="20"/>
          <w:vertAlign w:val="superscript"/>
        </w:rPr>
      </w:pPr>
      <w:r>
        <w:rPr>
          <w:rFonts w:ascii="Times New Roman" w:hAnsi="Times New Roman" w:cs="Times New Roman"/>
          <w:sz w:val="20"/>
          <w:szCs w:val="20"/>
        </w:rPr>
        <w:t>In both Berkshire’s business acquisitions and large, tailored investment moves, it is important that our counterparties be both fam</w:t>
      </w:r>
      <w:r>
        <w:rPr>
          <w:rFonts w:ascii="Times New Roman" w:hAnsi="Times New Roman" w:cs="Times New Roman"/>
          <w:sz w:val="20"/>
          <w:szCs w:val="20"/>
        </w:rPr>
        <w:t>iliar with and feel comfortable with Berkshire’s CEO. Developing confidence of that sort and cementing relationships takes time. The payoff, though, can be huge.</w:t>
      </w:r>
    </w:p>
    <w:p w:rsidR="00000000" w:rsidRDefault="00A06965">
      <w:pPr>
        <w:pStyle w:val="DefaultParagraphFont"/>
        <w:widowControl w:val="0"/>
        <w:autoSpaceDE w:val="0"/>
        <w:autoSpaceDN w:val="0"/>
        <w:adjustRightInd w:val="0"/>
        <w:spacing w:after="0" w:line="239"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5" w:lineRule="auto"/>
        <w:ind w:left="360"/>
        <w:jc w:val="both"/>
        <w:rPr>
          <w:rFonts w:ascii="Arial" w:hAnsi="Arial" w:cs="Arial"/>
          <w:sz w:val="20"/>
          <w:szCs w:val="20"/>
          <w:vertAlign w:val="superscript"/>
        </w:rPr>
      </w:pPr>
      <w:r>
        <w:rPr>
          <w:rFonts w:ascii="Times New Roman" w:hAnsi="Times New Roman" w:cs="Times New Roman"/>
          <w:sz w:val="20"/>
          <w:szCs w:val="20"/>
        </w:rPr>
        <w:t>Both the board and I believe we now have the right person to succeed me as CEO – a successor</w:t>
      </w:r>
      <w:r>
        <w:rPr>
          <w:rFonts w:ascii="Times New Roman" w:hAnsi="Times New Roman" w:cs="Times New Roman"/>
          <w:sz w:val="20"/>
          <w:szCs w:val="20"/>
        </w:rPr>
        <w:t xml:space="preserve"> ready to assume the job the day after I die or step down. In certain important respects, this person will do a better job than I am doing.</w:t>
      </w:r>
    </w:p>
    <w:p w:rsidR="00000000" w:rsidRDefault="00A06965">
      <w:pPr>
        <w:pStyle w:val="DefaultParagraphFont"/>
        <w:widowControl w:val="0"/>
        <w:autoSpaceDE w:val="0"/>
        <w:autoSpaceDN w:val="0"/>
        <w:adjustRightInd w:val="0"/>
        <w:spacing w:after="0" w:line="239" w:lineRule="exact"/>
        <w:rPr>
          <w:rFonts w:ascii="Arial" w:hAnsi="Arial" w:cs="Arial"/>
          <w:sz w:val="20"/>
          <w:szCs w:val="20"/>
          <w:vertAlign w:val="superscript"/>
        </w:rPr>
      </w:pPr>
    </w:p>
    <w:p w:rsidR="00000000" w:rsidRDefault="00A06965">
      <w:pPr>
        <w:pStyle w:val="DefaultParagraphFont"/>
        <w:widowControl w:val="0"/>
        <w:numPr>
          <w:ilvl w:val="0"/>
          <w:numId w:val="9"/>
        </w:numPr>
        <w:tabs>
          <w:tab w:val="clear" w:pos="720"/>
          <w:tab w:val="num" w:pos="360"/>
        </w:tabs>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Investments will always be of great importance to Berkshire and will be handled by several specialists. They will</w:t>
      </w:r>
      <w:r>
        <w:rPr>
          <w:rFonts w:ascii="Times New Roman" w:hAnsi="Times New Roman" w:cs="Times New Roman"/>
          <w:sz w:val="20"/>
          <w:szCs w:val="20"/>
        </w:rPr>
        <w:t xml:space="preserve"> report to the CEO because their investment decisions, in a broad way, will need to be coordinated with Berkshire’s operating and acquisition programs. Overall, though, our investment managers will enjoy great autonomy. In this area, too, we are in fine sh</w:t>
      </w:r>
      <w:r>
        <w:rPr>
          <w:rFonts w:ascii="Times New Roman" w:hAnsi="Times New Roman" w:cs="Times New Roman"/>
          <w:sz w:val="20"/>
          <w:szCs w:val="20"/>
        </w:rPr>
        <w:t>ape for decades to come. Todd Combs and Ted Weschler, each of whom has spent several years on Berkshire’s investment team, are first-rate in all respects and can be of particular help to the CEO in evaluating acquisitions.</w:t>
      </w:r>
    </w:p>
    <w:p w:rsidR="00000000" w:rsidRDefault="00A06965">
      <w:pPr>
        <w:pStyle w:val="DefaultParagraphFont"/>
        <w:widowControl w:val="0"/>
        <w:autoSpaceDE w:val="0"/>
        <w:autoSpaceDN w:val="0"/>
        <w:adjustRightInd w:val="0"/>
        <w:spacing w:after="0" w:line="241" w:lineRule="exact"/>
        <w:rPr>
          <w:rFonts w:ascii="Arial" w:hAnsi="Arial" w:cs="Arial"/>
          <w:sz w:val="20"/>
          <w:szCs w:val="20"/>
          <w:vertAlign w:val="superscript"/>
        </w:rPr>
      </w:pPr>
    </w:p>
    <w:p w:rsidR="00000000" w:rsidRDefault="00A06965">
      <w:pPr>
        <w:pStyle w:val="DefaultParagraphFont"/>
        <w:widowControl w:val="0"/>
        <w:overflowPunct w:val="0"/>
        <w:autoSpaceDE w:val="0"/>
        <w:autoSpaceDN w:val="0"/>
        <w:adjustRightInd w:val="0"/>
        <w:spacing w:after="0" w:line="237" w:lineRule="auto"/>
        <w:ind w:left="360"/>
        <w:jc w:val="both"/>
        <w:rPr>
          <w:rFonts w:ascii="Arial" w:hAnsi="Arial" w:cs="Arial"/>
          <w:sz w:val="20"/>
          <w:szCs w:val="20"/>
          <w:vertAlign w:val="superscript"/>
        </w:rPr>
      </w:pPr>
      <w:r>
        <w:rPr>
          <w:rFonts w:ascii="Times New Roman" w:hAnsi="Times New Roman" w:cs="Times New Roman"/>
          <w:sz w:val="20"/>
          <w:szCs w:val="20"/>
        </w:rPr>
        <w:t xml:space="preserve">All told, Berkshire is ideally </w:t>
      </w:r>
      <w:r>
        <w:rPr>
          <w:rFonts w:ascii="Times New Roman" w:hAnsi="Times New Roman" w:cs="Times New Roman"/>
          <w:sz w:val="20"/>
          <w:szCs w:val="20"/>
        </w:rPr>
        <w:t>positioned for life after Charlie and I leave the scene. We have the right people in place – the right directors, managers and prospective successors to those managers. Our culture, furthermore, is embedded throughout their ranks. Our system is also regene</w:t>
      </w:r>
      <w:r>
        <w:rPr>
          <w:rFonts w:ascii="Times New Roman" w:hAnsi="Times New Roman" w:cs="Times New Roman"/>
          <w:sz w:val="20"/>
          <w:szCs w:val="20"/>
        </w:rPr>
        <w:t xml:space="preserve">rative. To a large degree, both good and bad cultures self-select to perpetuate themselves. For very good reasons, business owners and operating managers with values similar to ours will continue to be attracted to Berkshire as a one-of-a-kind and </w:t>
      </w:r>
      <w:r>
        <w:rPr>
          <w:rFonts w:ascii="Times New Roman" w:hAnsi="Times New Roman" w:cs="Times New Roman"/>
          <w:i/>
          <w:iCs/>
          <w:sz w:val="20"/>
          <w:szCs w:val="20"/>
        </w:rPr>
        <w:t>permanen</w:t>
      </w:r>
      <w:r>
        <w:rPr>
          <w:rFonts w:ascii="Times New Roman" w:hAnsi="Times New Roman" w:cs="Times New Roman"/>
          <w:i/>
          <w:iCs/>
          <w:sz w:val="20"/>
          <w:szCs w:val="20"/>
        </w:rPr>
        <w:t>t</w:t>
      </w:r>
      <w:r>
        <w:rPr>
          <w:rFonts w:ascii="Times New Roman" w:hAnsi="Times New Roman" w:cs="Times New Roman"/>
          <w:sz w:val="20"/>
          <w:szCs w:val="20"/>
        </w:rPr>
        <w:t xml:space="preserve"> home.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800" w:header="720" w:footer="720" w:gutter="0"/>
          <w:cols w:space="720" w:equalWidth="0">
            <w:col w:w="9000"/>
          </w:cols>
          <w:noEndnote/>
        </w:sectPr>
      </w:pPr>
    </w:p>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37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numPr>
          <w:ilvl w:val="0"/>
          <w:numId w:val="10"/>
        </w:numPr>
        <w:tabs>
          <w:tab w:val="clear" w:pos="720"/>
          <w:tab w:val="num" w:pos="360"/>
        </w:tabs>
        <w:overflowPunct w:val="0"/>
        <w:autoSpaceDE w:val="0"/>
        <w:autoSpaceDN w:val="0"/>
        <w:adjustRightInd w:val="0"/>
        <w:spacing w:after="0" w:line="235" w:lineRule="auto"/>
        <w:ind w:left="360"/>
        <w:jc w:val="both"/>
        <w:rPr>
          <w:rFonts w:ascii="Arial" w:hAnsi="Arial" w:cs="Arial"/>
          <w:sz w:val="20"/>
          <w:szCs w:val="20"/>
          <w:vertAlign w:val="superscript"/>
        </w:rPr>
      </w:pPr>
      <w:r>
        <w:rPr>
          <w:rFonts w:ascii="Times New Roman" w:hAnsi="Times New Roman" w:cs="Times New Roman"/>
          <w:sz w:val="20"/>
          <w:szCs w:val="20"/>
        </w:rPr>
        <w:t xml:space="preserve">I would be remiss if I didn’t salute another key constituency that makes Berkshire special: our shareholders. Berkshire truly has an owner base unlike that </w:t>
      </w:r>
      <w:r>
        <w:rPr>
          <w:rFonts w:ascii="Times New Roman" w:hAnsi="Times New Roman" w:cs="Times New Roman"/>
          <w:sz w:val="20"/>
          <w:szCs w:val="20"/>
        </w:rPr>
        <w:t>of any other giant corporation. That fact was demonstrated in spades at last year’s annual meeting, where the shareholders were offered a proxy resolution:</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ind w:left="1080"/>
        <w:jc w:val="both"/>
        <w:rPr>
          <w:rFonts w:ascii="Times New Roman" w:hAnsi="Times New Roman" w:cs="Times New Roman"/>
          <w:sz w:val="24"/>
          <w:szCs w:val="24"/>
        </w:rPr>
      </w:pPr>
      <w:r>
        <w:rPr>
          <w:rFonts w:ascii="Times New Roman" w:hAnsi="Times New Roman" w:cs="Times New Roman"/>
          <w:sz w:val="20"/>
          <w:szCs w:val="20"/>
        </w:rPr>
        <w:t>RESOLVED: Whereas the corporation has more money than it needs and since the owners unlike Warren a</w:t>
      </w:r>
      <w:r>
        <w:rPr>
          <w:rFonts w:ascii="Times New Roman" w:hAnsi="Times New Roman" w:cs="Times New Roman"/>
          <w:sz w:val="20"/>
          <w:szCs w:val="20"/>
        </w:rPr>
        <w:t>re not multi billionaires, the board shall consider paying a meaningful annual dividend on the shares.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left="360"/>
        <w:jc w:val="both"/>
        <w:rPr>
          <w:rFonts w:ascii="Times New Roman" w:hAnsi="Times New Roman" w:cs="Times New Roman"/>
          <w:sz w:val="24"/>
          <w:szCs w:val="24"/>
        </w:rPr>
      </w:pPr>
      <w:r>
        <w:rPr>
          <w:rFonts w:ascii="Times New Roman" w:hAnsi="Times New Roman" w:cs="Times New Roman"/>
          <w:sz w:val="20"/>
          <w:szCs w:val="20"/>
        </w:rPr>
        <w:t>The sponsoring shareholder of that resolution never showed up at the meeting, so his motion was not officially proposed. Nevertheless, the proxy votes h</w:t>
      </w:r>
      <w:r>
        <w:rPr>
          <w:rFonts w:ascii="Times New Roman" w:hAnsi="Times New Roman" w:cs="Times New Roman"/>
          <w:sz w:val="20"/>
          <w:szCs w:val="20"/>
        </w:rPr>
        <w:t>ad been tallied, and they were enlightening.</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20"/>
          <w:szCs w:val="20"/>
        </w:rPr>
        <w:t>Not surprisingly, the A shares – owned by relatively few shareholders, each with a large economic interest</w:t>
      </w:r>
    </w:p>
    <w:p w:rsidR="00000000" w:rsidRDefault="00A06965">
      <w:pPr>
        <w:pStyle w:val="DefaultParagraphFont"/>
        <w:widowControl w:val="0"/>
        <w:autoSpaceDE w:val="0"/>
        <w:autoSpaceDN w:val="0"/>
        <w:adjustRightInd w:val="0"/>
        <w:spacing w:after="0" w:line="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20"/>
          <w:szCs w:val="20"/>
        </w:rPr>
        <w:t>– voted “no” on the dividend question by a margin of 89 to 1.</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ind w:left="360"/>
        <w:jc w:val="both"/>
        <w:rPr>
          <w:rFonts w:ascii="Times New Roman" w:hAnsi="Times New Roman" w:cs="Times New Roman"/>
          <w:sz w:val="24"/>
          <w:szCs w:val="24"/>
        </w:rPr>
      </w:pPr>
      <w:r>
        <w:rPr>
          <w:rFonts w:ascii="Times New Roman" w:hAnsi="Times New Roman" w:cs="Times New Roman"/>
          <w:sz w:val="20"/>
          <w:szCs w:val="20"/>
        </w:rPr>
        <w:t>The remarkable vote was that of our B shareholders. They number in the hundreds of thousands – perhaps even totaling one million – and they voted 660,759,855 “no” and 13,927,026 “yes,” a ratio of about 47 to 1.</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ind w:left="360"/>
        <w:jc w:val="both"/>
        <w:rPr>
          <w:rFonts w:ascii="Times New Roman" w:hAnsi="Times New Roman" w:cs="Times New Roman"/>
          <w:sz w:val="24"/>
          <w:szCs w:val="24"/>
        </w:rPr>
      </w:pPr>
      <w:r>
        <w:rPr>
          <w:rFonts w:ascii="Times New Roman" w:hAnsi="Times New Roman" w:cs="Times New Roman"/>
          <w:sz w:val="20"/>
          <w:szCs w:val="20"/>
        </w:rPr>
        <w:t>Our directors recommended a “no” vote but th</w:t>
      </w:r>
      <w:r>
        <w:rPr>
          <w:rFonts w:ascii="Times New Roman" w:hAnsi="Times New Roman" w:cs="Times New Roman"/>
          <w:sz w:val="20"/>
          <w:szCs w:val="20"/>
        </w:rPr>
        <w:t>e company did not otherwise attempt to influence shareholders. Nevertheless, 98% of the shares voting said, in effect, “Don’t send us a dividend but instead reinvest all of the earnings.” To have our fellow owners – large and small – be so in sync with our</w:t>
      </w:r>
      <w:r>
        <w:rPr>
          <w:rFonts w:ascii="Times New Roman" w:hAnsi="Times New Roman" w:cs="Times New Roman"/>
          <w:sz w:val="20"/>
          <w:szCs w:val="20"/>
        </w:rPr>
        <w:t xml:space="preserve"> managerial philosophy is both remarkable and rewarding.</w:t>
      </w:r>
    </w:p>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60"/>
        <w:rPr>
          <w:rFonts w:ascii="Times New Roman" w:hAnsi="Times New Roman" w:cs="Times New Roman"/>
          <w:sz w:val="24"/>
          <w:szCs w:val="24"/>
        </w:rPr>
      </w:pPr>
      <w:r>
        <w:rPr>
          <w:rFonts w:ascii="Times New Roman" w:hAnsi="Times New Roman" w:cs="Times New Roman"/>
          <w:sz w:val="20"/>
          <w:szCs w:val="20"/>
        </w:rPr>
        <w:t>I am a lucky fellow to have you as partners.</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960"/>
        <w:rPr>
          <w:rFonts w:ascii="Times New Roman" w:hAnsi="Times New Roman" w:cs="Times New Roman"/>
          <w:sz w:val="24"/>
          <w:szCs w:val="24"/>
        </w:rPr>
      </w:pPr>
      <w:r>
        <w:rPr>
          <w:rFonts w:ascii="Times New Roman" w:hAnsi="Times New Roman" w:cs="Times New Roman"/>
          <w:sz w:val="20"/>
          <w:szCs w:val="20"/>
        </w:rPr>
        <w:t>Warren E. Buffett</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800" w:header="720" w:footer="720" w:gutter="0"/>
          <w:cols w:space="720" w:equalWidth="0">
            <w:col w:w="90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38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ind w:left="2740"/>
        <w:rPr>
          <w:rFonts w:ascii="Times New Roman" w:hAnsi="Times New Roman" w:cs="Times New Roman"/>
          <w:sz w:val="24"/>
          <w:szCs w:val="24"/>
        </w:rPr>
      </w:pPr>
      <w:r>
        <w:rPr>
          <w:rFonts w:ascii="Times New Roman" w:hAnsi="Times New Roman" w:cs="Times New Roman"/>
          <w:b/>
          <w:bCs/>
          <w:sz w:val="20"/>
          <w:szCs w:val="20"/>
        </w:rPr>
        <w:t>Vice Chairman’s Thoughts – Past and Future</w:t>
      </w:r>
    </w:p>
    <w:p w:rsidR="00000000" w:rsidRDefault="00A06965">
      <w:pPr>
        <w:pStyle w:val="DefaultParagraphFont"/>
        <w:widowControl w:val="0"/>
        <w:autoSpaceDE w:val="0"/>
        <w:autoSpaceDN w:val="0"/>
        <w:adjustRightInd w:val="0"/>
        <w:spacing w:after="0" w:line="19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To the shareholders of Berkshire Hathaway Inc.:</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0"/>
          <w:szCs w:val="20"/>
        </w:rPr>
        <w:t>I closely watched the 50-year history of Berkshire’s uncommon success under Warren Buffett. And it now seems appropriate that I independently supplement whatever c</w:t>
      </w:r>
      <w:r>
        <w:rPr>
          <w:rFonts w:ascii="Times New Roman" w:hAnsi="Times New Roman" w:cs="Times New Roman"/>
          <w:sz w:val="20"/>
          <w:szCs w:val="20"/>
        </w:rPr>
        <w:t>elebratory comment comes from him. I will try to do five things.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numPr>
          <w:ilvl w:val="0"/>
          <w:numId w:val="11"/>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Describe the management system and policies that caused a small and unfixably-doomed commodity textile business to morph into the mighty Berkshire that now exists,</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0"/>
          <w:szCs w:val="20"/>
        </w:rPr>
      </w:pPr>
    </w:p>
    <w:p w:rsidR="00000000" w:rsidRDefault="00A06965">
      <w:pPr>
        <w:pStyle w:val="DefaultParagraphFont"/>
        <w:widowControl w:val="0"/>
        <w:numPr>
          <w:ilvl w:val="0"/>
          <w:numId w:val="11"/>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Explain how the m</w:t>
      </w:r>
      <w:r>
        <w:rPr>
          <w:rFonts w:ascii="Times New Roman" w:hAnsi="Times New Roman" w:cs="Times New Roman"/>
          <w:sz w:val="20"/>
          <w:szCs w:val="20"/>
        </w:rPr>
        <w:t>anagement system and policies came into being,</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0"/>
          <w:szCs w:val="20"/>
        </w:rPr>
      </w:pPr>
    </w:p>
    <w:p w:rsidR="00000000" w:rsidRDefault="00A06965">
      <w:pPr>
        <w:pStyle w:val="DefaultParagraphFont"/>
        <w:widowControl w:val="0"/>
        <w:numPr>
          <w:ilvl w:val="0"/>
          <w:numId w:val="11"/>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Explain, to some extent, why Berkshire did so well,</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0"/>
          <w:szCs w:val="20"/>
        </w:rPr>
      </w:pPr>
    </w:p>
    <w:p w:rsidR="00000000" w:rsidRDefault="00A06965">
      <w:pPr>
        <w:pStyle w:val="DefaultParagraphFont"/>
        <w:widowControl w:val="0"/>
        <w:numPr>
          <w:ilvl w:val="0"/>
          <w:numId w:val="11"/>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Predict whether abnormally good results would continue if Buffett were soon to depart, and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0"/>
          <w:szCs w:val="20"/>
        </w:rPr>
      </w:pPr>
    </w:p>
    <w:p w:rsidR="00000000" w:rsidRDefault="00A06965">
      <w:pPr>
        <w:pStyle w:val="DefaultParagraphFont"/>
        <w:widowControl w:val="0"/>
        <w:numPr>
          <w:ilvl w:val="0"/>
          <w:numId w:val="11"/>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Consider whether Berkshire’s great results over the</w:t>
      </w:r>
      <w:r>
        <w:rPr>
          <w:rFonts w:ascii="Times New Roman" w:hAnsi="Times New Roman" w:cs="Times New Roman"/>
          <w:sz w:val="20"/>
          <w:szCs w:val="20"/>
        </w:rPr>
        <w:t xml:space="preserve"> last 50 years have implications that may prove useful elsewhere.</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rPr>
          <w:rFonts w:ascii="Times New Roman" w:hAnsi="Times New Roman" w:cs="Times New Roman"/>
          <w:sz w:val="24"/>
          <w:szCs w:val="24"/>
        </w:rPr>
      </w:pPr>
      <w:r>
        <w:rPr>
          <w:rFonts w:ascii="Times New Roman" w:hAnsi="Times New Roman" w:cs="Times New Roman"/>
          <w:sz w:val="20"/>
          <w:szCs w:val="20"/>
        </w:rPr>
        <w:t>The management system and policies of Berkshire under Buffett (herein together called “the Berkshire system”) were fixed early and are described below:</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numPr>
          <w:ilvl w:val="0"/>
          <w:numId w:val="12"/>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Berkshire would be a diffuse con</w:t>
      </w:r>
      <w:r>
        <w:rPr>
          <w:rFonts w:ascii="Times New Roman" w:hAnsi="Times New Roman" w:cs="Times New Roman"/>
          <w:sz w:val="20"/>
          <w:szCs w:val="20"/>
        </w:rPr>
        <w:t>glomerate, averse only to activities about which it could not make useful predictions.</w:t>
      </w:r>
    </w:p>
    <w:p w:rsidR="00000000" w:rsidRDefault="00A06965">
      <w:pPr>
        <w:pStyle w:val="DefaultParagraphFont"/>
        <w:widowControl w:val="0"/>
        <w:autoSpaceDE w:val="0"/>
        <w:autoSpaceDN w:val="0"/>
        <w:adjustRightInd w:val="0"/>
        <w:spacing w:after="0" w:line="13" w:lineRule="exact"/>
        <w:rPr>
          <w:rFonts w:ascii="Times New Roman" w:hAnsi="Times New Roman" w:cs="Times New Roman"/>
          <w:sz w:val="20"/>
          <w:szCs w:val="20"/>
        </w:rPr>
      </w:pPr>
    </w:p>
    <w:p w:rsidR="00000000" w:rsidRDefault="00A06965">
      <w:pPr>
        <w:pStyle w:val="DefaultParagraphFont"/>
        <w:widowControl w:val="0"/>
        <w:numPr>
          <w:ilvl w:val="0"/>
          <w:numId w:val="12"/>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Its top company would do almost all business through separately incorporated subsidiaries whose CEOs would operate with very extreme autonomy.</w:t>
      </w:r>
    </w:p>
    <w:p w:rsidR="00000000" w:rsidRDefault="00A06965">
      <w:pPr>
        <w:pStyle w:val="DefaultParagraphFont"/>
        <w:widowControl w:val="0"/>
        <w:autoSpaceDE w:val="0"/>
        <w:autoSpaceDN w:val="0"/>
        <w:adjustRightInd w:val="0"/>
        <w:spacing w:after="0" w:line="13" w:lineRule="exact"/>
        <w:rPr>
          <w:rFonts w:ascii="Times New Roman" w:hAnsi="Times New Roman" w:cs="Times New Roman"/>
          <w:sz w:val="20"/>
          <w:szCs w:val="20"/>
        </w:rPr>
      </w:pPr>
    </w:p>
    <w:p w:rsidR="00000000" w:rsidRDefault="00A06965">
      <w:pPr>
        <w:pStyle w:val="DefaultParagraphFont"/>
        <w:widowControl w:val="0"/>
        <w:numPr>
          <w:ilvl w:val="0"/>
          <w:numId w:val="12"/>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There would be almost nothing at conglomerate headquarters except a tiny office suite containing a Chairman, a CFO, and a few assistants who mostly helped the CFO with auditing, internal control, etc.</w:t>
      </w:r>
    </w:p>
    <w:p w:rsidR="00000000" w:rsidRDefault="00A06965">
      <w:pPr>
        <w:pStyle w:val="DefaultParagraphFont"/>
        <w:widowControl w:val="0"/>
        <w:autoSpaceDE w:val="0"/>
        <w:autoSpaceDN w:val="0"/>
        <w:adjustRightInd w:val="0"/>
        <w:spacing w:after="0" w:line="13" w:lineRule="exact"/>
        <w:rPr>
          <w:rFonts w:ascii="Times New Roman" w:hAnsi="Times New Roman" w:cs="Times New Roman"/>
          <w:sz w:val="20"/>
          <w:szCs w:val="20"/>
        </w:rPr>
      </w:pPr>
    </w:p>
    <w:p w:rsidR="00000000" w:rsidRDefault="00A06965">
      <w:pPr>
        <w:pStyle w:val="DefaultParagraphFont"/>
        <w:widowControl w:val="0"/>
        <w:numPr>
          <w:ilvl w:val="0"/>
          <w:numId w:val="12"/>
        </w:numPr>
        <w:overflowPunct w:val="0"/>
        <w:autoSpaceDE w:val="0"/>
        <w:autoSpaceDN w:val="0"/>
        <w:adjustRightInd w:val="0"/>
        <w:spacing w:after="0" w:line="235" w:lineRule="auto"/>
        <w:ind w:hanging="420"/>
        <w:jc w:val="both"/>
        <w:rPr>
          <w:rFonts w:ascii="Times New Roman" w:hAnsi="Times New Roman" w:cs="Times New Roman"/>
          <w:sz w:val="20"/>
          <w:szCs w:val="20"/>
        </w:rPr>
      </w:pPr>
      <w:r>
        <w:rPr>
          <w:rFonts w:ascii="Times New Roman" w:hAnsi="Times New Roman" w:cs="Times New Roman"/>
          <w:sz w:val="20"/>
          <w:szCs w:val="20"/>
        </w:rPr>
        <w:t>Berkshire subsidiaries would always prominently in</w:t>
      </w:r>
      <w:r>
        <w:rPr>
          <w:rFonts w:ascii="Times New Roman" w:hAnsi="Times New Roman" w:cs="Times New Roman"/>
          <w:sz w:val="20"/>
          <w:szCs w:val="20"/>
        </w:rPr>
        <w:t>clude casualty insurers. Those insurers as a group would be expected to produce, in due course, dependable underwriting gains while also producing substantial “float” (from unpaid insurance liabilities) for investment.</w:t>
      </w:r>
    </w:p>
    <w:p w:rsidR="00000000" w:rsidRDefault="00A06965">
      <w:pPr>
        <w:pStyle w:val="DefaultParagraphFont"/>
        <w:widowControl w:val="0"/>
        <w:autoSpaceDE w:val="0"/>
        <w:autoSpaceDN w:val="0"/>
        <w:adjustRightInd w:val="0"/>
        <w:spacing w:after="0" w:line="14" w:lineRule="exact"/>
        <w:rPr>
          <w:rFonts w:ascii="Times New Roman" w:hAnsi="Times New Roman" w:cs="Times New Roman"/>
          <w:sz w:val="20"/>
          <w:szCs w:val="20"/>
        </w:rPr>
      </w:pPr>
    </w:p>
    <w:p w:rsidR="00000000" w:rsidRDefault="00A06965">
      <w:pPr>
        <w:pStyle w:val="DefaultParagraphFont"/>
        <w:widowControl w:val="0"/>
        <w:numPr>
          <w:ilvl w:val="0"/>
          <w:numId w:val="12"/>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There would be no significant system-wide personnel system, stock option system, other incentive system, retirement system, or the like, because the subsidiaries would have their own systems, often different.</w:t>
      </w:r>
    </w:p>
    <w:p w:rsidR="00000000" w:rsidRDefault="00A06965">
      <w:pPr>
        <w:pStyle w:val="DefaultParagraphFont"/>
        <w:widowControl w:val="0"/>
        <w:numPr>
          <w:ilvl w:val="0"/>
          <w:numId w:val="12"/>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Berkshire’s Chairman would reserve only a f</w:t>
      </w:r>
      <w:r>
        <w:rPr>
          <w:rFonts w:ascii="Times New Roman" w:hAnsi="Times New Roman" w:cs="Times New Roman"/>
          <w:sz w:val="20"/>
          <w:szCs w:val="20"/>
        </w:rPr>
        <w:t>ew activities for himself.</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0"/>
          <w:szCs w:val="20"/>
        </w:rPr>
      </w:pPr>
    </w:p>
    <w:p w:rsidR="00000000" w:rsidRDefault="00A06965">
      <w:pPr>
        <w:pStyle w:val="DefaultParagraphFont"/>
        <w:widowControl w:val="0"/>
        <w:numPr>
          <w:ilvl w:val="1"/>
          <w:numId w:val="12"/>
        </w:numPr>
        <w:tabs>
          <w:tab w:val="clear" w:pos="1440"/>
          <w:tab w:val="num" w:pos="1520"/>
        </w:tabs>
        <w:overflowPunct w:val="0"/>
        <w:autoSpaceDE w:val="0"/>
        <w:autoSpaceDN w:val="0"/>
        <w:adjustRightInd w:val="0"/>
        <w:spacing w:after="0" w:line="233" w:lineRule="auto"/>
        <w:ind w:left="1520" w:hanging="560"/>
        <w:jc w:val="both"/>
        <w:rPr>
          <w:rFonts w:ascii="Times New Roman" w:hAnsi="Times New Roman" w:cs="Times New Roman"/>
          <w:sz w:val="20"/>
          <w:szCs w:val="20"/>
        </w:rPr>
      </w:pPr>
      <w:r>
        <w:rPr>
          <w:rFonts w:ascii="Times New Roman" w:hAnsi="Times New Roman" w:cs="Times New Roman"/>
          <w:sz w:val="20"/>
          <w:szCs w:val="20"/>
        </w:rPr>
        <w:t>He would manage almost all security investments, with these normally residing in Berkshire’s casualty insurers.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0"/>
          <w:szCs w:val="20"/>
        </w:rPr>
      </w:pPr>
    </w:p>
    <w:p w:rsidR="00000000" w:rsidRDefault="00A06965">
      <w:pPr>
        <w:pStyle w:val="DefaultParagraphFont"/>
        <w:widowControl w:val="0"/>
        <w:numPr>
          <w:ilvl w:val="2"/>
          <w:numId w:val="12"/>
        </w:numPr>
        <w:tabs>
          <w:tab w:val="clear" w:pos="2160"/>
          <w:tab w:val="num" w:pos="1520"/>
        </w:tabs>
        <w:overflowPunct w:val="0"/>
        <w:autoSpaceDE w:val="0"/>
        <w:autoSpaceDN w:val="0"/>
        <w:adjustRightInd w:val="0"/>
        <w:spacing w:after="0" w:line="233" w:lineRule="auto"/>
        <w:ind w:left="1520" w:hanging="610"/>
        <w:jc w:val="both"/>
        <w:rPr>
          <w:rFonts w:ascii="Times New Roman" w:hAnsi="Times New Roman" w:cs="Times New Roman"/>
          <w:sz w:val="20"/>
          <w:szCs w:val="20"/>
        </w:rPr>
      </w:pPr>
      <w:r>
        <w:rPr>
          <w:rFonts w:ascii="Times New Roman" w:hAnsi="Times New Roman" w:cs="Times New Roman"/>
          <w:sz w:val="20"/>
          <w:szCs w:val="20"/>
        </w:rPr>
        <w:t>He would choose all CEOs of important subsidiaries, and he would fix their compensation and obtain from each a private recommendation for a successor in case one was suddenly needed.</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0"/>
          <w:szCs w:val="20"/>
        </w:rPr>
      </w:pPr>
    </w:p>
    <w:p w:rsidR="00000000" w:rsidRDefault="00A06965">
      <w:pPr>
        <w:pStyle w:val="DefaultParagraphFont"/>
        <w:widowControl w:val="0"/>
        <w:numPr>
          <w:ilvl w:val="3"/>
          <w:numId w:val="12"/>
        </w:numPr>
        <w:tabs>
          <w:tab w:val="clear" w:pos="2880"/>
          <w:tab w:val="num" w:pos="1520"/>
        </w:tabs>
        <w:overflowPunct w:val="0"/>
        <w:autoSpaceDE w:val="0"/>
        <w:autoSpaceDN w:val="0"/>
        <w:adjustRightInd w:val="0"/>
        <w:spacing w:after="0" w:line="233" w:lineRule="auto"/>
        <w:ind w:left="1520" w:hanging="660"/>
        <w:jc w:val="both"/>
        <w:rPr>
          <w:rFonts w:ascii="Times New Roman" w:hAnsi="Times New Roman" w:cs="Times New Roman"/>
          <w:sz w:val="20"/>
          <w:szCs w:val="20"/>
        </w:rPr>
      </w:pPr>
      <w:r>
        <w:rPr>
          <w:rFonts w:ascii="Times New Roman" w:hAnsi="Times New Roman" w:cs="Times New Roman"/>
          <w:sz w:val="20"/>
          <w:szCs w:val="20"/>
        </w:rPr>
        <w:t>He would deploy most cash not needed in subsidiaries after they ha</w:t>
      </w:r>
      <w:r>
        <w:rPr>
          <w:rFonts w:ascii="Times New Roman" w:hAnsi="Times New Roman" w:cs="Times New Roman"/>
          <w:sz w:val="20"/>
          <w:szCs w:val="20"/>
        </w:rPr>
        <w:t>d increased their competitive advantage, with the ideal deployment being the use of that cash to acquire new subsidiaries.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0"/>
          <w:szCs w:val="20"/>
        </w:rPr>
      </w:pPr>
    </w:p>
    <w:p w:rsidR="00000000" w:rsidRDefault="00A06965">
      <w:pPr>
        <w:pStyle w:val="DefaultParagraphFont"/>
        <w:widowControl w:val="0"/>
        <w:numPr>
          <w:ilvl w:val="3"/>
          <w:numId w:val="12"/>
        </w:numPr>
        <w:tabs>
          <w:tab w:val="clear" w:pos="2880"/>
          <w:tab w:val="num" w:pos="1520"/>
        </w:tabs>
        <w:overflowPunct w:val="0"/>
        <w:autoSpaceDE w:val="0"/>
        <w:autoSpaceDN w:val="0"/>
        <w:adjustRightInd w:val="0"/>
        <w:spacing w:after="0" w:line="233" w:lineRule="auto"/>
        <w:ind w:left="1520" w:hanging="660"/>
        <w:jc w:val="both"/>
        <w:rPr>
          <w:rFonts w:ascii="Times New Roman" w:hAnsi="Times New Roman" w:cs="Times New Roman"/>
          <w:sz w:val="20"/>
          <w:szCs w:val="20"/>
        </w:rPr>
      </w:pPr>
      <w:r>
        <w:rPr>
          <w:rFonts w:ascii="Times New Roman" w:hAnsi="Times New Roman" w:cs="Times New Roman"/>
          <w:sz w:val="20"/>
          <w:szCs w:val="20"/>
        </w:rPr>
        <w:t xml:space="preserve">He would make himself promptly available for almost any contact wanted by any subsidiary’s CEO, and he would require almost no </w:t>
      </w:r>
      <w:r>
        <w:rPr>
          <w:rFonts w:ascii="Times New Roman" w:hAnsi="Times New Roman" w:cs="Times New Roman"/>
          <w:sz w:val="20"/>
          <w:szCs w:val="20"/>
        </w:rPr>
        <w:t>additional contact.</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0"/>
          <w:szCs w:val="20"/>
        </w:rPr>
      </w:pPr>
    </w:p>
    <w:p w:rsidR="00000000" w:rsidRDefault="00A06965">
      <w:pPr>
        <w:pStyle w:val="DefaultParagraphFont"/>
        <w:widowControl w:val="0"/>
        <w:numPr>
          <w:ilvl w:val="2"/>
          <w:numId w:val="13"/>
        </w:numPr>
        <w:tabs>
          <w:tab w:val="clear" w:pos="2160"/>
          <w:tab w:val="num" w:pos="1520"/>
        </w:tabs>
        <w:overflowPunct w:val="0"/>
        <w:autoSpaceDE w:val="0"/>
        <w:autoSpaceDN w:val="0"/>
        <w:adjustRightInd w:val="0"/>
        <w:spacing w:after="0" w:line="235" w:lineRule="auto"/>
        <w:ind w:left="1520" w:hanging="610"/>
        <w:jc w:val="both"/>
        <w:rPr>
          <w:rFonts w:ascii="Times New Roman" w:hAnsi="Times New Roman" w:cs="Times New Roman"/>
          <w:sz w:val="20"/>
          <w:szCs w:val="20"/>
        </w:rPr>
      </w:pPr>
      <w:r>
        <w:rPr>
          <w:rFonts w:ascii="Times New Roman" w:hAnsi="Times New Roman" w:cs="Times New Roman"/>
          <w:sz w:val="20"/>
          <w:szCs w:val="20"/>
        </w:rPr>
        <w:t>He would write a long, logical, and useful letter for inclusion in his annual report, designed as he would wish it to be if he were only a passive shareholder, and he would be available for hours of answering questions at annual sh</w:t>
      </w:r>
      <w:r>
        <w:rPr>
          <w:rFonts w:ascii="Times New Roman" w:hAnsi="Times New Roman" w:cs="Times New Roman"/>
          <w:sz w:val="20"/>
          <w:szCs w:val="20"/>
        </w:rPr>
        <w:t>areholders’ meetings.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0"/>
          <w:szCs w:val="20"/>
        </w:rPr>
      </w:pPr>
    </w:p>
    <w:p w:rsidR="00000000" w:rsidRDefault="00A06965">
      <w:pPr>
        <w:pStyle w:val="DefaultParagraphFont"/>
        <w:widowControl w:val="0"/>
        <w:numPr>
          <w:ilvl w:val="2"/>
          <w:numId w:val="13"/>
        </w:numPr>
        <w:tabs>
          <w:tab w:val="clear" w:pos="2160"/>
          <w:tab w:val="num" w:pos="1520"/>
        </w:tabs>
        <w:overflowPunct w:val="0"/>
        <w:autoSpaceDE w:val="0"/>
        <w:autoSpaceDN w:val="0"/>
        <w:adjustRightInd w:val="0"/>
        <w:spacing w:after="0" w:line="233" w:lineRule="auto"/>
        <w:ind w:left="1520" w:hanging="660"/>
        <w:jc w:val="both"/>
        <w:rPr>
          <w:rFonts w:ascii="Times New Roman" w:hAnsi="Times New Roman" w:cs="Times New Roman"/>
          <w:sz w:val="20"/>
          <w:szCs w:val="20"/>
        </w:rPr>
      </w:pPr>
      <w:r>
        <w:rPr>
          <w:rFonts w:ascii="Times New Roman" w:hAnsi="Times New Roman" w:cs="Times New Roman"/>
          <w:sz w:val="20"/>
          <w:szCs w:val="20"/>
        </w:rPr>
        <w:t>He would try to be an exemplar in a culture that would work well for customers, shareholders, and other incumbents for a long time, both before and after his departure.</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0"/>
          <w:szCs w:val="20"/>
        </w:rPr>
      </w:pPr>
    </w:p>
    <w:p w:rsidR="00000000" w:rsidRDefault="00A06965">
      <w:pPr>
        <w:pStyle w:val="DefaultParagraphFont"/>
        <w:widowControl w:val="0"/>
        <w:numPr>
          <w:ilvl w:val="2"/>
          <w:numId w:val="13"/>
        </w:numPr>
        <w:tabs>
          <w:tab w:val="clear" w:pos="2160"/>
          <w:tab w:val="num" w:pos="1520"/>
        </w:tabs>
        <w:overflowPunct w:val="0"/>
        <w:autoSpaceDE w:val="0"/>
        <w:autoSpaceDN w:val="0"/>
        <w:adjustRightInd w:val="0"/>
        <w:spacing w:after="0" w:line="233" w:lineRule="auto"/>
        <w:ind w:left="1520" w:hanging="710"/>
        <w:jc w:val="both"/>
        <w:rPr>
          <w:rFonts w:ascii="Times New Roman" w:hAnsi="Times New Roman" w:cs="Times New Roman"/>
          <w:sz w:val="20"/>
          <w:szCs w:val="20"/>
        </w:rPr>
      </w:pPr>
      <w:r>
        <w:rPr>
          <w:rFonts w:ascii="Times New Roman" w:hAnsi="Times New Roman" w:cs="Times New Roman"/>
          <w:sz w:val="20"/>
          <w:szCs w:val="20"/>
        </w:rPr>
        <w:t>His first priority would be reservation of much time for quiet reading and thinking, particularly that which might advance his determined learning, no matter how old he became; and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3"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39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3" w:right="6020" w:bottom="943" w:left="6020" w:header="720" w:footer="720" w:gutter="0"/>
          <w:cols w:space="720" w:equalWidth="0">
            <w:col w:w="200"/>
          </w:cols>
          <w:noEndnote/>
        </w:sectPr>
      </w:pPr>
    </w:p>
    <w:p w:rsidR="00000000" w:rsidRDefault="00A06965">
      <w:pPr>
        <w:pStyle w:val="DefaultParagraphFont"/>
        <w:widowControl w:val="0"/>
        <w:numPr>
          <w:ilvl w:val="1"/>
          <w:numId w:val="14"/>
        </w:numPr>
        <w:overflowPunct w:val="0"/>
        <w:autoSpaceDE w:val="0"/>
        <w:autoSpaceDN w:val="0"/>
        <w:adjustRightInd w:val="0"/>
        <w:spacing w:after="0" w:line="239" w:lineRule="auto"/>
        <w:ind w:hanging="720"/>
        <w:jc w:val="both"/>
        <w:rPr>
          <w:rFonts w:ascii="Times New Roman" w:hAnsi="Times New Roman" w:cs="Times New Roman"/>
          <w:sz w:val="20"/>
          <w:szCs w:val="20"/>
        </w:rPr>
      </w:pPr>
      <w:r>
        <w:rPr>
          <w:rFonts w:ascii="Times New Roman" w:hAnsi="Times New Roman" w:cs="Times New Roman"/>
          <w:sz w:val="20"/>
          <w:szCs w:val="20"/>
        </w:rPr>
        <w:t>He would also spend much ti</w:t>
      </w:r>
      <w:r>
        <w:rPr>
          <w:rFonts w:ascii="Times New Roman" w:hAnsi="Times New Roman" w:cs="Times New Roman"/>
          <w:sz w:val="20"/>
          <w:szCs w:val="20"/>
        </w:rPr>
        <w:t>me in enthusiastically admiring what others were accomplishing.</w:t>
      </w:r>
    </w:p>
    <w:p w:rsidR="00000000" w:rsidRDefault="00A06965">
      <w:pPr>
        <w:pStyle w:val="DefaultParagraphFont"/>
        <w:widowControl w:val="0"/>
        <w:autoSpaceDE w:val="0"/>
        <w:autoSpaceDN w:val="0"/>
        <w:adjustRightInd w:val="0"/>
        <w:spacing w:after="0" w:line="180" w:lineRule="exact"/>
        <w:rPr>
          <w:rFonts w:ascii="Times New Roman" w:hAnsi="Times New Roman" w:cs="Times New Roman"/>
          <w:sz w:val="20"/>
          <w:szCs w:val="20"/>
        </w:rPr>
      </w:pPr>
    </w:p>
    <w:p w:rsidR="00000000" w:rsidRDefault="00A06965">
      <w:pPr>
        <w:pStyle w:val="DefaultParagraphFont"/>
        <w:widowControl w:val="0"/>
        <w:numPr>
          <w:ilvl w:val="0"/>
          <w:numId w:val="15"/>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New subsidiaries would usually be bought with cash, not newly issued stock.</w:t>
      </w:r>
    </w:p>
    <w:p w:rsidR="00000000" w:rsidRDefault="00A06965">
      <w:pPr>
        <w:pStyle w:val="DefaultParagraphFont"/>
        <w:widowControl w:val="0"/>
        <w:autoSpaceDE w:val="0"/>
        <w:autoSpaceDN w:val="0"/>
        <w:adjustRightInd w:val="0"/>
        <w:spacing w:after="0" w:line="194" w:lineRule="exact"/>
        <w:rPr>
          <w:rFonts w:ascii="Times New Roman" w:hAnsi="Times New Roman" w:cs="Times New Roman"/>
          <w:sz w:val="20"/>
          <w:szCs w:val="20"/>
        </w:rPr>
      </w:pPr>
    </w:p>
    <w:p w:rsidR="00000000" w:rsidRDefault="00A06965">
      <w:pPr>
        <w:pStyle w:val="DefaultParagraphFont"/>
        <w:widowControl w:val="0"/>
        <w:numPr>
          <w:ilvl w:val="0"/>
          <w:numId w:val="15"/>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Berkshire would not pay dividends so long as more than o</w:t>
      </w:r>
      <w:r>
        <w:rPr>
          <w:rFonts w:ascii="Times New Roman" w:hAnsi="Times New Roman" w:cs="Times New Roman"/>
          <w:sz w:val="20"/>
          <w:szCs w:val="20"/>
        </w:rPr>
        <w:t>ne dollar of market value for shareholders was being created by each dollar of retained earnings.</w:t>
      </w:r>
    </w:p>
    <w:p w:rsidR="00000000" w:rsidRDefault="00A06965">
      <w:pPr>
        <w:pStyle w:val="DefaultParagraphFont"/>
        <w:widowControl w:val="0"/>
        <w:autoSpaceDE w:val="0"/>
        <w:autoSpaceDN w:val="0"/>
        <w:adjustRightInd w:val="0"/>
        <w:spacing w:after="0" w:line="193" w:lineRule="exact"/>
        <w:rPr>
          <w:rFonts w:ascii="Times New Roman" w:hAnsi="Times New Roman" w:cs="Times New Roman"/>
          <w:sz w:val="20"/>
          <w:szCs w:val="20"/>
        </w:rPr>
      </w:pPr>
    </w:p>
    <w:p w:rsidR="00000000" w:rsidRDefault="00A06965">
      <w:pPr>
        <w:pStyle w:val="DefaultParagraphFont"/>
        <w:widowControl w:val="0"/>
        <w:numPr>
          <w:ilvl w:val="0"/>
          <w:numId w:val="15"/>
        </w:numPr>
        <w:overflowPunct w:val="0"/>
        <w:autoSpaceDE w:val="0"/>
        <w:autoSpaceDN w:val="0"/>
        <w:adjustRightInd w:val="0"/>
        <w:spacing w:after="0" w:line="235" w:lineRule="auto"/>
        <w:ind w:hanging="420"/>
        <w:jc w:val="both"/>
        <w:rPr>
          <w:rFonts w:ascii="Times New Roman" w:hAnsi="Times New Roman" w:cs="Times New Roman"/>
          <w:sz w:val="20"/>
          <w:szCs w:val="20"/>
        </w:rPr>
      </w:pPr>
      <w:r>
        <w:rPr>
          <w:rFonts w:ascii="Times New Roman" w:hAnsi="Times New Roman" w:cs="Times New Roman"/>
          <w:sz w:val="20"/>
          <w:szCs w:val="20"/>
        </w:rPr>
        <w:t xml:space="preserve">In buying a new subsidiary, Berkshire would seek to pay a fair price for a good business that the Chairman could pretty well understand. Berkshire would </w:t>
      </w:r>
      <w:r>
        <w:rPr>
          <w:rFonts w:ascii="Times New Roman" w:hAnsi="Times New Roman" w:cs="Times New Roman"/>
          <w:sz w:val="20"/>
          <w:szCs w:val="20"/>
        </w:rPr>
        <w:t>also want a good CEO in place, one expected to remain for a long time and to manage well without need for help from headquarters.</w:t>
      </w:r>
    </w:p>
    <w:p w:rsidR="00000000" w:rsidRDefault="00A06965">
      <w:pPr>
        <w:pStyle w:val="DefaultParagraphFont"/>
        <w:widowControl w:val="0"/>
        <w:autoSpaceDE w:val="0"/>
        <w:autoSpaceDN w:val="0"/>
        <w:adjustRightInd w:val="0"/>
        <w:spacing w:after="0" w:line="194" w:lineRule="exact"/>
        <w:rPr>
          <w:rFonts w:ascii="Times New Roman" w:hAnsi="Times New Roman" w:cs="Times New Roman"/>
          <w:sz w:val="20"/>
          <w:szCs w:val="20"/>
        </w:rPr>
      </w:pPr>
    </w:p>
    <w:p w:rsidR="00000000" w:rsidRDefault="00A06965">
      <w:pPr>
        <w:pStyle w:val="DefaultParagraphFont"/>
        <w:widowControl w:val="0"/>
        <w:numPr>
          <w:ilvl w:val="0"/>
          <w:numId w:val="15"/>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In choosing CEOs of subsidiaries, Berkshire would try to secure trustworthiness, skill, energy, and love for the busines</w:t>
      </w:r>
      <w:r>
        <w:rPr>
          <w:rFonts w:ascii="Times New Roman" w:hAnsi="Times New Roman" w:cs="Times New Roman"/>
          <w:sz w:val="20"/>
          <w:szCs w:val="20"/>
        </w:rPr>
        <w:t>s and circumstances the CEO was in.</w:t>
      </w:r>
    </w:p>
    <w:p w:rsidR="00000000" w:rsidRDefault="00A06965">
      <w:pPr>
        <w:pStyle w:val="DefaultParagraphFont"/>
        <w:widowControl w:val="0"/>
        <w:autoSpaceDE w:val="0"/>
        <w:autoSpaceDN w:val="0"/>
        <w:adjustRightInd w:val="0"/>
        <w:spacing w:after="0" w:line="180" w:lineRule="exact"/>
        <w:rPr>
          <w:rFonts w:ascii="Times New Roman" w:hAnsi="Times New Roman" w:cs="Times New Roman"/>
          <w:sz w:val="20"/>
          <w:szCs w:val="20"/>
        </w:rPr>
      </w:pPr>
    </w:p>
    <w:p w:rsidR="00000000" w:rsidRDefault="00A06965">
      <w:pPr>
        <w:pStyle w:val="DefaultParagraphFont"/>
        <w:widowControl w:val="0"/>
        <w:numPr>
          <w:ilvl w:val="0"/>
          <w:numId w:val="15"/>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As an important matter of preferred conduct, Berkshire would almost never sell a subsidiary.</w:t>
      </w:r>
    </w:p>
    <w:p w:rsidR="00000000" w:rsidRDefault="00A06965">
      <w:pPr>
        <w:pStyle w:val="DefaultParagraphFont"/>
        <w:widowControl w:val="0"/>
        <w:autoSpaceDE w:val="0"/>
        <w:autoSpaceDN w:val="0"/>
        <w:adjustRightInd w:val="0"/>
        <w:spacing w:after="0" w:line="180" w:lineRule="exact"/>
        <w:rPr>
          <w:rFonts w:ascii="Times New Roman" w:hAnsi="Times New Roman" w:cs="Times New Roman"/>
          <w:sz w:val="20"/>
          <w:szCs w:val="20"/>
        </w:rPr>
      </w:pPr>
    </w:p>
    <w:p w:rsidR="00000000" w:rsidRDefault="00A06965">
      <w:pPr>
        <w:pStyle w:val="DefaultParagraphFont"/>
        <w:widowControl w:val="0"/>
        <w:numPr>
          <w:ilvl w:val="0"/>
          <w:numId w:val="15"/>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Berkshire would almost never transfer a subsidiary’s CEO to another unrelated subsidiary.</w:t>
      </w:r>
    </w:p>
    <w:p w:rsidR="00000000" w:rsidRDefault="00A06965">
      <w:pPr>
        <w:pStyle w:val="DefaultParagraphFont"/>
        <w:widowControl w:val="0"/>
        <w:autoSpaceDE w:val="0"/>
        <w:autoSpaceDN w:val="0"/>
        <w:adjustRightInd w:val="0"/>
        <w:spacing w:after="0" w:line="180" w:lineRule="exact"/>
        <w:rPr>
          <w:rFonts w:ascii="Times New Roman" w:hAnsi="Times New Roman" w:cs="Times New Roman"/>
          <w:sz w:val="20"/>
          <w:szCs w:val="20"/>
        </w:rPr>
      </w:pPr>
    </w:p>
    <w:p w:rsidR="00000000" w:rsidRDefault="00A06965">
      <w:pPr>
        <w:pStyle w:val="DefaultParagraphFont"/>
        <w:widowControl w:val="0"/>
        <w:numPr>
          <w:ilvl w:val="0"/>
          <w:numId w:val="15"/>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Berkshire would nev</w:t>
      </w:r>
      <w:r>
        <w:rPr>
          <w:rFonts w:ascii="Times New Roman" w:hAnsi="Times New Roman" w:cs="Times New Roman"/>
          <w:sz w:val="20"/>
          <w:szCs w:val="20"/>
        </w:rPr>
        <w:t>er force the CEO of a subsidiary to retire on account of mere age.</w:t>
      </w:r>
    </w:p>
    <w:p w:rsidR="00000000" w:rsidRDefault="00A06965">
      <w:pPr>
        <w:pStyle w:val="DefaultParagraphFont"/>
        <w:widowControl w:val="0"/>
        <w:autoSpaceDE w:val="0"/>
        <w:autoSpaceDN w:val="0"/>
        <w:adjustRightInd w:val="0"/>
        <w:spacing w:after="0" w:line="194" w:lineRule="exact"/>
        <w:rPr>
          <w:rFonts w:ascii="Times New Roman" w:hAnsi="Times New Roman" w:cs="Times New Roman"/>
          <w:sz w:val="20"/>
          <w:szCs w:val="20"/>
        </w:rPr>
      </w:pPr>
    </w:p>
    <w:p w:rsidR="00000000" w:rsidRDefault="00A06965">
      <w:pPr>
        <w:pStyle w:val="DefaultParagraphFont"/>
        <w:widowControl w:val="0"/>
        <w:numPr>
          <w:ilvl w:val="0"/>
          <w:numId w:val="15"/>
        </w:numPr>
        <w:overflowPunct w:val="0"/>
        <w:autoSpaceDE w:val="0"/>
        <w:autoSpaceDN w:val="0"/>
        <w:adjustRightInd w:val="0"/>
        <w:spacing w:after="0" w:line="235" w:lineRule="auto"/>
        <w:ind w:hanging="420"/>
        <w:jc w:val="both"/>
        <w:rPr>
          <w:rFonts w:ascii="Times New Roman" w:hAnsi="Times New Roman" w:cs="Times New Roman"/>
          <w:sz w:val="20"/>
          <w:szCs w:val="20"/>
        </w:rPr>
      </w:pPr>
      <w:r>
        <w:rPr>
          <w:rFonts w:ascii="Times New Roman" w:hAnsi="Times New Roman" w:cs="Times New Roman"/>
          <w:sz w:val="20"/>
          <w:szCs w:val="20"/>
        </w:rPr>
        <w:t>Berkshire would have little debt outstanding as it tried to maintain (i) virtually perfect creditworthiness under all conditions and (ii) easy availability of cash and credit for depl</w:t>
      </w:r>
      <w:r>
        <w:rPr>
          <w:rFonts w:ascii="Times New Roman" w:hAnsi="Times New Roman" w:cs="Times New Roman"/>
          <w:sz w:val="20"/>
          <w:szCs w:val="20"/>
        </w:rPr>
        <w:t>oyment in times presenting unusual opportunities.</w:t>
      </w:r>
    </w:p>
    <w:p w:rsidR="00000000" w:rsidRDefault="00A06965">
      <w:pPr>
        <w:pStyle w:val="DefaultParagraphFont"/>
        <w:widowControl w:val="0"/>
        <w:autoSpaceDE w:val="0"/>
        <w:autoSpaceDN w:val="0"/>
        <w:adjustRightInd w:val="0"/>
        <w:spacing w:after="0" w:line="194" w:lineRule="exact"/>
        <w:rPr>
          <w:rFonts w:ascii="Times New Roman" w:hAnsi="Times New Roman" w:cs="Times New Roman"/>
          <w:sz w:val="20"/>
          <w:szCs w:val="20"/>
        </w:rPr>
      </w:pPr>
    </w:p>
    <w:p w:rsidR="00000000" w:rsidRDefault="00A06965">
      <w:pPr>
        <w:pStyle w:val="DefaultParagraphFont"/>
        <w:widowControl w:val="0"/>
        <w:numPr>
          <w:ilvl w:val="0"/>
          <w:numId w:val="15"/>
        </w:numPr>
        <w:overflowPunct w:val="0"/>
        <w:autoSpaceDE w:val="0"/>
        <w:autoSpaceDN w:val="0"/>
        <w:adjustRightInd w:val="0"/>
        <w:spacing w:after="0" w:line="235" w:lineRule="auto"/>
        <w:ind w:hanging="420"/>
        <w:jc w:val="both"/>
        <w:rPr>
          <w:rFonts w:ascii="Times New Roman" w:hAnsi="Times New Roman" w:cs="Times New Roman"/>
          <w:sz w:val="20"/>
          <w:szCs w:val="20"/>
        </w:rPr>
      </w:pPr>
      <w:r>
        <w:rPr>
          <w:rFonts w:ascii="Times New Roman" w:hAnsi="Times New Roman" w:cs="Times New Roman"/>
          <w:sz w:val="20"/>
          <w:szCs w:val="20"/>
        </w:rPr>
        <w:t xml:space="preserve">Berkshire would always be user-friendly to a prospective seller of a large business. An offer of such a business would get prompt attention. No one but the Chairman and one or two others at Berkshire </w:t>
      </w:r>
      <w:r>
        <w:rPr>
          <w:rFonts w:ascii="Times New Roman" w:hAnsi="Times New Roman" w:cs="Times New Roman"/>
          <w:sz w:val="20"/>
          <w:szCs w:val="20"/>
        </w:rPr>
        <w:t>would ever know about the offer if it did not lead to a transaction. And they would never tell outsiders about it.</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Both the elements of the Berkshire system and their collected size are quite unusual. No other la</w:t>
      </w:r>
      <w:r>
        <w:rPr>
          <w:rFonts w:ascii="Times New Roman" w:hAnsi="Times New Roman" w:cs="Times New Roman"/>
          <w:sz w:val="20"/>
          <w:szCs w:val="20"/>
        </w:rPr>
        <w:t>rge corporation I know of has half of such elements in place.</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How did Berkshire happen to get a corporate personality so different from the norm?</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0"/>
          <w:szCs w:val="20"/>
        </w:rPr>
        <w:t>Well, Buffett, even when only 34 years old, controlled about 45% of Berkshire’s shares and was completely tr</w:t>
      </w:r>
      <w:r>
        <w:rPr>
          <w:rFonts w:ascii="Times New Roman" w:hAnsi="Times New Roman" w:cs="Times New Roman"/>
          <w:sz w:val="20"/>
          <w:szCs w:val="20"/>
        </w:rPr>
        <w:t>usted by all the other big shareholders. He could install whatever system he wanted. And he did so, creating the Berkshire system.</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jc w:val="both"/>
        <w:rPr>
          <w:rFonts w:ascii="Times New Roman" w:hAnsi="Times New Roman" w:cs="Times New Roman"/>
          <w:sz w:val="24"/>
          <w:szCs w:val="24"/>
        </w:rPr>
      </w:pPr>
      <w:r>
        <w:rPr>
          <w:rFonts w:ascii="Times New Roman" w:hAnsi="Times New Roman" w:cs="Times New Roman"/>
          <w:sz w:val="20"/>
          <w:szCs w:val="20"/>
        </w:rPr>
        <w:t>Almost every element was chosen because Buffett believed that, under him, it would help maximize Berkshire’s achievement. He</w:t>
      </w:r>
      <w:r>
        <w:rPr>
          <w:rFonts w:ascii="Times New Roman" w:hAnsi="Times New Roman" w:cs="Times New Roman"/>
          <w:sz w:val="20"/>
          <w:szCs w:val="20"/>
        </w:rPr>
        <w:t xml:space="preserve"> was not trying to create a one-type-fits-all system for other corporations. Indeed, Berkshire’s subsidiaries were not required to use the Berkshire system in their own operations. And some flourished while using different systems.</w:t>
      </w:r>
    </w:p>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What was Buffett aiming</w:t>
      </w:r>
      <w:r>
        <w:rPr>
          <w:rFonts w:ascii="Times New Roman" w:hAnsi="Times New Roman" w:cs="Times New Roman"/>
          <w:sz w:val="20"/>
          <w:szCs w:val="20"/>
        </w:rPr>
        <w:t xml:space="preserve"> at as he designed the Berkshire system?</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Well, over the years I diagnosed several important themes: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numPr>
          <w:ilvl w:val="0"/>
          <w:numId w:val="16"/>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He particularly wanted continuous maximization of the rationality, skills, and devotion of the most important people in the system, starting with hims</w:t>
      </w:r>
      <w:r>
        <w:rPr>
          <w:rFonts w:ascii="Times New Roman" w:hAnsi="Times New Roman" w:cs="Times New Roman"/>
          <w:sz w:val="20"/>
          <w:szCs w:val="20"/>
        </w:rPr>
        <w:t>elf.</w:t>
      </w:r>
    </w:p>
    <w:p w:rsidR="00000000" w:rsidRDefault="00A06965">
      <w:pPr>
        <w:pStyle w:val="DefaultParagraphFont"/>
        <w:widowControl w:val="0"/>
        <w:numPr>
          <w:ilvl w:val="0"/>
          <w:numId w:val="16"/>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He wanted win/win results everywhere--in gaining loyalty by giving it, for instance.</w:t>
      </w:r>
    </w:p>
    <w:p w:rsidR="00000000" w:rsidRDefault="00A06965">
      <w:pPr>
        <w:pStyle w:val="DefaultParagraphFont"/>
        <w:widowControl w:val="0"/>
        <w:autoSpaceDE w:val="0"/>
        <w:autoSpaceDN w:val="0"/>
        <w:adjustRightInd w:val="0"/>
        <w:spacing w:after="0" w:line="14" w:lineRule="exact"/>
        <w:rPr>
          <w:rFonts w:ascii="Times New Roman" w:hAnsi="Times New Roman" w:cs="Times New Roman"/>
          <w:sz w:val="20"/>
          <w:szCs w:val="20"/>
        </w:rPr>
      </w:pPr>
    </w:p>
    <w:p w:rsidR="00000000" w:rsidRDefault="00A06965">
      <w:pPr>
        <w:pStyle w:val="DefaultParagraphFont"/>
        <w:widowControl w:val="0"/>
        <w:numPr>
          <w:ilvl w:val="0"/>
          <w:numId w:val="16"/>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He wanted decisions that maximized long-term results, seeking these from decision makers who usually stayed long enough in place to bear the consequences of decisions.</w:t>
      </w:r>
    </w:p>
    <w:p w:rsidR="00000000" w:rsidRDefault="00A06965">
      <w:pPr>
        <w:pStyle w:val="DefaultParagraphFont"/>
        <w:widowControl w:val="0"/>
        <w:autoSpaceDE w:val="0"/>
        <w:autoSpaceDN w:val="0"/>
        <w:adjustRightInd w:val="0"/>
        <w:spacing w:after="0" w:line="13" w:lineRule="exact"/>
        <w:rPr>
          <w:rFonts w:ascii="Times New Roman" w:hAnsi="Times New Roman" w:cs="Times New Roman"/>
          <w:sz w:val="20"/>
          <w:szCs w:val="20"/>
        </w:rPr>
      </w:pPr>
    </w:p>
    <w:p w:rsidR="00000000" w:rsidRDefault="00A06965">
      <w:pPr>
        <w:pStyle w:val="DefaultParagraphFont"/>
        <w:widowControl w:val="0"/>
        <w:numPr>
          <w:ilvl w:val="0"/>
          <w:numId w:val="16"/>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He wanted to minimize the bad effects that would almost inevitably come from a larg</w:t>
      </w:r>
      <w:r>
        <w:rPr>
          <w:rFonts w:ascii="Times New Roman" w:hAnsi="Times New Roman" w:cs="Times New Roman"/>
          <w:sz w:val="20"/>
          <w:szCs w:val="20"/>
        </w:rPr>
        <w:t>e bureaucracy at headquarters.</w:t>
      </w:r>
    </w:p>
    <w:p w:rsidR="00000000" w:rsidRDefault="00A06965">
      <w:pPr>
        <w:pStyle w:val="DefaultParagraphFont"/>
        <w:widowControl w:val="0"/>
        <w:numPr>
          <w:ilvl w:val="0"/>
          <w:numId w:val="16"/>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He wanted to personally contribute, like Professor Ben Graham, to the spread of wisdom attained.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rPr>
          <w:rFonts w:ascii="Times New Roman" w:hAnsi="Times New Roman" w:cs="Times New Roman"/>
          <w:sz w:val="24"/>
          <w:szCs w:val="24"/>
        </w:rPr>
      </w:pPr>
      <w:r>
        <w:rPr>
          <w:rFonts w:ascii="Times New Roman" w:hAnsi="Times New Roman" w:cs="Times New Roman"/>
          <w:sz w:val="20"/>
          <w:szCs w:val="20"/>
        </w:rPr>
        <w:t xml:space="preserve">When Buffett developed the Berkshire system, did he foresee all the benefits that followed? No. Buffett stumbled into some </w:t>
      </w:r>
      <w:r>
        <w:rPr>
          <w:rFonts w:ascii="Times New Roman" w:hAnsi="Times New Roman" w:cs="Times New Roman"/>
          <w:sz w:val="20"/>
          <w:szCs w:val="20"/>
        </w:rPr>
        <w:t>benefits through practice evolution. But, when he saw useful consequences, he strengthened their causes.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1"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7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40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1" w:right="6020" w:bottom="94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Why did Berkshire under Buffett do so well?</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Only four large factors occur to me:</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numPr>
          <w:ilvl w:val="0"/>
          <w:numId w:val="17"/>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The constructive peculiarities of Buffett,</w:t>
      </w:r>
    </w:p>
    <w:p w:rsidR="00000000" w:rsidRDefault="00A06965">
      <w:pPr>
        <w:pStyle w:val="DefaultParagraphFont"/>
        <w:widowControl w:val="0"/>
        <w:numPr>
          <w:ilvl w:val="0"/>
          <w:numId w:val="17"/>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The constructive peculiarities of the Berkshire system,</w:t>
      </w:r>
    </w:p>
    <w:p w:rsidR="00000000" w:rsidRDefault="00A06965">
      <w:pPr>
        <w:pStyle w:val="DefaultParagraphFont"/>
        <w:widowControl w:val="0"/>
        <w:numPr>
          <w:ilvl w:val="0"/>
          <w:numId w:val="17"/>
        </w:numPr>
        <w:overflowPunct w:val="0"/>
        <w:autoSpaceDE w:val="0"/>
        <w:autoSpaceDN w:val="0"/>
        <w:adjustRightInd w:val="0"/>
        <w:spacing w:after="0" w:line="239" w:lineRule="auto"/>
        <w:ind w:hanging="420"/>
        <w:jc w:val="both"/>
        <w:rPr>
          <w:rFonts w:ascii="Times New Roman" w:hAnsi="Times New Roman" w:cs="Times New Roman"/>
          <w:sz w:val="20"/>
          <w:szCs w:val="20"/>
        </w:rPr>
      </w:pPr>
      <w:r>
        <w:rPr>
          <w:rFonts w:ascii="Times New Roman" w:hAnsi="Times New Roman" w:cs="Times New Roman"/>
          <w:sz w:val="20"/>
          <w:szCs w:val="20"/>
        </w:rPr>
        <w:t>Good luck, and</w:t>
      </w:r>
    </w:p>
    <w:p w:rsidR="00000000" w:rsidRDefault="00A06965">
      <w:pPr>
        <w:pStyle w:val="DefaultParagraphFont"/>
        <w:widowControl w:val="0"/>
        <w:autoSpaceDE w:val="0"/>
        <w:autoSpaceDN w:val="0"/>
        <w:adjustRightInd w:val="0"/>
        <w:spacing w:after="0" w:line="14" w:lineRule="exact"/>
        <w:rPr>
          <w:rFonts w:ascii="Times New Roman" w:hAnsi="Times New Roman" w:cs="Times New Roman"/>
          <w:sz w:val="20"/>
          <w:szCs w:val="20"/>
        </w:rPr>
      </w:pPr>
    </w:p>
    <w:p w:rsidR="00000000" w:rsidRDefault="00A06965">
      <w:pPr>
        <w:pStyle w:val="DefaultParagraphFont"/>
        <w:widowControl w:val="0"/>
        <w:numPr>
          <w:ilvl w:val="0"/>
          <w:numId w:val="17"/>
        </w:numPr>
        <w:overflowPunct w:val="0"/>
        <w:autoSpaceDE w:val="0"/>
        <w:autoSpaceDN w:val="0"/>
        <w:adjustRightInd w:val="0"/>
        <w:spacing w:after="0" w:line="233" w:lineRule="auto"/>
        <w:ind w:hanging="420"/>
        <w:jc w:val="both"/>
        <w:rPr>
          <w:rFonts w:ascii="Times New Roman" w:hAnsi="Times New Roman" w:cs="Times New Roman"/>
          <w:sz w:val="20"/>
          <w:szCs w:val="20"/>
        </w:rPr>
      </w:pPr>
      <w:r>
        <w:rPr>
          <w:rFonts w:ascii="Times New Roman" w:hAnsi="Times New Roman" w:cs="Times New Roman"/>
          <w:sz w:val="20"/>
          <w:szCs w:val="20"/>
        </w:rPr>
        <w:t>The weirdly intense, contagious devotion of some shareholders and other admirers, including some in the press.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I believe all fou</w:t>
      </w:r>
      <w:r>
        <w:rPr>
          <w:rFonts w:ascii="Times New Roman" w:hAnsi="Times New Roman" w:cs="Times New Roman"/>
          <w:sz w:val="20"/>
          <w:szCs w:val="20"/>
        </w:rPr>
        <w:t>r factors were present and helpful. But the heavy freight was carried by the constructive peculiarities, the weird devotion, and their interactions.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0"/>
          <w:szCs w:val="20"/>
        </w:rPr>
        <w:t xml:space="preserve">In particular, Buffett’s decision to limit his activities to a few kinds and to maximize his attention to </w:t>
      </w:r>
      <w:r>
        <w:rPr>
          <w:rFonts w:ascii="Times New Roman" w:hAnsi="Times New Roman" w:cs="Times New Roman"/>
          <w:sz w:val="20"/>
          <w:szCs w:val="20"/>
        </w:rPr>
        <w:t>them, and to keep doing so for 50 years, was a lollapalooza. Buffett succeeded for the same reason Roger Federer became good at tennis.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jc w:val="both"/>
        <w:rPr>
          <w:rFonts w:ascii="Times New Roman" w:hAnsi="Times New Roman" w:cs="Times New Roman"/>
          <w:sz w:val="24"/>
          <w:szCs w:val="24"/>
        </w:rPr>
      </w:pPr>
      <w:r>
        <w:rPr>
          <w:rFonts w:ascii="Times New Roman" w:hAnsi="Times New Roman" w:cs="Times New Roman"/>
          <w:sz w:val="20"/>
          <w:szCs w:val="20"/>
        </w:rPr>
        <w:t>Buffett was, in effect, using the winning method of the famous basketball coach, John Wooden, who won most regularly after he had learned to assign virtually all playing time to his seven best players. That way, opponents always faced his best players, ins</w:t>
      </w:r>
      <w:r>
        <w:rPr>
          <w:rFonts w:ascii="Times New Roman" w:hAnsi="Times New Roman" w:cs="Times New Roman"/>
          <w:sz w:val="20"/>
          <w:szCs w:val="20"/>
        </w:rPr>
        <w:t>tead of his second best. And, with the extra playing time, the best players improved more than was normal.</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0"/>
          <w:szCs w:val="20"/>
        </w:rPr>
        <w:t>And Buffett much out-Woodened Wooden, because in his case the exercise of skill was concentrated in one person, not seven, and his skill improved an</w:t>
      </w:r>
      <w:r>
        <w:rPr>
          <w:rFonts w:ascii="Times New Roman" w:hAnsi="Times New Roman" w:cs="Times New Roman"/>
          <w:sz w:val="20"/>
          <w:szCs w:val="20"/>
        </w:rPr>
        <w:t>d improved as he got older and older during 50 years, instead of deteriorating like the skill of a basketball player does.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0"/>
          <w:szCs w:val="20"/>
        </w:rPr>
        <w:t>Moreover, by concentrating so much power and authority in the often-long-serving CEOs of important subsidiaries, Buffett was also creating strong Wooden-type effects there. And such effects enhanced the skills of the CEOs and the achievements of the subsid</w:t>
      </w:r>
      <w:r>
        <w:rPr>
          <w:rFonts w:ascii="Times New Roman" w:hAnsi="Times New Roman" w:cs="Times New Roman"/>
          <w:sz w:val="20"/>
          <w:szCs w:val="20"/>
        </w:rPr>
        <w:t>iaries.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0"/>
          <w:szCs w:val="20"/>
        </w:rPr>
        <w:t>Then, as the Berkshire system bestowed much-desired autonomy on many subsidiaries and their CEOs, and Berkshire became successful and well known, these outcomes attracted both more and better subsidiaries into Berkshire, and better CEOs as well.</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And the better subsidiaries and CEOs then required less attention from headquarters, creating what is often called a “virtuous circle.”</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How well did it work out for Berkshire to always include casualty insurers as important subsidiaries?</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Marvelously well</w:t>
      </w:r>
      <w:r>
        <w:rPr>
          <w:rFonts w:ascii="Times New Roman" w:hAnsi="Times New Roman" w:cs="Times New Roman"/>
          <w:sz w:val="20"/>
          <w:szCs w:val="20"/>
        </w:rPr>
        <w:t>. Berkshire’s ambitions were unreasonably extreme and, even so, it got what it wanted.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0"/>
          <w:szCs w:val="20"/>
        </w:rPr>
        <w:t>Casualty insurers often invest in common stocks with a value amounting roughly to their shareholders’ equity, as did Berkshire’s insurance subsidiaries. And the S&amp;P 500</w:t>
      </w:r>
      <w:r>
        <w:rPr>
          <w:rFonts w:ascii="Times New Roman" w:hAnsi="Times New Roman" w:cs="Times New Roman"/>
          <w:sz w:val="20"/>
          <w:szCs w:val="20"/>
        </w:rPr>
        <w:t xml:space="preserve"> Index produced about 10% per annum, pre-tax, during the last 50 years, creating a significant tailwind.</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jc w:val="both"/>
        <w:rPr>
          <w:rFonts w:ascii="Times New Roman" w:hAnsi="Times New Roman" w:cs="Times New Roman"/>
          <w:sz w:val="24"/>
          <w:szCs w:val="24"/>
        </w:rPr>
      </w:pPr>
      <w:r>
        <w:rPr>
          <w:rFonts w:ascii="Times New Roman" w:hAnsi="Times New Roman" w:cs="Times New Roman"/>
          <w:sz w:val="20"/>
          <w:szCs w:val="20"/>
        </w:rPr>
        <w:t>And, in the early decades of the Buffett era, common stocks within Berkshire’</w:t>
      </w:r>
      <w:r>
        <w:rPr>
          <w:rFonts w:ascii="Times New Roman" w:hAnsi="Times New Roman" w:cs="Times New Roman"/>
          <w:sz w:val="20"/>
          <w:szCs w:val="20"/>
        </w:rPr>
        <w:t>s insurance subsidiaries greatly outperformed the index, exactly as Buffett expected. And, later, when both the large size of Berkshire’s stockholdings and income tax considerations caused the index-beating part of returns to fade to insignificance (perhap</w:t>
      </w:r>
      <w:r>
        <w:rPr>
          <w:rFonts w:ascii="Times New Roman" w:hAnsi="Times New Roman" w:cs="Times New Roman"/>
          <w:sz w:val="20"/>
          <w:szCs w:val="20"/>
        </w:rPr>
        <w:t>s not forever), other and better advantage came. Ajit Jain created out of nothing an immense reinsurance business that produced both a huge “float” and a large underwriting gain. And all of GEICO came into Berkshire, followed by a quadrupling of GEICO’s ma</w:t>
      </w:r>
      <w:r>
        <w:rPr>
          <w:rFonts w:ascii="Times New Roman" w:hAnsi="Times New Roman" w:cs="Times New Roman"/>
          <w:sz w:val="20"/>
          <w:szCs w:val="20"/>
        </w:rPr>
        <w:t>rket share. And the rest of Berkshire’s insurance operations hugely improved, largely by dint of reputational advantage, underwriting discipline, finding and staying within good niches, and recruiting and holding outstanding people.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01"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41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01"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0"/>
          <w:szCs w:val="20"/>
        </w:rPr>
        <w:t xml:space="preserve">Then, later, as Berkshire’s nearly unique and quite dependable corporate personality and large size became well known, its insurance subsidiaries got and seized many attractive opportunities, not available to others, to buy privately </w:t>
      </w:r>
      <w:r>
        <w:rPr>
          <w:rFonts w:ascii="Times New Roman" w:hAnsi="Times New Roman" w:cs="Times New Roman"/>
          <w:sz w:val="20"/>
          <w:szCs w:val="20"/>
        </w:rPr>
        <w:t>issued securities. Most of these securities had fixed maturities and produced outstanding results.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jc w:val="both"/>
        <w:rPr>
          <w:rFonts w:ascii="Times New Roman" w:hAnsi="Times New Roman" w:cs="Times New Roman"/>
          <w:sz w:val="24"/>
          <w:szCs w:val="24"/>
        </w:rPr>
      </w:pPr>
      <w:r>
        <w:rPr>
          <w:rFonts w:ascii="Times New Roman" w:hAnsi="Times New Roman" w:cs="Times New Roman"/>
          <w:sz w:val="20"/>
          <w:szCs w:val="20"/>
        </w:rPr>
        <w:t xml:space="preserve">Berkshire’s marvelous outcome in insurance was not a natural result. Ordinarily, a casualty insurance business is a producer of mediocre results, even when </w:t>
      </w:r>
      <w:r>
        <w:rPr>
          <w:rFonts w:ascii="Times New Roman" w:hAnsi="Times New Roman" w:cs="Times New Roman"/>
          <w:sz w:val="20"/>
          <w:szCs w:val="20"/>
        </w:rPr>
        <w:t>very well managed. And such results are of little use. Berkshire’s better outcome was so astoundingly large that I believe that Buffett would now fail to recreate it if he returned to a small base while retaining his smarts and regaining his youth.</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Did Berkshire suffer from being a diffuse conglomerate? No, its opportunities were usefully enlarged by a widened area for operation. And bad effects, common elsewhere, were prevented by Buffett’s skills.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Why did Berkshire prefer to buy companies with cas</w:t>
      </w:r>
      <w:r>
        <w:rPr>
          <w:rFonts w:ascii="Times New Roman" w:hAnsi="Times New Roman" w:cs="Times New Roman"/>
          <w:sz w:val="20"/>
          <w:szCs w:val="20"/>
        </w:rPr>
        <w:t>h, instead of its own stock? Well, it was hard to get anything in exchange for Berkshire stock that was as valuable as what was given up.</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Why did Berkshire’s acquisition of companies outside the insurance business work out so well for Berkshire shareholde</w:t>
      </w:r>
      <w:r>
        <w:rPr>
          <w:rFonts w:ascii="Times New Roman" w:hAnsi="Times New Roman" w:cs="Times New Roman"/>
          <w:sz w:val="20"/>
          <w:szCs w:val="20"/>
        </w:rPr>
        <w:t>rs when the normal result in such acquisitions is bad for shareholders of the acquirer?</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jc w:val="both"/>
        <w:rPr>
          <w:rFonts w:ascii="Times New Roman" w:hAnsi="Times New Roman" w:cs="Times New Roman"/>
          <w:sz w:val="24"/>
          <w:szCs w:val="24"/>
        </w:rPr>
      </w:pPr>
      <w:r>
        <w:rPr>
          <w:rFonts w:ascii="Times New Roman" w:hAnsi="Times New Roman" w:cs="Times New Roman"/>
          <w:sz w:val="20"/>
          <w:szCs w:val="20"/>
        </w:rPr>
        <w:t>Well, Berkshire, by design, had methodological advantages to supplement its better opportunities. It never had the equivalent of a “department of acquisitions” under p</w:t>
      </w:r>
      <w:r>
        <w:rPr>
          <w:rFonts w:ascii="Times New Roman" w:hAnsi="Times New Roman" w:cs="Times New Roman"/>
          <w:sz w:val="20"/>
          <w:szCs w:val="20"/>
        </w:rPr>
        <w:t xml:space="preserve">ressure to buy. And it never relied on advice from “helpers” sure to be prejudiced in favor of transactions. And Buffett held self-delusion at bay as he underclaimed expertise while he knew better than most corporate executives what worked and what didn’t </w:t>
      </w:r>
      <w:r>
        <w:rPr>
          <w:rFonts w:ascii="Times New Roman" w:hAnsi="Times New Roman" w:cs="Times New Roman"/>
          <w:sz w:val="20"/>
          <w:szCs w:val="20"/>
        </w:rPr>
        <w:t>in business, aided by his long experience as a passive investor. And, finally, even when Berkshire was getting much better opportunities than most others, Buffett often displayed almost inhuman patience and seldom bought. For instance, during his first ten</w:t>
      </w:r>
      <w:r>
        <w:rPr>
          <w:rFonts w:ascii="Times New Roman" w:hAnsi="Times New Roman" w:cs="Times New Roman"/>
          <w:sz w:val="20"/>
          <w:szCs w:val="20"/>
        </w:rPr>
        <w:t xml:space="preserve"> years in control of Berkshire, Buffett saw one business (textiles) move close to death and two new businesses come in, for a net gain of one.</w:t>
      </w:r>
    </w:p>
    <w:p w:rsidR="00000000" w:rsidRDefault="00A06965">
      <w:pPr>
        <w:pStyle w:val="DefaultParagraphFont"/>
        <w:widowControl w:val="0"/>
        <w:autoSpaceDE w:val="0"/>
        <w:autoSpaceDN w:val="0"/>
        <w:adjustRightInd w:val="0"/>
        <w:spacing w:after="0" w:line="21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jc w:val="both"/>
        <w:rPr>
          <w:rFonts w:ascii="Times New Roman" w:hAnsi="Times New Roman" w:cs="Times New Roman"/>
          <w:sz w:val="24"/>
          <w:szCs w:val="24"/>
        </w:rPr>
      </w:pPr>
      <w:r>
        <w:rPr>
          <w:rFonts w:ascii="Times New Roman" w:hAnsi="Times New Roman" w:cs="Times New Roman"/>
          <w:sz w:val="20"/>
          <w:szCs w:val="20"/>
        </w:rPr>
        <w:t>What were the big mistakes made by Berkshire under Buffett? Well, while mistakes of commission were common, almo</w:t>
      </w:r>
      <w:r>
        <w:rPr>
          <w:rFonts w:ascii="Times New Roman" w:hAnsi="Times New Roman" w:cs="Times New Roman"/>
          <w:sz w:val="20"/>
          <w:szCs w:val="20"/>
        </w:rPr>
        <w:t>st all huge errors were in not making a purchase, including not purchasing Walmart stock when that was sure to work out enormously well. The errors of omission were of much importance. Berkshire’s net worth would now be at least $50 billion higher if it ha</w:t>
      </w:r>
      <w:r>
        <w:rPr>
          <w:rFonts w:ascii="Times New Roman" w:hAnsi="Times New Roman" w:cs="Times New Roman"/>
          <w:sz w:val="20"/>
          <w:szCs w:val="20"/>
        </w:rPr>
        <w:t>d seized several opportunities it was not quite smart enough to recognize as virtually sure things.</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The next to last task on my list was: Predict whether abnormally good results would continue at Berkshire if Buffett were soon to depart.</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The answer is ye</w:t>
      </w:r>
      <w:r>
        <w:rPr>
          <w:rFonts w:ascii="Times New Roman" w:hAnsi="Times New Roman" w:cs="Times New Roman"/>
          <w:sz w:val="20"/>
          <w:szCs w:val="20"/>
        </w:rPr>
        <w:t>s. Berkshire has in place in its subsidiaries much business momentum grounded in much durable competitive advantage.</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 xml:space="preserve">Moreover, its railroad and utility subsidiaries now provide much desirable opportunity to invest large sums in new fixed assets. And many </w:t>
      </w:r>
      <w:r>
        <w:rPr>
          <w:rFonts w:ascii="Times New Roman" w:hAnsi="Times New Roman" w:cs="Times New Roman"/>
          <w:sz w:val="20"/>
          <w:szCs w:val="20"/>
        </w:rPr>
        <w:t>subsidiaries are now engaged in making wise “bolt-on” acquisitions.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Provided that most of the Berkshire system remains in place, the combined momentum and opportunity now present is so great that Berkshire would almost surely remain a better-than-normal c</w:t>
      </w:r>
      <w:r>
        <w:rPr>
          <w:rFonts w:ascii="Times New Roman" w:hAnsi="Times New Roman" w:cs="Times New Roman"/>
          <w:sz w:val="20"/>
          <w:szCs w:val="20"/>
        </w:rPr>
        <w:t>ompany for a very long time even if</w:t>
      </w:r>
    </w:p>
    <w:p w:rsidR="00000000" w:rsidRDefault="00A06965">
      <w:pPr>
        <w:pStyle w:val="DefaultParagraphFont"/>
        <w:widowControl w:val="0"/>
        <w:autoSpaceDE w:val="0"/>
        <w:autoSpaceDN w:val="0"/>
        <w:adjustRightInd w:val="0"/>
        <w:spacing w:after="0" w:line="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(1) Buffett left tomorrow, (2) his successors were persons of only moderate ability, and (3) Berkshire never again purchased a large business.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jc w:val="both"/>
        <w:rPr>
          <w:rFonts w:ascii="Times New Roman" w:hAnsi="Times New Roman" w:cs="Times New Roman"/>
          <w:sz w:val="24"/>
          <w:szCs w:val="24"/>
        </w:rPr>
      </w:pPr>
      <w:r>
        <w:rPr>
          <w:rFonts w:ascii="Times New Roman" w:hAnsi="Times New Roman" w:cs="Times New Roman"/>
          <w:sz w:val="20"/>
          <w:szCs w:val="20"/>
        </w:rPr>
        <w:t>But, under this Buffett-soon-leaves assumption, his successors would not be “of only moderate ability.” For instance, Ajit Jain and Greg Abel are proven performers who would probably be under-described as “world-class.” “World-leading” would be the descrip</w:t>
      </w:r>
      <w:r>
        <w:rPr>
          <w:rFonts w:ascii="Times New Roman" w:hAnsi="Times New Roman" w:cs="Times New Roman"/>
          <w:sz w:val="20"/>
          <w:szCs w:val="20"/>
        </w:rPr>
        <w:t>tion I would choose. In some important ways, each is a better business executive than Buffett.</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And I believe neither Jain nor Abel would (1) leave Berkshire, no matter what someone else offered or (2) desire much change in the Berkshire system.</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42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0"/>
          <w:szCs w:val="20"/>
        </w:rPr>
        <w:t>Nor do I think that desirable purchases of new businesses would end with Buffett’s departure. With Berkshire now so large and the age of activism upon us, I think some desirable acquisition opportunities will com</w:t>
      </w:r>
      <w:r>
        <w:rPr>
          <w:rFonts w:ascii="Times New Roman" w:hAnsi="Times New Roman" w:cs="Times New Roman"/>
          <w:sz w:val="20"/>
          <w:szCs w:val="20"/>
        </w:rPr>
        <w:t>e and that Berkshire’s $60 billion in cash will constructively decrease.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3" w:lineRule="auto"/>
        <w:jc w:val="both"/>
        <w:rPr>
          <w:rFonts w:ascii="Times New Roman" w:hAnsi="Times New Roman" w:cs="Times New Roman"/>
          <w:sz w:val="24"/>
          <w:szCs w:val="24"/>
        </w:rPr>
      </w:pPr>
      <w:r>
        <w:rPr>
          <w:rFonts w:ascii="Times New Roman" w:hAnsi="Times New Roman" w:cs="Times New Roman"/>
          <w:sz w:val="20"/>
          <w:szCs w:val="20"/>
        </w:rPr>
        <w:t>My final task was to consider whether Berkshire’s great results over the last 50 years have implications that may prove useful elsewhere.</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0"/>
          <w:szCs w:val="20"/>
        </w:rPr>
        <w:t xml:space="preserve">The answer is plainly yes. In its early Buffett years, Berkshire had a big task ahead: turning a tiny stash into a large and useful company. And it solved that problem by avoiding bureaucracy and relying much on one thoughtful leader for a long, long time </w:t>
      </w:r>
      <w:r>
        <w:rPr>
          <w:rFonts w:ascii="Times New Roman" w:hAnsi="Times New Roman" w:cs="Times New Roman"/>
          <w:sz w:val="20"/>
          <w:szCs w:val="20"/>
        </w:rPr>
        <w:t>as he kept improving and brought in more people like himself.</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5" w:lineRule="auto"/>
        <w:jc w:val="both"/>
        <w:rPr>
          <w:rFonts w:ascii="Times New Roman" w:hAnsi="Times New Roman" w:cs="Times New Roman"/>
          <w:sz w:val="24"/>
          <w:szCs w:val="24"/>
        </w:rPr>
      </w:pPr>
      <w:r>
        <w:rPr>
          <w:rFonts w:ascii="Times New Roman" w:hAnsi="Times New Roman" w:cs="Times New Roman"/>
          <w:sz w:val="20"/>
          <w:szCs w:val="20"/>
        </w:rPr>
        <w:t xml:space="preserve">Compare this to a typical big-corporation system with much bureaucracy at headquarters and a long succession of CEOs who come in at about age 59, pause little thereafter for quiet thought, and </w:t>
      </w:r>
      <w:r>
        <w:rPr>
          <w:rFonts w:ascii="Times New Roman" w:hAnsi="Times New Roman" w:cs="Times New Roman"/>
          <w:sz w:val="20"/>
          <w:szCs w:val="20"/>
        </w:rPr>
        <w:t>are soon forced out by a fixed retirement age.</w:t>
      </w:r>
    </w:p>
    <w:p w:rsidR="00000000" w:rsidRDefault="00A06965">
      <w:pPr>
        <w:pStyle w:val="DefaultParagraphFont"/>
        <w:widowControl w:val="0"/>
        <w:autoSpaceDE w:val="0"/>
        <w:autoSpaceDN w:val="0"/>
        <w:adjustRightInd w:val="0"/>
        <w:spacing w:after="0" w:line="21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6" w:lineRule="auto"/>
        <w:jc w:val="both"/>
        <w:rPr>
          <w:rFonts w:ascii="Times New Roman" w:hAnsi="Times New Roman" w:cs="Times New Roman"/>
          <w:sz w:val="24"/>
          <w:szCs w:val="24"/>
        </w:rPr>
      </w:pPr>
      <w:r>
        <w:rPr>
          <w:rFonts w:ascii="Times New Roman" w:hAnsi="Times New Roman" w:cs="Times New Roman"/>
          <w:sz w:val="20"/>
          <w:szCs w:val="20"/>
        </w:rPr>
        <w:t>I believe that versions of the Berkshire system should be tried more often elsewhere and that the worst attributes of bureaucracy should much more often be treated like the cancers they so much resemble. A go</w:t>
      </w:r>
      <w:r>
        <w:rPr>
          <w:rFonts w:ascii="Times New Roman" w:hAnsi="Times New Roman" w:cs="Times New Roman"/>
          <w:sz w:val="20"/>
          <w:szCs w:val="20"/>
        </w:rPr>
        <w:t>od example of bureaucracy fixing was created by George Marshall when he helped win World War II by getting from Congress the right to ignore seniority in choosing generals.</w:t>
      </w:r>
    </w:p>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5740"/>
        <w:rPr>
          <w:rFonts w:ascii="Times New Roman" w:hAnsi="Times New Roman" w:cs="Times New Roman"/>
          <w:sz w:val="24"/>
          <w:szCs w:val="24"/>
        </w:rPr>
      </w:pPr>
      <w:r>
        <w:rPr>
          <w:rFonts w:ascii="Times New Roman" w:hAnsi="Times New Roman" w:cs="Times New Roman"/>
          <w:sz w:val="20"/>
          <w:szCs w:val="20"/>
        </w:rPr>
        <w:t>Sincerely,</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5740"/>
        <w:rPr>
          <w:rFonts w:ascii="Times New Roman" w:hAnsi="Times New Roman" w:cs="Times New Roman"/>
          <w:sz w:val="24"/>
          <w:szCs w:val="24"/>
        </w:rPr>
      </w:pPr>
      <w:r>
        <w:rPr>
          <w:rFonts w:ascii="Times New Roman" w:hAnsi="Times New Roman" w:cs="Times New Roman"/>
          <w:sz w:val="20"/>
          <w:szCs w:val="20"/>
        </w:rPr>
        <w:t>Charles T. Munger</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314" w:right="1440" w:bottom="943" w:left="1440" w:header="720" w:footer="720" w:gutter="0"/>
          <w:cols w:space="720" w:equalWidth="0">
            <w:col w:w="9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8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43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1314" w:right="6020" w:bottom="94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2240" w:bottom="1440" w:left="0" w:header="720" w:footer="720" w:gutter="0"/>
          <w:cols w:space="720"/>
          <w:noEndnote/>
        </w:sectPr>
      </w:pPr>
    </w:p>
    <w:p w:rsidR="00000000" w:rsidRDefault="00A06965">
      <w:pPr>
        <w:pStyle w:val="DefaultParagraphFont"/>
        <w:widowControl w:val="0"/>
        <w:autoSpaceDE w:val="0"/>
        <w:autoSpaceDN w:val="0"/>
        <w:adjustRightInd w:val="0"/>
        <w:spacing w:after="0" w:line="239" w:lineRule="auto"/>
        <w:ind w:left="3700"/>
        <w:rPr>
          <w:rFonts w:ascii="Times New Roman" w:hAnsi="Times New Roman" w:cs="Times New Roman"/>
          <w:sz w:val="24"/>
          <w:szCs w:val="24"/>
        </w:rPr>
      </w:pPr>
      <w:r>
        <w:rPr>
          <w:rFonts w:ascii="Times" w:hAnsi="Times" w:cs="Times"/>
          <w:b/>
          <w:bCs/>
          <w:sz w:val="20"/>
          <w:szCs w:val="20"/>
        </w:rPr>
        <w:t>BERKSHIRE HATHAWAY INC.</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60"/>
        <w:rPr>
          <w:rFonts w:ascii="Times New Roman" w:hAnsi="Times New Roman" w:cs="Times New Roman"/>
          <w:sz w:val="24"/>
          <w:szCs w:val="24"/>
        </w:rPr>
      </w:pPr>
      <w:r>
        <w:rPr>
          <w:rFonts w:ascii="Times" w:hAnsi="Times" w:cs="Times"/>
          <w:b/>
          <w:bCs/>
          <w:sz w:val="20"/>
          <w:szCs w:val="20"/>
        </w:rPr>
        <w:t>BUSINESS ACTIVITIES</w:t>
      </w: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50" w:lineRule="auto"/>
        <w:ind w:firstLine="400"/>
        <w:jc w:val="both"/>
        <w:rPr>
          <w:rFonts w:ascii="Times New Roman" w:hAnsi="Times New Roman" w:cs="Times New Roman"/>
          <w:sz w:val="24"/>
          <w:szCs w:val="24"/>
        </w:rPr>
      </w:pPr>
      <w:r>
        <w:rPr>
          <w:rFonts w:ascii="Times" w:hAnsi="Times" w:cs="Times"/>
          <w:b/>
          <w:bCs/>
          <w:sz w:val="20"/>
          <w:szCs w:val="20"/>
        </w:rPr>
        <w:t xml:space="preserve">Berkshire Hathaway Inc. </w:t>
      </w:r>
      <w:r>
        <w:rPr>
          <w:rFonts w:ascii="Times" w:hAnsi="Times" w:cs="Times"/>
          <w:sz w:val="20"/>
          <w:szCs w:val="20"/>
        </w:rPr>
        <w:t>is a holding company owning subsidiaries that engage in a number of diverse business activities</w:t>
      </w:r>
      <w:r>
        <w:rPr>
          <w:rFonts w:ascii="Times" w:hAnsi="Times" w:cs="Times"/>
          <w:b/>
          <w:bCs/>
          <w:sz w:val="20"/>
          <w:szCs w:val="20"/>
        </w:rPr>
        <w:t xml:space="preserve"> </w:t>
      </w:r>
      <w:r>
        <w:rPr>
          <w:rFonts w:ascii="Times" w:hAnsi="Times" w:cs="Times"/>
          <w:sz w:val="20"/>
          <w:szCs w:val="20"/>
        </w:rPr>
        <w:t>including insurance and reinsurance, freight rail transportation, utilities and energy, finance, manufacturing, services and retailing. Included in the group of subsidiaries that underwrite insurance and reinsurance is GEICO, the second largest private pas</w:t>
      </w:r>
      <w:r>
        <w:rPr>
          <w:rFonts w:ascii="Times" w:hAnsi="Times" w:cs="Times"/>
          <w:sz w:val="20"/>
          <w:szCs w:val="20"/>
        </w:rPr>
        <w:t>senger auto insurer in the United States and two of the largest reinsurers in the world, General Re and the Berkshire Hathaway Reinsurance Group. Other subsidiaries that underwrite property and casualty insurance include: National Indemnity Company, Berksh</w:t>
      </w:r>
      <w:r>
        <w:rPr>
          <w:rFonts w:ascii="Times" w:hAnsi="Times" w:cs="Times"/>
          <w:sz w:val="20"/>
          <w:szCs w:val="20"/>
        </w:rPr>
        <w:t>ire Hathaway Homestate Insurance Companies, Medical Protective Company, Applied Underwriters, U.S. Liability Insurance Company, Central States Indemnity Company, BoatU.S., Berkshire Hathaway Guard Insurance Companies and Berkshire Hathaway Specialty Insura</w:t>
      </w:r>
      <w:r>
        <w:rPr>
          <w:rFonts w:ascii="Times" w:hAnsi="Times" w:cs="Times"/>
          <w:sz w:val="20"/>
          <w:szCs w:val="20"/>
        </w:rPr>
        <w:t>nce Company.</w:t>
      </w:r>
    </w:p>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Burlington Northern Santa Fe (“BNSF”) operates one of the largest railroad systems in North America. In serving the Midwest, Pacific Northwest and the Western, Southwestern and Southeastern regions and ports of the U.S., BNSF transports a ran</w:t>
      </w:r>
      <w:r>
        <w:rPr>
          <w:rFonts w:ascii="Times" w:hAnsi="Times" w:cs="Times"/>
          <w:sz w:val="20"/>
          <w:szCs w:val="20"/>
        </w:rPr>
        <w:t>ge of products and commodities derived from manufacturing, agricultural and natural resource industries. Berkshire Hathaway Energy Company (“BHE”) is an international energy holding company owning a wide variety of operating companies engaged in the genera</w:t>
      </w:r>
      <w:r>
        <w:rPr>
          <w:rFonts w:ascii="Times" w:hAnsi="Times" w:cs="Times"/>
          <w:sz w:val="20"/>
          <w:szCs w:val="20"/>
        </w:rPr>
        <w:t>tion, transmission and distribution of energy. BHE’s principal operating energy companies are: MidAmerican Energy Company, PacifiCorp and NV Energy; Northern Powergrid; AltaLink; Kern River Gas Transmission Company and Northern Natural Gas; and BHE Renewab</w:t>
      </w:r>
      <w:r>
        <w:rPr>
          <w:rFonts w:ascii="Times" w:hAnsi="Times" w:cs="Times"/>
          <w:sz w:val="20"/>
          <w:szCs w:val="20"/>
        </w:rPr>
        <w:t>les. In addition, BHE owns HomeServices of America, a real estate brokerage firm.</w:t>
      </w:r>
    </w:p>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 xml:space="preserve">Numerous business activities are conducted through Berkshire’s manufacturing services, retailing and finance subsidiaries. </w:t>
      </w:r>
      <w:r>
        <w:rPr>
          <w:rFonts w:ascii="Times" w:hAnsi="Times" w:cs="Times"/>
          <w:i/>
          <w:iCs/>
          <w:sz w:val="20"/>
          <w:szCs w:val="20"/>
        </w:rPr>
        <w:t xml:space="preserve">The Marmon Group </w:t>
      </w:r>
      <w:r>
        <w:rPr>
          <w:rFonts w:ascii="Times" w:hAnsi="Times" w:cs="Times"/>
          <w:sz w:val="20"/>
          <w:szCs w:val="20"/>
        </w:rPr>
        <w:t>is an international association o</w:t>
      </w:r>
      <w:r>
        <w:rPr>
          <w:rFonts w:ascii="Times" w:hAnsi="Times" w:cs="Times"/>
          <w:sz w:val="20"/>
          <w:szCs w:val="20"/>
        </w:rPr>
        <w:t>f approximately 185 manufacturing and service businesses that operate</w:t>
      </w:r>
      <w:r>
        <w:rPr>
          <w:rFonts w:ascii="Times" w:hAnsi="Times" w:cs="Times"/>
          <w:i/>
          <w:iCs/>
          <w:sz w:val="20"/>
          <w:szCs w:val="20"/>
        </w:rPr>
        <w:t xml:space="preserve"> </w:t>
      </w:r>
      <w:r>
        <w:rPr>
          <w:rFonts w:ascii="Times" w:hAnsi="Times" w:cs="Times"/>
          <w:sz w:val="20"/>
          <w:szCs w:val="20"/>
        </w:rPr>
        <w:t xml:space="preserve">independently within diverse business sectors. </w:t>
      </w:r>
      <w:r>
        <w:rPr>
          <w:rFonts w:ascii="Times" w:hAnsi="Times" w:cs="Times"/>
          <w:i/>
          <w:iCs/>
          <w:sz w:val="20"/>
          <w:szCs w:val="20"/>
        </w:rPr>
        <w:t>The Lubrizol Corporation</w:t>
      </w:r>
      <w:r>
        <w:rPr>
          <w:rFonts w:ascii="Times" w:hAnsi="Times" w:cs="Times"/>
          <w:sz w:val="20"/>
          <w:szCs w:val="20"/>
        </w:rPr>
        <w:t xml:space="preserve"> is a specialty chemical company that produces and supplies chemical products for transportation, industrial and consumer markets. </w:t>
      </w:r>
      <w:r>
        <w:rPr>
          <w:rFonts w:ascii="Times" w:hAnsi="Times" w:cs="Times"/>
          <w:i/>
          <w:iCs/>
          <w:sz w:val="20"/>
          <w:szCs w:val="20"/>
        </w:rPr>
        <w:t>IMC International Metalworking Companies</w:t>
      </w:r>
      <w:r>
        <w:rPr>
          <w:rFonts w:ascii="Times" w:hAnsi="Times" w:cs="Times"/>
          <w:sz w:val="20"/>
          <w:szCs w:val="20"/>
        </w:rPr>
        <w:t xml:space="preserve"> is an industry leader in the metal cutting tools business. </w:t>
      </w:r>
      <w:r>
        <w:rPr>
          <w:rFonts w:ascii="Times" w:hAnsi="Times" w:cs="Times"/>
          <w:i/>
          <w:iCs/>
          <w:sz w:val="20"/>
          <w:szCs w:val="20"/>
        </w:rPr>
        <w:t>McLane Company</w:t>
      </w:r>
      <w:r>
        <w:rPr>
          <w:rFonts w:ascii="Times" w:hAnsi="Times" w:cs="Times"/>
          <w:sz w:val="20"/>
          <w:szCs w:val="20"/>
        </w:rPr>
        <w:t xml:space="preserve"> is a whole</w:t>
      </w:r>
      <w:r>
        <w:rPr>
          <w:rFonts w:ascii="Times" w:hAnsi="Times" w:cs="Times"/>
          <w:sz w:val="20"/>
          <w:szCs w:val="20"/>
        </w:rPr>
        <w:t xml:space="preserve">sale distributor of groceries and nonfood items to discount retailers, convenience stores, quick service restaurants and others. Berkshire’s finance and financial products businesses primarily engage in proprietary investing strategies, consumer lending </w:t>
      </w:r>
      <w:r>
        <w:rPr>
          <w:rFonts w:ascii="Times" w:hAnsi="Times" w:cs="Times"/>
          <w:i/>
          <w:iCs/>
          <w:sz w:val="20"/>
          <w:szCs w:val="20"/>
        </w:rPr>
        <w:t>(C</w:t>
      </w:r>
      <w:r>
        <w:rPr>
          <w:rFonts w:ascii="Times" w:hAnsi="Times" w:cs="Times"/>
          <w:i/>
          <w:iCs/>
          <w:sz w:val="20"/>
          <w:szCs w:val="20"/>
        </w:rPr>
        <w:t>layton Homes)</w:t>
      </w:r>
      <w:r>
        <w:rPr>
          <w:rFonts w:ascii="Times" w:hAnsi="Times" w:cs="Times"/>
          <w:sz w:val="20"/>
          <w:szCs w:val="20"/>
        </w:rPr>
        <w:t xml:space="preserve"> and transportation equipment and furniture leasing </w:t>
      </w:r>
      <w:r>
        <w:rPr>
          <w:rFonts w:ascii="Times" w:hAnsi="Times" w:cs="Times"/>
          <w:i/>
          <w:iCs/>
          <w:sz w:val="20"/>
          <w:szCs w:val="20"/>
        </w:rPr>
        <w:t>(UTLX, XTRA</w:t>
      </w:r>
      <w:r>
        <w:rPr>
          <w:rFonts w:ascii="Times" w:hAnsi="Times" w:cs="Times"/>
          <w:sz w:val="20"/>
          <w:szCs w:val="20"/>
        </w:rPr>
        <w:t xml:space="preserve"> and </w:t>
      </w:r>
      <w:r>
        <w:rPr>
          <w:rFonts w:ascii="Times" w:hAnsi="Times" w:cs="Times"/>
          <w:i/>
          <w:iCs/>
          <w:sz w:val="20"/>
          <w:szCs w:val="20"/>
        </w:rPr>
        <w:t>CORT)</w:t>
      </w:r>
      <w:r>
        <w:rPr>
          <w:rFonts w:ascii="Times" w:hAnsi="Times" w:cs="Times"/>
          <w:sz w:val="20"/>
          <w:szCs w:val="20"/>
        </w:rPr>
        <w:t>.</w:t>
      </w:r>
    </w:p>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i/>
          <w:iCs/>
          <w:sz w:val="20"/>
          <w:szCs w:val="20"/>
        </w:rPr>
        <w:t xml:space="preserve">Shaw Industries </w:t>
      </w:r>
      <w:r>
        <w:rPr>
          <w:rFonts w:ascii="Times" w:hAnsi="Times" w:cs="Times"/>
          <w:sz w:val="20"/>
          <w:szCs w:val="20"/>
        </w:rPr>
        <w:t>is the world’s largest manufacturer of tufted broadloom carpet.</w:t>
      </w:r>
      <w:r>
        <w:rPr>
          <w:rFonts w:ascii="Times" w:hAnsi="Times" w:cs="Times"/>
          <w:i/>
          <w:iCs/>
          <w:sz w:val="20"/>
          <w:szCs w:val="20"/>
        </w:rPr>
        <w:t xml:space="preserve"> Benjamin Moore </w:t>
      </w:r>
      <w:r>
        <w:rPr>
          <w:rFonts w:ascii="Times" w:hAnsi="Times" w:cs="Times"/>
          <w:sz w:val="20"/>
          <w:szCs w:val="20"/>
        </w:rPr>
        <w:t>is a formulator,</w:t>
      </w:r>
      <w:r>
        <w:rPr>
          <w:rFonts w:ascii="Times" w:hAnsi="Times" w:cs="Times"/>
          <w:i/>
          <w:iCs/>
          <w:sz w:val="20"/>
          <w:szCs w:val="20"/>
        </w:rPr>
        <w:t xml:space="preserve"> </w:t>
      </w:r>
      <w:r>
        <w:rPr>
          <w:rFonts w:ascii="Times" w:hAnsi="Times" w:cs="Times"/>
          <w:sz w:val="20"/>
          <w:szCs w:val="20"/>
        </w:rPr>
        <w:t>manufacturer and retailer of architectural and industri</w:t>
      </w:r>
      <w:r>
        <w:rPr>
          <w:rFonts w:ascii="Times" w:hAnsi="Times" w:cs="Times"/>
          <w:sz w:val="20"/>
          <w:szCs w:val="20"/>
        </w:rPr>
        <w:t xml:space="preserve">al coatings. </w:t>
      </w:r>
      <w:r>
        <w:rPr>
          <w:rFonts w:ascii="Times" w:hAnsi="Times" w:cs="Times"/>
          <w:i/>
          <w:iCs/>
          <w:sz w:val="20"/>
          <w:szCs w:val="20"/>
        </w:rPr>
        <w:t>Johns Manville</w:t>
      </w:r>
      <w:r>
        <w:rPr>
          <w:rFonts w:ascii="Times" w:hAnsi="Times" w:cs="Times"/>
          <w:sz w:val="20"/>
          <w:szCs w:val="20"/>
        </w:rPr>
        <w:t xml:space="preserve"> is a leading manufacturer of insulation and building products. </w:t>
      </w:r>
      <w:r>
        <w:rPr>
          <w:rFonts w:ascii="Times" w:hAnsi="Times" w:cs="Times"/>
          <w:i/>
          <w:iCs/>
          <w:sz w:val="20"/>
          <w:szCs w:val="20"/>
        </w:rPr>
        <w:t>Acme Brick</w:t>
      </w:r>
      <w:r>
        <w:rPr>
          <w:rFonts w:ascii="Times" w:hAnsi="Times" w:cs="Times"/>
          <w:sz w:val="20"/>
          <w:szCs w:val="20"/>
        </w:rPr>
        <w:t xml:space="preserve"> is a manufacturer of face brick and concrete masonry products. </w:t>
      </w:r>
      <w:r>
        <w:rPr>
          <w:rFonts w:ascii="Times" w:hAnsi="Times" w:cs="Times"/>
          <w:i/>
          <w:iCs/>
          <w:sz w:val="20"/>
          <w:szCs w:val="20"/>
        </w:rPr>
        <w:t>MiTek Inc.</w:t>
      </w:r>
      <w:r>
        <w:rPr>
          <w:rFonts w:ascii="Times" w:hAnsi="Times" w:cs="Times"/>
          <w:sz w:val="20"/>
          <w:szCs w:val="20"/>
        </w:rPr>
        <w:t xml:space="preserve"> produces steel connector products and engineering software for the building comp</w:t>
      </w:r>
      <w:r>
        <w:rPr>
          <w:rFonts w:ascii="Times" w:hAnsi="Times" w:cs="Times"/>
          <w:sz w:val="20"/>
          <w:szCs w:val="20"/>
        </w:rPr>
        <w:t xml:space="preserve">onents market. </w:t>
      </w:r>
      <w:r>
        <w:rPr>
          <w:rFonts w:ascii="Times" w:hAnsi="Times" w:cs="Times"/>
          <w:i/>
          <w:iCs/>
          <w:sz w:val="20"/>
          <w:szCs w:val="20"/>
        </w:rPr>
        <w:t>Fruit of the Loom, Russell, Vanity Fair,</w:t>
      </w:r>
      <w:r>
        <w:rPr>
          <w:rFonts w:ascii="Times" w:hAnsi="Times" w:cs="Times"/>
          <w:sz w:val="20"/>
          <w:szCs w:val="20"/>
        </w:rPr>
        <w:t xml:space="preserve"> </w:t>
      </w:r>
      <w:r>
        <w:rPr>
          <w:rFonts w:ascii="Times" w:hAnsi="Times" w:cs="Times"/>
          <w:i/>
          <w:iCs/>
          <w:sz w:val="20"/>
          <w:szCs w:val="20"/>
        </w:rPr>
        <w:t xml:space="preserve">Garan, Fechheimer, H.H. Brown Shoe Group, Justin Brands </w:t>
      </w:r>
      <w:r>
        <w:rPr>
          <w:rFonts w:ascii="Times" w:hAnsi="Times" w:cs="Times"/>
          <w:sz w:val="20"/>
          <w:szCs w:val="20"/>
        </w:rPr>
        <w:t>and</w:t>
      </w:r>
      <w:r>
        <w:rPr>
          <w:rFonts w:ascii="Times" w:hAnsi="Times" w:cs="Times"/>
          <w:i/>
          <w:iCs/>
          <w:sz w:val="20"/>
          <w:szCs w:val="20"/>
        </w:rPr>
        <w:t xml:space="preserve"> Brooks Sports </w:t>
      </w:r>
      <w:r>
        <w:rPr>
          <w:rFonts w:ascii="Times" w:hAnsi="Times" w:cs="Times"/>
          <w:sz w:val="20"/>
          <w:szCs w:val="20"/>
        </w:rPr>
        <w:t>manufacture, license and distribute apparel and</w:t>
      </w:r>
      <w:r>
        <w:rPr>
          <w:rFonts w:ascii="Times" w:hAnsi="Times" w:cs="Times"/>
          <w:i/>
          <w:iCs/>
          <w:sz w:val="20"/>
          <w:szCs w:val="20"/>
        </w:rPr>
        <w:t xml:space="preserve"> </w:t>
      </w:r>
      <w:r>
        <w:rPr>
          <w:rFonts w:ascii="Times" w:hAnsi="Times" w:cs="Times"/>
          <w:sz w:val="20"/>
          <w:szCs w:val="20"/>
        </w:rPr>
        <w:t xml:space="preserve">footwear under a variety of brand names. </w:t>
      </w:r>
      <w:r>
        <w:rPr>
          <w:rFonts w:ascii="Times" w:hAnsi="Times" w:cs="Times"/>
          <w:i/>
          <w:iCs/>
          <w:sz w:val="20"/>
          <w:szCs w:val="20"/>
        </w:rPr>
        <w:t>FlightSafety International</w:t>
      </w:r>
      <w:r>
        <w:rPr>
          <w:rFonts w:ascii="Times" w:hAnsi="Times" w:cs="Times"/>
          <w:sz w:val="20"/>
          <w:szCs w:val="20"/>
        </w:rPr>
        <w:t xml:space="preserve"> provides t</w:t>
      </w:r>
      <w:r>
        <w:rPr>
          <w:rFonts w:ascii="Times" w:hAnsi="Times" w:cs="Times"/>
          <w:sz w:val="20"/>
          <w:szCs w:val="20"/>
        </w:rPr>
        <w:t xml:space="preserve">raining to aircraft operators. </w:t>
      </w:r>
      <w:r>
        <w:rPr>
          <w:rFonts w:ascii="Times" w:hAnsi="Times" w:cs="Times"/>
          <w:i/>
          <w:iCs/>
          <w:sz w:val="20"/>
          <w:szCs w:val="20"/>
        </w:rPr>
        <w:t>NetJets</w:t>
      </w:r>
      <w:r>
        <w:rPr>
          <w:rFonts w:ascii="Times" w:hAnsi="Times" w:cs="Times"/>
          <w:sz w:val="20"/>
          <w:szCs w:val="20"/>
        </w:rPr>
        <w:t xml:space="preserve"> provides fractional ownership programs for general aviation aircraft. </w:t>
      </w:r>
      <w:r>
        <w:rPr>
          <w:rFonts w:ascii="Times" w:hAnsi="Times" w:cs="Times"/>
          <w:i/>
          <w:iCs/>
          <w:sz w:val="20"/>
          <w:szCs w:val="20"/>
        </w:rPr>
        <w:t>Nebraska Furniture Mart, R.C. Willey Home Furnishings, Star</w:t>
      </w:r>
      <w:r>
        <w:rPr>
          <w:rFonts w:ascii="Times" w:hAnsi="Times" w:cs="Times"/>
          <w:sz w:val="20"/>
          <w:szCs w:val="20"/>
        </w:rPr>
        <w:t xml:space="preserve"> </w:t>
      </w:r>
      <w:r>
        <w:rPr>
          <w:rFonts w:ascii="Times" w:hAnsi="Times" w:cs="Times"/>
          <w:i/>
          <w:iCs/>
          <w:sz w:val="20"/>
          <w:szCs w:val="20"/>
        </w:rPr>
        <w:t xml:space="preserve">Furniture </w:t>
      </w:r>
      <w:r>
        <w:rPr>
          <w:rFonts w:ascii="Times" w:hAnsi="Times" w:cs="Times"/>
          <w:sz w:val="20"/>
          <w:szCs w:val="20"/>
        </w:rPr>
        <w:t>and</w:t>
      </w:r>
      <w:r>
        <w:rPr>
          <w:rFonts w:ascii="Times" w:hAnsi="Times" w:cs="Times"/>
          <w:i/>
          <w:iCs/>
          <w:sz w:val="20"/>
          <w:szCs w:val="20"/>
        </w:rPr>
        <w:t xml:space="preserve"> Jordan’s Furniture </w:t>
      </w:r>
      <w:r>
        <w:rPr>
          <w:rFonts w:ascii="Times" w:hAnsi="Times" w:cs="Times"/>
          <w:sz w:val="20"/>
          <w:szCs w:val="20"/>
        </w:rPr>
        <w:t>are retailers of home furnishings.</w:t>
      </w:r>
      <w:r>
        <w:rPr>
          <w:rFonts w:ascii="Times" w:hAnsi="Times" w:cs="Times"/>
          <w:i/>
          <w:iCs/>
          <w:sz w:val="20"/>
          <w:szCs w:val="20"/>
        </w:rPr>
        <w:t xml:space="preserve"> Borsheims, Helzberg</w:t>
      </w:r>
      <w:r>
        <w:rPr>
          <w:rFonts w:ascii="Times" w:hAnsi="Times" w:cs="Times"/>
          <w:i/>
          <w:iCs/>
          <w:sz w:val="20"/>
          <w:szCs w:val="20"/>
        </w:rPr>
        <w:t xml:space="preserve"> Diamond Shops </w:t>
      </w:r>
      <w:r>
        <w:rPr>
          <w:rFonts w:ascii="Times" w:hAnsi="Times" w:cs="Times"/>
          <w:sz w:val="20"/>
          <w:szCs w:val="20"/>
        </w:rPr>
        <w:t>and</w:t>
      </w:r>
      <w:r>
        <w:rPr>
          <w:rFonts w:ascii="Times" w:hAnsi="Times" w:cs="Times"/>
          <w:i/>
          <w:iCs/>
          <w:sz w:val="20"/>
          <w:szCs w:val="20"/>
        </w:rPr>
        <w:t xml:space="preserve"> Ben Bridge Jeweler </w:t>
      </w:r>
      <w:r>
        <w:rPr>
          <w:rFonts w:ascii="Times" w:hAnsi="Times" w:cs="Times"/>
          <w:sz w:val="20"/>
          <w:szCs w:val="20"/>
        </w:rPr>
        <w:t>are retailers of fine jewelry.</w:t>
      </w: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 xml:space="preserve">In addition, other manufacturing, service and retail businesses include: </w:t>
      </w:r>
      <w:r>
        <w:rPr>
          <w:rFonts w:ascii="Times" w:hAnsi="Times" w:cs="Times"/>
          <w:i/>
          <w:iCs/>
          <w:sz w:val="20"/>
          <w:szCs w:val="20"/>
        </w:rPr>
        <w:t>The Buffalo News</w:t>
      </w:r>
      <w:r>
        <w:rPr>
          <w:rFonts w:ascii="Times" w:hAnsi="Times" w:cs="Times"/>
          <w:sz w:val="20"/>
          <w:szCs w:val="20"/>
        </w:rPr>
        <w:t xml:space="preserve"> and </w:t>
      </w:r>
      <w:r>
        <w:rPr>
          <w:rFonts w:ascii="Times" w:hAnsi="Times" w:cs="Times"/>
          <w:i/>
          <w:iCs/>
          <w:sz w:val="20"/>
          <w:szCs w:val="20"/>
        </w:rPr>
        <w:t>BH Media Group</w:t>
      </w:r>
      <w:r>
        <w:rPr>
          <w:rFonts w:ascii="Times" w:hAnsi="Times" w:cs="Times"/>
          <w:sz w:val="20"/>
          <w:szCs w:val="20"/>
        </w:rPr>
        <w:t xml:space="preserve"> (publisher of </w:t>
      </w:r>
      <w:r>
        <w:rPr>
          <w:rFonts w:ascii="Times" w:hAnsi="Times" w:cs="Times"/>
          <w:i/>
          <w:iCs/>
          <w:sz w:val="20"/>
          <w:szCs w:val="20"/>
        </w:rPr>
        <w:t>The Omaha World-Herald</w:t>
      </w:r>
      <w:r>
        <w:rPr>
          <w:rFonts w:ascii="Times" w:hAnsi="Times" w:cs="Times"/>
          <w:sz w:val="20"/>
          <w:szCs w:val="20"/>
        </w:rPr>
        <w:t xml:space="preserve"> and 28 other daily newspapers); </w:t>
      </w:r>
      <w:r>
        <w:rPr>
          <w:rFonts w:ascii="Times" w:hAnsi="Times" w:cs="Times"/>
          <w:i/>
          <w:iCs/>
          <w:sz w:val="20"/>
          <w:szCs w:val="20"/>
        </w:rPr>
        <w:t>See’s Ca</w:t>
      </w:r>
      <w:r>
        <w:rPr>
          <w:rFonts w:ascii="Times" w:hAnsi="Times" w:cs="Times"/>
          <w:i/>
          <w:iCs/>
          <w:sz w:val="20"/>
          <w:szCs w:val="20"/>
        </w:rPr>
        <w:t>ndies,</w:t>
      </w:r>
      <w:r>
        <w:rPr>
          <w:rFonts w:ascii="Times" w:hAnsi="Times" w:cs="Times"/>
          <w:sz w:val="20"/>
          <w:szCs w:val="20"/>
        </w:rPr>
        <w:t xml:space="preserve"> a manufacturer and seller of boxed chocolates and other confectionery products; </w:t>
      </w:r>
      <w:r>
        <w:rPr>
          <w:rFonts w:ascii="Times" w:hAnsi="Times" w:cs="Times"/>
          <w:i/>
          <w:iCs/>
          <w:sz w:val="20"/>
          <w:szCs w:val="20"/>
        </w:rPr>
        <w:t>Scott Fetzer,</w:t>
      </w:r>
      <w:r>
        <w:rPr>
          <w:rFonts w:ascii="Times" w:hAnsi="Times" w:cs="Times"/>
          <w:sz w:val="20"/>
          <w:szCs w:val="20"/>
        </w:rPr>
        <w:t xml:space="preserve"> a diversified manufacturer and distributor of commercial and industrial products; </w:t>
      </w:r>
      <w:r>
        <w:rPr>
          <w:rFonts w:ascii="Times" w:hAnsi="Times" w:cs="Times"/>
          <w:i/>
          <w:iCs/>
          <w:sz w:val="20"/>
          <w:szCs w:val="20"/>
        </w:rPr>
        <w:t xml:space="preserve">Larson-Juhl, </w:t>
      </w:r>
      <w:r>
        <w:rPr>
          <w:rFonts w:ascii="Times" w:hAnsi="Times" w:cs="Times"/>
          <w:sz w:val="20"/>
          <w:szCs w:val="20"/>
        </w:rPr>
        <w:t>a designer, manufacturer and distributor of high-quality pic</w:t>
      </w:r>
      <w:r>
        <w:rPr>
          <w:rFonts w:ascii="Times" w:hAnsi="Times" w:cs="Times"/>
          <w:sz w:val="20"/>
          <w:szCs w:val="20"/>
        </w:rPr>
        <w:t>ture framing products;</w:t>
      </w:r>
      <w:r>
        <w:rPr>
          <w:rFonts w:ascii="Times" w:hAnsi="Times" w:cs="Times"/>
          <w:i/>
          <w:iCs/>
          <w:sz w:val="20"/>
          <w:szCs w:val="20"/>
        </w:rPr>
        <w:t xml:space="preserve"> CTB, </w:t>
      </w:r>
      <w:r>
        <w:rPr>
          <w:rFonts w:ascii="Times" w:hAnsi="Times" w:cs="Times"/>
          <w:sz w:val="20"/>
          <w:szCs w:val="20"/>
        </w:rPr>
        <w:t>a manufacturer of</w:t>
      </w:r>
      <w:r>
        <w:rPr>
          <w:rFonts w:ascii="Times" w:hAnsi="Times" w:cs="Times"/>
          <w:i/>
          <w:iCs/>
          <w:sz w:val="20"/>
          <w:szCs w:val="20"/>
        </w:rPr>
        <w:t xml:space="preserve"> </w:t>
      </w:r>
      <w:r>
        <w:rPr>
          <w:rFonts w:ascii="Times" w:hAnsi="Times" w:cs="Times"/>
          <w:sz w:val="20"/>
          <w:szCs w:val="20"/>
        </w:rPr>
        <w:t xml:space="preserve">equipment for the livestock and agricultural industries; </w:t>
      </w:r>
      <w:r>
        <w:rPr>
          <w:rFonts w:ascii="Times" w:hAnsi="Times" w:cs="Times"/>
          <w:i/>
          <w:iCs/>
          <w:sz w:val="20"/>
          <w:szCs w:val="20"/>
        </w:rPr>
        <w:t>International Dairy Queen,</w:t>
      </w:r>
      <w:r>
        <w:rPr>
          <w:rFonts w:ascii="Times" w:hAnsi="Times" w:cs="Times"/>
          <w:sz w:val="20"/>
          <w:szCs w:val="20"/>
        </w:rPr>
        <w:t xml:space="preserve"> a licensor and service provider to over 6,500 stores that offer prepared dairy treats and food; </w:t>
      </w:r>
      <w:r>
        <w:rPr>
          <w:rFonts w:ascii="Times" w:hAnsi="Times" w:cs="Times"/>
          <w:i/>
          <w:iCs/>
          <w:sz w:val="20"/>
          <w:szCs w:val="20"/>
        </w:rPr>
        <w:t>The Pampered Chef,</w:t>
      </w:r>
      <w:r>
        <w:rPr>
          <w:rFonts w:ascii="Times" w:hAnsi="Times" w:cs="Times"/>
          <w:sz w:val="20"/>
          <w:szCs w:val="20"/>
        </w:rPr>
        <w:t xml:space="preserve"> a premier d</w:t>
      </w:r>
      <w:r>
        <w:rPr>
          <w:rFonts w:ascii="Times" w:hAnsi="Times" w:cs="Times"/>
          <w:sz w:val="20"/>
          <w:szCs w:val="20"/>
        </w:rPr>
        <w:t xml:space="preserve">irect seller of kitchen tools in the U.S.; </w:t>
      </w:r>
      <w:r>
        <w:rPr>
          <w:rFonts w:ascii="Times" w:hAnsi="Times" w:cs="Times"/>
          <w:i/>
          <w:iCs/>
          <w:sz w:val="20"/>
          <w:szCs w:val="20"/>
        </w:rPr>
        <w:t>Forest</w:t>
      </w:r>
      <w:r>
        <w:rPr>
          <w:rFonts w:ascii="Times" w:hAnsi="Times" w:cs="Times"/>
          <w:sz w:val="20"/>
          <w:szCs w:val="20"/>
        </w:rPr>
        <w:t xml:space="preserve"> </w:t>
      </w:r>
      <w:r>
        <w:rPr>
          <w:rFonts w:ascii="Times" w:hAnsi="Times" w:cs="Times"/>
          <w:i/>
          <w:iCs/>
          <w:sz w:val="20"/>
          <w:szCs w:val="20"/>
        </w:rPr>
        <w:t xml:space="preserve">River, </w:t>
      </w:r>
      <w:r>
        <w:rPr>
          <w:rFonts w:ascii="Times" w:hAnsi="Times" w:cs="Times"/>
          <w:sz w:val="20"/>
          <w:szCs w:val="20"/>
        </w:rPr>
        <w:t>a leading manufacturer of leisure vehicles in the U.S.;</w:t>
      </w:r>
      <w:r>
        <w:rPr>
          <w:rFonts w:ascii="Times" w:hAnsi="Times" w:cs="Times"/>
          <w:i/>
          <w:iCs/>
          <w:sz w:val="20"/>
          <w:szCs w:val="20"/>
        </w:rPr>
        <w:t xml:space="preserve"> Business Wire, </w:t>
      </w:r>
      <w:r>
        <w:rPr>
          <w:rFonts w:ascii="Times" w:hAnsi="Times" w:cs="Times"/>
          <w:sz w:val="20"/>
          <w:szCs w:val="20"/>
        </w:rPr>
        <w:t>a leading global distributor of corporate news,</w:t>
      </w:r>
      <w:r>
        <w:rPr>
          <w:rFonts w:ascii="Times" w:hAnsi="Times" w:cs="Times"/>
          <w:i/>
          <w:iCs/>
          <w:sz w:val="20"/>
          <w:szCs w:val="20"/>
        </w:rPr>
        <w:t xml:space="preserve"> </w:t>
      </w:r>
      <w:r>
        <w:rPr>
          <w:rFonts w:ascii="Times" w:hAnsi="Times" w:cs="Times"/>
          <w:sz w:val="20"/>
          <w:szCs w:val="20"/>
        </w:rPr>
        <w:t xml:space="preserve">multimedia and regulatory filings; </w:t>
      </w:r>
      <w:r>
        <w:rPr>
          <w:rFonts w:ascii="Times" w:hAnsi="Times" w:cs="Times"/>
          <w:i/>
          <w:iCs/>
          <w:sz w:val="20"/>
          <w:szCs w:val="20"/>
        </w:rPr>
        <w:t>TTI, Inc.,</w:t>
      </w:r>
      <w:r>
        <w:rPr>
          <w:rFonts w:ascii="Times" w:hAnsi="Times" w:cs="Times"/>
          <w:sz w:val="20"/>
          <w:szCs w:val="20"/>
        </w:rPr>
        <w:t xml:space="preserve"> a leading distributor of electroni</w:t>
      </w:r>
      <w:r>
        <w:rPr>
          <w:rFonts w:ascii="Times" w:hAnsi="Times" w:cs="Times"/>
          <w:sz w:val="20"/>
          <w:szCs w:val="20"/>
        </w:rPr>
        <w:t xml:space="preserve">c components; </w:t>
      </w:r>
      <w:r>
        <w:rPr>
          <w:rFonts w:ascii="Times" w:hAnsi="Times" w:cs="Times"/>
          <w:i/>
          <w:iCs/>
          <w:sz w:val="20"/>
          <w:szCs w:val="20"/>
        </w:rPr>
        <w:t>Richline Group,</w:t>
      </w:r>
      <w:r>
        <w:rPr>
          <w:rFonts w:ascii="Times" w:hAnsi="Times" w:cs="Times"/>
          <w:sz w:val="20"/>
          <w:szCs w:val="20"/>
        </w:rPr>
        <w:t xml:space="preserve"> a leading jewelry manufacturer; </w:t>
      </w:r>
      <w:r>
        <w:rPr>
          <w:rFonts w:ascii="Times" w:hAnsi="Times" w:cs="Times"/>
          <w:i/>
          <w:iCs/>
          <w:sz w:val="20"/>
          <w:szCs w:val="20"/>
        </w:rPr>
        <w:t>Oriental Trading Company</w:t>
      </w:r>
      <w:r>
        <w:rPr>
          <w:rFonts w:ascii="Times" w:hAnsi="Times" w:cs="Times"/>
          <w:sz w:val="20"/>
          <w:szCs w:val="20"/>
        </w:rPr>
        <w:t xml:space="preserve">, a direct retailer of party supplies, school supplies and toys and novelties; and </w:t>
      </w:r>
      <w:r>
        <w:rPr>
          <w:rFonts w:ascii="Times" w:hAnsi="Times" w:cs="Times"/>
          <w:i/>
          <w:iCs/>
          <w:sz w:val="20"/>
          <w:szCs w:val="20"/>
        </w:rPr>
        <w:t>Charter</w:t>
      </w:r>
      <w:r>
        <w:rPr>
          <w:rFonts w:ascii="Times" w:hAnsi="Times" w:cs="Times"/>
          <w:sz w:val="20"/>
          <w:szCs w:val="20"/>
        </w:rPr>
        <w:t xml:space="preserve"> </w:t>
      </w:r>
      <w:r>
        <w:rPr>
          <w:rFonts w:ascii="Times" w:hAnsi="Times" w:cs="Times"/>
          <w:i/>
          <w:iCs/>
          <w:sz w:val="20"/>
          <w:szCs w:val="20"/>
        </w:rPr>
        <w:t>Brokerage</w:t>
      </w:r>
      <w:r>
        <w:rPr>
          <w:rFonts w:ascii="Times" w:hAnsi="Times" w:cs="Times"/>
          <w:sz w:val="20"/>
          <w:szCs w:val="20"/>
        </w:rPr>
        <w:t>, a leading provider of global trade services. Berkshire also has a major economic interest in</w:t>
      </w:r>
      <w:r>
        <w:rPr>
          <w:rFonts w:ascii="Times" w:hAnsi="Times" w:cs="Times"/>
          <w:i/>
          <w:iCs/>
          <w:sz w:val="20"/>
          <w:szCs w:val="20"/>
        </w:rPr>
        <w:t xml:space="preserve"> Heinz</w:t>
      </w:r>
      <w:r>
        <w:rPr>
          <w:rFonts w:ascii="Times" w:hAnsi="Times" w:cs="Times"/>
          <w:sz w:val="20"/>
          <w:szCs w:val="20"/>
        </w:rPr>
        <w:t>, one of the world’s</w:t>
      </w:r>
      <w:r>
        <w:rPr>
          <w:rFonts w:ascii="Times" w:hAnsi="Times" w:cs="Times"/>
          <w:i/>
          <w:iCs/>
          <w:sz w:val="20"/>
          <w:szCs w:val="20"/>
        </w:rPr>
        <w:t xml:space="preserve"> </w:t>
      </w:r>
      <w:r>
        <w:rPr>
          <w:rFonts w:ascii="Times" w:hAnsi="Times" w:cs="Times"/>
          <w:sz w:val="20"/>
          <w:szCs w:val="20"/>
        </w:rPr>
        <w:t>leading marketers and producers of food products.</w:t>
      </w:r>
    </w:p>
    <w:p w:rsidR="00000000" w:rsidRDefault="00A06965">
      <w:pPr>
        <w:pStyle w:val="DefaultParagraphFont"/>
        <w:widowControl w:val="0"/>
        <w:autoSpaceDE w:val="0"/>
        <w:autoSpaceDN w:val="0"/>
        <w:adjustRightInd w:val="0"/>
        <w:spacing w:after="0" w:line="25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Operating decisions for the various Berkshire businesses are made by managers of the</w:t>
      </w:r>
      <w:r>
        <w:rPr>
          <w:rFonts w:ascii="Times" w:hAnsi="Times" w:cs="Times"/>
          <w:sz w:val="20"/>
          <w:szCs w:val="20"/>
        </w:rPr>
        <w:t xml:space="preserve"> business units. Investment decisions and all other capital allocation decisions are made for Berkshire and its subsidiaries by Warren E. Buffett, in consultation with Charles T. Munger. Mr. Buffett is Chairman and Mr. Munger is Vice Chairman of Berkshire’</w:t>
      </w:r>
      <w:r>
        <w:rPr>
          <w:rFonts w:ascii="Times" w:hAnsi="Times" w:cs="Times"/>
          <w:sz w:val="20"/>
          <w:szCs w:val="20"/>
        </w:rPr>
        <w:t>s Board of Directors.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45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ind w:left="3700"/>
        <w:rPr>
          <w:rFonts w:ascii="Times New Roman" w:hAnsi="Times New Roman" w:cs="Times New Roman"/>
          <w:sz w:val="24"/>
          <w:szCs w:val="24"/>
        </w:rPr>
      </w:pPr>
      <w:r>
        <w:rPr>
          <w:rFonts w:ascii="Times" w:hAnsi="Times" w:cs="Times"/>
          <w:b/>
          <w:bC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460"/>
        <w:rPr>
          <w:rFonts w:ascii="Times New Roman" w:hAnsi="Times New Roman" w:cs="Times New Roman"/>
          <w:sz w:val="24"/>
          <w:szCs w:val="24"/>
        </w:rPr>
      </w:pPr>
      <w:r>
        <w:rPr>
          <w:rFonts w:ascii="Times" w:hAnsi="Times" w:cs="Times"/>
          <w:b/>
          <w:bCs/>
          <w:sz w:val="20"/>
          <w:szCs w:val="20"/>
        </w:rPr>
        <w:t>and Subsidiaries</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160"/>
        <w:rPr>
          <w:rFonts w:ascii="Times New Roman" w:hAnsi="Times New Roman" w:cs="Times New Roman"/>
          <w:sz w:val="24"/>
          <w:szCs w:val="24"/>
        </w:rPr>
      </w:pPr>
      <w:r>
        <w:rPr>
          <w:rFonts w:ascii="Times" w:hAnsi="Times" w:cs="Times"/>
          <w:b/>
          <w:bCs/>
          <w:sz w:val="20"/>
          <w:szCs w:val="20"/>
        </w:rPr>
        <w:t>Selected Financial Data for the Past Five Years</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460"/>
        <w:rPr>
          <w:rFonts w:ascii="Times New Roman" w:hAnsi="Times New Roman" w:cs="Times New Roman"/>
          <w:sz w:val="24"/>
          <w:szCs w:val="24"/>
        </w:rPr>
      </w:pPr>
      <w:r>
        <w:rPr>
          <w:rFonts w:ascii="Times" w:hAnsi="Times" w:cs="Times"/>
          <w:i/>
          <w:iCs/>
          <w:sz w:val="20"/>
          <w:szCs w:val="20"/>
        </w:rPr>
        <w:t>(dollars in millions except per-share data)</w:t>
      </w:r>
    </w:p>
    <w:p w:rsidR="00000000" w:rsidRDefault="00A06965">
      <w:pPr>
        <w:pStyle w:val="DefaultParagraphFont"/>
        <w:widowControl w:val="0"/>
        <w:autoSpaceDE w:val="0"/>
        <w:autoSpaceDN w:val="0"/>
        <w:adjustRightInd w:val="0"/>
        <w:spacing w:after="0" w:line="21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40"/>
        <w:gridCol w:w="2560"/>
        <w:gridCol w:w="100"/>
        <w:gridCol w:w="60"/>
        <w:gridCol w:w="400"/>
        <w:gridCol w:w="180"/>
        <w:gridCol w:w="120"/>
        <w:gridCol w:w="100"/>
        <w:gridCol w:w="80"/>
        <w:gridCol w:w="400"/>
        <w:gridCol w:w="180"/>
        <w:gridCol w:w="120"/>
        <w:gridCol w:w="100"/>
        <w:gridCol w:w="60"/>
        <w:gridCol w:w="400"/>
        <w:gridCol w:w="180"/>
        <w:gridCol w:w="120"/>
        <w:gridCol w:w="100"/>
        <w:gridCol w:w="80"/>
        <w:gridCol w:w="400"/>
        <w:gridCol w:w="180"/>
        <w:gridCol w:w="120"/>
        <w:gridCol w:w="100"/>
        <w:gridCol w:w="60"/>
        <w:gridCol w:w="400"/>
        <w:gridCol w:w="180"/>
        <w:gridCol w:w="20"/>
      </w:tblGrid>
      <w:tr w:rsidR="00000000">
        <w:tblPrEx>
          <w:tblCellMar>
            <w:top w:w="0" w:type="dxa"/>
            <w:left w:w="0" w:type="dxa"/>
            <w:bottom w:w="0" w:type="dxa"/>
            <w:right w:w="0" w:type="dxa"/>
          </w:tblCellMar>
        </w:tblPrEx>
        <w:trPr>
          <w:trHeight w:val="24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2014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2013</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2012</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2011</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2010</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Revenues: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Insurance premiums earned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41,253</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36,684</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34,545</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32,075</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30,749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Sales and service revenues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97,097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92,993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81,447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71,226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65,942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Railroad, utilities and energy revenues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40,690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34,757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32,582</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30,839</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26,364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Interest, dividend and other investment income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5,026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4,934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4,532</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4,788</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5,213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Finance and financial products sales and service revenues and</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interest and dividend income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6,526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6,109</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5,932</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5,590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5,571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8"/>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68" w:lineRule="exact"/>
              <w:ind w:left="400"/>
              <w:rPr>
                <w:rFonts w:ascii="Times New Roman" w:hAnsi="Times New Roman" w:cs="Times New Roman"/>
                <w:sz w:val="24"/>
                <w:szCs w:val="24"/>
              </w:rPr>
            </w:pPr>
            <w:r>
              <w:rPr>
                <w:rFonts w:ascii="Times" w:hAnsi="Times" w:cs="Times"/>
                <w:sz w:val="20"/>
                <w:szCs w:val="20"/>
              </w:rPr>
              <w:t xml:space="preserve">Investment and derivative gains/losses </w:t>
            </w:r>
            <w:r>
              <w:rPr>
                <w:rFonts w:ascii="Times" w:hAnsi="Times" w:cs="Times"/>
                <w:sz w:val="26"/>
                <w:szCs w:val="26"/>
                <w:vertAlign w:val="superscript"/>
              </w:rPr>
              <w:t>(1)</w:t>
            </w:r>
            <w:r>
              <w:rPr>
                <w:rFonts w:ascii="Times" w:hAnsi="Times" w:cs="Times"/>
                <w:sz w:val="20"/>
                <w:szCs w:val="20"/>
              </w:rPr>
              <w:t xml:space="preserve">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4,081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6,673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3,425</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(830)</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2,346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shd w:val="clear" w:color="auto" w:fill="000000"/>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gridSpan w:val="3"/>
            <w:tcBorders>
              <w:top w:val="nil"/>
              <w:left w:val="nil"/>
              <w:bottom w:val="nil"/>
              <w:right w:val="nil"/>
            </w:tcBorders>
            <w:shd w:val="clear" w:color="auto" w:fill="000000"/>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shd w:val="clear" w:color="auto" w:fill="000000"/>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gridSpan w:val="3"/>
            <w:tcBorders>
              <w:top w:val="nil"/>
              <w:left w:val="nil"/>
              <w:bottom w:val="nil"/>
              <w:right w:val="nil"/>
            </w:tcBorders>
            <w:shd w:val="clear" w:color="auto" w:fill="000000"/>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shd w:val="clear" w:color="auto" w:fill="000000"/>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gridSpan w:val="3"/>
            <w:tcBorders>
              <w:top w:val="nil"/>
              <w:left w:val="nil"/>
              <w:bottom w:val="nil"/>
              <w:right w:val="nil"/>
            </w:tcBorders>
            <w:shd w:val="clear" w:color="auto" w:fill="000000"/>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shd w:val="clear" w:color="auto" w:fill="000000"/>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gridSpan w:val="3"/>
            <w:tcBorders>
              <w:top w:val="nil"/>
              <w:left w:val="nil"/>
              <w:bottom w:val="nil"/>
              <w:right w:val="nil"/>
            </w:tcBorders>
            <w:shd w:val="clear" w:color="auto" w:fill="000000"/>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shd w:val="clear" w:color="auto" w:fill="000000"/>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gridSpan w:val="3"/>
            <w:tcBorders>
              <w:top w:val="nil"/>
              <w:left w:val="nil"/>
              <w:bottom w:val="nil"/>
              <w:right w:val="nil"/>
            </w:tcBorders>
            <w:shd w:val="clear" w:color="auto" w:fill="000000"/>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Total revenues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194,673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182,150</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162,463</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143,688</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136,185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1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Earnings:</w:t>
            </w: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1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1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8"/>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68" w:lineRule="exact"/>
              <w:ind w:left="400"/>
              <w:rPr>
                <w:rFonts w:ascii="Times New Roman" w:hAnsi="Times New Roman" w:cs="Times New Roman"/>
                <w:sz w:val="24"/>
                <w:szCs w:val="24"/>
              </w:rPr>
            </w:pPr>
            <w:r>
              <w:rPr>
                <w:rFonts w:ascii="Times" w:hAnsi="Times" w:cs="Times"/>
                <w:sz w:val="20"/>
                <w:szCs w:val="20"/>
              </w:rPr>
              <w:t xml:space="preserve">Net earnings attributable to Berkshire Hathaway </w:t>
            </w:r>
            <w:r>
              <w:rPr>
                <w:rFonts w:ascii="Times" w:hAnsi="Times" w:cs="Times"/>
                <w:sz w:val="26"/>
                <w:szCs w:val="26"/>
                <w:vertAlign w:val="superscript"/>
              </w:rPr>
              <w:t>(1)</w:t>
            </w:r>
            <w:r>
              <w:rPr>
                <w:rFonts w:ascii="Times" w:hAnsi="Times" w:cs="Times"/>
                <w:sz w:val="20"/>
                <w:szCs w:val="20"/>
              </w:rPr>
              <w:t xml:space="preserve">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19,872</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19,476</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14,824</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10,254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12,967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1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Net earnings per share attributable to Berkshire Hathaway</w:t>
            </w:r>
          </w:p>
        </w:tc>
        <w:tc>
          <w:tcPr>
            <w:tcW w:w="1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1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8"/>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68" w:lineRule="exact"/>
              <w:ind w:right="120"/>
              <w:jc w:val="right"/>
              <w:rPr>
                <w:rFonts w:ascii="Times New Roman" w:hAnsi="Times New Roman" w:cs="Times New Roman"/>
                <w:sz w:val="24"/>
                <w:szCs w:val="24"/>
              </w:rPr>
            </w:pPr>
            <w:r>
              <w:rPr>
                <w:rFonts w:ascii="Times" w:hAnsi="Times" w:cs="Times"/>
                <w:sz w:val="20"/>
                <w:szCs w:val="20"/>
              </w:rPr>
              <w:t xml:space="preserve">shareholders </w:t>
            </w:r>
            <w:r>
              <w:rPr>
                <w:rFonts w:ascii="Times" w:hAnsi="Times" w:cs="Times"/>
                <w:sz w:val="26"/>
                <w:szCs w:val="26"/>
                <w:vertAlign w:val="superscript"/>
              </w:rPr>
              <w:t>(2)</w:t>
            </w:r>
            <w:r>
              <w:rPr>
                <w:rFonts w:ascii="Times" w:hAnsi="Times" w:cs="Times"/>
                <w:sz w:val="20"/>
                <w:szCs w:val="20"/>
              </w:rPr>
              <w:t xml:space="preserve">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12,092</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11,850</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8,977</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6,215</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7,928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1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Year-end data:</w:t>
            </w:r>
          </w:p>
        </w:tc>
        <w:tc>
          <w:tcPr>
            <w:tcW w:w="1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single" w:sz="8" w:space="0" w:color="auto"/>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1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Total assets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526,186</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484,931</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427,452</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392,647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372,229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Notes payable and other borrowings: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Insurance and other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11,894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12,440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12,988</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13,179</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11,803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Railroad, utilities and energy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55,579</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46,655</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36,156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32,580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31,626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Finance and financial products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12,736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13,129</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13,592</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14,625</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15,145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Berkshire Hathaway shareholders’ equity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240,170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221,890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187,647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164,850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157,318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Class A equivalent common shares outstanding, in thousands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1,643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1,644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1,643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1,651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1,648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Berkshire Hathaway shareholders’ equity per outstanding Class A</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1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equivalent common share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146,186</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134,973</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114,214</w:t>
            </w: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99,860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95,453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0"/>
        </w:trPr>
        <w:tc>
          <w:tcPr>
            <w:tcW w:w="3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64" w:lineRule="exact"/>
        <w:rPr>
          <w:rFonts w:ascii="Times New Roman" w:hAnsi="Times New Roman" w:cs="Times New Roman"/>
          <w:sz w:val="24"/>
          <w:szCs w:val="24"/>
        </w:rPr>
      </w:pPr>
    </w:p>
    <w:p w:rsidR="00000000" w:rsidRDefault="00A06965">
      <w:pPr>
        <w:pStyle w:val="DefaultParagraphFont"/>
        <w:widowControl w:val="0"/>
        <w:numPr>
          <w:ilvl w:val="0"/>
          <w:numId w:val="18"/>
        </w:numPr>
        <w:tabs>
          <w:tab w:val="clear" w:pos="720"/>
          <w:tab w:val="num" w:pos="400"/>
        </w:tabs>
        <w:overflowPunct w:val="0"/>
        <w:autoSpaceDE w:val="0"/>
        <w:autoSpaceDN w:val="0"/>
        <w:adjustRightInd w:val="0"/>
        <w:spacing w:after="0" w:line="231" w:lineRule="auto"/>
        <w:ind w:left="400" w:hanging="400"/>
        <w:jc w:val="both"/>
        <w:rPr>
          <w:rFonts w:ascii="Times" w:hAnsi="Times" w:cs="Times"/>
          <w:i/>
          <w:iCs/>
          <w:sz w:val="26"/>
          <w:szCs w:val="26"/>
          <w:vertAlign w:val="superscript"/>
        </w:rPr>
      </w:pPr>
      <w:r>
        <w:rPr>
          <w:rFonts w:ascii="Times" w:hAnsi="Times" w:cs="Times"/>
          <w:i/>
          <w:iCs/>
          <w:sz w:val="20"/>
          <w:szCs w:val="20"/>
        </w:rPr>
        <w:t xml:space="preserve">Investment gains/losses include realized gains and losses and other-than-temporary impairment losses. Derivative gains/ losses include significant amounts related to non-cash changes in the fair value of long-term contracts arising from short-term changes </w:t>
      </w:r>
      <w:r>
        <w:rPr>
          <w:rFonts w:ascii="Times" w:hAnsi="Times" w:cs="Times"/>
          <w:i/>
          <w:iCs/>
          <w:sz w:val="20"/>
          <w:szCs w:val="20"/>
        </w:rPr>
        <w:t>in equity prices, interest rates and foreign currency rates, among other market factors. After-tax investment and derivative gains/losses were $3.3 billion in 2014, $4.3 billion in 2013, $2.2 billion in 2012, $(521) million in 2011 and $1.9 billion in 2010</w:t>
      </w:r>
      <w:r>
        <w:rPr>
          <w:rFonts w:ascii="Times" w:hAnsi="Times" w:cs="Times"/>
          <w:i/>
          <w:iCs/>
          <w:sz w:val="20"/>
          <w:szCs w:val="20"/>
        </w:rPr>
        <w:t>.</w:t>
      </w:r>
    </w:p>
    <w:p w:rsidR="00000000" w:rsidRDefault="00A06965">
      <w:pPr>
        <w:pStyle w:val="DefaultParagraphFont"/>
        <w:widowControl w:val="0"/>
        <w:autoSpaceDE w:val="0"/>
        <w:autoSpaceDN w:val="0"/>
        <w:adjustRightInd w:val="0"/>
        <w:spacing w:after="0" w:line="106" w:lineRule="exact"/>
        <w:rPr>
          <w:rFonts w:ascii="Times" w:hAnsi="Times" w:cs="Times"/>
          <w:i/>
          <w:iCs/>
          <w:sz w:val="26"/>
          <w:szCs w:val="26"/>
          <w:vertAlign w:val="superscript"/>
        </w:rPr>
      </w:pPr>
    </w:p>
    <w:p w:rsidR="00000000" w:rsidRDefault="00A06965">
      <w:pPr>
        <w:pStyle w:val="DefaultParagraphFont"/>
        <w:widowControl w:val="0"/>
        <w:numPr>
          <w:ilvl w:val="0"/>
          <w:numId w:val="18"/>
        </w:numPr>
        <w:tabs>
          <w:tab w:val="clear" w:pos="720"/>
          <w:tab w:val="num" w:pos="400"/>
        </w:tabs>
        <w:overflowPunct w:val="0"/>
        <w:autoSpaceDE w:val="0"/>
        <w:autoSpaceDN w:val="0"/>
        <w:adjustRightInd w:val="0"/>
        <w:spacing w:after="0" w:line="207" w:lineRule="auto"/>
        <w:ind w:left="400" w:hanging="400"/>
        <w:jc w:val="both"/>
        <w:rPr>
          <w:rFonts w:ascii="Times" w:hAnsi="Times" w:cs="Times"/>
          <w:i/>
          <w:iCs/>
          <w:sz w:val="26"/>
          <w:szCs w:val="26"/>
          <w:vertAlign w:val="superscript"/>
        </w:rPr>
      </w:pPr>
      <w:r>
        <w:rPr>
          <w:rFonts w:ascii="Times" w:hAnsi="Times" w:cs="Times"/>
          <w:i/>
          <w:iCs/>
          <w:sz w:val="20"/>
          <w:szCs w:val="20"/>
        </w:rPr>
        <w:t>Represents net earnings per equivalent Class A common share. Net earnings per Class B common share is equal to 1/1,500 of such amount.</w:t>
      </w:r>
    </w:p>
    <w:p w:rsidR="00000000" w:rsidRDefault="00A06965">
      <w:pPr>
        <w:pStyle w:val="DefaultParagraphFont"/>
        <w:widowControl w:val="0"/>
        <w:autoSpaceDE w:val="0"/>
        <w:autoSpaceDN w:val="0"/>
        <w:adjustRightInd w:val="0"/>
        <w:spacing w:after="0" w:line="37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1080"/>
        <w:rPr>
          <w:rFonts w:ascii="Times New Roman" w:hAnsi="Times New Roman" w:cs="Times New Roman"/>
          <w:sz w:val="24"/>
          <w:szCs w:val="24"/>
        </w:rPr>
      </w:pPr>
      <w:r>
        <w:rPr>
          <w:rFonts w:ascii="Times" w:hAnsi="Times" w:cs="Times"/>
          <w:b/>
          <w:bCs/>
          <w:sz w:val="20"/>
          <w:szCs w:val="20"/>
        </w:rPr>
        <w:t>MANAGEMENT’S REPORT ON INTERNAL CONTROL OVER FINANCIAL REPORTING</w:t>
      </w:r>
    </w:p>
    <w:p w:rsidR="00000000" w:rsidRDefault="00A06965">
      <w:pPr>
        <w:pStyle w:val="DefaultParagraphFont"/>
        <w:widowControl w:val="0"/>
        <w:autoSpaceDE w:val="0"/>
        <w:autoSpaceDN w:val="0"/>
        <w:adjustRightInd w:val="0"/>
        <w:spacing w:after="0" w:line="26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Management of Berkshire Hathaway Inc. is responsible for establishing and maintaining adequate internal control over financial reporting, as such term is defined in the Securities Exchange Act of 1934 Rule 13a-15(f). Under the supervision and with the part</w:t>
      </w:r>
      <w:r>
        <w:rPr>
          <w:rFonts w:ascii="Times" w:hAnsi="Times" w:cs="Times"/>
          <w:sz w:val="20"/>
          <w:szCs w:val="20"/>
        </w:rPr>
        <w:t>icipation of our management, including our principal executive officer and principal financial officer, we conducted an evaluation of the effectiveness of the Company’s internal control over financial reporting as of December 31, 2014 as required by the Se</w:t>
      </w:r>
      <w:r>
        <w:rPr>
          <w:rFonts w:ascii="Times" w:hAnsi="Times" w:cs="Times"/>
          <w:sz w:val="20"/>
          <w:szCs w:val="20"/>
        </w:rPr>
        <w:t xml:space="preserve">curities Exchange Act of 1934 Rule 13a-15(c). In making this assessment, we used the criteria set forth in the framework in </w:t>
      </w:r>
      <w:r>
        <w:rPr>
          <w:rFonts w:ascii="Times" w:hAnsi="Times" w:cs="Times"/>
          <w:i/>
          <w:iCs/>
          <w:sz w:val="20"/>
          <w:szCs w:val="20"/>
        </w:rPr>
        <w:t>Internal Control – Integrated Framework</w:t>
      </w:r>
      <w:r>
        <w:rPr>
          <w:rFonts w:ascii="Times" w:hAnsi="Times" w:cs="Times"/>
          <w:sz w:val="20"/>
          <w:szCs w:val="20"/>
        </w:rPr>
        <w:t xml:space="preserve"> (2013) issued by the Committee of Sponsoring Organizations of the Treadway Commission. Based</w:t>
      </w:r>
      <w:r>
        <w:rPr>
          <w:rFonts w:ascii="Times" w:hAnsi="Times" w:cs="Times"/>
          <w:sz w:val="20"/>
          <w:szCs w:val="20"/>
        </w:rPr>
        <w:t xml:space="preserve"> on our evaluation under the framework in </w:t>
      </w:r>
      <w:r>
        <w:rPr>
          <w:rFonts w:ascii="Times" w:hAnsi="Times" w:cs="Times"/>
          <w:i/>
          <w:iCs/>
          <w:sz w:val="20"/>
          <w:szCs w:val="20"/>
        </w:rPr>
        <w:t>Internal Control – Integrated Framework</w:t>
      </w:r>
      <w:r>
        <w:rPr>
          <w:rFonts w:ascii="Times" w:hAnsi="Times" w:cs="Times"/>
          <w:sz w:val="20"/>
          <w:szCs w:val="20"/>
        </w:rPr>
        <w:t xml:space="preserve"> (2013), our management concluded that our internal control over financial reporting was effective as of December 31, 2014.</w:t>
      </w:r>
    </w:p>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The effectiveness of our internal control over fin</w:t>
      </w:r>
      <w:r>
        <w:rPr>
          <w:rFonts w:ascii="Times" w:hAnsi="Times" w:cs="Times"/>
          <w:sz w:val="20"/>
          <w:szCs w:val="20"/>
        </w:rPr>
        <w:t>ancial reporting as of December 31, 2014 has been audited by Deloitte &amp; Touche LLP, an independent registered public accounting firm, as stated in their report which appears on page 47.</w:t>
      </w:r>
    </w:p>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February 27, 2015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46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ind w:left="1740"/>
        <w:rPr>
          <w:rFonts w:ascii="Times New Roman" w:hAnsi="Times New Roman" w:cs="Times New Roman"/>
          <w:sz w:val="24"/>
          <w:szCs w:val="24"/>
        </w:rPr>
      </w:pPr>
      <w:r>
        <w:rPr>
          <w:rFonts w:ascii="Times" w:hAnsi="Times" w:cs="Times"/>
          <w:b/>
          <w:bCs/>
          <w:sz w:val="20"/>
          <w:szCs w:val="20"/>
        </w:rPr>
        <w:t>REPORT OF INDEPENDENT REGISTERED PUBLIC ACCOUNTING FIRM</w:t>
      </w:r>
    </w:p>
    <w:p w:rsidR="00000000" w:rsidRDefault="00A06965">
      <w:pPr>
        <w:pStyle w:val="DefaultParagraphFont"/>
        <w:widowControl w:val="0"/>
        <w:autoSpaceDE w:val="0"/>
        <w:autoSpaceDN w:val="0"/>
        <w:adjustRightInd w:val="0"/>
        <w:spacing w:after="0" w:line="28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To the Board of Directors and Shareholders of</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Omaha, Nebraska</w:t>
      </w:r>
    </w:p>
    <w:p w:rsidR="00000000" w:rsidRDefault="00A0696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w:hAnsi="Times" w:cs="Times"/>
          <w:sz w:val="20"/>
          <w:szCs w:val="20"/>
        </w:rPr>
        <w:t>We have audited the accompanying consolidated balance sheets o</w:t>
      </w:r>
      <w:r>
        <w:rPr>
          <w:rFonts w:ascii="Times" w:hAnsi="Times" w:cs="Times"/>
          <w:sz w:val="20"/>
          <w:szCs w:val="20"/>
        </w:rPr>
        <w:t>f Berkshire Hathaway Inc. and subsidiaries (the “Company”) as of December 31, 2014 and 2013, and the related consolidated statements of earnings, comprehensive income, changes in shareholders’ equity, and cash flows for each of the three years in the perio</w:t>
      </w:r>
      <w:r>
        <w:rPr>
          <w:rFonts w:ascii="Times" w:hAnsi="Times" w:cs="Times"/>
          <w:sz w:val="20"/>
          <w:szCs w:val="20"/>
        </w:rPr>
        <w:t xml:space="preserve">d ended December 31, 2014. We also have audited the Company’s internal control over financial reporting as of December 31, 2014, based on criteria established in </w:t>
      </w:r>
      <w:r>
        <w:rPr>
          <w:rFonts w:ascii="Times" w:hAnsi="Times" w:cs="Times"/>
          <w:i/>
          <w:iCs/>
          <w:sz w:val="20"/>
          <w:szCs w:val="20"/>
        </w:rPr>
        <w:t>Internal</w:t>
      </w:r>
      <w:r>
        <w:rPr>
          <w:rFonts w:ascii="Times" w:hAnsi="Times" w:cs="Times"/>
          <w:sz w:val="20"/>
          <w:szCs w:val="20"/>
        </w:rPr>
        <w:t xml:space="preserve"> </w:t>
      </w:r>
      <w:r>
        <w:rPr>
          <w:rFonts w:ascii="Times" w:hAnsi="Times" w:cs="Times"/>
          <w:i/>
          <w:iCs/>
          <w:sz w:val="20"/>
          <w:szCs w:val="20"/>
        </w:rPr>
        <w:t xml:space="preserve">Control – Integrated Framework (2013) </w:t>
      </w:r>
      <w:r>
        <w:rPr>
          <w:rFonts w:ascii="Times" w:hAnsi="Times" w:cs="Times"/>
          <w:sz w:val="20"/>
          <w:szCs w:val="20"/>
        </w:rPr>
        <w:t>issued by the Committee of Sponsoring Organizat</w:t>
      </w:r>
      <w:r>
        <w:rPr>
          <w:rFonts w:ascii="Times" w:hAnsi="Times" w:cs="Times"/>
          <w:sz w:val="20"/>
          <w:szCs w:val="20"/>
        </w:rPr>
        <w:t>ions of the Treadway Commission.</w:t>
      </w:r>
      <w:r>
        <w:rPr>
          <w:rFonts w:ascii="Times" w:hAnsi="Times" w:cs="Times"/>
          <w:i/>
          <w:iCs/>
          <w:sz w:val="20"/>
          <w:szCs w:val="20"/>
        </w:rPr>
        <w:t xml:space="preserve"> </w:t>
      </w:r>
      <w:r>
        <w:rPr>
          <w:rFonts w:ascii="Times" w:hAnsi="Times" w:cs="Times"/>
          <w:sz w:val="20"/>
          <w:szCs w:val="20"/>
        </w:rPr>
        <w:t>The Company’s management is responsible for these financial statements, for maintaining effective internal control over financial reporting, and for its assessment of the effectiveness of internal control over financial rep</w:t>
      </w:r>
      <w:r>
        <w:rPr>
          <w:rFonts w:ascii="Times" w:hAnsi="Times" w:cs="Times"/>
          <w:sz w:val="20"/>
          <w:szCs w:val="20"/>
        </w:rPr>
        <w:t>orting, included in the accompanying Management’s Report on Internal Control over Financial Reporting. Our responsibility is to express an opinion on these financial statements and an opinion on the Company’s internal control over financial reporting based</w:t>
      </w:r>
      <w:r>
        <w:rPr>
          <w:rFonts w:ascii="Times" w:hAnsi="Times" w:cs="Times"/>
          <w:sz w:val="20"/>
          <w:szCs w:val="20"/>
        </w:rPr>
        <w:t xml:space="preserve"> on our audits.</w:t>
      </w:r>
    </w:p>
    <w:p w:rsidR="00000000" w:rsidRDefault="00A06965">
      <w:pPr>
        <w:pStyle w:val="DefaultParagraphFont"/>
        <w:widowControl w:val="0"/>
        <w:autoSpaceDE w:val="0"/>
        <w:autoSpaceDN w:val="0"/>
        <w:adjustRightInd w:val="0"/>
        <w:spacing w:after="0" w:line="28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w:hAnsi="Times" w:cs="Times"/>
          <w:sz w:val="20"/>
          <w:szCs w:val="20"/>
        </w:rPr>
        <w:t>We conducted our audits in accordance with the standards of the Public Company Accounting Oversight Board (United States). Those standards require that we plan and perform the audit to obtain reasonable assurance about whether the financia</w:t>
      </w:r>
      <w:r>
        <w:rPr>
          <w:rFonts w:ascii="Times" w:hAnsi="Times" w:cs="Times"/>
          <w:sz w:val="20"/>
          <w:szCs w:val="20"/>
        </w:rPr>
        <w:t>l statements are free of material misstatement and whether effective internal control over financial reporting was maintained in all material respects. Our audits of the financial statements included examining, on a test basis, evidence supporting the amou</w:t>
      </w:r>
      <w:r>
        <w:rPr>
          <w:rFonts w:ascii="Times" w:hAnsi="Times" w:cs="Times"/>
          <w:sz w:val="20"/>
          <w:szCs w:val="20"/>
        </w:rPr>
        <w:t>nts and disclosures in the financial statements, assessing the accounting principles used and significant estimates made by management, and evaluating the overall financial statement presentation. Our audit of internal control over financial reporting incl</w:t>
      </w:r>
      <w:r>
        <w:rPr>
          <w:rFonts w:ascii="Times" w:hAnsi="Times" w:cs="Times"/>
          <w:sz w:val="20"/>
          <w:szCs w:val="20"/>
        </w:rPr>
        <w:t>uded obtaining an understanding of internal control over financial reporting, assessing the risk that a material weakness exists, and testing and evaluating the design and operating effectiveness of internal control based on the assessed risk. Our audits a</w:t>
      </w:r>
      <w:r>
        <w:rPr>
          <w:rFonts w:ascii="Times" w:hAnsi="Times" w:cs="Times"/>
          <w:sz w:val="20"/>
          <w:szCs w:val="20"/>
        </w:rPr>
        <w:t>lso included performing such other procedures as we considered necessary in the circumstances. We believe that our audits provide a reasonable basis for our opinions.</w:t>
      </w:r>
    </w:p>
    <w:p w:rsidR="00000000" w:rsidRDefault="00A06965">
      <w:pPr>
        <w:pStyle w:val="DefaultParagraphFont"/>
        <w:widowControl w:val="0"/>
        <w:autoSpaceDE w:val="0"/>
        <w:autoSpaceDN w:val="0"/>
        <w:adjustRightInd w:val="0"/>
        <w:spacing w:after="0" w:line="28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jc w:val="both"/>
        <w:rPr>
          <w:rFonts w:ascii="Times New Roman" w:hAnsi="Times New Roman" w:cs="Times New Roman"/>
          <w:sz w:val="24"/>
          <w:szCs w:val="24"/>
        </w:rPr>
      </w:pPr>
      <w:r>
        <w:rPr>
          <w:rFonts w:ascii="Times" w:hAnsi="Times" w:cs="Times"/>
          <w:sz w:val="20"/>
          <w:szCs w:val="20"/>
        </w:rPr>
        <w:t>A company’s internal control over financial reporting is a process designed by, or under</w:t>
      </w:r>
      <w:r>
        <w:rPr>
          <w:rFonts w:ascii="Times" w:hAnsi="Times" w:cs="Times"/>
          <w:sz w:val="20"/>
          <w:szCs w:val="20"/>
        </w:rPr>
        <w:t xml:space="preserve"> the supervision of, the company’s principal executive and principal financial officers, or persons performing similar functions, and effected by the company’s board of directors, management, and other personnel to provide reasonable assurance regarding th</w:t>
      </w:r>
      <w:r>
        <w:rPr>
          <w:rFonts w:ascii="Times" w:hAnsi="Times" w:cs="Times"/>
          <w:sz w:val="20"/>
          <w:szCs w:val="20"/>
        </w:rPr>
        <w:t>e reliability of financial reporting and the preparation of financial statements for external purposes in accordance with generally accepted accounting principles. A company’s internal control over financial reporting includes those policies and procedures</w:t>
      </w:r>
      <w:r>
        <w:rPr>
          <w:rFonts w:ascii="Times" w:hAnsi="Times" w:cs="Times"/>
          <w:sz w:val="20"/>
          <w:szCs w:val="20"/>
        </w:rPr>
        <w:t xml:space="preserve"> that (1) pertain to the maintenance of records that, in reasonable detail, accurately and fairly reflect the transactions and dispositions of the assets of the company; (2) provide reasonable assurance that transactions are recorded as necessary to permit</w:t>
      </w:r>
      <w:r>
        <w:rPr>
          <w:rFonts w:ascii="Times" w:hAnsi="Times" w:cs="Times"/>
          <w:sz w:val="20"/>
          <w:szCs w:val="20"/>
        </w:rPr>
        <w:t xml:space="preserve"> preparation of financial statements in accordance with generally accepted accounting principles, and that receipts and expenditures of the company are being made only in accordance with authorizations of management and directors of the company; and (3) pr</w:t>
      </w:r>
      <w:r>
        <w:rPr>
          <w:rFonts w:ascii="Times" w:hAnsi="Times" w:cs="Times"/>
          <w:sz w:val="20"/>
          <w:szCs w:val="20"/>
        </w:rPr>
        <w:t>ovide reasonable assurance regarding prevention or timely detection of unauthorized acquisition, use, or disposition of the company’s assets that could have a material effect on the financial statements.</w:t>
      </w:r>
    </w:p>
    <w:p w:rsidR="00000000" w:rsidRDefault="00A06965">
      <w:pPr>
        <w:pStyle w:val="DefaultParagraphFont"/>
        <w:widowControl w:val="0"/>
        <w:autoSpaceDE w:val="0"/>
        <w:autoSpaceDN w:val="0"/>
        <w:adjustRightInd w:val="0"/>
        <w:spacing w:after="0" w:line="28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w:hAnsi="Times" w:cs="Times"/>
          <w:sz w:val="20"/>
          <w:szCs w:val="20"/>
        </w:rPr>
        <w:t>Because of the inherent limitations of internal con</w:t>
      </w:r>
      <w:r>
        <w:rPr>
          <w:rFonts w:ascii="Times" w:hAnsi="Times" w:cs="Times"/>
          <w:sz w:val="20"/>
          <w:szCs w:val="20"/>
        </w:rPr>
        <w:t>trol over financial reporting, including the possibility of collusion or improper management override of controls, material misstatements due to error or fraud may not be prevented or detected on a timely basis. Also, projections of any evaluation of the e</w:t>
      </w:r>
      <w:r>
        <w:rPr>
          <w:rFonts w:ascii="Times" w:hAnsi="Times" w:cs="Times"/>
          <w:sz w:val="20"/>
          <w:szCs w:val="20"/>
        </w:rPr>
        <w:t>ffectiveness of the internal control over financial reporting to future periods are subject to the risk that the controls may become inadequate because of changes in conditions, or that the degree of compliance with the policies or procedures may deteriora</w:t>
      </w:r>
      <w:r>
        <w:rPr>
          <w:rFonts w:ascii="Times" w:hAnsi="Times" w:cs="Times"/>
          <w:sz w:val="20"/>
          <w:szCs w:val="20"/>
        </w:rPr>
        <w:t>te.</w:t>
      </w:r>
    </w:p>
    <w:p w:rsidR="00000000" w:rsidRDefault="00A06965">
      <w:pPr>
        <w:pStyle w:val="DefaultParagraphFont"/>
        <w:widowControl w:val="0"/>
        <w:autoSpaceDE w:val="0"/>
        <w:autoSpaceDN w:val="0"/>
        <w:adjustRightInd w:val="0"/>
        <w:spacing w:after="0" w:line="28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w:hAnsi="Times" w:cs="Times"/>
          <w:sz w:val="20"/>
          <w:szCs w:val="20"/>
        </w:rPr>
        <w:t xml:space="preserve">In our opinion, the consolidated financial statements referred to above present fairly, in all material respects, the financial position of Berkshire Hathaway Inc. and subsidiaries as of December 31, 2014 and 2013, and the results of their operations </w:t>
      </w:r>
      <w:r>
        <w:rPr>
          <w:rFonts w:ascii="Times" w:hAnsi="Times" w:cs="Times"/>
          <w:sz w:val="20"/>
          <w:szCs w:val="20"/>
        </w:rPr>
        <w:t>and their cash flows for each of the three years in the period ended December 31, 2014, in conformity with accounting principles generally accepted in the United States of America. Also, in our opinion, the Company maintained, in all material respects, eff</w:t>
      </w:r>
      <w:r>
        <w:rPr>
          <w:rFonts w:ascii="Times" w:hAnsi="Times" w:cs="Times"/>
          <w:sz w:val="20"/>
          <w:szCs w:val="20"/>
        </w:rPr>
        <w:t xml:space="preserve">ective internal control over financial reporting as of December 31, 2014, based on the criteria established in </w:t>
      </w:r>
      <w:r>
        <w:rPr>
          <w:rFonts w:ascii="Times" w:hAnsi="Times" w:cs="Times"/>
          <w:i/>
          <w:iCs/>
          <w:sz w:val="20"/>
          <w:szCs w:val="20"/>
        </w:rPr>
        <w:t>Internal Control</w:t>
      </w:r>
    </w:p>
    <w:p w:rsidR="00000000" w:rsidRDefault="00A06965">
      <w:pPr>
        <w:pStyle w:val="DefaultParagraphFont"/>
        <w:widowControl w:val="0"/>
        <w:autoSpaceDE w:val="0"/>
        <w:autoSpaceDN w:val="0"/>
        <w:adjustRightInd w:val="0"/>
        <w:spacing w:after="0" w:line="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i/>
          <w:iCs/>
          <w:sz w:val="20"/>
          <w:szCs w:val="20"/>
        </w:rPr>
        <w:t xml:space="preserve">– Integrated Framework (2013) </w:t>
      </w:r>
      <w:r>
        <w:rPr>
          <w:rFonts w:ascii="Times" w:hAnsi="Times" w:cs="Times"/>
          <w:sz w:val="20"/>
          <w:szCs w:val="20"/>
        </w:rPr>
        <w:t>issued by the Committee of Sponsoring Organizations of the Treadway Commission.</w:t>
      </w:r>
    </w:p>
    <w:p w:rsidR="00000000" w:rsidRDefault="00A06965">
      <w:pPr>
        <w:pStyle w:val="DefaultParagraphFont"/>
        <w:widowControl w:val="0"/>
        <w:autoSpaceDE w:val="0"/>
        <w:autoSpaceDN w:val="0"/>
        <w:adjustRightInd w:val="0"/>
        <w:spacing w:after="0" w:line="28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/s/ Deloitte &amp; T</w:t>
      </w:r>
      <w:r>
        <w:rPr>
          <w:rFonts w:ascii="Times" w:hAnsi="Times" w:cs="Times"/>
          <w:sz w:val="20"/>
          <w:szCs w:val="20"/>
        </w:rPr>
        <w:t>ouche LLP</w:t>
      </w:r>
    </w:p>
    <w:p w:rsidR="00000000" w:rsidRDefault="00A06965">
      <w:pPr>
        <w:pStyle w:val="DefaultParagraphFont"/>
        <w:widowControl w:val="0"/>
        <w:autoSpaceDE w:val="0"/>
        <w:autoSpaceDN w:val="0"/>
        <w:adjustRightInd w:val="0"/>
        <w:spacing w:after="0" w:line="28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Omaha, Nebraska</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February 27, 2015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47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ind w:left="3700"/>
        <w:rPr>
          <w:rFonts w:ascii="Times New Roman" w:hAnsi="Times New Roman" w:cs="Times New Roman"/>
          <w:sz w:val="24"/>
          <w:szCs w:val="24"/>
        </w:rPr>
      </w:pPr>
      <w:r>
        <w:rPr>
          <w:rFonts w:ascii="Times" w:hAnsi="Times" w:cs="Times"/>
          <w:b/>
          <w:bC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460"/>
        <w:rPr>
          <w:rFonts w:ascii="Times New Roman" w:hAnsi="Times New Roman" w:cs="Times New Roman"/>
          <w:sz w:val="24"/>
          <w:szCs w:val="24"/>
        </w:rPr>
      </w:pPr>
      <w:r>
        <w:rPr>
          <w:rFonts w:ascii="Times" w:hAnsi="Times" w:cs="Times"/>
          <w:b/>
          <w:bCs/>
          <w:sz w:val="20"/>
          <w:szCs w:val="20"/>
        </w:rPr>
        <w:t>and Subsidiaries</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420"/>
        <w:rPr>
          <w:rFonts w:ascii="Times New Roman" w:hAnsi="Times New Roman" w:cs="Times New Roman"/>
          <w:sz w:val="24"/>
          <w:szCs w:val="24"/>
        </w:rPr>
      </w:pPr>
      <w:r>
        <w:rPr>
          <w:rFonts w:ascii="Times" w:hAnsi="Times" w:cs="Times"/>
          <w:b/>
          <w:bCs/>
          <w:sz w:val="20"/>
          <w:szCs w:val="20"/>
        </w:rPr>
        <w:t>CONSOLIDATED BALANCE SHEETS</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360"/>
        <w:rPr>
          <w:rFonts w:ascii="Times New Roman" w:hAnsi="Times New Roman" w:cs="Times New Roman"/>
          <w:sz w:val="24"/>
          <w:szCs w:val="24"/>
        </w:rPr>
      </w:pPr>
      <w:r>
        <w:rPr>
          <w:rFonts w:ascii="Times" w:hAnsi="Times" w:cs="Times"/>
          <w:i/>
          <w:iCs/>
          <w:sz w:val="20"/>
          <w:szCs w:val="20"/>
        </w:rPr>
        <w:t>(dollars in millions)</w:t>
      </w:r>
    </w:p>
    <w:p w:rsidR="00000000" w:rsidRDefault="00A06965">
      <w:pPr>
        <w:pStyle w:val="DefaultParagraphFont"/>
        <w:widowControl w:val="0"/>
        <w:autoSpaceDE w:val="0"/>
        <w:autoSpaceDN w:val="0"/>
        <w:adjustRightInd w:val="0"/>
        <w:spacing w:after="0" w:line="9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920"/>
        <w:gridCol w:w="80"/>
        <w:gridCol w:w="520"/>
        <w:gridCol w:w="200"/>
        <w:gridCol w:w="80"/>
        <w:gridCol w:w="520"/>
        <w:gridCol w:w="60"/>
        <w:gridCol w:w="20"/>
      </w:tblGrid>
      <w:tr w:rsidR="00000000">
        <w:tblPrEx>
          <w:tblCellMar>
            <w:top w:w="0" w:type="dxa"/>
            <w:left w:w="0" w:type="dxa"/>
            <w:bottom w:w="0" w:type="dxa"/>
            <w:right w:w="0" w:type="dxa"/>
          </w:tblCellMar>
        </w:tblPrEx>
        <w:trPr>
          <w:trHeight w:val="18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38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w:hAnsi="Times" w:cs="Times"/>
                <w:b/>
                <w:bCs/>
                <w:sz w:val="16"/>
                <w:szCs w:val="16"/>
              </w:rPr>
              <w:t>December 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w:hAnsi="Times" w:cs="Times"/>
                <w:b/>
                <w:bCs/>
                <w:sz w:val="16"/>
                <w:szCs w:val="16"/>
              </w:rPr>
              <w:t>2013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89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ASSETS</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3" w:lineRule="exact"/>
              <w:rPr>
                <w:rFonts w:ascii="Times New Roman" w:hAnsi="Times New Roman" w:cs="Times New Roman"/>
                <w:sz w:val="24"/>
                <w:szCs w:val="24"/>
              </w:rPr>
            </w:pPr>
            <w:r>
              <w:rPr>
                <w:rFonts w:ascii="Times" w:hAnsi="Times" w:cs="Times"/>
                <w:b/>
                <w:bCs/>
                <w:i/>
                <w:iCs/>
                <w:sz w:val="16"/>
                <w:szCs w:val="16"/>
              </w:rPr>
              <w:t>Insurance and Other:</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Cash and cash equivalents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w w:val="74"/>
                <w:sz w:val="16"/>
                <w:szCs w:val="16"/>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57,974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w w:val="74"/>
                <w:sz w:val="16"/>
                <w:szCs w:val="16"/>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42,433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7700"/>
              <w:jc w:val="right"/>
              <w:rPr>
                <w:rFonts w:ascii="Times New Roman" w:hAnsi="Times New Roman" w:cs="Times New Roman"/>
                <w:sz w:val="24"/>
                <w:szCs w:val="24"/>
              </w:rPr>
            </w:pPr>
            <w:r>
              <w:rPr>
                <w:rFonts w:ascii="Times" w:hAnsi="Times" w:cs="Times"/>
                <w:sz w:val="16"/>
                <w:szCs w:val="16"/>
              </w:rPr>
              <w:t>Investments:</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Fixed maturity securities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27,397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28,785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Equity securities . . . . . . . . . . .</w:t>
            </w:r>
            <w:r>
              <w:rPr>
                <w:rFonts w:ascii="Times" w:hAnsi="Times" w:cs="Times"/>
                <w:sz w:val="16"/>
                <w:szCs w:val="16"/>
              </w:rPr>
              <w:t xml:space="preserve">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w w:val="96"/>
                <w:sz w:val="16"/>
                <w:szCs w:val="16"/>
              </w:rPr>
              <w:t>115,529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w w:val="96"/>
                <w:sz w:val="16"/>
                <w:szCs w:val="16"/>
              </w:rPr>
              <w:t>115,464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Other . . . . . . . . . . . .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16,346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12,334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Investments in H.J. Heinz Holding Corporation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11,660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12,111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 xml:space="preserve">Receivables . . . . . . . . . . . . . . . . . . . . . . </w:t>
            </w:r>
            <w:r>
              <w:rPr>
                <w:rFonts w:ascii="Times" w:hAnsi="Times" w:cs="Times"/>
                <w:sz w:val="16"/>
                <w:szCs w:val="16"/>
              </w:rPr>
              <w:t>.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21,852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20,280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Inventories . . . . . . . . . . . .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10,236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9,860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Property, plant and equipment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14,153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13,623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Goodwill . . . . . . . . . . . . .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34,959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33,067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20"/>
              <w:jc w:val="right"/>
              <w:rPr>
                <w:rFonts w:ascii="Times New Roman" w:hAnsi="Times New Roman" w:cs="Times New Roman"/>
                <w:sz w:val="24"/>
                <w:szCs w:val="24"/>
              </w:rPr>
            </w:pPr>
            <w:r>
              <w:rPr>
                <w:rFonts w:ascii="Times" w:hAnsi="Times" w:cs="Times"/>
                <w:sz w:val="16"/>
                <w:szCs w:val="16"/>
              </w:rPr>
              <w:t>Other . . . . . . . . . . . . . .</w:t>
            </w:r>
            <w:r>
              <w:rPr>
                <w:rFonts w:ascii="Times" w:hAnsi="Times" w:cs="Times"/>
                <w:sz w:val="16"/>
                <w:szCs w:val="16"/>
              </w:rPr>
              <w:t xml:space="preserve"> . .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23,763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19,113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333,869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307,070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i/>
                <w:iCs/>
                <w:sz w:val="16"/>
                <w:szCs w:val="16"/>
              </w:rPr>
              <w:t>Railroad, Utilities and Energy:</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8"/>
        </w:trPr>
        <w:tc>
          <w:tcPr>
            <w:tcW w:w="89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Cash and cash equivalents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3,001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3,400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Property, plant and equipment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w w:val="96"/>
                <w:sz w:val="16"/>
                <w:szCs w:val="16"/>
              </w:rPr>
              <w:t>115,054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w w:val="96"/>
                <w:sz w:val="16"/>
                <w:szCs w:val="16"/>
              </w:rPr>
              <w:t>102,482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 xml:space="preserve">Goodwill . . . . . . . . . . . . . . . . . </w:t>
            </w:r>
            <w:r>
              <w:rPr>
                <w:rFonts w:ascii="Times" w:hAnsi="Times" w:cs="Times"/>
                <w:sz w:val="16"/>
                <w:szCs w:val="16"/>
              </w:rPr>
              <w:t>.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24,418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22,603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20"/>
              <w:jc w:val="right"/>
              <w:rPr>
                <w:rFonts w:ascii="Times New Roman" w:hAnsi="Times New Roman" w:cs="Times New Roman"/>
                <w:sz w:val="24"/>
                <w:szCs w:val="24"/>
              </w:rPr>
            </w:pPr>
            <w:r>
              <w:rPr>
                <w:rFonts w:ascii="Times" w:hAnsi="Times" w:cs="Times"/>
                <w:sz w:val="16"/>
                <w:szCs w:val="16"/>
              </w:rPr>
              <w:t>Other . . . . . . . . . . . . . . . .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16,343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16,149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158,816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144,634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i/>
                <w:iCs/>
                <w:sz w:val="16"/>
                <w:szCs w:val="16"/>
              </w:rPr>
              <w:t>Finance and Financial Products:</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8"/>
        </w:trPr>
        <w:tc>
          <w:tcPr>
            <w:tcW w:w="89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Cash and cash equivalents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2,294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2,353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Investments in equity and fixed maturity securities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1,299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1,506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 xml:space="preserve">Other </w:t>
            </w:r>
            <w:r>
              <w:rPr>
                <w:rFonts w:ascii="Times" w:hAnsi="Times" w:cs="Times"/>
                <w:sz w:val="16"/>
                <w:szCs w:val="16"/>
              </w:rPr>
              <w:t>investments . . . . . .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5,978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5,617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Loans and finance receivables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12,566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12,826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Property, plant and equipment and assets held for lease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8,037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7,700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Goodwill . . . . . . . . . . . . .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1,337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1,341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20"/>
              <w:jc w:val="right"/>
              <w:rPr>
                <w:rFonts w:ascii="Times New Roman" w:hAnsi="Times New Roman" w:cs="Times New Roman"/>
                <w:sz w:val="24"/>
                <w:szCs w:val="24"/>
              </w:rPr>
            </w:pPr>
            <w:r>
              <w:rPr>
                <w:rFonts w:ascii="Times" w:hAnsi="Times" w:cs="Times"/>
                <w:sz w:val="16"/>
                <w:szCs w:val="16"/>
              </w:rPr>
              <w:t>Other . . . . . . . . . . . . . . .</w:t>
            </w:r>
            <w:r>
              <w:rPr>
                <w:rFonts w:ascii="Times" w:hAnsi="Times" w:cs="Times"/>
                <w:sz w:val="16"/>
                <w:szCs w:val="16"/>
              </w:rPr>
              <w:t xml:space="preserve"> .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1,990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1,884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6"/>
                <w:szCs w:val="16"/>
              </w:rPr>
              <w:t>33,501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6"/>
                <w:szCs w:val="16"/>
              </w:rPr>
              <w:t>33,227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4"/>
                <w:sz w:val="16"/>
                <w:szCs w:val="16"/>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526,186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4"/>
                <w:sz w:val="16"/>
                <w:szCs w:val="16"/>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484,931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LIABILITIES AND SHAREHOLDERS’ EQUITY</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9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4"/>
        </w:trPr>
        <w:tc>
          <w:tcPr>
            <w:tcW w:w="89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3" w:lineRule="exact"/>
              <w:rPr>
                <w:rFonts w:ascii="Times New Roman" w:hAnsi="Times New Roman" w:cs="Times New Roman"/>
                <w:sz w:val="24"/>
                <w:szCs w:val="24"/>
              </w:rPr>
            </w:pPr>
            <w:r>
              <w:rPr>
                <w:rFonts w:ascii="Times" w:hAnsi="Times" w:cs="Times"/>
                <w:b/>
                <w:bCs/>
                <w:i/>
                <w:iCs/>
                <w:sz w:val="16"/>
                <w:szCs w:val="16"/>
              </w:rPr>
              <w:t>Insurance and Other:</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Losses and loss adjustment expenses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w w:val="74"/>
                <w:sz w:val="16"/>
                <w:szCs w:val="16"/>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71,477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w w:val="74"/>
                <w:sz w:val="16"/>
                <w:szCs w:val="16"/>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64,866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Unearned premiums . . . .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11,944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10,770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Life, annuity and health insurance benefits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13,261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11,681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Accounts payable, accruals and other liabilities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23,307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21,979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20"/>
              <w:jc w:val="right"/>
              <w:rPr>
                <w:rFonts w:ascii="Times New Roman" w:hAnsi="Times New Roman" w:cs="Times New Roman"/>
                <w:sz w:val="24"/>
                <w:szCs w:val="24"/>
              </w:rPr>
            </w:pPr>
            <w:r>
              <w:rPr>
                <w:rFonts w:ascii="Times" w:hAnsi="Times" w:cs="Times"/>
                <w:sz w:val="16"/>
                <w:szCs w:val="16"/>
              </w:rPr>
              <w:t>Notes payable and other borrowings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11,894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12,440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131,883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121,736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i/>
                <w:iCs/>
                <w:sz w:val="16"/>
                <w:szCs w:val="16"/>
              </w:rPr>
              <w:t>Railroad, Utilities and Energy:</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8"/>
        </w:trPr>
        <w:tc>
          <w:tcPr>
            <w:tcW w:w="89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Accounts payable, accruals and other liabilities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15,595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14,557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20"/>
              <w:jc w:val="right"/>
              <w:rPr>
                <w:rFonts w:ascii="Times New Roman" w:hAnsi="Times New Roman" w:cs="Times New Roman"/>
                <w:sz w:val="24"/>
                <w:szCs w:val="24"/>
              </w:rPr>
            </w:pPr>
            <w:r>
              <w:rPr>
                <w:rFonts w:ascii="Times" w:hAnsi="Times" w:cs="Times"/>
                <w:sz w:val="16"/>
                <w:szCs w:val="16"/>
              </w:rPr>
              <w:t>Notes payable and other borrowings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55,579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46,655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6"/>
                <w:szCs w:val="16"/>
              </w:rPr>
              <w:t>71,174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6"/>
                <w:szCs w:val="16"/>
              </w:rPr>
              <w:t>61,212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rPr>
                <w:rFonts w:ascii="Times New Roman" w:hAnsi="Times New Roman" w:cs="Times New Roman"/>
                <w:sz w:val="24"/>
                <w:szCs w:val="24"/>
              </w:rPr>
            </w:pPr>
            <w:r>
              <w:rPr>
                <w:rFonts w:ascii="Times" w:hAnsi="Times" w:cs="Times"/>
                <w:b/>
                <w:bCs/>
                <w:i/>
                <w:iCs/>
                <w:sz w:val="16"/>
                <w:szCs w:val="16"/>
              </w:rPr>
              <w:t>Finance and Financial Products:</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8"/>
        </w:trPr>
        <w:tc>
          <w:tcPr>
            <w:tcW w:w="89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Accounts payable, accruals and other liabilities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1,321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1,299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Derivative contract liabilities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4,810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5,331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20"/>
              <w:jc w:val="right"/>
              <w:rPr>
                <w:rFonts w:ascii="Times New Roman" w:hAnsi="Times New Roman" w:cs="Times New Roman"/>
                <w:sz w:val="24"/>
                <w:szCs w:val="24"/>
              </w:rPr>
            </w:pPr>
            <w:r>
              <w:rPr>
                <w:rFonts w:ascii="Times" w:hAnsi="Times" w:cs="Times"/>
                <w:sz w:val="16"/>
                <w:szCs w:val="16"/>
              </w:rPr>
              <w:t>Notes payable and other borrowings . . . . .</w:t>
            </w:r>
            <w:r>
              <w:rPr>
                <w:rFonts w:ascii="Times" w:hAnsi="Times" w:cs="Times"/>
                <w:sz w:val="16"/>
                <w:szCs w:val="16"/>
              </w:rPr>
              <w:t xml:space="preserve">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12,736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13,129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6"/>
                <w:szCs w:val="16"/>
              </w:rPr>
              <w:t>18,867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6"/>
                <w:szCs w:val="16"/>
              </w:rPr>
              <w:t>19,759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sz w:val="16"/>
                <w:szCs w:val="16"/>
              </w:rPr>
              <w:t>Income taxes, principally deferred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6"/>
                <w:szCs w:val="16"/>
              </w:rPr>
              <w:t>61,235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6"/>
                <w:szCs w:val="16"/>
              </w:rPr>
              <w:t>57,739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sz w:val="16"/>
                <w:szCs w:val="16"/>
              </w:rPr>
              <w:t>Total liabilities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283,159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260,446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16"/>
                <w:szCs w:val="16"/>
              </w:rPr>
              <w:t>Shareholders’ equity:</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8"/>
        </w:trPr>
        <w:tc>
          <w:tcPr>
            <w:tcW w:w="89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Common stock  . . . . . . . .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Capital in excess of par value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35,573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35,472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 xml:space="preserve">Accumulated other comprehensive income . . </w:t>
            </w:r>
            <w:r>
              <w:rPr>
                <w:rFonts w:ascii="Times" w:hAnsi="Times" w:cs="Times"/>
                <w:sz w:val="16"/>
                <w:szCs w:val="16"/>
              </w:rPr>
              <w:t>.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42,732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sz w:val="16"/>
                <w:szCs w:val="16"/>
              </w:rPr>
              <w:t>44,025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ind w:right="120"/>
              <w:jc w:val="right"/>
              <w:rPr>
                <w:rFonts w:ascii="Times New Roman" w:hAnsi="Times New Roman" w:cs="Times New Roman"/>
                <w:sz w:val="24"/>
                <w:szCs w:val="24"/>
              </w:rPr>
            </w:pPr>
            <w:r>
              <w:rPr>
                <w:rFonts w:ascii="Times" w:hAnsi="Times" w:cs="Times"/>
                <w:sz w:val="16"/>
                <w:szCs w:val="16"/>
              </w:rPr>
              <w:t>Retained ear</w:t>
            </w:r>
            <w:r>
              <w:rPr>
                <w:rFonts w:ascii="Times" w:hAnsi="Times" w:cs="Times"/>
                <w:sz w:val="16"/>
                <w:szCs w:val="16"/>
              </w:rPr>
              <w:t>nings . . . . . . .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w w:val="96"/>
                <w:sz w:val="16"/>
                <w:szCs w:val="16"/>
              </w:rPr>
              <w:t>163,620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69" w:lineRule="exact"/>
              <w:jc w:val="right"/>
              <w:rPr>
                <w:rFonts w:ascii="Times New Roman" w:hAnsi="Times New Roman" w:cs="Times New Roman"/>
                <w:sz w:val="24"/>
                <w:szCs w:val="24"/>
              </w:rPr>
            </w:pPr>
            <w:r>
              <w:rPr>
                <w:rFonts w:ascii="Times" w:hAnsi="Times" w:cs="Times"/>
                <w:w w:val="96"/>
                <w:sz w:val="16"/>
                <w:szCs w:val="16"/>
              </w:rPr>
              <w:t>143,748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20"/>
              <w:jc w:val="right"/>
              <w:rPr>
                <w:rFonts w:ascii="Times New Roman" w:hAnsi="Times New Roman" w:cs="Times New Roman"/>
                <w:sz w:val="24"/>
                <w:szCs w:val="24"/>
              </w:rPr>
            </w:pPr>
            <w:r>
              <w:rPr>
                <w:rFonts w:ascii="Times" w:hAnsi="Times" w:cs="Times"/>
                <w:sz w:val="16"/>
                <w:szCs w:val="16"/>
              </w:rPr>
              <w:t xml:space="preserve">Treasury stock, at cost . . . </w:t>
            </w:r>
            <w:r>
              <w:rPr>
                <w:rFonts w:ascii="Times" w:hAnsi="Times" w:cs="Times"/>
                <w:sz w:val="16"/>
                <w:szCs w:val="16"/>
              </w:rPr>
              <w:t>. . . . . . . .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40"/>
              <w:jc w:val="right"/>
              <w:rPr>
                <w:rFonts w:ascii="Times New Roman" w:hAnsi="Times New Roman" w:cs="Times New Roman"/>
                <w:sz w:val="24"/>
                <w:szCs w:val="24"/>
              </w:rPr>
            </w:pPr>
            <w:r>
              <w:rPr>
                <w:rFonts w:ascii="Times" w:hAnsi="Times" w:cs="Times"/>
                <w:sz w:val="16"/>
                <w:szCs w:val="16"/>
              </w:rPr>
              <w:t>(1,763)</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(1,363)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8"/>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sz w:val="16"/>
                <w:szCs w:val="16"/>
              </w:rPr>
              <w:t>Berkshire Hathaway shareholders’</w:t>
            </w:r>
            <w:r>
              <w:rPr>
                <w:rFonts w:ascii="Times" w:hAnsi="Times" w:cs="Times"/>
                <w:sz w:val="16"/>
                <w:szCs w:val="16"/>
              </w:rPr>
              <w:t xml:space="preserve"> equity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240,170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6"/>
                <w:sz w:val="16"/>
                <w:szCs w:val="16"/>
              </w:rPr>
              <w:t>221,890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20"/>
              <w:jc w:val="right"/>
              <w:rPr>
                <w:rFonts w:ascii="Times New Roman" w:hAnsi="Times New Roman" w:cs="Times New Roman"/>
                <w:sz w:val="24"/>
                <w:szCs w:val="24"/>
              </w:rPr>
            </w:pPr>
            <w:r>
              <w:rPr>
                <w:rFonts w:ascii="Times" w:hAnsi="Times" w:cs="Times"/>
                <w:sz w:val="16"/>
                <w:szCs w:val="16"/>
              </w:rPr>
              <w:t xml:space="preserve">Noncontrolling interests . . . . . . . . . . . . </w:t>
            </w:r>
            <w:r>
              <w:rPr>
                <w:rFonts w:ascii="Times" w:hAnsi="Times" w:cs="Times"/>
                <w:sz w:val="16"/>
                <w:szCs w:val="16"/>
              </w:rPr>
              <w:t>.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2,857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2,595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ind w:right="120"/>
              <w:jc w:val="right"/>
              <w:rPr>
                <w:rFonts w:ascii="Times New Roman" w:hAnsi="Times New Roman" w:cs="Times New Roman"/>
                <w:sz w:val="24"/>
                <w:szCs w:val="24"/>
              </w:rPr>
            </w:pPr>
            <w:r>
              <w:rPr>
                <w:rFonts w:ascii="Times" w:hAnsi="Times" w:cs="Times"/>
                <w:sz w:val="16"/>
                <w:szCs w:val="16"/>
              </w:rPr>
              <w:t>Total shareholders’</w:t>
            </w:r>
            <w:r>
              <w:rPr>
                <w:rFonts w:ascii="Times" w:hAnsi="Times" w:cs="Times"/>
                <w:sz w:val="16"/>
                <w:szCs w:val="16"/>
              </w:rPr>
              <w:t xml:space="preserve"> equity . . . . . . .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jc w:val="right"/>
              <w:rPr>
                <w:rFonts w:ascii="Times New Roman" w:hAnsi="Times New Roman" w:cs="Times New Roman"/>
                <w:sz w:val="24"/>
                <w:szCs w:val="24"/>
              </w:rPr>
            </w:pPr>
            <w:r>
              <w:rPr>
                <w:rFonts w:ascii="Times" w:hAnsi="Times" w:cs="Times"/>
                <w:w w:val="96"/>
                <w:sz w:val="16"/>
                <w:szCs w:val="16"/>
              </w:rPr>
              <w:t>243,027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jc w:val="right"/>
              <w:rPr>
                <w:rFonts w:ascii="Times New Roman" w:hAnsi="Times New Roman" w:cs="Times New Roman"/>
                <w:sz w:val="24"/>
                <w:szCs w:val="24"/>
              </w:rPr>
            </w:pPr>
            <w:r>
              <w:rPr>
                <w:rFonts w:ascii="Times" w:hAnsi="Times" w:cs="Times"/>
                <w:w w:val="96"/>
                <w:sz w:val="16"/>
                <w:szCs w:val="16"/>
              </w:rPr>
              <w:t>224,485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jc w:val="right"/>
              <w:rPr>
                <w:rFonts w:ascii="Times New Roman" w:hAnsi="Times New Roman" w:cs="Times New Roman"/>
                <w:sz w:val="24"/>
                <w:szCs w:val="24"/>
              </w:rPr>
            </w:pPr>
            <w:r>
              <w:rPr>
                <w:rFonts w:ascii="Times" w:hAnsi="Times" w:cs="Times"/>
                <w:w w:val="74"/>
                <w:sz w:val="16"/>
                <w:szCs w:val="16"/>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jc w:val="right"/>
              <w:rPr>
                <w:rFonts w:ascii="Times New Roman" w:hAnsi="Times New Roman" w:cs="Times New Roman"/>
                <w:sz w:val="24"/>
                <w:szCs w:val="24"/>
              </w:rPr>
            </w:pPr>
            <w:r>
              <w:rPr>
                <w:rFonts w:ascii="Times" w:hAnsi="Times" w:cs="Times"/>
                <w:w w:val="96"/>
                <w:sz w:val="16"/>
                <w:szCs w:val="16"/>
              </w:rPr>
              <w:t>526,186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jc w:val="right"/>
              <w:rPr>
                <w:rFonts w:ascii="Times New Roman" w:hAnsi="Times New Roman" w:cs="Times New Roman"/>
                <w:sz w:val="24"/>
                <w:szCs w:val="24"/>
              </w:rPr>
            </w:pPr>
            <w:r>
              <w:rPr>
                <w:rFonts w:ascii="Times" w:hAnsi="Times" w:cs="Times"/>
                <w:w w:val="74"/>
                <w:sz w:val="16"/>
                <w:szCs w:val="16"/>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jc w:val="right"/>
              <w:rPr>
                <w:rFonts w:ascii="Times New Roman" w:hAnsi="Times New Roman" w:cs="Times New Roman"/>
                <w:sz w:val="24"/>
                <w:szCs w:val="24"/>
              </w:rPr>
            </w:pPr>
            <w:r>
              <w:rPr>
                <w:rFonts w:ascii="Times" w:hAnsi="Times" w:cs="Times"/>
                <w:w w:val="96"/>
                <w:sz w:val="16"/>
                <w:szCs w:val="16"/>
              </w:rPr>
              <w:t>484,931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17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620"/>
        <w:rPr>
          <w:rFonts w:ascii="Times New Roman" w:hAnsi="Times New Roman" w:cs="Times New Roman"/>
          <w:sz w:val="24"/>
          <w:szCs w:val="24"/>
        </w:rPr>
      </w:pPr>
      <w:r>
        <w:rPr>
          <w:rFonts w:ascii="Times" w:hAnsi="Times" w:cs="Times"/>
          <w:i/>
          <w:iCs/>
          <w:sz w:val="20"/>
          <w:szCs w:val="20"/>
        </w:rPr>
        <w:t>See accompanying Notes to Consolidated Financial Statements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48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ind w:left="3700"/>
        <w:rPr>
          <w:rFonts w:ascii="Times New Roman" w:hAnsi="Times New Roman" w:cs="Times New Roman"/>
          <w:sz w:val="24"/>
          <w:szCs w:val="24"/>
        </w:rPr>
      </w:pPr>
      <w:r>
        <w:rPr>
          <w:rFonts w:ascii="Times" w:hAnsi="Times" w:cs="Times"/>
          <w:b/>
          <w:bC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460"/>
        <w:rPr>
          <w:rFonts w:ascii="Times New Roman" w:hAnsi="Times New Roman" w:cs="Times New Roman"/>
          <w:sz w:val="24"/>
          <w:szCs w:val="24"/>
        </w:rPr>
      </w:pPr>
      <w:r>
        <w:rPr>
          <w:rFonts w:ascii="Times" w:hAnsi="Times" w:cs="Times"/>
          <w:b/>
          <w:bCs/>
          <w:sz w:val="20"/>
          <w:szCs w:val="20"/>
        </w:rPr>
        <w:t>and Subsidiaries</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920"/>
        <w:rPr>
          <w:rFonts w:ascii="Times New Roman" w:hAnsi="Times New Roman" w:cs="Times New Roman"/>
          <w:sz w:val="24"/>
          <w:szCs w:val="24"/>
        </w:rPr>
      </w:pPr>
      <w:r>
        <w:rPr>
          <w:rFonts w:ascii="Times" w:hAnsi="Times" w:cs="Times"/>
          <w:b/>
          <w:bCs/>
          <w:sz w:val="20"/>
          <w:szCs w:val="20"/>
        </w:rPr>
        <w:t>CONSOLIDATED STATEMENTS OF EARNINGS</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300"/>
        <w:rPr>
          <w:rFonts w:ascii="Times New Roman" w:hAnsi="Times New Roman" w:cs="Times New Roman"/>
          <w:sz w:val="24"/>
          <w:szCs w:val="24"/>
        </w:rPr>
      </w:pPr>
      <w:r>
        <w:rPr>
          <w:rFonts w:ascii="Times" w:hAnsi="Times" w:cs="Times"/>
          <w:i/>
          <w:iCs/>
          <w:sz w:val="20"/>
          <w:szCs w:val="20"/>
        </w:rPr>
        <w:t>(dollars in millions except per-share amounts)</w:t>
      </w:r>
    </w:p>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40"/>
        <w:gridCol w:w="3960"/>
        <w:gridCol w:w="80"/>
        <w:gridCol w:w="720"/>
        <w:gridCol w:w="200"/>
        <w:gridCol w:w="100"/>
        <w:gridCol w:w="720"/>
        <w:gridCol w:w="200"/>
        <w:gridCol w:w="80"/>
        <w:gridCol w:w="720"/>
        <w:gridCol w:w="20"/>
      </w:tblGrid>
      <w:tr w:rsidR="00000000">
        <w:tblPrEx>
          <w:tblCellMar>
            <w:top w:w="0" w:type="dxa"/>
            <w:left w:w="0" w:type="dxa"/>
            <w:bottom w:w="0" w:type="dxa"/>
            <w:right w:w="0" w:type="dxa"/>
          </w:tblCellMar>
        </w:tblPrEx>
        <w:trPr>
          <w:trHeight w:val="184"/>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740" w:type="dxa"/>
            <w:gridSpan w:val="7"/>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30"/>
              <w:jc w:val="right"/>
              <w:rPr>
                <w:rFonts w:ascii="Times New Roman" w:hAnsi="Times New Roman" w:cs="Times New Roman"/>
                <w:sz w:val="24"/>
                <w:szCs w:val="24"/>
              </w:rPr>
            </w:pPr>
            <w:r>
              <w:rPr>
                <w:rFonts w:ascii="Times" w:hAnsi="Times" w:cs="Times"/>
                <w:b/>
                <w:bCs/>
                <w:sz w:val="16"/>
                <w:szCs w:val="16"/>
              </w:rPr>
              <w:t xml:space="preserve">Year </w:t>
            </w:r>
            <w:r>
              <w:rPr>
                <w:rFonts w:ascii="Times" w:hAnsi="Times" w:cs="Times"/>
                <w:b/>
                <w:bCs/>
                <w:sz w:val="16"/>
                <w:szCs w:val="16"/>
              </w:rPr>
              <w:t>Ended December 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51"/>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70"/>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50"/>
              <w:jc w:val="right"/>
              <w:rPr>
                <w:rFonts w:ascii="Times New Roman" w:hAnsi="Times New Roman" w:cs="Times New Roman"/>
                <w:sz w:val="24"/>
                <w:szCs w:val="24"/>
              </w:rPr>
            </w:pPr>
            <w:r>
              <w:rPr>
                <w:rFonts w:ascii="Times" w:hAnsi="Times" w:cs="Times"/>
                <w:b/>
                <w:bCs/>
                <w:sz w:val="16"/>
                <w:szCs w:val="16"/>
              </w:rPr>
              <w:t>2012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5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w:hAnsi="Times" w:cs="Times"/>
                <w:b/>
                <w:bCs/>
                <w:sz w:val="18"/>
                <w:szCs w:val="18"/>
              </w:rPr>
              <w:t>Revenues:</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6"/>
        </w:trPr>
        <w:tc>
          <w:tcPr>
            <w:tcW w:w="75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2"/>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r>
              <w:rPr>
                <w:rFonts w:ascii="Times" w:hAnsi="Times" w:cs="Times"/>
                <w:b/>
                <w:bCs/>
                <w:i/>
                <w:iCs/>
                <w:sz w:val="18"/>
                <w:szCs w:val="18"/>
              </w:rPr>
              <w:t>Insurance and Other:</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Insurance premiums earned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0"/>
                <w:sz w:val="17"/>
                <w:szCs w:val="17"/>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41,253</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36,684</w:t>
            </w: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34,545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Sales and service revenues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97,097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92,993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81,447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Int</w:t>
            </w:r>
            <w:r>
              <w:rPr>
                <w:rFonts w:ascii="Times" w:hAnsi="Times" w:cs="Times"/>
                <w:sz w:val="18"/>
                <w:szCs w:val="18"/>
              </w:rPr>
              <w:t>erest, dividend and other investment income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5,026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4,934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4,532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Investment gains/losses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3,503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3,881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990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jc w:val="right"/>
              <w:rPr>
                <w:rFonts w:ascii="Times New Roman" w:hAnsi="Times New Roman" w:cs="Times New Roman"/>
                <w:sz w:val="24"/>
                <w:szCs w:val="24"/>
              </w:rPr>
            </w:pPr>
            <w:r>
              <w:rPr>
                <w:rFonts w:ascii="Times" w:hAnsi="Times" w:cs="Times"/>
                <w:sz w:val="18"/>
                <w:szCs w:val="18"/>
              </w:rPr>
              <w:t>146,879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jc w:val="right"/>
              <w:rPr>
                <w:rFonts w:ascii="Times New Roman" w:hAnsi="Times New Roman" w:cs="Times New Roman"/>
                <w:sz w:val="24"/>
                <w:szCs w:val="24"/>
              </w:rPr>
            </w:pPr>
            <w:r>
              <w:rPr>
                <w:rFonts w:ascii="Times" w:hAnsi="Times" w:cs="Times"/>
                <w:sz w:val="18"/>
                <w:szCs w:val="18"/>
              </w:rPr>
              <w:t>138,492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jc w:val="right"/>
              <w:rPr>
                <w:rFonts w:ascii="Times New Roman" w:hAnsi="Times New Roman" w:cs="Times New Roman"/>
                <w:sz w:val="24"/>
                <w:szCs w:val="24"/>
              </w:rPr>
            </w:pPr>
            <w:r>
              <w:rPr>
                <w:rFonts w:ascii="Times" w:hAnsi="Times" w:cs="Times"/>
                <w:sz w:val="18"/>
                <w:szCs w:val="18"/>
              </w:rPr>
              <w:t>121,514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75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w:hAnsi="Times" w:cs="Times"/>
                <w:b/>
                <w:bCs/>
                <w:i/>
                <w:iCs/>
                <w:sz w:val="18"/>
                <w:szCs w:val="18"/>
              </w:rPr>
              <w:t>Railroad, Utilities and Energy:</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75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Revenues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40,690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34,757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32,582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75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w:hAnsi="Times" w:cs="Times"/>
                <w:b/>
                <w:bCs/>
                <w:i/>
                <w:iCs/>
                <w:sz w:val="18"/>
                <w:szCs w:val="18"/>
              </w:rPr>
              <w:t>Finance and Financial Products:</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75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Sales and service revenues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5,094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4,635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4,358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Interest, dividend and other investment income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1,432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1,474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1,574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Investment gains/losses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72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184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472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Derivative gains/losses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506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2,608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1,963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7,104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8,901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8,367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194,673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182,150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162,463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75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8"/>
                <w:szCs w:val="18"/>
              </w:rPr>
              <w:t>Costs and expenses:</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6"/>
        </w:trPr>
        <w:tc>
          <w:tcPr>
            <w:tcW w:w="75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2"/>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r>
              <w:rPr>
                <w:rFonts w:ascii="Times" w:hAnsi="Times" w:cs="Times"/>
                <w:b/>
                <w:bCs/>
                <w:i/>
                <w:iCs/>
                <w:sz w:val="18"/>
                <w:szCs w:val="18"/>
              </w:rPr>
              <w:t>Insurance and Other:</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Insurance losses and loss adjustment expenses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26,406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21,275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20,113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Life, annuity and health insurance benefits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5,181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5,072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5,114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Insurance underwriting expenses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6,998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7,248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7,693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Cost of sales and services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78,873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75,953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66,419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Selling, general and administrative expenses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12,198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11,732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10,307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Interest expense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419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395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363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130,075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121,675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110,009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75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i/>
                <w:iCs/>
                <w:sz w:val="18"/>
                <w:szCs w:val="18"/>
              </w:rPr>
              <w:t>Railroad, Utilities and Energy:</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75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Cost of sales and operating expenses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29,378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25,157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23,816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Interest expense . . . . . . . . . . . . . . . . . . . . . . . . . . . . . . .</w:t>
            </w:r>
            <w:r>
              <w:rPr>
                <w:rFonts w:ascii="Times" w:hAnsi="Times" w:cs="Times"/>
                <w:sz w:val="18"/>
                <w:szCs w:val="18"/>
              </w:rPr>
              <w:t xml:space="preserve">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2,378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1,865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1,745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31,756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27,022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25,561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75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i/>
                <w:iCs/>
                <w:sz w:val="18"/>
                <w:szCs w:val="18"/>
              </w:rPr>
              <w:t>Finance and Financial Products:</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75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 xml:space="preserve">Cost of sales and </w:t>
            </w:r>
            <w:r>
              <w:rPr>
                <w:rFonts w:ascii="Times" w:hAnsi="Times" w:cs="Times"/>
                <w:sz w:val="18"/>
                <w:szCs w:val="18"/>
              </w:rPr>
              <w:t>services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2,758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2,566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2,458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Selling, general and administrative expenses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1,523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1,550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1,563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Interest expense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456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541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636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4,737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4,657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4,657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166,568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153,354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140,227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75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rPr>
                <w:rFonts w:ascii="Times New Roman" w:hAnsi="Times New Roman" w:cs="Times New Roman"/>
                <w:sz w:val="24"/>
                <w:szCs w:val="24"/>
              </w:rPr>
            </w:pPr>
            <w:r>
              <w:rPr>
                <w:rFonts w:ascii="Times" w:hAnsi="Times" w:cs="Times"/>
                <w:b/>
                <w:bCs/>
                <w:sz w:val="18"/>
                <w:szCs w:val="18"/>
              </w:rPr>
              <w:t>Earnings before income taxes</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75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0" w:lineRule="exact"/>
              <w:ind w:right="200"/>
              <w:jc w:val="right"/>
              <w:rPr>
                <w:rFonts w:ascii="Times New Roman" w:hAnsi="Times New Roman" w:cs="Times New Roman"/>
                <w:sz w:val="24"/>
                <w:szCs w:val="24"/>
              </w:rPr>
            </w:pPr>
            <w:r>
              <w:rPr>
                <w:rFonts w:ascii="Times" w:hAnsi="Times" w:cs="Times"/>
                <w:sz w:val="18"/>
                <w:szCs w:val="18"/>
              </w:rPr>
              <w:t>.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jc w:val="right"/>
              <w:rPr>
                <w:rFonts w:ascii="Times New Roman" w:hAnsi="Times New Roman" w:cs="Times New Roman"/>
                <w:sz w:val="24"/>
                <w:szCs w:val="24"/>
              </w:rPr>
            </w:pPr>
            <w:r>
              <w:rPr>
                <w:rFonts w:ascii="Times" w:hAnsi="Times" w:cs="Times"/>
                <w:sz w:val="18"/>
                <w:szCs w:val="18"/>
              </w:rPr>
              <w:t>28,105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jc w:val="right"/>
              <w:rPr>
                <w:rFonts w:ascii="Times New Roman" w:hAnsi="Times New Roman" w:cs="Times New Roman"/>
                <w:sz w:val="24"/>
                <w:szCs w:val="24"/>
              </w:rPr>
            </w:pPr>
            <w:r>
              <w:rPr>
                <w:rFonts w:ascii="Times" w:hAnsi="Times" w:cs="Times"/>
                <w:sz w:val="18"/>
                <w:szCs w:val="18"/>
              </w:rPr>
              <w:t>28,796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6" w:lineRule="exact"/>
              <w:jc w:val="right"/>
              <w:rPr>
                <w:rFonts w:ascii="Times New Roman" w:hAnsi="Times New Roman" w:cs="Times New Roman"/>
                <w:sz w:val="24"/>
                <w:szCs w:val="24"/>
              </w:rPr>
            </w:pPr>
            <w:r>
              <w:rPr>
                <w:rFonts w:ascii="Times" w:hAnsi="Times" w:cs="Times"/>
                <w:sz w:val="18"/>
                <w:szCs w:val="18"/>
              </w:rPr>
              <w:t>22,236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Incom</w:t>
            </w:r>
            <w:r>
              <w:rPr>
                <w:rFonts w:ascii="Times" w:hAnsi="Times" w:cs="Times"/>
                <w:sz w:val="18"/>
                <w:szCs w:val="18"/>
              </w:rPr>
              <w:t>e tax expense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7,935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8,951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6,924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75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8"/>
                <w:szCs w:val="18"/>
              </w:rPr>
              <w:t>Net earnings</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75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0" w:lineRule="exact"/>
              <w:ind w:right="200"/>
              <w:jc w:val="right"/>
              <w:rPr>
                <w:rFonts w:ascii="Times New Roman" w:hAnsi="Times New Roman" w:cs="Times New Roman"/>
                <w:sz w:val="24"/>
                <w:szCs w:val="24"/>
              </w:rPr>
            </w:pPr>
            <w:r>
              <w:rPr>
                <w:rFonts w:ascii="Times" w:hAnsi="Times" w:cs="Times"/>
                <w:sz w:val="18"/>
                <w:szCs w:val="18"/>
              </w:rPr>
              <w:t>. . . . . . . . . . . . . . . . . . . . . . . .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20,170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19,845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15,312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0"/>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ind w:right="200"/>
              <w:jc w:val="right"/>
              <w:rPr>
                <w:rFonts w:ascii="Times New Roman" w:hAnsi="Times New Roman" w:cs="Times New Roman"/>
                <w:sz w:val="24"/>
                <w:szCs w:val="24"/>
              </w:rPr>
            </w:pPr>
            <w:r>
              <w:rPr>
                <w:rFonts w:ascii="Times" w:hAnsi="Times" w:cs="Times"/>
                <w:sz w:val="18"/>
                <w:szCs w:val="18"/>
              </w:rPr>
              <w:t>Less: Earnings attributable to noncontrolling interests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298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369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9" w:lineRule="exact"/>
              <w:jc w:val="right"/>
              <w:rPr>
                <w:rFonts w:ascii="Times New Roman" w:hAnsi="Times New Roman" w:cs="Times New Roman"/>
                <w:sz w:val="24"/>
                <w:szCs w:val="24"/>
              </w:rPr>
            </w:pPr>
            <w:r>
              <w:rPr>
                <w:rFonts w:ascii="Times" w:hAnsi="Times" w:cs="Times"/>
                <w:sz w:val="18"/>
                <w:szCs w:val="18"/>
              </w:rPr>
              <w:t>488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75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8"/>
                <w:szCs w:val="18"/>
              </w:rPr>
              <w:t>Net earnings attributable to Berkshire Hathaway shareholders</w:t>
            </w: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8"/>
        </w:trPr>
        <w:tc>
          <w:tcPr>
            <w:tcW w:w="75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0" w:lineRule="exact"/>
              <w:ind w:right="200"/>
              <w:jc w:val="right"/>
              <w:rPr>
                <w:rFonts w:ascii="Times New Roman" w:hAnsi="Times New Roman" w:cs="Times New Roman"/>
                <w:sz w:val="24"/>
                <w:szCs w:val="24"/>
              </w:rPr>
            </w:pPr>
            <w:r>
              <w:rPr>
                <w:rFonts w:ascii="Times" w:hAnsi="Times" w:cs="Times"/>
                <w:sz w:val="18"/>
                <w:szCs w:val="18"/>
              </w:rPr>
              <w:t>.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0"/>
                <w:sz w:val="17"/>
                <w:szCs w:val="17"/>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19,872</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19,476</w:t>
            </w: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18"/>
                <w:szCs w:val="18"/>
              </w:rPr>
              <w:t>14,824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2"/>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w:hAnsi="Times" w:cs="Times"/>
                <w:sz w:val="18"/>
                <w:szCs w:val="18"/>
              </w:rPr>
              <w:t>Average common shares outstanding *  . . . . . . . . . . . . . . . . . . .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7"/>
                <w:sz w:val="18"/>
                <w:szCs w:val="18"/>
              </w:rPr>
              <w:t>1,643,456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7"/>
                <w:sz w:val="18"/>
                <w:szCs w:val="18"/>
              </w:rPr>
              <w:t>1,643,613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7"/>
                <w:sz w:val="18"/>
                <w:szCs w:val="18"/>
              </w:rPr>
              <w:t>1,651,294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6"/>
        </w:trPr>
        <w:tc>
          <w:tcPr>
            <w:tcW w:w="7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5" w:lineRule="exact"/>
              <w:ind w:right="200"/>
              <w:jc w:val="right"/>
              <w:rPr>
                <w:rFonts w:ascii="Times New Roman" w:hAnsi="Times New Roman" w:cs="Times New Roman"/>
                <w:sz w:val="24"/>
                <w:szCs w:val="24"/>
              </w:rPr>
            </w:pPr>
            <w:r>
              <w:rPr>
                <w:rFonts w:ascii="Times" w:hAnsi="Times" w:cs="Times"/>
                <w:b/>
                <w:bCs/>
                <w:sz w:val="18"/>
                <w:szCs w:val="18"/>
              </w:rPr>
              <w:t xml:space="preserve">Net earnings per share attributable to Berkshire Hathaway shareholders * </w:t>
            </w:r>
            <w:r>
              <w:rPr>
                <w:rFonts w:ascii="Times" w:hAnsi="Times" w:cs="Times"/>
                <w:sz w:val="18"/>
                <w:szCs w:val="18"/>
              </w:rPr>
              <w:t>.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0"/>
                <w:sz w:val="17"/>
                <w:szCs w:val="17"/>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5" w:lineRule="exact"/>
              <w:jc w:val="right"/>
              <w:rPr>
                <w:rFonts w:ascii="Times New Roman" w:hAnsi="Times New Roman" w:cs="Times New Roman"/>
                <w:sz w:val="24"/>
                <w:szCs w:val="24"/>
              </w:rPr>
            </w:pPr>
            <w:r>
              <w:rPr>
                <w:rFonts w:ascii="Times" w:hAnsi="Times" w:cs="Times"/>
                <w:sz w:val="18"/>
                <w:szCs w:val="18"/>
              </w:rPr>
              <w:t>12,092</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5" w:lineRule="exact"/>
              <w:jc w:val="right"/>
              <w:rPr>
                <w:rFonts w:ascii="Times New Roman" w:hAnsi="Times New Roman" w:cs="Times New Roman"/>
                <w:sz w:val="24"/>
                <w:szCs w:val="24"/>
              </w:rPr>
            </w:pPr>
            <w:r>
              <w:rPr>
                <w:rFonts w:ascii="Times" w:hAnsi="Times" w:cs="Times"/>
                <w:sz w:val="18"/>
                <w:szCs w:val="18"/>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5" w:lineRule="exact"/>
              <w:jc w:val="right"/>
              <w:rPr>
                <w:rFonts w:ascii="Times New Roman" w:hAnsi="Times New Roman" w:cs="Times New Roman"/>
                <w:sz w:val="24"/>
                <w:szCs w:val="24"/>
              </w:rPr>
            </w:pPr>
            <w:r>
              <w:rPr>
                <w:rFonts w:ascii="Times" w:hAnsi="Times" w:cs="Times"/>
                <w:sz w:val="18"/>
                <w:szCs w:val="18"/>
              </w:rPr>
              <w:t>11,850</w:t>
            </w: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5" w:lineRule="exact"/>
              <w:jc w:val="right"/>
              <w:rPr>
                <w:rFonts w:ascii="Times New Roman" w:hAnsi="Times New Roman" w:cs="Times New Roman"/>
                <w:sz w:val="24"/>
                <w:szCs w:val="24"/>
              </w:rPr>
            </w:pPr>
            <w:r>
              <w:rPr>
                <w:rFonts w:ascii="Times" w:hAnsi="Times" w:cs="Times"/>
                <w:sz w:val="18"/>
                <w:szCs w:val="18"/>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5" w:lineRule="exact"/>
              <w:jc w:val="right"/>
              <w:rPr>
                <w:rFonts w:ascii="Times New Roman" w:hAnsi="Times New Roman" w:cs="Times New Roman"/>
                <w:sz w:val="24"/>
                <w:szCs w:val="24"/>
              </w:rPr>
            </w:pPr>
            <w:r>
              <w:rPr>
                <w:rFonts w:ascii="Times" w:hAnsi="Times" w:cs="Times"/>
                <w:sz w:val="18"/>
                <w:szCs w:val="18"/>
              </w:rPr>
              <w:t>8,977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0"/>
        </w:trPr>
        <w:tc>
          <w:tcPr>
            <w:tcW w:w="3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2" w:lineRule="exact"/>
        <w:rPr>
          <w:rFonts w:ascii="Times New Roman" w:hAnsi="Times New Roman" w:cs="Times New Roman"/>
          <w:sz w:val="24"/>
          <w:szCs w:val="24"/>
        </w:rPr>
      </w:pPr>
    </w:p>
    <w:p w:rsidR="00000000" w:rsidRDefault="00A06965">
      <w:pPr>
        <w:pStyle w:val="DefaultParagraphFont"/>
        <w:widowControl w:val="0"/>
        <w:numPr>
          <w:ilvl w:val="0"/>
          <w:numId w:val="19"/>
        </w:numPr>
        <w:tabs>
          <w:tab w:val="clear" w:pos="720"/>
          <w:tab w:val="num" w:pos="180"/>
        </w:tabs>
        <w:overflowPunct w:val="0"/>
        <w:autoSpaceDE w:val="0"/>
        <w:autoSpaceDN w:val="0"/>
        <w:adjustRightInd w:val="0"/>
        <w:spacing w:after="0" w:line="213" w:lineRule="auto"/>
        <w:ind w:left="180" w:hanging="180"/>
        <w:jc w:val="both"/>
        <w:rPr>
          <w:rFonts w:ascii="Times" w:hAnsi="Times" w:cs="Times"/>
          <w:i/>
          <w:iCs/>
          <w:sz w:val="18"/>
          <w:szCs w:val="18"/>
        </w:rPr>
      </w:pPr>
      <w:r>
        <w:rPr>
          <w:rFonts w:ascii="Times" w:hAnsi="Times" w:cs="Times"/>
          <w:i/>
          <w:iCs/>
          <w:sz w:val="18"/>
          <w:szCs w:val="18"/>
        </w:rPr>
        <w:t xml:space="preserve">Average shares outstanding include average Class A common shares and average Class B common shares determined on an equivalent Class A common stock basis. Net earnings per common share attributable to Berkshire Hathaway shown above represents net earnings </w:t>
      </w:r>
      <w:r>
        <w:rPr>
          <w:rFonts w:ascii="Times" w:hAnsi="Times" w:cs="Times"/>
          <w:i/>
          <w:iCs/>
          <w:sz w:val="18"/>
          <w:szCs w:val="18"/>
        </w:rPr>
        <w:t>per equivalent Class A common share. Net earnings per Class B common share is equal to one-fifteen-hundredth (1/1,500) of such amount or $8.06 per share for 2014, $7.90 per share for 2013 and $5.98 per share for 2012.</w:t>
      </w:r>
    </w:p>
    <w:p w:rsidR="00000000" w:rsidRDefault="00A06965">
      <w:pPr>
        <w:pStyle w:val="DefaultParagraphFont"/>
        <w:widowControl w:val="0"/>
        <w:autoSpaceDE w:val="0"/>
        <w:autoSpaceDN w:val="0"/>
        <w:adjustRightInd w:val="0"/>
        <w:spacing w:after="0" w:line="25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620"/>
        <w:rPr>
          <w:rFonts w:ascii="Times New Roman" w:hAnsi="Times New Roman" w:cs="Times New Roman"/>
          <w:sz w:val="24"/>
          <w:szCs w:val="24"/>
        </w:rPr>
      </w:pPr>
      <w:r>
        <w:rPr>
          <w:rFonts w:ascii="Times" w:hAnsi="Times" w:cs="Times"/>
          <w:i/>
          <w:iCs/>
          <w:sz w:val="20"/>
          <w:szCs w:val="20"/>
        </w:rPr>
        <w:t>See accompanying Notes to Consolidate</w:t>
      </w:r>
      <w:r>
        <w:rPr>
          <w:rFonts w:ascii="Times" w:hAnsi="Times" w:cs="Times"/>
          <w:i/>
          <w:iCs/>
          <w:sz w:val="20"/>
          <w:szCs w:val="20"/>
        </w:rPr>
        <w:t>d Financial Statements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49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ind w:left="3700"/>
        <w:rPr>
          <w:rFonts w:ascii="Times New Roman" w:hAnsi="Times New Roman" w:cs="Times New Roman"/>
          <w:sz w:val="24"/>
          <w:szCs w:val="24"/>
        </w:rPr>
      </w:pPr>
      <w:r>
        <w:rPr>
          <w:rFonts w:ascii="Times" w:hAnsi="Times" w:cs="Times"/>
          <w:b/>
          <w:bC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460"/>
        <w:rPr>
          <w:rFonts w:ascii="Times New Roman" w:hAnsi="Times New Roman" w:cs="Times New Roman"/>
          <w:sz w:val="24"/>
          <w:szCs w:val="24"/>
        </w:rPr>
      </w:pPr>
      <w:r>
        <w:rPr>
          <w:rFonts w:ascii="Times" w:hAnsi="Times" w:cs="Times"/>
          <w:b/>
          <w:bCs/>
          <w:sz w:val="20"/>
          <w:szCs w:val="20"/>
        </w:rPr>
        <w:t>and Subsidiaries</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120"/>
        <w:rPr>
          <w:rFonts w:ascii="Times New Roman" w:hAnsi="Times New Roman" w:cs="Times New Roman"/>
          <w:sz w:val="24"/>
          <w:szCs w:val="24"/>
        </w:rPr>
      </w:pPr>
      <w:r>
        <w:rPr>
          <w:rFonts w:ascii="Times" w:hAnsi="Times" w:cs="Times"/>
          <w:b/>
          <w:bCs/>
          <w:sz w:val="20"/>
          <w:szCs w:val="20"/>
        </w:rPr>
        <w:t>CONSOLIDATED STATEMENTS OF COMPREHENSIVE INCOME</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360"/>
        <w:rPr>
          <w:rFonts w:ascii="Times New Roman" w:hAnsi="Times New Roman" w:cs="Times New Roman"/>
          <w:sz w:val="24"/>
          <w:szCs w:val="24"/>
        </w:rPr>
      </w:pPr>
      <w:r>
        <w:rPr>
          <w:rFonts w:ascii="Times" w:hAnsi="Times" w:cs="Times"/>
          <w:i/>
          <w:iCs/>
          <w:sz w:val="20"/>
          <w:szCs w:val="20"/>
        </w:rPr>
        <w:t>(dollars in millions)</w:t>
      </w:r>
    </w:p>
    <w:p w:rsidR="00000000" w:rsidRDefault="00A06965">
      <w:pPr>
        <w:pStyle w:val="DefaultParagraphFont"/>
        <w:widowControl w:val="0"/>
        <w:autoSpaceDE w:val="0"/>
        <w:autoSpaceDN w:val="0"/>
        <w:adjustRightInd w:val="0"/>
        <w:spacing w:after="0" w:line="21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380"/>
        <w:gridCol w:w="20"/>
        <w:gridCol w:w="180"/>
        <w:gridCol w:w="660"/>
        <w:gridCol w:w="180"/>
        <w:gridCol w:w="200"/>
        <w:gridCol w:w="180"/>
        <w:gridCol w:w="660"/>
        <w:gridCol w:w="180"/>
        <w:gridCol w:w="200"/>
        <w:gridCol w:w="760"/>
        <w:gridCol w:w="200"/>
        <w:gridCol w:w="20"/>
        <w:gridCol w:w="160"/>
        <w:gridCol w:w="440"/>
        <w:gridCol w:w="20"/>
        <w:gridCol w:w="180"/>
        <w:gridCol w:w="60"/>
        <w:gridCol w:w="140"/>
        <w:gridCol w:w="480"/>
        <w:gridCol w:w="80"/>
        <w:gridCol w:w="100"/>
        <w:gridCol w:w="100"/>
        <w:gridCol w:w="100"/>
        <w:gridCol w:w="640"/>
        <w:gridCol w:w="60"/>
        <w:gridCol w:w="20"/>
      </w:tblGrid>
      <w:tr w:rsidR="00000000">
        <w:tblPrEx>
          <w:tblCellMar>
            <w:top w:w="0" w:type="dxa"/>
            <w:left w:w="0" w:type="dxa"/>
            <w:bottom w:w="0" w:type="dxa"/>
            <w:right w:w="0" w:type="dxa"/>
          </w:tblCellMar>
        </w:tblPrEx>
        <w:trPr>
          <w:trHeight w:val="184"/>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400" w:type="dxa"/>
            <w:gridSpan w:val="1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w:hAnsi="Times" w:cs="Times"/>
                <w:b/>
                <w:bCs/>
                <w:sz w:val="16"/>
                <w:szCs w:val="16"/>
              </w:rPr>
              <w:t>Year Ended December 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540"/>
              <w:rPr>
                <w:rFonts w:ascii="Times New Roman" w:hAnsi="Times New Roman" w:cs="Times New Roman"/>
                <w:sz w:val="24"/>
                <w:szCs w:val="24"/>
              </w:rPr>
            </w:pPr>
            <w:r>
              <w:rPr>
                <w:rFonts w:ascii="Times" w:hAnsi="Times" w:cs="Times"/>
                <w:b/>
                <w:bCs/>
                <w:sz w:val="16"/>
                <w:szCs w:val="16"/>
              </w:rPr>
              <w:t>2014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b/>
                <w:bCs/>
                <w:sz w:val="16"/>
                <w:szCs w:val="16"/>
              </w:rPr>
              <w:t>2013</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w:hAnsi="Times" w:cs="Times"/>
                <w:b/>
                <w:bCs/>
                <w:sz w:val="16"/>
                <w:szCs w:val="16"/>
              </w:rPr>
              <w:t>2012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earnings . . . . . . . .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w w:val="65516"/>
                <w:sz w:val="2"/>
                <w:szCs w:val="2"/>
              </w:rPr>
              <w:t>.</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3"/>
                <w:sz w:val="20"/>
                <w:szCs w:val="20"/>
              </w:rPr>
              <w:t>.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sz w:val="20"/>
                <w:szCs w:val="20"/>
              </w:rPr>
              <w:t>. .  $20,170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$19,845</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$15,312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43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comprehensive income:</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43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6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w w:val="98"/>
                <w:sz w:val="20"/>
                <w:szCs w:val="20"/>
              </w:rPr>
              <w:t>Net change in unrealized appreciation of investments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7"/>
                <w:sz w:val="20"/>
                <w:szCs w:val="20"/>
              </w:rPr>
              <w:t>. .5,831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25,111</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15,700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Applicable income taxes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3"/>
                <w:sz w:val="20"/>
                <w:szCs w:val="20"/>
              </w:rPr>
              <w:t>.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80" w:type="dxa"/>
            <w:gridSpan w:val="7"/>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sz w:val="20"/>
                <w:szCs w:val="20"/>
              </w:rPr>
              <w:t>. .    (2,062)</w:t>
            </w:r>
          </w:p>
        </w:tc>
        <w:tc>
          <w:tcPr>
            <w:tcW w:w="90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w:hAnsi="Times" w:cs="Times"/>
                <w:sz w:val="20"/>
                <w:szCs w:val="20"/>
              </w:rPr>
              <w:t>(8,691)</w:t>
            </w: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(5,434)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6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Reclassification of investment appreciation in net earnings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80" w:type="dxa"/>
            <w:gridSpan w:val="7"/>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sz w:val="20"/>
                <w:szCs w:val="20"/>
              </w:rPr>
              <w:t>. .    (3,360)</w:t>
            </w:r>
          </w:p>
        </w:tc>
        <w:tc>
          <w:tcPr>
            <w:tcW w:w="90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w:hAnsi="Times" w:cs="Times"/>
                <w:sz w:val="20"/>
                <w:szCs w:val="20"/>
              </w:rPr>
              <w:t>(2,447)</w:t>
            </w: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(953)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Applicable income taxes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3"/>
                <w:sz w:val="20"/>
                <w:szCs w:val="20"/>
              </w:rPr>
              <w:t>.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7"/>
                <w:sz w:val="20"/>
                <w:szCs w:val="20"/>
              </w:rPr>
              <w:t>. .1,176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856</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Foreign currency translation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3"/>
                <w:sz w:val="20"/>
                <w:szCs w:val="20"/>
              </w:rPr>
              <w:t>.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80" w:type="dxa"/>
            <w:gridSpan w:val="7"/>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sz w:val="20"/>
                <w:szCs w:val="20"/>
              </w:rPr>
              <w:t>. .    (2,032)</w:t>
            </w:r>
          </w:p>
        </w:tc>
        <w:tc>
          <w:tcPr>
            <w:tcW w:w="90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w:hAnsi="Times" w:cs="Times"/>
                <w:sz w:val="20"/>
                <w:szCs w:val="20"/>
              </w:rPr>
              <w:t>(82)</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Applicable income taxes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3"/>
                <w:sz w:val="20"/>
                <w:szCs w:val="20"/>
              </w:rPr>
              <w:t>.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9"/>
                <w:sz w:val="20"/>
                <w:szCs w:val="20"/>
              </w:rPr>
              <w:t>. .183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840" w:type="dxa"/>
            <w:gridSpan w:val="10"/>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Prior service cost and actuarial gains/losses of defined benefit pension plans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80" w:type="dxa"/>
            <w:gridSpan w:val="7"/>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sz w:val="20"/>
                <w:szCs w:val="20"/>
              </w:rPr>
              <w:t>. .    (1,703)</w:t>
            </w: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2,602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Applicable income taxes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3"/>
                <w:sz w:val="20"/>
                <w:szCs w:val="20"/>
              </w:rPr>
              <w:t>.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9"/>
                <w:sz w:val="20"/>
                <w:szCs w:val="20"/>
              </w:rPr>
              <w:t>. .624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0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w:hAnsi="Times" w:cs="Times"/>
                <w:sz w:val="20"/>
                <w:szCs w:val="20"/>
              </w:rPr>
              <w:t>(950)</w:t>
            </w: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Other, net . . . . . . .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3"/>
                <w:sz w:val="20"/>
                <w:szCs w:val="20"/>
              </w:rPr>
              <w:t>.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9"/>
                <w:sz w:val="20"/>
                <w:szCs w:val="20"/>
              </w:rPr>
              <w:t>. .8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138</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Other comprehensive income, net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w:hAnsi="Times" w:cs="Times"/>
                <w:w w:val="93"/>
                <w:sz w:val="20"/>
                <w:szCs w:val="20"/>
              </w:rPr>
              <w:t>.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Times" w:hAnsi="Times" w:cs="Times"/>
                <w:sz w:val="20"/>
                <w:szCs w:val="20"/>
              </w:rPr>
              <w:t>. . . . . . .</w:t>
            </w:r>
          </w:p>
        </w:tc>
        <w:tc>
          <w:tcPr>
            <w:tcW w:w="1080" w:type="dxa"/>
            <w:gridSpan w:val="7"/>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w:hAnsi="Times" w:cs="Times"/>
                <w:sz w:val="20"/>
                <w:szCs w:val="20"/>
              </w:rPr>
              <w:t>. .    (1,335)</w:t>
            </w: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16,571</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9,861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Comprehensive income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3"/>
                <w:sz w:val="20"/>
                <w:szCs w:val="20"/>
              </w:rPr>
              <w:t>.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sz w:val="20"/>
                <w:szCs w:val="20"/>
              </w:rPr>
              <w:t>. .   18,835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36,416</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25,173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6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99"/>
                <w:sz w:val="20"/>
                <w:szCs w:val="20"/>
              </w:rPr>
              <w:t>Comprehensive income attributable to noncontrolling interests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99"/>
                <w:sz w:val="20"/>
                <w:szCs w:val="20"/>
              </w:rPr>
              <w:t>. .256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394</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503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4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840" w:type="dxa"/>
            <w:gridSpan w:val="10"/>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Comprehensive income attributable to Berkshire Hathaway shareholders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 . . . . . .</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sz w:val="20"/>
                <w:szCs w:val="20"/>
              </w:rPr>
              <w:t>. .  $18,579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$36,022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$24,670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4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4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6"/>
        </w:trPr>
        <w:tc>
          <w:tcPr>
            <w:tcW w:w="9580" w:type="dxa"/>
            <w:gridSpan w:val="2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520"/>
              <w:rPr>
                <w:rFonts w:ascii="Times New Roman" w:hAnsi="Times New Roman" w:cs="Times New Roman"/>
                <w:sz w:val="24"/>
                <w:szCs w:val="24"/>
              </w:rPr>
            </w:pPr>
            <w:r>
              <w:rPr>
                <w:rFonts w:ascii="Times" w:hAnsi="Times" w:cs="Times"/>
                <w:b/>
                <w:bCs/>
                <w:sz w:val="20"/>
                <w:szCs w:val="20"/>
              </w:rPr>
              <w:t>CONSOLIDATED STATEMENTS OF CHANGES IN SHAREHOLDERS’ EQUITY</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60" w:type="dxa"/>
            <w:gridSpan w:val="9"/>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780"/>
              <w:jc w:val="right"/>
              <w:rPr>
                <w:rFonts w:ascii="Times New Roman" w:hAnsi="Times New Roman" w:cs="Times New Roman"/>
                <w:sz w:val="24"/>
                <w:szCs w:val="24"/>
              </w:rPr>
            </w:pPr>
            <w:r>
              <w:rPr>
                <w:rFonts w:ascii="Times" w:hAnsi="Times" w:cs="Times"/>
                <w:i/>
                <w:iCs/>
                <w:w w:val="97"/>
                <w:sz w:val="20"/>
                <w:szCs w:val="20"/>
              </w:rPr>
              <w:t>(dollars in millions)</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100" w:type="dxa"/>
            <w:gridSpan w:val="1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400"/>
              <w:rPr>
                <w:rFonts w:ascii="Times New Roman" w:hAnsi="Times New Roman" w:cs="Times New Roman"/>
                <w:sz w:val="24"/>
                <w:szCs w:val="24"/>
              </w:rPr>
            </w:pPr>
            <w:r>
              <w:rPr>
                <w:rFonts w:ascii="Times" w:hAnsi="Times" w:cs="Times"/>
                <w:b/>
                <w:bCs/>
                <w:sz w:val="16"/>
                <w:szCs w:val="16"/>
              </w:rPr>
              <w:t>Berkshire Hathaway shareholders’ equity</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2"/>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2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2" w:lineRule="exact"/>
              <w:rPr>
                <w:rFonts w:ascii="Times New Roman" w:hAnsi="Times New Roman" w:cs="Times New Roman"/>
                <w:sz w:val="24"/>
                <w:szCs w:val="24"/>
              </w:rPr>
            </w:pPr>
            <w:r>
              <w:rPr>
                <w:rFonts w:ascii="Times" w:hAnsi="Times" w:cs="Times"/>
                <w:b/>
                <w:bCs/>
                <w:sz w:val="16"/>
                <w:szCs w:val="16"/>
              </w:rPr>
              <w:t>Common stock</w:t>
            </w:r>
          </w:p>
        </w:tc>
        <w:tc>
          <w:tcPr>
            <w:tcW w:w="12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2" w:lineRule="exact"/>
              <w:ind w:right="100"/>
              <w:jc w:val="center"/>
              <w:rPr>
                <w:rFonts w:ascii="Times New Roman" w:hAnsi="Times New Roman" w:cs="Times New Roman"/>
                <w:sz w:val="24"/>
                <w:szCs w:val="24"/>
              </w:rPr>
            </w:pPr>
            <w:r>
              <w:rPr>
                <w:rFonts w:ascii="Times" w:hAnsi="Times" w:cs="Times"/>
                <w:b/>
                <w:bCs/>
                <w:w w:val="99"/>
                <w:sz w:val="16"/>
                <w:szCs w:val="16"/>
              </w:rPr>
              <w:t>Accumulated</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100"/>
              <w:jc w:val="center"/>
              <w:rPr>
                <w:rFonts w:ascii="Times New Roman" w:hAnsi="Times New Roman" w:cs="Times New Roman"/>
                <w:sz w:val="24"/>
                <w:szCs w:val="24"/>
              </w:rPr>
            </w:pPr>
            <w:r>
              <w:rPr>
                <w:rFonts w:ascii="Times" w:hAnsi="Times" w:cs="Times"/>
                <w:b/>
                <w:bCs/>
                <w:sz w:val="16"/>
                <w:szCs w:val="16"/>
              </w:rPr>
              <w:t>and capital in</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60"/>
              <w:jc w:val="center"/>
              <w:rPr>
                <w:rFonts w:ascii="Times New Roman" w:hAnsi="Times New Roman" w:cs="Times New Roman"/>
                <w:sz w:val="24"/>
                <w:szCs w:val="24"/>
              </w:rPr>
            </w:pPr>
            <w:r>
              <w:rPr>
                <w:rFonts w:ascii="Times" w:hAnsi="Times" w:cs="Times"/>
                <w:b/>
                <w:bCs/>
                <w:w w:val="98"/>
                <w:sz w:val="16"/>
                <w:szCs w:val="16"/>
              </w:rPr>
              <w:t>other</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420"/>
              <w:jc w:val="right"/>
              <w:rPr>
                <w:rFonts w:ascii="Times New Roman" w:hAnsi="Times New Roman" w:cs="Times New Roman"/>
                <w:sz w:val="24"/>
                <w:szCs w:val="24"/>
              </w:rPr>
            </w:pPr>
            <w:r>
              <w:rPr>
                <w:rFonts w:ascii="Times" w:hAnsi="Times" w:cs="Times"/>
                <w:b/>
                <w:bCs/>
                <w:w w:val="94"/>
                <w:sz w:val="16"/>
                <w:szCs w:val="16"/>
              </w:rPr>
              <w:t>Non-</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100"/>
              <w:jc w:val="center"/>
              <w:rPr>
                <w:rFonts w:ascii="Times New Roman" w:hAnsi="Times New Roman" w:cs="Times New Roman"/>
                <w:sz w:val="24"/>
                <w:szCs w:val="24"/>
              </w:rPr>
            </w:pPr>
            <w:r>
              <w:rPr>
                <w:rFonts w:ascii="Times" w:hAnsi="Times" w:cs="Times"/>
                <w:b/>
                <w:bCs/>
                <w:w w:val="98"/>
                <w:sz w:val="16"/>
                <w:szCs w:val="16"/>
              </w:rPr>
              <w:t>excess of par</w:t>
            </w:r>
          </w:p>
        </w:tc>
        <w:tc>
          <w:tcPr>
            <w:tcW w:w="12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100"/>
              <w:jc w:val="right"/>
              <w:rPr>
                <w:rFonts w:ascii="Times New Roman" w:hAnsi="Times New Roman" w:cs="Times New Roman"/>
                <w:sz w:val="24"/>
                <w:szCs w:val="24"/>
              </w:rPr>
            </w:pPr>
            <w:r>
              <w:rPr>
                <w:rFonts w:ascii="Times" w:hAnsi="Times" w:cs="Times"/>
                <w:b/>
                <w:bCs/>
                <w:w w:val="97"/>
                <w:sz w:val="16"/>
                <w:szCs w:val="16"/>
              </w:rPr>
              <w:t>comprehensive</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left="80"/>
              <w:rPr>
                <w:rFonts w:ascii="Times New Roman" w:hAnsi="Times New Roman" w:cs="Times New Roman"/>
                <w:sz w:val="24"/>
                <w:szCs w:val="24"/>
              </w:rPr>
            </w:pPr>
            <w:r>
              <w:rPr>
                <w:rFonts w:ascii="Times" w:hAnsi="Times" w:cs="Times"/>
                <w:b/>
                <w:bCs/>
                <w:sz w:val="16"/>
                <w:szCs w:val="16"/>
              </w:rPr>
              <w:t>Retained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780" w:type="dxa"/>
            <w:gridSpan w:val="11"/>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0"/>
              <w:jc w:val="right"/>
              <w:rPr>
                <w:rFonts w:ascii="Times New Roman" w:hAnsi="Times New Roman" w:cs="Times New Roman"/>
                <w:sz w:val="24"/>
                <w:szCs w:val="24"/>
              </w:rPr>
            </w:pPr>
            <w:r>
              <w:rPr>
                <w:rFonts w:ascii="Times" w:hAnsi="Times" w:cs="Times"/>
                <w:b/>
                <w:bCs/>
                <w:sz w:val="16"/>
                <w:szCs w:val="16"/>
              </w:rPr>
              <w:t>Treasury   controlling</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80"/>
              <w:jc w:val="center"/>
              <w:rPr>
                <w:rFonts w:ascii="Times New Roman" w:hAnsi="Times New Roman" w:cs="Times New Roman"/>
                <w:sz w:val="24"/>
                <w:szCs w:val="24"/>
              </w:rPr>
            </w:pPr>
            <w:r>
              <w:rPr>
                <w:rFonts w:ascii="Times" w:hAnsi="Times" w:cs="Times"/>
                <w:b/>
                <w:bCs/>
                <w:sz w:val="16"/>
                <w:szCs w:val="16"/>
              </w:rPr>
              <w:t>value</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80"/>
              <w:jc w:val="center"/>
              <w:rPr>
                <w:rFonts w:ascii="Times New Roman" w:hAnsi="Times New Roman" w:cs="Times New Roman"/>
                <w:sz w:val="24"/>
                <w:szCs w:val="24"/>
              </w:rPr>
            </w:pPr>
            <w:r>
              <w:rPr>
                <w:rFonts w:ascii="Times" w:hAnsi="Times" w:cs="Times"/>
                <w:b/>
                <w:bCs/>
                <w:sz w:val="16"/>
                <w:szCs w:val="16"/>
              </w:rPr>
              <w:t>income</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80"/>
              <w:rPr>
                <w:rFonts w:ascii="Times New Roman" w:hAnsi="Times New Roman" w:cs="Times New Roman"/>
                <w:sz w:val="24"/>
                <w:szCs w:val="24"/>
              </w:rPr>
            </w:pPr>
            <w:r>
              <w:rPr>
                <w:rFonts w:ascii="Times" w:hAnsi="Times" w:cs="Times"/>
                <w:b/>
                <w:bCs/>
                <w:sz w:val="16"/>
                <w:szCs w:val="16"/>
              </w:rPr>
              <w:t>earnings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6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120"/>
              <w:rPr>
                <w:rFonts w:ascii="Times New Roman" w:hAnsi="Times New Roman" w:cs="Times New Roman"/>
                <w:sz w:val="24"/>
                <w:szCs w:val="24"/>
              </w:rPr>
            </w:pPr>
            <w:r>
              <w:rPr>
                <w:rFonts w:ascii="Times" w:hAnsi="Times" w:cs="Times"/>
                <w:b/>
                <w:bCs/>
                <w:sz w:val="16"/>
                <w:szCs w:val="16"/>
              </w:rPr>
              <w:t>stock</w:t>
            </w:r>
          </w:p>
        </w:tc>
        <w:tc>
          <w:tcPr>
            <w:tcW w:w="90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300"/>
              <w:jc w:val="right"/>
              <w:rPr>
                <w:rFonts w:ascii="Times New Roman" w:hAnsi="Times New Roman" w:cs="Times New Roman"/>
                <w:sz w:val="24"/>
                <w:szCs w:val="24"/>
              </w:rPr>
            </w:pPr>
            <w:r>
              <w:rPr>
                <w:rFonts w:ascii="Times" w:hAnsi="Times" w:cs="Times"/>
                <w:b/>
                <w:bCs/>
                <w:sz w:val="16"/>
                <w:szCs w:val="16"/>
              </w:rPr>
              <w:t>interests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60"/>
              <w:jc w:val="right"/>
              <w:rPr>
                <w:rFonts w:ascii="Times New Roman" w:hAnsi="Times New Roman" w:cs="Times New Roman"/>
                <w:sz w:val="24"/>
                <w:szCs w:val="24"/>
              </w:rPr>
            </w:pPr>
            <w:r>
              <w:rPr>
                <w:rFonts w:ascii="Times" w:hAnsi="Times" w:cs="Times"/>
                <w:b/>
                <w:bCs/>
                <w:sz w:val="16"/>
                <w:szCs w:val="16"/>
              </w:rPr>
              <w:t>Total</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December 31, 2011 . . . . . . . . . . . . . . . . .</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$37,815</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$17,654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$109,448</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   (67)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$ 4,111</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$168,961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Net earnings  . . .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14,824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sz w:val="20"/>
                <w:szCs w:val="20"/>
              </w:rPr>
              <w:t>—</w:t>
            </w: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488</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15,312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Other comprehensive income, net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9,846</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60"/>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sz w:val="20"/>
                <w:szCs w:val="20"/>
              </w:rPr>
              <w:t>—</w:t>
            </w: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9,861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Issuance (repurchase) of common stock . . . . . .</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118</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60"/>
              <w:rPr>
                <w:rFonts w:ascii="Times New Roman" w:hAnsi="Times New Roman" w:cs="Times New Roman"/>
                <w:sz w:val="24"/>
                <w:szCs w:val="24"/>
              </w:rPr>
            </w:pPr>
            <w:r>
              <w:rPr>
                <w:rFonts w:ascii="Times" w:hAnsi="Times" w:cs="Times"/>
                <w:sz w:val="20"/>
                <w:szCs w:val="20"/>
              </w:rPr>
              <w:t>—</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(1,296)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(1,178)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Transactions with noncontrolling interests . . . .</w:t>
            </w:r>
          </w:p>
        </w:tc>
        <w:tc>
          <w:tcPr>
            <w:tcW w:w="10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w:hAnsi="Times" w:cs="Times"/>
                <w:sz w:val="20"/>
                <w:szCs w:val="20"/>
              </w:rPr>
              <w:t>(695)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60"/>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sz w:val="20"/>
                <w:szCs w:val="20"/>
              </w:rPr>
              <w:t>—</w:t>
            </w: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(673)</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(1,368)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December 31, 2012 . . . . . . . . . . . . . . . . .</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37,238</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27,500</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124,272</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(1,363)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3,941</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191,588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Net earnings  . . .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19,476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sz w:val="20"/>
                <w:szCs w:val="20"/>
              </w:rPr>
              <w:t>—</w:t>
            </w: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369</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19,845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Other comprehensive income, net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16,546</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60"/>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sz w:val="20"/>
                <w:szCs w:val="20"/>
              </w:rPr>
              <w:t>—</w:t>
            </w: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16,571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Issuance of common stock . . . . . . . . . . . . . . . .</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92</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60"/>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sz w:val="20"/>
                <w:szCs w:val="20"/>
              </w:rPr>
              <w:t>—</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Transactions with noncontrolling interests . . . .</w:t>
            </w:r>
          </w:p>
        </w:tc>
        <w:tc>
          <w:tcPr>
            <w:tcW w:w="10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w:hAnsi="Times" w:cs="Times"/>
                <w:sz w:val="20"/>
                <w:szCs w:val="20"/>
              </w:rPr>
              <w:t>(1,850)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w:hAnsi="Times" w:cs="Times"/>
                <w:sz w:val="20"/>
                <w:szCs w:val="20"/>
              </w:rPr>
              <w:t>(21)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60"/>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sz w:val="20"/>
                <w:szCs w:val="20"/>
              </w:rPr>
              <w:t>—</w:t>
            </w: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(1,740)</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(3,611)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December 31, 2013 . . . . . . . . . . . . . . . . .</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35,480</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44,025</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143,748</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(1,363)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2,595</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224,485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Net earnings  . . .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19,872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sz w:val="20"/>
                <w:szCs w:val="20"/>
              </w:rPr>
              <w:t>—</w:t>
            </w: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298</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20,170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Other comprehensive income, net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w:hAnsi="Times" w:cs="Times"/>
                <w:sz w:val="20"/>
                <w:szCs w:val="20"/>
              </w:rPr>
              <w:t>(1,293)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60"/>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sz w:val="20"/>
                <w:szCs w:val="20"/>
              </w:rPr>
              <w:t>—</w:t>
            </w:r>
          </w:p>
        </w:tc>
        <w:tc>
          <w:tcPr>
            <w:tcW w:w="8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(42)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(1,335)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Issuance (acquisition) of common stock . . . . . .</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118</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60"/>
              <w:rPr>
                <w:rFonts w:ascii="Times New Roman" w:hAnsi="Times New Roman" w:cs="Times New Roman"/>
                <w:sz w:val="24"/>
                <w:szCs w:val="24"/>
              </w:rPr>
            </w:pPr>
            <w:r>
              <w:rPr>
                <w:rFonts w:ascii="Times" w:hAnsi="Times" w:cs="Times"/>
                <w:sz w:val="20"/>
                <w:szCs w:val="20"/>
              </w:rPr>
              <w:t>—</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(400)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Transactions with noncontrolling interests . . . .</w:t>
            </w:r>
          </w:p>
        </w:tc>
        <w:tc>
          <w:tcPr>
            <w:tcW w:w="10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w:hAnsi="Times" w:cs="Times"/>
                <w:sz w:val="20"/>
                <w:szCs w:val="20"/>
              </w:rPr>
              <w:t>(17)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60"/>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sz w:val="20"/>
                <w:szCs w:val="20"/>
              </w:rPr>
              <w:t>—</w:t>
            </w: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December 31, 2014 . . . . . . . . . . . . . . . . .</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$35,581</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$42,732</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$163,620</w:t>
            </w:r>
          </w:p>
        </w:tc>
        <w:tc>
          <w:tcPr>
            <w:tcW w:w="102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$(1,763)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$ 2,857</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$243,027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4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7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620"/>
        <w:rPr>
          <w:rFonts w:ascii="Times New Roman" w:hAnsi="Times New Roman" w:cs="Times New Roman"/>
          <w:sz w:val="24"/>
          <w:szCs w:val="24"/>
        </w:rPr>
      </w:pPr>
      <w:r>
        <w:rPr>
          <w:rFonts w:ascii="Times" w:hAnsi="Times" w:cs="Times"/>
          <w:i/>
          <w:iCs/>
          <w:sz w:val="20"/>
          <w:szCs w:val="20"/>
        </w:rPr>
        <w:t>See accompanying Notes to Consolidated Financial Statements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50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ind w:left="3700"/>
        <w:rPr>
          <w:rFonts w:ascii="Times New Roman" w:hAnsi="Times New Roman" w:cs="Times New Roman"/>
          <w:sz w:val="24"/>
          <w:szCs w:val="24"/>
        </w:rPr>
      </w:pPr>
      <w:r>
        <w:rPr>
          <w:rFonts w:ascii="Times" w:hAnsi="Times" w:cs="Times"/>
          <w:b/>
          <w:bC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460"/>
        <w:rPr>
          <w:rFonts w:ascii="Times New Roman" w:hAnsi="Times New Roman" w:cs="Times New Roman"/>
          <w:sz w:val="24"/>
          <w:szCs w:val="24"/>
        </w:rPr>
      </w:pPr>
      <w:r>
        <w:rPr>
          <w:rFonts w:ascii="Times" w:hAnsi="Times" w:cs="Times"/>
          <w:b/>
          <w:bCs/>
          <w:sz w:val="20"/>
          <w:szCs w:val="20"/>
        </w:rPr>
        <w:t>and Subsidiaries</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800"/>
        <w:rPr>
          <w:rFonts w:ascii="Times New Roman" w:hAnsi="Times New Roman" w:cs="Times New Roman"/>
          <w:sz w:val="24"/>
          <w:szCs w:val="24"/>
        </w:rPr>
      </w:pPr>
      <w:r>
        <w:rPr>
          <w:rFonts w:ascii="Times" w:hAnsi="Times" w:cs="Times"/>
          <w:b/>
          <w:bCs/>
          <w:sz w:val="20"/>
          <w:szCs w:val="20"/>
        </w:rPr>
        <w:t>CONSOLIDATED STATEMENTS OF CASH FLOWS</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360"/>
        <w:rPr>
          <w:rFonts w:ascii="Times New Roman" w:hAnsi="Times New Roman" w:cs="Times New Roman"/>
          <w:sz w:val="24"/>
          <w:szCs w:val="24"/>
        </w:rPr>
      </w:pPr>
      <w:r>
        <w:rPr>
          <w:rFonts w:ascii="Times" w:hAnsi="Times" w:cs="Times"/>
          <w:i/>
          <w:iCs/>
          <w:sz w:val="20"/>
          <w:szCs w:val="20"/>
        </w:rPr>
        <w:t>(dollars in millions)</w:t>
      </w:r>
    </w:p>
    <w:p w:rsidR="00000000" w:rsidRDefault="00A06965">
      <w:pPr>
        <w:pStyle w:val="DefaultParagraphFont"/>
        <w:widowControl w:val="0"/>
        <w:autoSpaceDE w:val="0"/>
        <w:autoSpaceDN w:val="0"/>
        <w:adjustRightInd w:val="0"/>
        <w:spacing w:after="0" w:line="22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720"/>
        <w:gridCol w:w="100"/>
        <w:gridCol w:w="700"/>
        <w:gridCol w:w="200"/>
        <w:gridCol w:w="700"/>
        <w:gridCol w:w="200"/>
        <w:gridCol w:w="700"/>
        <w:gridCol w:w="60"/>
        <w:gridCol w:w="20"/>
      </w:tblGrid>
      <w:tr w:rsidR="00000000">
        <w:tblPrEx>
          <w:tblCellMar>
            <w:top w:w="0" w:type="dxa"/>
            <w:left w:w="0" w:type="dxa"/>
            <w:bottom w:w="0" w:type="dxa"/>
            <w:right w:w="0" w:type="dxa"/>
          </w:tblCellMar>
        </w:tblPrEx>
        <w:trPr>
          <w:trHeight w:val="184"/>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56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20"/>
              <w:jc w:val="right"/>
              <w:rPr>
                <w:rFonts w:ascii="Times New Roman" w:hAnsi="Times New Roman" w:cs="Times New Roman"/>
                <w:sz w:val="24"/>
                <w:szCs w:val="24"/>
              </w:rPr>
            </w:pPr>
            <w:r>
              <w:rPr>
                <w:rFonts w:ascii="Times" w:hAnsi="Times" w:cs="Times"/>
                <w:b/>
                <w:bCs/>
                <w:sz w:val="16"/>
                <w:szCs w:val="16"/>
              </w:rPr>
              <w:t>Year Ended December 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3"/>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3"/>
              <w:jc w:val="right"/>
              <w:rPr>
                <w:rFonts w:ascii="Times New Roman" w:hAnsi="Times New Roman" w:cs="Times New Roman"/>
                <w:sz w:val="24"/>
                <w:szCs w:val="24"/>
              </w:rPr>
            </w:pPr>
            <w:r>
              <w:rPr>
                <w:rFonts w:ascii="Times" w:hAnsi="Times" w:cs="Times"/>
                <w:b/>
                <w:bCs/>
                <w:sz w:val="16"/>
                <w:szCs w:val="16"/>
              </w:rPr>
              <w:t>2012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7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Cash flows from operating activities: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9"/>
        </w:trPr>
        <w:tc>
          <w:tcPr>
            <w:tcW w:w="7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Net earnings . . . . . . . . . . . . . . . .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$ 20,170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w w:val="97"/>
                <w:sz w:val="20"/>
                <w:szCs w:val="20"/>
              </w:rPr>
              <w:t>$ 19,845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w w:val="97"/>
                <w:sz w:val="20"/>
                <w:szCs w:val="20"/>
              </w:rPr>
              <w:t>$ 15,312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left="400"/>
              <w:rPr>
                <w:rFonts w:ascii="Times New Roman" w:hAnsi="Times New Roman" w:cs="Times New Roman"/>
                <w:sz w:val="24"/>
                <w:szCs w:val="24"/>
              </w:rPr>
            </w:pPr>
            <w:r>
              <w:rPr>
                <w:rFonts w:ascii="Times" w:hAnsi="Times" w:cs="Times"/>
                <w:sz w:val="20"/>
                <w:szCs w:val="20"/>
              </w:rPr>
              <w:t>Adjustments to reconcile net earnings to operating cash flows: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Investment gains/losses . . . . . . . . . . . . . . . . .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(3,575)</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(4,065)</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(1,462)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Depreciation and amortization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7,370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6,508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6,154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Other  . . . . . . . . . . . . . . . . . . . . . . . . . . . . . . .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(341)</w:t>
            </w: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373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(213)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left="400"/>
              <w:rPr>
                <w:rFonts w:ascii="Times New Roman" w:hAnsi="Times New Roman" w:cs="Times New Roman"/>
                <w:sz w:val="24"/>
                <w:szCs w:val="24"/>
              </w:rPr>
            </w:pPr>
            <w:r>
              <w:rPr>
                <w:rFonts w:ascii="Times" w:hAnsi="Times" w:cs="Times"/>
                <w:sz w:val="20"/>
                <w:szCs w:val="20"/>
              </w:rPr>
              <w:t>Changes in operating assets and liabilities before business acquisitions: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Losses and loss adjustment expenses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7,404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578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(421)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Deferred charges reinsurance assumed . . . . .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(3,413)</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(340)</w:t>
            </w: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121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Unearned premiums . . . . . .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1,159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519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1,134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Receivables and originated loans  . . . . . . . . .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(1,890)</w:t>
            </w: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1,035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(1,610)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Derivative contract assets and liabilities . . . .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(520)</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(2,430)</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(2,183)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Income taxes . . . . . . . . . . .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4,905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3,514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1,710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 xml:space="preserve">Other  . . . . . . . . . . . . . . . . . . . . . . . . . . . . . . . . . . . . . . . . </w:t>
            </w:r>
            <w:r>
              <w:rPr>
                <w:rFonts w:ascii="Times" w:hAnsi="Times" w:cs="Times"/>
                <w:sz w:val="20"/>
                <w:szCs w:val="20"/>
              </w:rPr>
              <w:t>.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741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2,167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2,408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9"/>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
              <w:jc w:val="right"/>
              <w:rPr>
                <w:rFonts w:ascii="Times New Roman" w:hAnsi="Times New Roman" w:cs="Times New Roman"/>
                <w:sz w:val="24"/>
                <w:szCs w:val="24"/>
              </w:rPr>
            </w:pPr>
            <w:r>
              <w:rPr>
                <w:rFonts w:ascii="Times" w:hAnsi="Times" w:cs="Times"/>
                <w:sz w:val="20"/>
                <w:szCs w:val="20"/>
              </w:rPr>
              <w:t>Net cash flows from operating activities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32,010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27,704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20,950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Cash flows from investing activities: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9"/>
        </w:trPr>
        <w:tc>
          <w:tcPr>
            <w:tcW w:w="7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Purchases of fixed maturity securities . . . . . . . . . .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(7,774)</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(7,546)</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(8,250)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Purchases of equity securities . . . . . . . . . . . . . . . .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(7,014)</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(8,558)</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(7,376)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Investments in H.J. Heinz Holding Corp. and other investments . . . . . . . . . . . . . . . . . . .</w:t>
            </w:r>
            <w:r>
              <w:rPr>
                <w:rFonts w:ascii="Times" w:hAnsi="Times" w:cs="Times"/>
                <w:sz w:val="20"/>
                <w:szCs w:val="20"/>
              </w:rPr>
              <w:t xml:space="preserve">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(3,000)</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(12,250)</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6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Sales of fixed maturity securities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1,697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4,311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2,982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Redemptions and maturities of fixed maturity securities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6,795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11,203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6,064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Sales and redemptions of equity securities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8,896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3,869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8,088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Purchases of loans and finance receivables . . . . . . . . . . . . . . . . . . . . . . . . . . . . . . . . . .</w:t>
            </w:r>
            <w:r>
              <w:rPr>
                <w:rFonts w:ascii="Times" w:hAnsi="Times" w:cs="Times"/>
                <w:sz w:val="20"/>
                <w:szCs w:val="20"/>
              </w:rPr>
              <w:t xml:space="preserve">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(181)</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(490)</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(650)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Collections of loans and finance receivables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885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654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1,714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Acquisitions of businesses, net of cash acquired  .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(4,824)</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(6,431)</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(3,188)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Purchases of property, plant and equipment . . . . .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(15,185)</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(11,087)</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(9,775)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Other  . . . . . . . . . . . . . . . . . . . . .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336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(1,210)</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(183)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9"/>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
              <w:jc w:val="right"/>
              <w:rPr>
                <w:rFonts w:ascii="Times New Roman" w:hAnsi="Times New Roman" w:cs="Times New Roman"/>
                <w:sz w:val="24"/>
                <w:szCs w:val="24"/>
              </w:rPr>
            </w:pPr>
            <w:r>
              <w:rPr>
                <w:rFonts w:ascii="Times" w:hAnsi="Times" w:cs="Times"/>
                <w:sz w:val="20"/>
                <w:szCs w:val="20"/>
              </w:rPr>
              <w:t>Net cash flows from invest</w:t>
            </w:r>
            <w:r>
              <w:rPr>
                <w:rFonts w:ascii="Times" w:hAnsi="Times" w:cs="Times"/>
                <w:sz w:val="20"/>
                <w:szCs w:val="20"/>
              </w:rPr>
              <w:t>ing activities . . . . . . . .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(19,369)</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(27,535)</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(10,574)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Cash flows from financing activities: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9"/>
        </w:trPr>
        <w:tc>
          <w:tcPr>
            <w:tcW w:w="7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Proceeds from borrowings of insurance and other businesses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845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2,622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1,820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Proceeds from borrowings of railroad, utilities and energy businesses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5,765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7,491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4,707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Proceeds from borrowings of finance businesses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1,148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3,462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2,352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Repayments of borrowings of insurance and other businesses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(1,289)</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(2,750)</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(1,999)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Repayments of borrowings of railroad, utilities and energy businesses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(1,862)</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(1,596)</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(2,119)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Repayments of borrowings of finance businesses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(1,543)</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(3,927)</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(3,210)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Changes in short term borrowings, net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932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(1,317)</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(309)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Acquisitions of noncontrolling interests and treasury stock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(1,287)</w:t>
            </w: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(2,890)</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(2,096)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sz w:val="20"/>
                <w:szCs w:val="20"/>
              </w:rPr>
              <w:t>Other  . . . . . . . . . . . . . . . . . . . . .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22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140"/>
              <w:jc w:val="right"/>
              <w:rPr>
                <w:rFonts w:ascii="Times New Roman" w:hAnsi="Times New Roman" w:cs="Times New Roman"/>
                <w:sz w:val="24"/>
                <w:szCs w:val="24"/>
              </w:rPr>
            </w:pPr>
            <w:r>
              <w:rPr>
                <w:rFonts w:ascii="Times" w:hAnsi="Times" w:cs="Times"/>
                <w:sz w:val="20"/>
                <w:szCs w:val="20"/>
              </w:rPr>
              <w:t>(134)</w:t>
            </w: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48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9"/>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
              <w:jc w:val="right"/>
              <w:rPr>
                <w:rFonts w:ascii="Times New Roman" w:hAnsi="Times New Roman" w:cs="Times New Roman"/>
                <w:sz w:val="24"/>
                <w:szCs w:val="24"/>
              </w:rPr>
            </w:pPr>
            <w:r>
              <w:rPr>
                <w:rFonts w:ascii="Times" w:hAnsi="Times" w:cs="Times"/>
                <w:sz w:val="20"/>
                <w:szCs w:val="20"/>
              </w:rPr>
              <w:t xml:space="preserve">Net cash flows from financing activities . . . . . . . . . . . . . . . . . . . </w:t>
            </w:r>
            <w:r>
              <w:rPr>
                <w:rFonts w:ascii="Times" w:hAnsi="Times" w:cs="Times"/>
                <w:sz w:val="20"/>
                <w:szCs w:val="20"/>
              </w:rPr>
              <w:t>.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2,731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961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(806)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9"/>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
              <w:jc w:val="right"/>
              <w:rPr>
                <w:rFonts w:ascii="Times New Roman" w:hAnsi="Times New Roman" w:cs="Times New Roman"/>
                <w:sz w:val="24"/>
                <w:szCs w:val="24"/>
              </w:rPr>
            </w:pPr>
            <w:r>
              <w:rPr>
                <w:rFonts w:ascii="Times" w:hAnsi="Times" w:cs="Times"/>
                <w:w w:val="97"/>
                <w:sz w:val="20"/>
                <w:szCs w:val="20"/>
              </w:rPr>
              <w:t>Effects of foreign currency exchange rate changes . . . . . . . . . . . . . . . . . . . . . . . . . . . . . . . . . . . . . .</w:t>
            </w:r>
          </w:p>
        </w:tc>
        <w:tc>
          <w:tcPr>
            <w:tcW w:w="10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(289)</w:t>
            </w: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9"/>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
              <w:jc w:val="right"/>
              <w:rPr>
                <w:rFonts w:ascii="Times New Roman" w:hAnsi="Times New Roman" w:cs="Times New Roman"/>
                <w:sz w:val="24"/>
                <w:szCs w:val="24"/>
              </w:rPr>
            </w:pPr>
            <w:r>
              <w:rPr>
                <w:rFonts w:ascii="Times" w:hAnsi="Times" w:cs="Times"/>
                <w:w w:val="97"/>
                <w:sz w:val="20"/>
                <w:szCs w:val="20"/>
              </w:rPr>
              <w:t>Increase in cash and cash equivalents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15,083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1,194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9,693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w w:val="97"/>
                <w:sz w:val="20"/>
                <w:szCs w:val="20"/>
              </w:rPr>
              <w:t>Cash and cash equivalents at beginning of y</w:t>
            </w:r>
            <w:r>
              <w:rPr>
                <w:rFonts w:ascii="Times" w:hAnsi="Times" w:cs="Times"/>
                <w:w w:val="97"/>
                <w:sz w:val="20"/>
                <w:szCs w:val="20"/>
              </w:rPr>
              <w:t>ear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48,186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46,992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sz w:val="20"/>
                <w:szCs w:val="20"/>
              </w:rPr>
              <w:t>37,299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Cash and cash equivalents at end of year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9"/>
        </w:trPr>
        <w:tc>
          <w:tcPr>
            <w:tcW w:w="7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7" w:lineRule="exact"/>
              <w:ind w:right="3"/>
              <w:jc w:val="right"/>
              <w:rPr>
                <w:rFonts w:ascii="Times New Roman" w:hAnsi="Times New Roman" w:cs="Times New Roman"/>
                <w:sz w:val="24"/>
                <w:szCs w:val="24"/>
              </w:rPr>
            </w:pPr>
            <w:r>
              <w:rPr>
                <w:rFonts w:ascii="Times" w:hAnsi="Times" w:cs="Times"/>
                <w:sz w:val="20"/>
                <w:szCs w:val="20"/>
              </w:rPr>
              <w:t>.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$ 63,269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$ 48,186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$ 46,992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 Cash and cash equivalents at end of year are comprised of the following:</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9"/>
        </w:trPr>
        <w:tc>
          <w:tcPr>
            <w:tcW w:w="7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i/>
                <w:iCs/>
                <w:sz w:val="20"/>
                <w:szCs w:val="20"/>
              </w:rPr>
              <w:t xml:space="preserve">Insurance and Other </w:t>
            </w:r>
            <w:r>
              <w:rPr>
                <w:rFonts w:ascii="Times" w:hAnsi="Times" w:cs="Times"/>
                <w:sz w:val="20"/>
                <w:szCs w:val="20"/>
              </w:rPr>
              <w:t>. . . . . . . . .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i/>
                <w:iCs/>
                <w:sz w:val="20"/>
                <w:szCs w:val="20"/>
              </w:rPr>
              <w:t>$ 57,974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i/>
                <w:iCs/>
                <w:w w:val="97"/>
                <w:sz w:val="20"/>
                <w:szCs w:val="20"/>
              </w:rPr>
              <w:t>$ 42,433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i/>
                <w:iCs/>
                <w:w w:val="97"/>
                <w:sz w:val="20"/>
                <w:szCs w:val="20"/>
              </w:rPr>
              <w:t>$ 42,186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i/>
                <w:iCs/>
                <w:sz w:val="20"/>
                <w:szCs w:val="20"/>
              </w:rPr>
              <w:t xml:space="preserve">Railroad, Utilities and Energy  </w:t>
            </w:r>
            <w:r>
              <w:rPr>
                <w:rFonts w:ascii="Times" w:hAnsi="Times" w:cs="Times"/>
                <w:sz w:val="20"/>
                <w:szCs w:val="20"/>
              </w:rPr>
              <w:t>.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i/>
                <w:iCs/>
                <w:sz w:val="20"/>
                <w:szCs w:val="20"/>
              </w:rPr>
              <w:t>3,001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i/>
                <w:iCs/>
                <w:sz w:val="20"/>
                <w:szCs w:val="20"/>
              </w:rPr>
              <w:t>3,400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i/>
                <w:iCs/>
                <w:sz w:val="20"/>
                <w:szCs w:val="20"/>
              </w:rPr>
              <w:t>2,570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
              <w:jc w:val="right"/>
              <w:rPr>
                <w:rFonts w:ascii="Times New Roman" w:hAnsi="Times New Roman" w:cs="Times New Roman"/>
                <w:sz w:val="24"/>
                <w:szCs w:val="24"/>
              </w:rPr>
            </w:pPr>
            <w:r>
              <w:rPr>
                <w:rFonts w:ascii="Times" w:hAnsi="Times" w:cs="Times"/>
                <w:i/>
                <w:iCs/>
                <w:sz w:val="20"/>
                <w:szCs w:val="20"/>
              </w:rPr>
              <w:t xml:space="preserve">Finance and Financial Products </w:t>
            </w:r>
            <w:r>
              <w:rPr>
                <w:rFonts w:ascii="Times" w:hAnsi="Times" w:cs="Times"/>
                <w:sz w:val="20"/>
                <w:szCs w:val="20"/>
              </w:rPr>
              <w:t>.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i/>
                <w:iCs/>
                <w:sz w:val="20"/>
                <w:szCs w:val="20"/>
              </w:rPr>
              <w:t>2,294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i/>
                <w:iCs/>
                <w:sz w:val="20"/>
                <w:szCs w:val="20"/>
              </w:rPr>
              <w:t>2,353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jc w:val="right"/>
              <w:rPr>
                <w:rFonts w:ascii="Times New Roman" w:hAnsi="Times New Roman" w:cs="Times New Roman"/>
                <w:sz w:val="24"/>
                <w:szCs w:val="24"/>
              </w:rPr>
            </w:pPr>
            <w:r>
              <w:rPr>
                <w:rFonts w:ascii="Times" w:hAnsi="Times" w:cs="Times"/>
                <w:i/>
                <w:iCs/>
                <w:sz w:val="20"/>
                <w:szCs w:val="20"/>
              </w:rPr>
              <w:t>2,236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9"/>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i/>
                <w:iCs/>
                <w:sz w:val="20"/>
                <w:szCs w:val="20"/>
              </w:rPr>
              <w:t>$ 63,269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i/>
                <w:iCs/>
                <w:w w:val="97"/>
                <w:sz w:val="20"/>
                <w:szCs w:val="20"/>
              </w:rPr>
              <w:t>$ 48,186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i/>
                <w:iCs/>
                <w:w w:val="97"/>
                <w:sz w:val="20"/>
                <w:szCs w:val="20"/>
              </w:rPr>
              <w:t>$ 46,992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620"/>
        <w:rPr>
          <w:rFonts w:ascii="Times New Roman" w:hAnsi="Times New Roman" w:cs="Times New Roman"/>
          <w:sz w:val="24"/>
          <w:szCs w:val="24"/>
        </w:rPr>
      </w:pPr>
      <w:r>
        <w:rPr>
          <w:rFonts w:ascii="Times" w:hAnsi="Times" w:cs="Times"/>
          <w:i/>
          <w:iCs/>
          <w:sz w:val="20"/>
          <w:szCs w:val="20"/>
        </w:rPr>
        <w:t>See accompanying Notes to Consolidated Financial Statements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51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ind w:left="3700"/>
        <w:rPr>
          <w:rFonts w:ascii="Times New Roman" w:hAnsi="Times New Roman" w:cs="Times New Roman"/>
          <w:sz w:val="24"/>
          <w:szCs w:val="24"/>
        </w:rPr>
      </w:pPr>
      <w:r>
        <w:rPr>
          <w:rFonts w:ascii="Times" w:hAnsi="Times" w:cs="Times"/>
          <w:b/>
          <w:bC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460"/>
        <w:rPr>
          <w:rFonts w:ascii="Times New Roman" w:hAnsi="Times New Roman" w:cs="Times New Roman"/>
          <w:sz w:val="24"/>
          <w:szCs w:val="24"/>
        </w:rPr>
      </w:pPr>
      <w:r>
        <w:rPr>
          <w:rFonts w:ascii="Times" w:hAnsi="Times" w:cs="Times"/>
          <w:b/>
          <w:bCs/>
          <w:sz w:val="20"/>
          <w:szCs w:val="20"/>
        </w:rPr>
        <w:t>and Subsidiaries</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520"/>
        <w:rPr>
          <w:rFonts w:ascii="Times New Roman" w:hAnsi="Times New Roman" w:cs="Times New Roman"/>
          <w:sz w:val="24"/>
          <w:szCs w:val="24"/>
        </w:rPr>
      </w:pPr>
      <w:r>
        <w:rPr>
          <w:rFonts w:ascii="Times" w:hAnsi="Times" w:cs="Times"/>
          <w:b/>
          <w:bCs/>
          <w:sz w:val="20"/>
          <w:szCs w:val="20"/>
        </w:rPr>
        <w:t>NOTES TO CONSOLIDATED FINANCIAL STATEMENTS</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360"/>
        <w:rPr>
          <w:rFonts w:ascii="Times New Roman" w:hAnsi="Times New Roman" w:cs="Times New Roman"/>
          <w:sz w:val="24"/>
          <w:szCs w:val="24"/>
        </w:rPr>
      </w:pPr>
      <w:r>
        <w:rPr>
          <w:rFonts w:ascii="Times" w:hAnsi="Times" w:cs="Times"/>
          <w:b/>
          <w:bCs/>
          <w:sz w:val="20"/>
          <w:szCs w:val="20"/>
        </w:rPr>
        <w:t>December 31, 2014</w:t>
      </w: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numPr>
          <w:ilvl w:val="0"/>
          <w:numId w:val="20"/>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Significant accounting policies and practices</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numPr>
          <w:ilvl w:val="1"/>
          <w:numId w:val="20"/>
        </w:numPr>
        <w:tabs>
          <w:tab w:val="clear" w:pos="1440"/>
          <w:tab w:val="num" w:pos="720"/>
        </w:tabs>
        <w:overflowPunct w:val="0"/>
        <w:autoSpaceDE w:val="0"/>
        <w:autoSpaceDN w:val="0"/>
        <w:adjustRightInd w:val="0"/>
        <w:spacing w:after="0" w:line="239" w:lineRule="auto"/>
        <w:ind w:left="720" w:hanging="314"/>
        <w:jc w:val="both"/>
        <w:rPr>
          <w:rFonts w:ascii="Times" w:hAnsi="Times" w:cs="Times"/>
          <w:i/>
          <w:iCs/>
          <w:sz w:val="20"/>
          <w:szCs w:val="20"/>
        </w:rPr>
      </w:pPr>
      <w:r>
        <w:rPr>
          <w:rFonts w:ascii="Times" w:hAnsi="Times" w:cs="Times"/>
          <w:i/>
          <w:iCs/>
          <w:sz w:val="20"/>
          <w:szCs w:val="20"/>
        </w:rPr>
        <w:t>Nature of operations and basis of consolidation</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7" w:lineRule="auto"/>
        <w:ind w:left="720"/>
        <w:jc w:val="both"/>
        <w:rPr>
          <w:rFonts w:ascii="Times" w:hAnsi="Times" w:cs="Times"/>
          <w:i/>
          <w:iCs/>
          <w:sz w:val="20"/>
          <w:szCs w:val="20"/>
        </w:rPr>
      </w:pPr>
      <w:r>
        <w:rPr>
          <w:rFonts w:ascii="Times" w:hAnsi="Times" w:cs="Times"/>
          <w:sz w:val="20"/>
          <w:szCs w:val="20"/>
        </w:rPr>
        <w:t>Berkshire Hathaway Inc. (“Berkshire”) is a holding comp</w:t>
      </w:r>
      <w:r>
        <w:rPr>
          <w:rFonts w:ascii="Times" w:hAnsi="Times" w:cs="Times"/>
          <w:sz w:val="20"/>
          <w:szCs w:val="20"/>
        </w:rPr>
        <w:t>any owning subsidiaries engaged in a number of diverse business activities, including insurance and reinsurance, freight rail transportation, utilities and energy, manufacturing, service, retailing and finance. In these notes the terms “us,” “we,” or “our”</w:t>
      </w:r>
      <w:r>
        <w:rPr>
          <w:rFonts w:ascii="Times" w:hAnsi="Times" w:cs="Times"/>
          <w:sz w:val="20"/>
          <w:szCs w:val="20"/>
        </w:rPr>
        <w:t xml:space="preserve"> refer to Berkshire and its consolidated subsidiaries. Further information regarding our reportable business segments is contained in Note 23. Significant business acquisitions completed over the past three years are discussed in Note 2.</w:t>
      </w:r>
    </w:p>
    <w:p w:rsidR="00000000" w:rsidRDefault="00A06965">
      <w:pPr>
        <w:pStyle w:val="DefaultParagraphFont"/>
        <w:widowControl w:val="0"/>
        <w:autoSpaceDE w:val="0"/>
        <w:autoSpaceDN w:val="0"/>
        <w:adjustRightInd w:val="0"/>
        <w:spacing w:after="0" w:line="95"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The accompanying</w:t>
      </w:r>
      <w:r>
        <w:rPr>
          <w:rFonts w:ascii="Times" w:hAnsi="Times" w:cs="Times"/>
          <w:sz w:val="20"/>
          <w:szCs w:val="20"/>
        </w:rPr>
        <w:t xml:space="preserve"> Consolidated Financial Statements include the accounts of Berkshire consolidated with the accounts of all subsidiaries and affiliates in which we hold a controlling financial interest as of the financial statement date. Normally a controlling financial in</w:t>
      </w:r>
      <w:r>
        <w:rPr>
          <w:rFonts w:ascii="Times" w:hAnsi="Times" w:cs="Times"/>
          <w:sz w:val="20"/>
          <w:szCs w:val="20"/>
        </w:rPr>
        <w:t xml:space="preserve">terest reflects ownership of a majority of the voting interests. We consolidate a variable interest entity (“VIE”) when we possess both the power to direct the activities of the VIE that most significantly impact its economic performance and we are either </w:t>
      </w:r>
      <w:r>
        <w:rPr>
          <w:rFonts w:ascii="Times" w:hAnsi="Times" w:cs="Times"/>
          <w:sz w:val="20"/>
          <w:szCs w:val="20"/>
        </w:rPr>
        <w:t>obligated to absorb the losses that could potentially be significant to the VIE or we hold the right to receive benefits from the VIE that could potentially be significant to the VIE.</w:t>
      </w:r>
    </w:p>
    <w:p w:rsidR="00000000" w:rsidRDefault="00A06965">
      <w:pPr>
        <w:pStyle w:val="DefaultParagraphFont"/>
        <w:widowControl w:val="0"/>
        <w:autoSpaceDE w:val="0"/>
        <w:autoSpaceDN w:val="0"/>
        <w:adjustRightInd w:val="0"/>
        <w:spacing w:after="0" w:line="95"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7" w:lineRule="auto"/>
        <w:ind w:left="720"/>
        <w:jc w:val="both"/>
        <w:rPr>
          <w:rFonts w:ascii="Times" w:hAnsi="Times" w:cs="Times"/>
          <w:i/>
          <w:iCs/>
          <w:sz w:val="20"/>
          <w:szCs w:val="20"/>
        </w:rPr>
      </w:pPr>
      <w:r>
        <w:rPr>
          <w:rFonts w:ascii="Times" w:hAnsi="Times" w:cs="Times"/>
          <w:sz w:val="20"/>
          <w:szCs w:val="20"/>
        </w:rPr>
        <w:t xml:space="preserve">Intercompany accounts and transactions have been eliminated. In 2014, </w:t>
      </w:r>
      <w:r>
        <w:rPr>
          <w:rFonts w:ascii="Times" w:hAnsi="Times" w:cs="Times"/>
          <w:sz w:val="20"/>
          <w:szCs w:val="20"/>
        </w:rPr>
        <w:t xml:space="preserve">we began including the transportation equipment manufacturing and leasing businesses of Marmon Holdings, Inc. (“Marmon”) as part of our finance and financial products businesses. Prior period amounts in these financial statements have been reclassified to </w:t>
      </w:r>
      <w:r>
        <w:rPr>
          <w:rFonts w:ascii="Times" w:hAnsi="Times" w:cs="Times"/>
          <w:sz w:val="20"/>
          <w:szCs w:val="20"/>
        </w:rPr>
        <w:t>conform to the current year presentation. On April 30, 2014, MidAmerican Energy Holdings Company’s name was changed to Berkshire Hathaway Energy Company (“BHE”).</w:t>
      </w:r>
    </w:p>
    <w:p w:rsidR="00000000" w:rsidRDefault="00A06965">
      <w:pPr>
        <w:pStyle w:val="DefaultParagraphFont"/>
        <w:widowControl w:val="0"/>
        <w:autoSpaceDE w:val="0"/>
        <w:autoSpaceDN w:val="0"/>
        <w:adjustRightInd w:val="0"/>
        <w:spacing w:after="0" w:line="165" w:lineRule="exact"/>
        <w:rPr>
          <w:rFonts w:ascii="Times" w:hAnsi="Times" w:cs="Times"/>
          <w:i/>
          <w:iCs/>
          <w:sz w:val="20"/>
          <w:szCs w:val="20"/>
        </w:rPr>
      </w:pPr>
    </w:p>
    <w:p w:rsidR="00000000" w:rsidRDefault="00A06965">
      <w:pPr>
        <w:pStyle w:val="DefaultParagraphFont"/>
        <w:widowControl w:val="0"/>
        <w:numPr>
          <w:ilvl w:val="1"/>
          <w:numId w:val="20"/>
        </w:numPr>
        <w:tabs>
          <w:tab w:val="clear" w:pos="1440"/>
          <w:tab w:val="num" w:pos="720"/>
        </w:tabs>
        <w:overflowPunct w:val="0"/>
        <w:autoSpaceDE w:val="0"/>
        <w:autoSpaceDN w:val="0"/>
        <w:adjustRightInd w:val="0"/>
        <w:spacing w:after="0" w:line="239" w:lineRule="auto"/>
        <w:ind w:left="720" w:hanging="314"/>
        <w:jc w:val="both"/>
        <w:rPr>
          <w:rFonts w:ascii="Times" w:hAnsi="Times" w:cs="Times"/>
          <w:i/>
          <w:iCs/>
          <w:sz w:val="20"/>
          <w:szCs w:val="20"/>
        </w:rPr>
      </w:pPr>
      <w:r>
        <w:rPr>
          <w:rFonts w:ascii="Times" w:hAnsi="Times" w:cs="Times"/>
          <w:i/>
          <w:iCs/>
          <w:sz w:val="20"/>
          <w:szCs w:val="20"/>
        </w:rPr>
        <w:t>Use of estimates in preparation of financial statements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9" w:lineRule="auto"/>
        <w:ind w:left="720"/>
        <w:jc w:val="both"/>
        <w:rPr>
          <w:rFonts w:ascii="Times" w:hAnsi="Times" w:cs="Times"/>
          <w:i/>
          <w:iCs/>
          <w:sz w:val="20"/>
          <w:szCs w:val="20"/>
        </w:rPr>
      </w:pPr>
      <w:r>
        <w:rPr>
          <w:rFonts w:ascii="Times" w:hAnsi="Times" w:cs="Times"/>
          <w:sz w:val="20"/>
          <w:szCs w:val="20"/>
        </w:rPr>
        <w:t>The preparation of our Con</w:t>
      </w:r>
      <w:r>
        <w:rPr>
          <w:rFonts w:ascii="Times" w:hAnsi="Times" w:cs="Times"/>
          <w:sz w:val="20"/>
          <w:szCs w:val="20"/>
        </w:rPr>
        <w:t>solidated Financial Statements in conformity with accounting principles generally accepted in the United States (“GAAP”) requires us to make estimates and assumptions that affect the reported amounts of assets and liabilities at the date of the financial s</w:t>
      </w:r>
      <w:r>
        <w:rPr>
          <w:rFonts w:ascii="Times" w:hAnsi="Times" w:cs="Times"/>
          <w:sz w:val="20"/>
          <w:szCs w:val="20"/>
        </w:rPr>
        <w:t>tatements and the reported amounts of revenues and expenses during the period. In particular, estimates of unpaid losses and loss adjustment expenses and related recoverables under reinsurance for property and casualty insurance are subject to considerable</w:t>
      </w:r>
      <w:r>
        <w:rPr>
          <w:rFonts w:ascii="Times" w:hAnsi="Times" w:cs="Times"/>
          <w:sz w:val="20"/>
          <w:szCs w:val="20"/>
        </w:rPr>
        <w:t xml:space="preserve"> estimation error due to the inherent uncertainty in projecting ultimate claim amounts. In addition, estimates and assumptions associated with the amortization of deferred charges on retroactive reinsurance contracts, determinations of fair values of certa</w:t>
      </w:r>
      <w:r>
        <w:rPr>
          <w:rFonts w:ascii="Times" w:hAnsi="Times" w:cs="Times"/>
          <w:sz w:val="20"/>
          <w:szCs w:val="20"/>
        </w:rPr>
        <w:t>in financial instruments and evaluations of goodwill and identifiable intangible assets for impairment require considerable judgment. Actual results may differ from the estimates used in preparing our Consolidated Financial Statements.</w:t>
      </w:r>
    </w:p>
    <w:p w:rsidR="00000000" w:rsidRDefault="00A06965">
      <w:pPr>
        <w:pStyle w:val="DefaultParagraphFont"/>
        <w:widowControl w:val="0"/>
        <w:autoSpaceDE w:val="0"/>
        <w:autoSpaceDN w:val="0"/>
        <w:adjustRightInd w:val="0"/>
        <w:spacing w:after="0" w:line="161" w:lineRule="exact"/>
        <w:rPr>
          <w:rFonts w:ascii="Times" w:hAnsi="Times" w:cs="Times"/>
          <w:i/>
          <w:iCs/>
          <w:sz w:val="20"/>
          <w:szCs w:val="20"/>
        </w:rPr>
      </w:pPr>
    </w:p>
    <w:p w:rsidR="00000000" w:rsidRDefault="00A06965">
      <w:pPr>
        <w:pStyle w:val="DefaultParagraphFont"/>
        <w:widowControl w:val="0"/>
        <w:numPr>
          <w:ilvl w:val="1"/>
          <w:numId w:val="20"/>
        </w:numPr>
        <w:tabs>
          <w:tab w:val="clear" w:pos="1440"/>
          <w:tab w:val="num" w:pos="720"/>
        </w:tabs>
        <w:overflowPunct w:val="0"/>
        <w:autoSpaceDE w:val="0"/>
        <w:autoSpaceDN w:val="0"/>
        <w:adjustRightInd w:val="0"/>
        <w:spacing w:after="0" w:line="239" w:lineRule="auto"/>
        <w:ind w:left="720" w:hanging="303"/>
        <w:jc w:val="both"/>
        <w:rPr>
          <w:rFonts w:ascii="Times" w:hAnsi="Times" w:cs="Times"/>
          <w:i/>
          <w:iCs/>
          <w:sz w:val="20"/>
          <w:szCs w:val="20"/>
        </w:rPr>
      </w:pPr>
      <w:r>
        <w:rPr>
          <w:rFonts w:ascii="Times" w:hAnsi="Times" w:cs="Times"/>
          <w:i/>
          <w:iCs/>
          <w:sz w:val="20"/>
          <w:szCs w:val="20"/>
        </w:rPr>
        <w:t>Cash and cash e</w:t>
      </w:r>
      <w:r>
        <w:rPr>
          <w:rFonts w:ascii="Times" w:hAnsi="Times" w:cs="Times"/>
          <w:i/>
          <w:iCs/>
          <w:sz w:val="20"/>
          <w:szCs w:val="20"/>
        </w:rPr>
        <w:t>quivalents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39" w:lineRule="auto"/>
        <w:ind w:left="720"/>
        <w:jc w:val="both"/>
        <w:rPr>
          <w:rFonts w:ascii="Times" w:hAnsi="Times" w:cs="Times"/>
          <w:i/>
          <w:iCs/>
          <w:sz w:val="20"/>
          <w:szCs w:val="20"/>
        </w:rPr>
      </w:pPr>
      <w:r>
        <w:rPr>
          <w:rFonts w:ascii="Times" w:hAnsi="Times" w:cs="Times"/>
          <w:sz w:val="20"/>
          <w:szCs w:val="20"/>
        </w:rPr>
        <w:t>Cash equivalents consist of funds invested in U.S. Treasury Bills, money market accounts, demand deposits and other investments with a maturity of three months or less when purchased.</w:t>
      </w:r>
    </w:p>
    <w:p w:rsidR="00000000" w:rsidRDefault="00A06965">
      <w:pPr>
        <w:pStyle w:val="DefaultParagraphFont"/>
        <w:widowControl w:val="0"/>
        <w:autoSpaceDE w:val="0"/>
        <w:autoSpaceDN w:val="0"/>
        <w:adjustRightInd w:val="0"/>
        <w:spacing w:after="0" w:line="170" w:lineRule="exact"/>
        <w:rPr>
          <w:rFonts w:ascii="Times" w:hAnsi="Times" w:cs="Times"/>
          <w:i/>
          <w:iCs/>
          <w:sz w:val="20"/>
          <w:szCs w:val="20"/>
        </w:rPr>
      </w:pPr>
    </w:p>
    <w:p w:rsidR="00000000" w:rsidRDefault="00A06965">
      <w:pPr>
        <w:pStyle w:val="DefaultParagraphFont"/>
        <w:widowControl w:val="0"/>
        <w:numPr>
          <w:ilvl w:val="1"/>
          <w:numId w:val="20"/>
        </w:numPr>
        <w:tabs>
          <w:tab w:val="clear" w:pos="1440"/>
          <w:tab w:val="num" w:pos="720"/>
        </w:tabs>
        <w:overflowPunct w:val="0"/>
        <w:autoSpaceDE w:val="0"/>
        <w:autoSpaceDN w:val="0"/>
        <w:adjustRightInd w:val="0"/>
        <w:spacing w:after="0" w:line="239" w:lineRule="auto"/>
        <w:ind w:left="720" w:hanging="314"/>
        <w:jc w:val="both"/>
        <w:rPr>
          <w:rFonts w:ascii="Times" w:hAnsi="Times" w:cs="Times"/>
          <w:i/>
          <w:iCs/>
          <w:sz w:val="20"/>
          <w:szCs w:val="20"/>
        </w:rPr>
      </w:pPr>
      <w:r>
        <w:rPr>
          <w:rFonts w:ascii="Times" w:hAnsi="Times" w:cs="Times"/>
          <w:i/>
          <w:iCs/>
          <w:sz w:val="20"/>
          <w:szCs w:val="20"/>
        </w:rPr>
        <w:t>Investments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We determine the appropriate classification of investments in fixed maturity and equity securities at the acquisition date and re-evaluate the classification at each balance sheet date. Held-to-maturity investments are carried at amortized cost, reflecting</w:t>
      </w:r>
      <w:r>
        <w:rPr>
          <w:rFonts w:ascii="Times" w:hAnsi="Times" w:cs="Times"/>
          <w:sz w:val="20"/>
          <w:szCs w:val="20"/>
        </w:rPr>
        <w:t xml:space="preserve"> the ability and intent to hold the securities to maturity. Trading investments are securities acquired with the intent to sell in the near term and are carried at fair value. All other securities are classified as available-for-sale and are carried at fai</w:t>
      </w:r>
      <w:r>
        <w:rPr>
          <w:rFonts w:ascii="Times" w:hAnsi="Times" w:cs="Times"/>
          <w:sz w:val="20"/>
          <w:szCs w:val="20"/>
        </w:rPr>
        <w:t>r value with net unrealized gains or losses reported as a component of accumulated other comprehensive income. Substantially all of our investments in equity and fixed maturity securities are classified as available-for-sale.</w:t>
      </w:r>
    </w:p>
    <w:p w:rsidR="00000000" w:rsidRDefault="00A06965">
      <w:pPr>
        <w:pStyle w:val="DefaultParagraphFont"/>
        <w:widowControl w:val="0"/>
        <w:autoSpaceDE w:val="0"/>
        <w:autoSpaceDN w:val="0"/>
        <w:adjustRightInd w:val="0"/>
        <w:spacing w:after="0" w:line="333"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We utilize the equity method</w:t>
      </w:r>
      <w:r>
        <w:rPr>
          <w:rFonts w:ascii="Times" w:hAnsi="Times" w:cs="Times"/>
          <w:sz w:val="20"/>
          <w:szCs w:val="20"/>
        </w:rPr>
        <w:t xml:space="preserve"> to account for investments when we possess the ability to exercise significant influence, but not control, over the operating and financial policies of the investee. The ability to exercise significant influence is presumed when an investor possesses more</w:t>
      </w:r>
      <w:r>
        <w:rPr>
          <w:rFonts w:ascii="Times" w:hAnsi="Times" w:cs="Times"/>
          <w:sz w:val="20"/>
          <w:szCs w:val="20"/>
        </w:rPr>
        <w:t xml:space="preserve"> than 20% of the voting interests of the investee. This presumption may be overcome based on specific facts and circumstances that demonstrate that the ability to exercise significant influence is restricted. We apply the equity method to investments in co</w:t>
      </w:r>
      <w:r>
        <w:rPr>
          <w:rFonts w:ascii="Times" w:hAnsi="Times" w:cs="Times"/>
          <w:sz w:val="20"/>
          <w:szCs w:val="20"/>
        </w:rPr>
        <w:t>mmon stock and to other investments when such other investments possess substantially identical subordinated interests to common stock.</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52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numPr>
          <w:ilvl w:val="0"/>
          <w:numId w:val="21"/>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Significant a</w:t>
      </w:r>
      <w:r>
        <w:rPr>
          <w:rFonts w:ascii="Times" w:hAnsi="Times" w:cs="Times"/>
          <w:b/>
          <w:bCs/>
          <w:sz w:val="20"/>
          <w:szCs w:val="20"/>
        </w:rPr>
        <w:t xml:space="preserve">ccounting policies and practices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numPr>
          <w:ilvl w:val="1"/>
          <w:numId w:val="21"/>
        </w:numPr>
        <w:tabs>
          <w:tab w:val="clear" w:pos="1440"/>
          <w:tab w:val="num" w:pos="720"/>
        </w:tabs>
        <w:overflowPunct w:val="0"/>
        <w:autoSpaceDE w:val="0"/>
        <w:autoSpaceDN w:val="0"/>
        <w:adjustRightInd w:val="0"/>
        <w:spacing w:after="0" w:line="239" w:lineRule="auto"/>
        <w:ind w:left="720" w:hanging="314"/>
        <w:jc w:val="both"/>
        <w:rPr>
          <w:rFonts w:ascii="Times" w:hAnsi="Times" w:cs="Times"/>
          <w:i/>
          <w:iCs/>
          <w:sz w:val="20"/>
          <w:szCs w:val="20"/>
        </w:rPr>
      </w:pPr>
      <w:r>
        <w:rPr>
          <w:rFonts w:ascii="Times" w:hAnsi="Times" w:cs="Times"/>
          <w:i/>
          <w:iCs/>
          <w:sz w:val="20"/>
          <w:szCs w:val="20"/>
        </w:rPr>
        <w:t>Investments (Continued)</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In applying the equity method, we record the investment at cost and subsequently increase or decrease the carrying amount of the investment by our proportionate share of the net earnings or losses and other comprehensive income of the investee. We record d</w:t>
      </w:r>
      <w:r>
        <w:rPr>
          <w:rFonts w:ascii="Times" w:hAnsi="Times" w:cs="Times"/>
          <w:sz w:val="20"/>
          <w:szCs w:val="20"/>
        </w:rPr>
        <w:t>ividends or other equity distributions as reductions in the carrying value of the investment. In the event that net losses of the investee reduce the carrying amount to zero, additional net losses may be recorded if other investments in the investee are at</w:t>
      </w:r>
      <w:r>
        <w:rPr>
          <w:rFonts w:ascii="Times" w:hAnsi="Times" w:cs="Times"/>
          <w:sz w:val="20"/>
          <w:szCs w:val="20"/>
        </w:rPr>
        <w:t>-risk, even if we have not committed to provide financial support to the investee. Such additional equity method losses, if any, are based upon the change in our claim on the investee’s book value.</w:t>
      </w:r>
    </w:p>
    <w:p w:rsidR="00000000" w:rsidRDefault="00A06965">
      <w:pPr>
        <w:pStyle w:val="DefaultParagraphFont"/>
        <w:widowControl w:val="0"/>
        <w:autoSpaceDE w:val="0"/>
        <w:autoSpaceDN w:val="0"/>
        <w:adjustRightInd w:val="0"/>
        <w:spacing w:after="0" w:line="134"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9" w:lineRule="auto"/>
        <w:ind w:left="720"/>
        <w:jc w:val="both"/>
        <w:rPr>
          <w:rFonts w:ascii="Times" w:hAnsi="Times" w:cs="Times"/>
          <w:i/>
          <w:iCs/>
          <w:sz w:val="20"/>
          <w:szCs w:val="20"/>
        </w:rPr>
      </w:pPr>
      <w:r>
        <w:rPr>
          <w:rFonts w:ascii="Times" w:hAnsi="Times" w:cs="Times"/>
          <w:sz w:val="20"/>
          <w:szCs w:val="20"/>
        </w:rPr>
        <w:t>Investment gains and losses arise when investments are s</w:t>
      </w:r>
      <w:r>
        <w:rPr>
          <w:rFonts w:ascii="Times" w:hAnsi="Times" w:cs="Times"/>
          <w:sz w:val="20"/>
          <w:szCs w:val="20"/>
        </w:rPr>
        <w:t>old (as determined on a specific identification basis) or are other-than-temporarily impaired. If a decline in the value of an investment below cost is deemed other than temporary, the cost of the investment is written down to fair value, with a correspond</w:t>
      </w:r>
      <w:r>
        <w:rPr>
          <w:rFonts w:ascii="Times" w:hAnsi="Times" w:cs="Times"/>
          <w:sz w:val="20"/>
          <w:szCs w:val="20"/>
        </w:rPr>
        <w:t>ing charge to earnings. Factors considered in determining whether an impairment is other than temporary include: the financial condition, business prospects and creditworthiness of the issuer, the relative amount of the decline, our ability and intent to h</w:t>
      </w:r>
      <w:r>
        <w:rPr>
          <w:rFonts w:ascii="Times" w:hAnsi="Times" w:cs="Times"/>
          <w:sz w:val="20"/>
          <w:szCs w:val="20"/>
        </w:rPr>
        <w:t xml:space="preserve">old the investment until the fair value recovers and the length of time that fair value has been less than cost. With respect to an investment in a fixed maturity security, we recognize an other-than-temporary impairment if we (a) intend to sell or expect </w:t>
      </w:r>
      <w:r>
        <w:rPr>
          <w:rFonts w:ascii="Times" w:hAnsi="Times" w:cs="Times"/>
          <w:sz w:val="20"/>
          <w:szCs w:val="20"/>
        </w:rPr>
        <w:t>to be required to sell the security before its amortized cost is recovered or (b) do not expect to ultimately recover the amortized cost basis even if we do not intend to sell the security. Under scenario (a), we recognize losses in earnings and under scen</w:t>
      </w:r>
      <w:r>
        <w:rPr>
          <w:rFonts w:ascii="Times" w:hAnsi="Times" w:cs="Times"/>
          <w:sz w:val="20"/>
          <w:szCs w:val="20"/>
        </w:rPr>
        <w:t>ario (b), we recognize the credit loss component in earnings and the difference between fair value and the amortized cost basis net of the credit loss in other comprehensive income.</w:t>
      </w:r>
    </w:p>
    <w:p w:rsidR="00000000" w:rsidRDefault="00A06965">
      <w:pPr>
        <w:pStyle w:val="DefaultParagraphFont"/>
        <w:widowControl w:val="0"/>
        <w:autoSpaceDE w:val="0"/>
        <w:autoSpaceDN w:val="0"/>
        <w:adjustRightInd w:val="0"/>
        <w:spacing w:after="0" w:line="245" w:lineRule="exact"/>
        <w:rPr>
          <w:rFonts w:ascii="Times" w:hAnsi="Times" w:cs="Times"/>
          <w:i/>
          <w:iCs/>
          <w:sz w:val="20"/>
          <w:szCs w:val="20"/>
        </w:rPr>
      </w:pPr>
    </w:p>
    <w:p w:rsidR="00000000" w:rsidRDefault="00A06965">
      <w:pPr>
        <w:pStyle w:val="DefaultParagraphFont"/>
        <w:widowControl w:val="0"/>
        <w:numPr>
          <w:ilvl w:val="1"/>
          <w:numId w:val="21"/>
        </w:numPr>
        <w:tabs>
          <w:tab w:val="clear" w:pos="1440"/>
          <w:tab w:val="num" w:pos="720"/>
        </w:tabs>
        <w:overflowPunct w:val="0"/>
        <w:autoSpaceDE w:val="0"/>
        <w:autoSpaceDN w:val="0"/>
        <w:adjustRightInd w:val="0"/>
        <w:spacing w:after="0" w:line="239" w:lineRule="auto"/>
        <w:ind w:left="720" w:hanging="303"/>
        <w:jc w:val="both"/>
        <w:rPr>
          <w:rFonts w:ascii="Times" w:hAnsi="Times" w:cs="Times"/>
          <w:i/>
          <w:iCs/>
          <w:sz w:val="20"/>
          <w:szCs w:val="20"/>
        </w:rPr>
      </w:pPr>
      <w:r>
        <w:rPr>
          <w:rFonts w:ascii="Times" w:hAnsi="Times" w:cs="Times"/>
          <w:i/>
          <w:iCs/>
          <w:sz w:val="20"/>
          <w:szCs w:val="20"/>
        </w:rPr>
        <w:t>Receivables, loans and finance receivables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6" w:lineRule="auto"/>
        <w:ind w:left="720"/>
        <w:jc w:val="both"/>
        <w:rPr>
          <w:rFonts w:ascii="Times" w:hAnsi="Times" w:cs="Times"/>
          <w:i/>
          <w:iCs/>
          <w:sz w:val="20"/>
          <w:szCs w:val="20"/>
        </w:rPr>
      </w:pPr>
      <w:r>
        <w:rPr>
          <w:rFonts w:ascii="Times" w:hAnsi="Times" w:cs="Times"/>
          <w:sz w:val="20"/>
          <w:szCs w:val="20"/>
        </w:rPr>
        <w:t>Receivables of the insur</w:t>
      </w:r>
      <w:r>
        <w:rPr>
          <w:rFonts w:ascii="Times" w:hAnsi="Times" w:cs="Times"/>
          <w:sz w:val="20"/>
          <w:szCs w:val="20"/>
        </w:rPr>
        <w:t>ance and other businesses are stated net of estimated allowances for uncollectible balances. Allowances for uncollectible balances are provided when it is probable counterparties or customers will be unable to pay all amounts due based on the contractual t</w:t>
      </w:r>
      <w:r>
        <w:rPr>
          <w:rFonts w:ascii="Times" w:hAnsi="Times" w:cs="Times"/>
          <w:sz w:val="20"/>
          <w:szCs w:val="20"/>
        </w:rPr>
        <w:t>erms. Receivables are generally written off against allowances after all reasonable collection efforts are exhausted.</w:t>
      </w:r>
    </w:p>
    <w:p w:rsidR="00000000" w:rsidRDefault="00A06965">
      <w:pPr>
        <w:pStyle w:val="DefaultParagraphFont"/>
        <w:widowControl w:val="0"/>
        <w:autoSpaceDE w:val="0"/>
        <w:autoSpaceDN w:val="0"/>
        <w:adjustRightInd w:val="0"/>
        <w:spacing w:after="0" w:line="137"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Loans and finance receivables of the finance and financial products businesses are predominantly manufactured housing installment loans. Loans and finance receivables are stated at amortized cost based on our ability and intent to hold such loans and recei</w:t>
      </w:r>
      <w:r>
        <w:rPr>
          <w:rFonts w:ascii="Times" w:hAnsi="Times" w:cs="Times"/>
          <w:sz w:val="20"/>
          <w:szCs w:val="20"/>
        </w:rPr>
        <w:t>vables to maturity and are stated net of allowances for uncollectible accounts. The carrying value of acquired loans represents acquisition costs, plus or minus origination and commitment costs paid or fees received, which together with acquisition premium</w:t>
      </w:r>
      <w:r>
        <w:rPr>
          <w:rFonts w:ascii="Times" w:hAnsi="Times" w:cs="Times"/>
          <w:sz w:val="20"/>
          <w:szCs w:val="20"/>
        </w:rPr>
        <w:t>s or discounts, are deferred and amortized as yield adjustments over the life of the loans. Loans and finance receivables include loan securitizations issued when we have the power to direct and the right to receive residual returns. Substantially all of t</w:t>
      </w:r>
      <w:r>
        <w:rPr>
          <w:rFonts w:ascii="Times" w:hAnsi="Times" w:cs="Times"/>
          <w:sz w:val="20"/>
          <w:szCs w:val="20"/>
        </w:rPr>
        <w:t>hese loans are secured by real or personal property or other assets of the borrower.</w:t>
      </w:r>
    </w:p>
    <w:p w:rsidR="00000000" w:rsidRDefault="00A06965">
      <w:pPr>
        <w:pStyle w:val="DefaultParagraphFont"/>
        <w:widowControl w:val="0"/>
        <w:autoSpaceDE w:val="0"/>
        <w:autoSpaceDN w:val="0"/>
        <w:adjustRightInd w:val="0"/>
        <w:spacing w:after="0" w:line="138"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7" w:lineRule="auto"/>
        <w:ind w:left="720"/>
        <w:jc w:val="both"/>
        <w:rPr>
          <w:rFonts w:ascii="Times" w:hAnsi="Times" w:cs="Times"/>
          <w:i/>
          <w:iCs/>
          <w:sz w:val="20"/>
          <w:szCs w:val="20"/>
        </w:rPr>
      </w:pPr>
      <w:r>
        <w:rPr>
          <w:rFonts w:ascii="Times" w:hAnsi="Times" w:cs="Times"/>
          <w:sz w:val="20"/>
          <w:szCs w:val="20"/>
        </w:rPr>
        <w:t>Allowances for credit losses from manufactured housing loans include estimates of losses on loans currently in foreclosure and losses on loans not currently in foreclosu</w:t>
      </w:r>
      <w:r>
        <w:rPr>
          <w:rFonts w:ascii="Times" w:hAnsi="Times" w:cs="Times"/>
          <w:sz w:val="20"/>
          <w:szCs w:val="20"/>
        </w:rPr>
        <w:t>re. Estimates of losses on loans in foreclosure are based on historical experience and collateral recovery rates. Estimates of losses on loans not currently in foreclosure consider historical default rates, collateral recovery rates and existing economic c</w:t>
      </w:r>
      <w:r>
        <w:rPr>
          <w:rFonts w:ascii="Times" w:hAnsi="Times" w:cs="Times"/>
          <w:sz w:val="20"/>
          <w:szCs w:val="20"/>
        </w:rPr>
        <w:t>onditions. Allowances for credit losses also incorporate the historical average time elapsed from the last payment until foreclosure.</w:t>
      </w:r>
    </w:p>
    <w:p w:rsidR="00000000" w:rsidRDefault="00A06965">
      <w:pPr>
        <w:pStyle w:val="DefaultParagraphFont"/>
        <w:widowControl w:val="0"/>
        <w:autoSpaceDE w:val="0"/>
        <w:autoSpaceDN w:val="0"/>
        <w:adjustRightInd w:val="0"/>
        <w:spacing w:after="0" w:line="136"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6" w:lineRule="auto"/>
        <w:ind w:left="720"/>
        <w:jc w:val="both"/>
        <w:rPr>
          <w:rFonts w:ascii="Times" w:hAnsi="Times" w:cs="Times"/>
          <w:i/>
          <w:iCs/>
          <w:sz w:val="20"/>
          <w:szCs w:val="20"/>
        </w:rPr>
      </w:pPr>
      <w:r>
        <w:rPr>
          <w:rFonts w:ascii="Times" w:hAnsi="Times" w:cs="Times"/>
          <w:sz w:val="20"/>
          <w:szCs w:val="20"/>
        </w:rPr>
        <w:t>Loans in which payments are delinquent (with no grace period) are considered past due. Loans which are over 90 days past</w:t>
      </w:r>
      <w:r>
        <w:rPr>
          <w:rFonts w:ascii="Times" w:hAnsi="Times" w:cs="Times"/>
          <w:sz w:val="20"/>
          <w:szCs w:val="20"/>
        </w:rPr>
        <w:t xml:space="preserve"> due or are in foreclosure are placed on nonaccrual status and interest previously accrued but not collected is reversed. Subsequent amounts received on the loans are first applied to the principal and interest owed for the most delinquent amount. Interest</w:t>
      </w:r>
      <w:r>
        <w:rPr>
          <w:rFonts w:ascii="Times" w:hAnsi="Times" w:cs="Times"/>
          <w:sz w:val="20"/>
          <w:szCs w:val="20"/>
        </w:rPr>
        <w:t xml:space="preserve"> income accruals are resumed once a loan is less than 90 days delinquent.</w:t>
      </w:r>
    </w:p>
    <w:p w:rsidR="00000000" w:rsidRDefault="00A06965">
      <w:pPr>
        <w:pStyle w:val="DefaultParagraphFont"/>
        <w:widowControl w:val="0"/>
        <w:autoSpaceDE w:val="0"/>
        <w:autoSpaceDN w:val="0"/>
        <w:adjustRightInd w:val="0"/>
        <w:spacing w:after="0" w:line="137"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7" w:lineRule="auto"/>
        <w:ind w:left="720"/>
        <w:jc w:val="both"/>
        <w:rPr>
          <w:rFonts w:ascii="Times" w:hAnsi="Times" w:cs="Times"/>
          <w:i/>
          <w:iCs/>
          <w:sz w:val="20"/>
          <w:szCs w:val="20"/>
        </w:rPr>
      </w:pPr>
      <w:r>
        <w:rPr>
          <w:rFonts w:ascii="Times" w:hAnsi="Times" w:cs="Times"/>
          <w:sz w:val="20"/>
          <w:szCs w:val="20"/>
        </w:rPr>
        <w:t>Loans in the foreclosure process are considered non-performing. Once a loan is in foreclosure, interest income is not recognized unless the foreclosure is cured or the loan is modi</w:t>
      </w:r>
      <w:r>
        <w:rPr>
          <w:rFonts w:ascii="Times" w:hAnsi="Times" w:cs="Times"/>
          <w:sz w:val="20"/>
          <w:szCs w:val="20"/>
        </w:rPr>
        <w:t>fied. Once a modification is complete, interest income is recognized based on the terms of the new loan. Loans that have gone through foreclosure are charged off when the collateral is sold. Loans not in foreclosure are evaluated for charge off based on in</w:t>
      </w:r>
      <w:r>
        <w:rPr>
          <w:rFonts w:ascii="Times" w:hAnsi="Times" w:cs="Times"/>
          <w:sz w:val="20"/>
          <w:szCs w:val="20"/>
        </w:rPr>
        <w:t>dividual circumstances concerning the future collectability of the loan and the condition of the collateral securing the loan.</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53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numPr>
          <w:ilvl w:val="0"/>
          <w:numId w:val="22"/>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 xml:space="preserve">Significant accounting policies and practices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numPr>
          <w:ilvl w:val="1"/>
          <w:numId w:val="22"/>
        </w:numPr>
        <w:tabs>
          <w:tab w:val="clear" w:pos="1440"/>
          <w:tab w:val="num" w:pos="720"/>
        </w:tabs>
        <w:overflowPunct w:val="0"/>
        <w:autoSpaceDE w:val="0"/>
        <w:autoSpaceDN w:val="0"/>
        <w:adjustRightInd w:val="0"/>
        <w:spacing w:after="0" w:line="239" w:lineRule="auto"/>
        <w:ind w:left="720" w:hanging="270"/>
        <w:jc w:val="both"/>
        <w:rPr>
          <w:rFonts w:ascii="Times" w:hAnsi="Times" w:cs="Times"/>
          <w:i/>
          <w:iCs/>
          <w:sz w:val="20"/>
          <w:szCs w:val="20"/>
        </w:rPr>
      </w:pPr>
      <w:r>
        <w:rPr>
          <w:rFonts w:ascii="Times" w:hAnsi="Times" w:cs="Times"/>
          <w:i/>
          <w:iCs/>
          <w:sz w:val="20"/>
          <w:szCs w:val="20"/>
        </w:rPr>
        <w:t>Derivatives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5" w:lineRule="auto"/>
        <w:ind w:left="720"/>
        <w:jc w:val="both"/>
        <w:rPr>
          <w:rFonts w:ascii="Times" w:hAnsi="Times" w:cs="Times"/>
          <w:i/>
          <w:iCs/>
          <w:sz w:val="20"/>
          <w:szCs w:val="20"/>
        </w:rPr>
      </w:pPr>
      <w:r>
        <w:rPr>
          <w:rFonts w:ascii="Times" w:hAnsi="Times" w:cs="Times"/>
          <w:sz w:val="20"/>
          <w:szCs w:val="20"/>
        </w:rPr>
        <w:t>We carry derivative contracts in our Consolidated Balance Sheets at fair value, net of reductions permitted under master netting agreements with counterparties. The changes in fai</w:t>
      </w:r>
      <w:r>
        <w:rPr>
          <w:rFonts w:ascii="Times" w:hAnsi="Times" w:cs="Times"/>
          <w:sz w:val="20"/>
          <w:szCs w:val="20"/>
        </w:rPr>
        <w:t>r value of derivative contracts that do not qualify as hedging instruments for financial reporting purposes are recorded in earnings.</w:t>
      </w:r>
    </w:p>
    <w:p w:rsidR="00000000" w:rsidRDefault="00A06965">
      <w:pPr>
        <w:pStyle w:val="DefaultParagraphFont"/>
        <w:widowControl w:val="0"/>
        <w:autoSpaceDE w:val="0"/>
        <w:autoSpaceDN w:val="0"/>
        <w:adjustRightInd w:val="0"/>
        <w:spacing w:after="0" w:line="135"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5" w:lineRule="auto"/>
        <w:ind w:left="720"/>
        <w:jc w:val="both"/>
        <w:rPr>
          <w:rFonts w:ascii="Times" w:hAnsi="Times" w:cs="Times"/>
          <w:i/>
          <w:iCs/>
          <w:sz w:val="20"/>
          <w:szCs w:val="20"/>
        </w:rPr>
      </w:pPr>
      <w:r>
        <w:rPr>
          <w:rFonts w:ascii="Times" w:hAnsi="Times" w:cs="Times"/>
          <w:sz w:val="20"/>
          <w:szCs w:val="20"/>
        </w:rPr>
        <w:t>Cash collateral received from or paid to counterparties to secure derivative contract assets or liabilities is included in other liabilities or other assets. Securities received from counterparties as collateral are not recorded as assets and securities de</w:t>
      </w:r>
      <w:r>
        <w:rPr>
          <w:rFonts w:ascii="Times" w:hAnsi="Times" w:cs="Times"/>
          <w:sz w:val="20"/>
          <w:szCs w:val="20"/>
        </w:rPr>
        <w:t>livered to counterparties as collateral continue to be reflected as assets in our Consolidated Balance Sheets.</w:t>
      </w:r>
    </w:p>
    <w:p w:rsidR="00000000" w:rsidRDefault="00A06965">
      <w:pPr>
        <w:pStyle w:val="DefaultParagraphFont"/>
        <w:widowControl w:val="0"/>
        <w:autoSpaceDE w:val="0"/>
        <w:autoSpaceDN w:val="0"/>
        <w:adjustRightInd w:val="0"/>
        <w:spacing w:after="0" w:line="245" w:lineRule="exact"/>
        <w:rPr>
          <w:rFonts w:ascii="Times" w:hAnsi="Times" w:cs="Times"/>
          <w:i/>
          <w:iCs/>
          <w:sz w:val="20"/>
          <w:szCs w:val="20"/>
        </w:rPr>
      </w:pPr>
    </w:p>
    <w:p w:rsidR="00000000" w:rsidRDefault="00A06965">
      <w:pPr>
        <w:pStyle w:val="DefaultParagraphFont"/>
        <w:widowControl w:val="0"/>
        <w:numPr>
          <w:ilvl w:val="1"/>
          <w:numId w:val="22"/>
        </w:numPr>
        <w:tabs>
          <w:tab w:val="clear" w:pos="1440"/>
          <w:tab w:val="num" w:pos="720"/>
        </w:tabs>
        <w:overflowPunct w:val="0"/>
        <w:autoSpaceDE w:val="0"/>
        <w:autoSpaceDN w:val="0"/>
        <w:adjustRightInd w:val="0"/>
        <w:spacing w:after="0" w:line="239" w:lineRule="auto"/>
        <w:ind w:left="720" w:hanging="314"/>
        <w:jc w:val="both"/>
        <w:rPr>
          <w:rFonts w:ascii="Times" w:hAnsi="Times" w:cs="Times"/>
          <w:i/>
          <w:iCs/>
          <w:sz w:val="20"/>
          <w:szCs w:val="20"/>
        </w:rPr>
      </w:pPr>
      <w:r>
        <w:rPr>
          <w:rFonts w:ascii="Times" w:hAnsi="Times" w:cs="Times"/>
          <w:i/>
          <w:iCs/>
          <w:sz w:val="20"/>
          <w:szCs w:val="20"/>
        </w:rPr>
        <w:t>Fair value measurements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9" w:lineRule="auto"/>
        <w:ind w:left="720"/>
        <w:jc w:val="both"/>
        <w:rPr>
          <w:rFonts w:ascii="Times" w:hAnsi="Times" w:cs="Times"/>
          <w:i/>
          <w:iCs/>
          <w:sz w:val="20"/>
          <w:szCs w:val="20"/>
        </w:rPr>
      </w:pPr>
      <w:r>
        <w:rPr>
          <w:rFonts w:ascii="Times" w:hAnsi="Times" w:cs="Times"/>
          <w:sz w:val="20"/>
          <w:szCs w:val="20"/>
        </w:rPr>
        <w:t>As defined under GAAP, fair value is the price that would be received to sell an asset or paid to transfer a liabi</w:t>
      </w:r>
      <w:r>
        <w:rPr>
          <w:rFonts w:ascii="Times" w:hAnsi="Times" w:cs="Times"/>
          <w:sz w:val="20"/>
          <w:szCs w:val="20"/>
        </w:rPr>
        <w:t>lity between market participants in the principal market or in the most advantageous market when no principal market exists. Adjustments to transaction prices or quoted market prices may be required in illiquid or disorderly markets in order to estimate fa</w:t>
      </w:r>
      <w:r>
        <w:rPr>
          <w:rFonts w:ascii="Times" w:hAnsi="Times" w:cs="Times"/>
          <w:sz w:val="20"/>
          <w:szCs w:val="20"/>
        </w:rPr>
        <w:t>ir value. Alternative valuation techniques may be appropriate under the circumstances to determine the value that would be received to sell an asset or paid to transfer a liability in an orderly transaction. Market participants are assumed to be independen</w:t>
      </w:r>
      <w:r>
        <w:rPr>
          <w:rFonts w:ascii="Times" w:hAnsi="Times" w:cs="Times"/>
          <w:sz w:val="20"/>
          <w:szCs w:val="20"/>
        </w:rPr>
        <w:t xml:space="preserve">t, knowledgeable, able and willing to transact an exchange and not acting under duress. Our nonperformance or credit risk is considered in determining the fair value of liabilities. Considerable judgment may be required in interpreting market data used to </w:t>
      </w:r>
      <w:r>
        <w:rPr>
          <w:rFonts w:ascii="Times" w:hAnsi="Times" w:cs="Times"/>
          <w:sz w:val="20"/>
          <w:szCs w:val="20"/>
        </w:rPr>
        <w:t>develop the estimates of fair value. Accordingly, estimates of fair value presented herein are not necessarily indicative of the amounts that could be realized in a current or future market exchange.</w:t>
      </w:r>
    </w:p>
    <w:p w:rsidR="00000000" w:rsidRDefault="00A06965">
      <w:pPr>
        <w:pStyle w:val="DefaultParagraphFont"/>
        <w:widowControl w:val="0"/>
        <w:autoSpaceDE w:val="0"/>
        <w:autoSpaceDN w:val="0"/>
        <w:adjustRightInd w:val="0"/>
        <w:spacing w:after="0" w:line="243" w:lineRule="exact"/>
        <w:rPr>
          <w:rFonts w:ascii="Times" w:hAnsi="Times" w:cs="Times"/>
          <w:i/>
          <w:iCs/>
          <w:sz w:val="20"/>
          <w:szCs w:val="20"/>
        </w:rPr>
      </w:pPr>
    </w:p>
    <w:p w:rsidR="00000000" w:rsidRDefault="00A06965">
      <w:pPr>
        <w:pStyle w:val="DefaultParagraphFont"/>
        <w:widowControl w:val="0"/>
        <w:numPr>
          <w:ilvl w:val="1"/>
          <w:numId w:val="22"/>
        </w:numPr>
        <w:tabs>
          <w:tab w:val="clear" w:pos="1440"/>
          <w:tab w:val="num" w:pos="720"/>
        </w:tabs>
        <w:overflowPunct w:val="0"/>
        <w:autoSpaceDE w:val="0"/>
        <w:autoSpaceDN w:val="0"/>
        <w:adjustRightInd w:val="0"/>
        <w:spacing w:after="0" w:line="239" w:lineRule="auto"/>
        <w:ind w:left="720" w:hanging="314"/>
        <w:jc w:val="both"/>
        <w:rPr>
          <w:rFonts w:ascii="Times" w:hAnsi="Times" w:cs="Times"/>
          <w:i/>
          <w:iCs/>
          <w:sz w:val="20"/>
          <w:szCs w:val="20"/>
        </w:rPr>
      </w:pPr>
      <w:r>
        <w:rPr>
          <w:rFonts w:ascii="Times" w:hAnsi="Times" w:cs="Times"/>
          <w:i/>
          <w:iCs/>
          <w:sz w:val="20"/>
          <w:szCs w:val="20"/>
        </w:rPr>
        <w:t>Inventories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Inventories consist of manufactured g</w:t>
      </w:r>
      <w:r>
        <w:rPr>
          <w:rFonts w:ascii="Times" w:hAnsi="Times" w:cs="Times"/>
          <w:sz w:val="20"/>
          <w:szCs w:val="20"/>
        </w:rPr>
        <w:t>oods and goods acquired for resale. Manufactured inventory costs include raw materials, direct and indirect labor and factory overhead. Inventories are stated at the lower of cost or market. As of December 31, 2014, approximately 43% of our consolidated in</w:t>
      </w:r>
      <w:r>
        <w:rPr>
          <w:rFonts w:ascii="Times" w:hAnsi="Times" w:cs="Times"/>
          <w:sz w:val="20"/>
          <w:szCs w:val="20"/>
        </w:rPr>
        <w:t>ventory cost was determined using the last-in-first-out (“LIFO”) method, 33% using the first-in-first-out (“FIFO”) method, and the remainder primarily using the average cost method. With respect to inventories carried at LIFO cost, the aggregate difference</w:t>
      </w:r>
      <w:r>
        <w:rPr>
          <w:rFonts w:ascii="Times" w:hAnsi="Times" w:cs="Times"/>
          <w:sz w:val="20"/>
          <w:szCs w:val="20"/>
        </w:rPr>
        <w:t xml:space="preserve"> in value between LIFO cost and cost determined under the FIFO method was $857 million and $796 million as of December 31, 2014 and 2013, respectively.</w:t>
      </w:r>
    </w:p>
    <w:p w:rsidR="00000000" w:rsidRDefault="00A06965">
      <w:pPr>
        <w:pStyle w:val="DefaultParagraphFont"/>
        <w:widowControl w:val="0"/>
        <w:autoSpaceDE w:val="0"/>
        <w:autoSpaceDN w:val="0"/>
        <w:adjustRightInd w:val="0"/>
        <w:spacing w:after="0" w:line="246" w:lineRule="exact"/>
        <w:rPr>
          <w:rFonts w:ascii="Times" w:hAnsi="Times" w:cs="Times"/>
          <w:i/>
          <w:iCs/>
          <w:sz w:val="20"/>
          <w:szCs w:val="20"/>
        </w:rPr>
      </w:pPr>
    </w:p>
    <w:p w:rsidR="00000000" w:rsidRDefault="00A06965">
      <w:pPr>
        <w:pStyle w:val="DefaultParagraphFont"/>
        <w:widowControl w:val="0"/>
        <w:numPr>
          <w:ilvl w:val="1"/>
          <w:numId w:val="22"/>
        </w:numPr>
        <w:tabs>
          <w:tab w:val="clear" w:pos="1440"/>
          <w:tab w:val="num" w:pos="720"/>
        </w:tabs>
        <w:overflowPunct w:val="0"/>
        <w:autoSpaceDE w:val="0"/>
        <w:autoSpaceDN w:val="0"/>
        <w:adjustRightInd w:val="0"/>
        <w:spacing w:after="0" w:line="239" w:lineRule="auto"/>
        <w:ind w:left="720" w:hanging="270"/>
        <w:jc w:val="both"/>
        <w:rPr>
          <w:rFonts w:ascii="Times" w:hAnsi="Times" w:cs="Times"/>
          <w:i/>
          <w:iCs/>
          <w:sz w:val="20"/>
          <w:szCs w:val="20"/>
        </w:rPr>
      </w:pPr>
      <w:r>
        <w:rPr>
          <w:rFonts w:ascii="Times" w:hAnsi="Times" w:cs="Times"/>
          <w:i/>
          <w:iCs/>
          <w:sz w:val="20"/>
          <w:szCs w:val="20"/>
        </w:rPr>
        <w:t>Property, plant and equipment and leased assets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Additions to property, plant and equipment used in operations and leased assets are recorded at cost and consist of major additions, improvements and betterments. With respect to constructed assets, all construction related material, direct labor and contr</w:t>
      </w:r>
      <w:r>
        <w:rPr>
          <w:rFonts w:ascii="Times" w:hAnsi="Times" w:cs="Times"/>
          <w:sz w:val="20"/>
          <w:szCs w:val="20"/>
        </w:rPr>
        <w:t>act services as well as certain indirect costs are capitalized. Indirect costs include interest over the construction period. With respect to constructed assets of certain of our regulated utility and energy subsidiaries that are subject to authoritative g</w:t>
      </w:r>
      <w:r>
        <w:rPr>
          <w:rFonts w:ascii="Times" w:hAnsi="Times" w:cs="Times"/>
          <w:sz w:val="20"/>
          <w:szCs w:val="20"/>
        </w:rPr>
        <w:t>uidance for regulated operations, capitalized costs also include an equity allowance for funds used during construction, which represents the cost of equity funds used to finance the construction of the regulated facilities. Also see Note 1(q).</w:t>
      </w:r>
    </w:p>
    <w:p w:rsidR="00000000" w:rsidRDefault="00A06965">
      <w:pPr>
        <w:pStyle w:val="DefaultParagraphFont"/>
        <w:widowControl w:val="0"/>
        <w:autoSpaceDE w:val="0"/>
        <w:autoSpaceDN w:val="0"/>
        <w:adjustRightInd w:val="0"/>
        <w:spacing w:after="0" w:line="136"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5" w:lineRule="auto"/>
        <w:ind w:left="720"/>
        <w:jc w:val="both"/>
        <w:rPr>
          <w:rFonts w:ascii="Times" w:hAnsi="Times" w:cs="Times"/>
          <w:i/>
          <w:iCs/>
          <w:sz w:val="20"/>
          <w:szCs w:val="20"/>
        </w:rPr>
      </w:pPr>
      <w:r>
        <w:rPr>
          <w:rFonts w:ascii="Times" w:hAnsi="Times" w:cs="Times"/>
          <w:sz w:val="20"/>
          <w:szCs w:val="20"/>
        </w:rPr>
        <w:t>Normal re</w:t>
      </w:r>
      <w:r>
        <w:rPr>
          <w:rFonts w:ascii="Times" w:hAnsi="Times" w:cs="Times"/>
          <w:sz w:val="20"/>
          <w:szCs w:val="20"/>
        </w:rPr>
        <w:t>pairs and maintenance and other costs that do not improve the property, extend the useful life or otherwise do not meet capitalization criteria are charged to expense as incurred. Rail grinding costs related to our railroad properties are expensed as incur</w:t>
      </w:r>
      <w:r>
        <w:rPr>
          <w:rFonts w:ascii="Times" w:hAnsi="Times" w:cs="Times"/>
          <w:sz w:val="20"/>
          <w:szCs w:val="20"/>
        </w:rPr>
        <w:t>red.</w:t>
      </w:r>
    </w:p>
    <w:p w:rsidR="00000000" w:rsidRDefault="00A06965">
      <w:pPr>
        <w:pStyle w:val="DefaultParagraphFont"/>
        <w:widowControl w:val="0"/>
        <w:autoSpaceDE w:val="0"/>
        <w:autoSpaceDN w:val="0"/>
        <w:adjustRightInd w:val="0"/>
        <w:spacing w:after="0" w:line="135"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Property, plant and equipment and leased assets are depreciated to estimated salvage value primarily on the straight-line method over estimated useful lives or mandated recovery periods as prescribed by regulatory authorities. Depreciation of assets</w:t>
      </w:r>
      <w:r>
        <w:rPr>
          <w:rFonts w:ascii="Times" w:hAnsi="Times" w:cs="Times"/>
          <w:sz w:val="20"/>
          <w:szCs w:val="20"/>
        </w:rPr>
        <w:t xml:space="preserve"> of our regulated utilities and railroad is generally provided using group depreciation methods where rates are based on periodic depreciation studies approved by the applicable regulator. Under group depreciation, a single depreciation rate is applied to </w:t>
      </w:r>
      <w:r>
        <w:rPr>
          <w:rFonts w:ascii="Times" w:hAnsi="Times" w:cs="Times"/>
          <w:sz w:val="20"/>
          <w:szCs w:val="20"/>
        </w:rPr>
        <w:t>the gross investment in a particular class of property, despite differences in the service life or salvage value of individual property units within the same class. When our regulated utilities or railroad retires or sells a component of the assets account</w:t>
      </w:r>
      <w:r>
        <w:rPr>
          <w:rFonts w:ascii="Times" w:hAnsi="Times" w:cs="Times"/>
          <w:sz w:val="20"/>
          <w:szCs w:val="20"/>
        </w:rPr>
        <w:t>ed for using group depreciation methods, no gain or loss is recognized. Gains or losses on disposals of all other assets are recorded through earnings.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54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numPr>
          <w:ilvl w:val="0"/>
          <w:numId w:val="23"/>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 xml:space="preserve">Significant accounting policies and practices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numPr>
          <w:ilvl w:val="1"/>
          <w:numId w:val="23"/>
        </w:numPr>
        <w:tabs>
          <w:tab w:val="clear" w:pos="1440"/>
          <w:tab w:val="num" w:pos="720"/>
        </w:tabs>
        <w:overflowPunct w:val="0"/>
        <w:autoSpaceDE w:val="0"/>
        <w:autoSpaceDN w:val="0"/>
        <w:adjustRightInd w:val="0"/>
        <w:spacing w:after="0" w:line="239" w:lineRule="auto"/>
        <w:ind w:left="720" w:hanging="270"/>
        <w:jc w:val="both"/>
        <w:rPr>
          <w:rFonts w:ascii="Times" w:hAnsi="Times" w:cs="Times"/>
          <w:i/>
          <w:iCs/>
          <w:sz w:val="20"/>
          <w:szCs w:val="20"/>
        </w:rPr>
      </w:pPr>
      <w:r>
        <w:rPr>
          <w:rFonts w:ascii="Times" w:hAnsi="Times" w:cs="Times"/>
          <w:i/>
          <w:iCs/>
          <w:sz w:val="20"/>
          <w:szCs w:val="20"/>
        </w:rPr>
        <w:t>Property, plant and equipment and leased assets (Continued)</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Our businesses evaluate property, plant and equipment for impairment when events or changes in circumstances indicate that th</w:t>
      </w:r>
      <w:r>
        <w:rPr>
          <w:rFonts w:ascii="Times" w:hAnsi="Times" w:cs="Times"/>
          <w:sz w:val="20"/>
          <w:szCs w:val="20"/>
        </w:rPr>
        <w:t xml:space="preserve">e carrying value of such assets may not be recoverable or the assets are being held for sale. Upon the occurrence of a triggering event, we assess whether the estimated undiscounted cash flows expected from the use of the asset and the residual value from </w:t>
      </w:r>
      <w:r>
        <w:rPr>
          <w:rFonts w:ascii="Times" w:hAnsi="Times" w:cs="Times"/>
          <w:sz w:val="20"/>
          <w:szCs w:val="20"/>
        </w:rPr>
        <w:t>the ultimate disposal of the asset exceeds the carrying value. If the carrying value exceeds the estimated recoverable amounts, we write down the asset to the estimated fair value. Impairment losses are included in earnings, except with respect to impairme</w:t>
      </w:r>
      <w:r>
        <w:rPr>
          <w:rFonts w:ascii="Times" w:hAnsi="Times" w:cs="Times"/>
          <w:sz w:val="20"/>
          <w:szCs w:val="20"/>
        </w:rPr>
        <w:t>nt of assets of our regulated utility and energy subsidiaries when the impacts of regulation are considered in evaluating the carrying value of regulated assets.</w:t>
      </w:r>
    </w:p>
    <w:p w:rsidR="00000000" w:rsidRDefault="00A06965">
      <w:pPr>
        <w:pStyle w:val="DefaultParagraphFont"/>
        <w:widowControl w:val="0"/>
        <w:autoSpaceDE w:val="0"/>
        <w:autoSpaceDN w:val="0"/>
        <w:adjustRightInd w:val="0"/>
        <w:spacing w:after="0" w:line="246" w:lineRule="exact"/>
        <w:rPr>
          <w:rFonts w:ascii="Times" w:hAnsi="Times" w:cs="Times"/>
          <w:i/>
          <w:iCs/>
          <w:sz w:val="20"/>
          <w:szCs w:val="20"/>
        </w:rPr>
      </w:pPr>
    </w:p>
    <w:p w:rsidR="00000000" w:rsidRDefault="00A06965">
      <w:pPr>
        <w:pStyle w:val="DefaultParagraphFont"/>
        <w:widowControl w:val="0"/>
        <w:numPr>
          <w:ilvl w:val="1"/>
          <w:numId w:val="23"/>
        </w:numPr>
        <w:tabs>
          <w:tab w:val="clear" w:pos="1440"/>
          <w:tab w:val="num" w:pos="720"/>
        </w:tabs>
        <w:overflowPunct w:val="0"/>
        <w:autoSpaceDE w:val="0"/>
        <w:autoSpaceDN w:val="0"/>
        <w:adjustRightInd w:val="0"/>
        <w:spacing w:after="0" w:line="239" w:lineRule="auto"/>
        <w:ind w:left="720" w:hanging="270"/>
        <w:jc w:val="both"/>
        <w:rPr>
          <w:rFonts w:ascii="Times" w:hAnsi="Times" w:cs="Times"/>
          <w:i/>
          <w:iCs/>
          <w:sz w:val="20"/>
          <w:szCs w:val="20"/>
        </w:rPr>
      </w:pPr>
      <w:r>
        <w:rPr>
          <w:rFonts w:ascii="Times" w:hAnsi="Times" w:cs="Times"/>
          <w:i/>
          <w:iCs/>
          <w:sz w:val="20"/>
          <w:szCs w:val="20"/>
        </w:rPr>
        <w:t>Goodwill and other intangible assets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9" w:lineRule="auto"/>
        <w:ind w:left="720"/>
        <w:jc w:val="both"/>
        <w:rPr>
          <w:rFonts w:ascii="Times" w:hAnsi="Times" w:cs="Times"/>
          <w:i/>
          <w:iCs/>
          <w:sz w:val="20"/>
          <w:szCs w:val="20"/>
        </w:rPr>
      </w:pPr>
      <w:r>
        <w:rPr>
          <w:rFonts w:ascii="Times" w:hAnsi="Times" w:cs="Times"/>
          <w:sz w:val="20"/>
          <w:szCs w:val="20"/>
        </w:rPr>
        <w:t>Goodwill represents the excess of the acquisition price of a business over the fair value of identifiable net assets of that business. We evaluate goodwill for impairment at least annually. When evaluating goodwill for impairment, we estimate the fair valu</w:t>
      </w:r>
      <w:r>
        <w:rPr>
          <w:rFonts w:ascii="Times" w:hAnsi="Times" w:cs="Times"/>
          <w:sz w:val="20"/>
          <w:szCs w:val="20"/>
        </w:rPr>
        <w:t xml:space="preserve">e of the reporting unit. There are several methods that may be used to estimate a reporting unit’s fair value, including market quotations, asset and liability fair values and other valuation techniques, including, but not limited to, discounted projected </w:t>
      </w:r>
      <w:r>
        <w:rPr>
          <w:rFonts w:ascii="Times" w:hAnsi="Times" w:cs="Times"/>
          <w:sz w:val="20"/>
          <w:szCs w:val="20"/>
        </w:rPr>
        <w:t>future net earnings or net cash flows and multiples of earnings. If the carrying amount of a reporting unit, including goodwill, exceeds the estimated fair value, then the identifiable assets and liabilities of the reporting unit are estimated at fair valu</w:t>
      </w:r>
      <w:r>
        <w:rPr>
          <w:rFonts w:ascii="Times" w:hAnsi="Times" w:cs="Times"/>
          <w:sz w:val="20"/>
          <w:szCs w:val="20"/>
        </w:rPr>
        <w:t>e as of the current testing date. The excess of the estimated fair value of the reporting unit over the current estimated fair value of net assets establishes the implied value of goodwill. The excess of the recorded goodwill over the implied goodwill valu</w:t>
      </w:r>
      <w:r>
        <w:rPr>
          <w:rFonts w:ascii="Times" w:hAnsi="Times" w:cs="Times"/>
          <w:sz w:val="20"/>
          <w:szCs w:val="20"/>
        </w:rPr>
        <w:t>e is charged to earnings as an impairment loss. Significant judgment is required in estimating the fair value of the reporting unit and performing goodwill impairment tests.</w:t>
      </w:r>
    </w:p>
    <w:p w:rsidR="00000000" w:rsidRDefault="00A06965">
      <w:pPr>
        <w:pStyle w:val="DefaultParagraphFont"/>
        <w:widowControl w:val="0"/>
        <w:autoSpaceDE w:val="0"/>
        <w:autoSpaceDN w:val="0"/>
        <w:adjustRightInd w:val="0"/>
        <w:spacing w:after="0" w:line="133"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7" w:lineRule="auto"/>
        <w:ind w:left="720"/>
        <w:jc w:val="both"/>
        <w:rPr>
          <w:rFonts w:ascii="Times" w:hAnsi="Times" w:cs="Times"/>
          <w:i/>
          <w:iCs/>
          <w:sz w:val="20"/>
          <w:szCs w:val="20"/>
        </w:rPr>
      </w:pPr>
      <w:r>
        <w:rPr>
          <w:rFonts w:ascii="Times" w:hAnsi="Times" w:cs="Times"/>
          <w:sz w:val="20"/>
          <w:szCs w:val="20"/>
        </w:rPr>
        <w:t>Intangible assets with definite lives are amortized based on the estimated patte</w:t>
      </w:r>
      <w:r>
        <w:rPr>
          <w:rFonts w:ascii="Times" w:hAnsi="Times" w:cs="Times"/>
          <w:sz w:val="20"/>
          <w:szCs w:val="20"/>
        </w:rPr>
        <w:t>rn in which the economic benefits are expected to be consumed or on a straight-line basis over their estimated economic lives. Intangible assets with definite lives are reviewed for impairment when events or changes in circumstances indicate that the carry</w:t>
      </w:r>
      <w:r>
        <w:rPr>
          <w:rFonts w:ascii="Times" w:hAnsi="Times" w:cs="Times"/>
          <w:sz w:val="20"/>
          <w:szCs w:val="20"/>
        </w:rPr>
        <w:t>ing amount may not be recoverable. Intangible assets with indefinite lives are tested for impairment at least annually and when events or changes in circumstances indicate that it is more likely than not that the asset is impaired.</w:t>
      </w:r>
    </w:p>
    <w:p w:rsidR="00000000" w:rsidRDefault="00A06965">
      <w:pPr>
        <w:pStyle w:val="DefaultParagraphFont"/>
        <w:widowControl w:val="0"/>
        <w:autoSpaceDE w:val="0"/>
        <w:autoSpaceDN w:val="0"/>
        <w:adjustRightInd w:val="0"/>
        <w:spacing w:after="0" w:line="246" w:lineRule="exact"/>
        <w:rPr>
          <w:rFonts w:ascii="Times" w:hAnsi="Times" w:cs="Times"/>
          <w:i/>
          <w:iCs/>
          <w:sz w:val="20"/>
          <w:szCs w:val="20"/>
        </w:rPr>
      </w:pPr>
    </w:p>
    <w:p w:rsidR="00000000" w:rsidRDefault="00A06965">
      <w:pPr>
        <w:pStyle w:val="DefaultParagraphFont"/>
        <w:widowControl w:val="0"/>
        <w:numPr>
          <w:ilvl w:val="1"/>
          <w:numId w:val="23"/>
        </w:numPr>
        <w:tabs>
          <w:tab w:val="clear" w:pos="1440"/>
          <w:tab w:val="num" w:pos="720"/>
        </w:tabs>
        <w:overflowPunct w:val="0"/>
        <w:autoSpaceDE w:val="0"/>
        <w:autoSpaceDN w:val="0"/>
        <w:adjustRightInd w:val="0"/>
        <w:spacing w:after="0" w:line="239" w:lineRule="auto"/>
        <w:ind w:left="720" w:hanging="303"/>
        <w:jc w:val="both"/>
        <w:rPr>
          <w:rFonts w:ascii="Times" w:hAnsi="Times" w:cs="Times"/>
          <w:i/>
          <w:iCs/>
          <w:sz w:val="20"/>
          <w:szCs w:val="20"/>
        </w:rPr>
      </w:pPr>
      <w:r>
        <w:rPr>
          <w:rFonts w:ascii="Times" w:hAnsi="Times" w:cs="Times"/>
          <w:i/>
          <w:iCs/>
          <w:sz w:val="20"/>
          <w:szCs w:val="20"/>
        </w:rPr>
        <w:t>Revenue recognition</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Insurance premiums for prospective property/casualty and health insurance and reinsurance are earned over the loss exposure or coverage period in proportion to the level of protection provided. In most cases, premiums are recognized as revenues ratably ove</w:t>
      </w:r>
      <w:r>
        <w:rPr>
          <w:rFonts w:ascii="Times" w:hAnsi="Times" w:cs="Times"/>
          <w:sz w:val="20"/>
          <w:szCs w:val="20"/>
        </w:rPr>
        <w:t>r the term of the contract with unearned premiums computed on a monthly or daily pro-rata basis. Premiums for retroactive property/casualty reinsurance policies are earned at the inception of the contracts, as all of the underlying loss events covered by t</w:t>
      </w:r>
      <w:r>
        <w:rPr>
          <w:rFonts w:ascii="Times" w:hAnsi="Times" w:cs="Times"/>
          <w:sz w:val="20"/>
          <w:szCs w:val="20"/>
        </w:rPr>
        <w:t>hese policies occurred in the past. Premiums for life reinsurance and annuity contracts are earned when due. Premiums earned are stated net of amounts ceded to reinsurers. For contracts containing experience rating provisions, premiums earned reflect estim</w:t>
      </w:r>
      <w:r>
        <w:rPr>
          <w:rFonts w:ascii="Times" w:hAnsi="Times" w:cs="Times"/>
          <w:sz w:val="20"/>
          <w:szCs w:val="20"/>
        </w:rPr>
        <w:t>ated loss experience under the contracts.</w:t>
      </w:r>
    </w:p>
    <w:p w:rsidR="00000000" w:rsidRDefault="00A06965">
      <w:pPr>
        <w:pStyle w:val="DefaultParagraphFont"/>
        <w:widowControl w:val="0"/>
        <w:autoSpaceDE w:val="0"/>
        <w:autoSpaceDN w:val="0"/>
        <w:adjustRightInd w:val="0"/>
        <w:spacing w:after="0" w:line="136"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5" w:lineRule="auto"/>
        <w:ind w:left="720"/>
        <w:jc w:val="both"/>
        <w:rPr>
          <w:rFonts w:ascii="Times" w:hAnsi="Times" w:cs="Times"/>
          <w:i/>
          <w:iCs/>
          <w:sz w:val="20"/>
          <w:szCs w:val="20"/>
        </w:rPr>
      </w:pPr>
      <w:r>
        <w:rPr>
          <w:rFonts w:ascii="Times" w:hAnsi="Times" w:cs="Times"/>
          <w:sz w:val="20"/>
          <w:szCs w:val="20"/>
        </w:rPr>
        <w:t>Sales revenues derive from the sales of manufactured products and goods acquired for resale. Revenues from sales are recognized upon passage of title to the customer, which generally coincides with customer picku</w:t>
      </w:r>
      <w:r>
        <w:rPr>
          <w:rFonts w:ascii="Times" w:hAnsi="Times" w:cs="Times"/>
          <w:sz w:val="20"/>
          <w:szCs w:val="20"/>
        </w:rPr>
        <w:t>p, product delivery or acceptance, depending on terms of the sales arrangement.</w:t>
      </w:r>
    </w:p>
    <w:p w:rsidR="00000000" w:rsidRDefault="00A06965">
      <w:pPr>
        <w:pStyle w:val="DefaultParagraphFont"/>
        <w:widowControl w:val="0"/>
        <w:autoSpaceDE w:val="0"/>
        <w:autoSpaceDN w:val="0"/>
        <w:adjustRightInd w:val="0"/>
        <w:spacing w:after="0" w:line="135"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7" w:lineRule="auto"/>
        <w:ind w:left="720"/>
        <w:jc w:val="both"/>
        <w:rPr>
          <w:rFonts w:ascii="Times" w:hAnsi="Times" w:cs="Times"/>
          <w:i/>
          <w:iCs/>
          <w:sz w:val="20"/>
          <w:szCs w:val="20"/>
        </w:rPr>
      </w:pPr>
      <w:r>
        <w:rPr>
          <w:rFonts w:ascii="Times" w:hAnsi="Times" w:cs="Times"/>
          <w:sz w:val="20"/>
          <w:szCs w:val="20"/>
        </w:rPr>
        <w:t>Service revenues are recognized as the services are performed. Services provided pursuant to a contract are either recognized over the contract period or upon completion of t</w:t>
      </w:r>
      <w:r>
        <w:rPr>
          <w:rFonts w:ascii="Times" w:hAnsi="Times" w:cs="Times"/>
          <w:sz w:val="20"/>
          <w:szCs w:val="20"/>
        </w:rPr>
        <w:t>he elements specified in the contract depending on the terms of the contract. Revenues related to the sales of fractional ownership interests in aircraft are recognized ratably over the term of the related management services agreement as the transfer of o</w:t>
      </w:r>
      <w:r>
        <w:rPr>
          <w:rFonts w:ascii="Times" w:hAnsi="Times" w:cs="Times"/>
          <w:sz w:val="20"/>
          <w:szCs w:val="20"/>
        </w:rPr>
        <w:t>wnership interest in the aircraft is inseparable from the management services agreement.</w:t>
      </w:r>
    </w:p>
    <w:p w:rsidR="00000000" w:rsidRDefault="00A06965">
      <w:pPr>
        <w:pStyle w:val="DefaultParagraphFont"/>
        <w:widowControl w:val="0"/>
        <w:autoSpaceDE w:val="0"/>
        <w:autoSpaceDN w:val="0"/>
        <w:adjustRightInd w:val="0"/>
        <w:spacing w:after="0" w:line="136"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39" w:lineRule="auto"/>
        <w:ind w:left="720"/>
        <w:jc w:val="both"/>
        <w:rPr>
          <w:rFonts w:ascii="Times" w:hAnsi="Times" w:cs="Times"/>
          <w:i/>
          <w:iCs/>
          <w:sz w:val="20"/>
          <w:szCs w:val="20"/>
        </w:rPr>
      </w:pPr>
      <w:r>
        <w:rPr>
          <w:rFonts w:ascii="Times" w:hAnsi="Times" w:cs="Times"/>
          <w:sz w:val="20"/>
          <w:szCs w:val="20"/>
        </w:rPr>
        <w:t>Leasing revenue is generally recognized ratably over the term of the lease, as a substantial portion of our leases are classified as operating leases.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7" w:lineRule="auto"/>
        <w:ind w:left="720"/>
        <w:jc w:val="both"/>
        <w:rPr>
          <w:rFonts w:ascii="Times" w:hAnsi="Times" w:cs="Times"/>
          <w:i/>
          <w:iCs/>
          <w:sz w:val="20"/>
          <w:szCs w:val="20"/>
        </w:rPr>
      </w:pPr>
      <w:r>
        <w:rPr>
          <w:rFonts w:ascii="Times" w:hAnsi="Times" w:cs="Times"/>
          <w:sz w:val="20"/>
          <w:szCs w:val="20"/>
        </w:rPr>
        <w:t>Operating re</w:t>
      </w:r>
      <w:r>
        <w:rPr>
          <w:rFonts w:ascii="Times" w:hAnsi="Times" w:cs="Times"/>
          <w:sz w:val="20"/>
          <w:szCs w:val="20"/>
        </w:rPr>
        <w:t xml:space="preserve">venues from the distribution and sale of electricity and natural gas to customers are recognized when the services are rendered or the energy is delivered. Revenues include unbilled as well as billed amounts. Rates charged are generally subject to federal </w:t>
      </w:r>
      <w:r>
        <w:rPr>
          <w:rFonts w:ascii="Times" w:hAnsi="Times" w:cs="Times"/>
          <w:sz w:val="20"/>
          <w:szCs w:val="20"/>
        </w:rPr>
        <w:t>and state regulation or established under contractual arrangements. When preliminary rates are permitted to be billed prior to final approval by the applicable regulator, certain revenue collected may be subject to refund and a liability for estimated refu</w:t>
      </w:r>
      <w:r>
        <w:rPr>
          <w:rFonts w:ascii="Times" w:hAnsi="Times" w:cs="Times"/>
          <w:sz w:val="20"/>
          <w:szCs w:val="20"/>
        </w:rPr>
        <w:t>nds is recorded.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8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55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numPr>
          <w:ilvl w:val="0"/>
          <w:numId w:val="24"/>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 xml:space="preserve">Significant accounting policies and practices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numPr>
          <w:ilvl w:val="1"/>
          <w:numId w:val="24"/>
        </w:numPr>
        <w:tabs>
          <w:tab w:val="clear" w:pos="1440"/>
          <w:tab w:val="num" w:pos="720"/>
        </w:tabs>
        <w:overflowPunct w:val="0"/>
        <w:autoSpaceDE w:val="0"/>
        <w:autoSpaceDN w:val="0"/>
        <w:adjustRightInd w:val="0"/>
        <w:spacing w:after="0" w:line="239" w:lineRule="auto"/>
        <w:ind w:left="720" w:hanging="303"/>
        <w:jc w:val="both"/>
        <w:rPr>
          <w:rFonts w:ascii="Times" w:hAnsi="Times" w:cs="Times"/>
          <w:i/>
          <w:iCs/>
          <w:sz w:val="20"/>
          <w:szCs w:val="20"/>
        </w:rPr>
      </w:pPr>
      <w:r>
        <w:rPr>
          <w:rFonts w:ascii="Times" w:hAnsi="Times" w:cs="Times"/>
          <w:i/>
          <w:iCs/>
          <w:sz w:val="20"/>
          <w:szCs w:val="20"/>
        </w:rPr>
        <w:t>Revenue recognition (Continued)</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7" w:lineRule="auto"/>
        <w:ind w:left="720"/>
        <w:jc w:val="both"/>
        <w:rPr>
          <w:rFonts w:ascii="Times" w:hAnsi="Times" w:cs="Times"/>
          <w:i/>
          <w:iCs/>
          <w:sz w:val="20"/>
          <w:szCs w:val="20"/>
        </w:rPr>
      </w:pPr>
      <w:r>
        <w:rPr>
          <w:rFonts w:ascii="Times" w:hAnsi="Times" w:cs="Times"/>
          <w:sz w:val="20"/>
          <w:szCs w:val="20"/>
        </w:rPr>
        <w:t>Railroad transportation revenues are recognized based upon the proportion of service provided as of the balance sheet date. Customer incentives, which are primarily provided for shipping a specified cumulative volume or shipping to/ from specific locations</w:t>
      </w:r>
      <w:r>
        <w:rPr>
          <w:rFonts w:ascii="Times" w:hAnsi="Times" w:cs="Times"/>
          <w:sz w:val="20"/>
          <w:szCs w:val="20"/>
        </w:rPr>
        <w:t>, are recorded as pro-rata reductions to revenue based on actual or projected future customer shipments. When using projected shipments, we rely on historic trends as well as economic and other indicators to estimate the recorded liability for customer inc</w:t>
      </w:r>
      <w:r>
        <w:rPr>
          <w:rFonts w:ascii="Times" w:hAnsi="Times" w:cs="Times"/>
          <w:sz w:val="20"/>
          <w:szCs w:val="20"/>
        </w:rPr>
        <w:t>entives.</w:t>
      </w:r>
    </w:p>
    <w:p w:rsidR="00000000" w:rsidRDefault="00A06965">
      <w:pPr>
        <w:pStyle w:val="DefaultParagraphFont"/>
        <w:widowControl w:val="0"/>
        <w:autoSpaceDE w:val="0"/>
        <w:autoSpaceDN w:val="0"/>
        <w:adjustRightInd w:val="0"/>
        <w:spacing w:after="0" w:line="136"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6" w:lineRule="auto"/>
        <w:ind w:left="720"/>
        <w:jc w:val="both"/>
        <w:rPr>
          <w:rFonts w:ascii="Times" w:hAnsi="Times" w:cs="Times"/>
          <w:i/>
          <w:iCs/>
          <w:sz w:val="20"/>
          <w:szCs w:val="20"/>
        </w:rPr>
      </w:pPr>
      <w:r>
        <w:rPr>
          <w:rFonts w:ascii="Times" w:hAnsi="Times" w:cs="Times"/>
          <w:sz w:val="20"/>
          <w:szCs w:val="20"/>
        </w:rPr>
        <w:t>Interest income from investments in fixed maturity securities and loans is earned under the interest method, which reflects accrual of interest due under terms of the agreements as well as amortization of acquisition premiums, accruable discounts and capit</w:t>
      </w:r>
      <w:r>
        <w:rPr>
          <w:rFonts w:ascii="Times" w:hAnsi="Times" w:cs="Times"/>
          <w:sz w:val="20"/>
          <w:szCs w:val="20"/>
        </w:rPr>
        <w:t>alized loan origination fees, as applicable. Dividends from equity securities are recognized when earned, which is usually on the ex-dividend date.</w:t>
      </w:r>
    </w:p>
    <w:p w:rsidR="00000000" w:rsidRDefault="00A06965">
      <w:pPr>
        <w:pStyle w:val="DefaultParagraphFont"/>
        <w:widowControl w:val="0"/>
        <w:autoSpaceDE w:val="0"/>
        <w:autoSpaceDN w:val="0"/>
        <w:adjustRightInd w:val="0"/>
        <w:spacing w:after="0" w:line="246" w:lineRule="exact"/>
        <w:rPr>
          <w:rFonts w:ascii="Times" w:hAnsi="Times" w:cs="Times"/>
          <w:i/>
          <w:iCs/>
          <w:sz w:val="20"/>
          <w:szCs w:val="20"/>
        </w:rPr>
      </w:pPr>
    </w:p>
    <w:p w:rsidR="00000000" w:rsidRDefault="00A06965">
      <w:pPr>
        <w:pStyle w:val="DefaultParagraphFont"/>
        <w:widowControl w:val="0"/>
        <w:numPr>
          <w:ilvl w:val="1"/>
          <w:numId w:val="24"/>
        </w:numPr>
        <w:tabs>
          <w:tab w:val="clear" w:pos="1440"/>
          <w:tab w:val="num" w:pos="720"/>
        </w:tabs>
        <w:overflowPunct w:val="0"/>
        <w:autoSpaceDE w:val="0"/>
        <w:autoSpaceDN w:val="0"/>
        <w:adjustRightInd w:val="0"/>
        <w:spacing w:after="0" w:line="239" w:lineRule="auto"/>
        <w:ind w:left="720" w:hanging="270"/>
        <w:jc w:val="both"/>
        <w:rPr>
          <w:rFonts w:ascii="Times" w:hAnsi="Times" w:cs="Times"/>
          <w:i/>
          <w:iCs/>
          <w:sz w:val="20"/>
          <w:szCs w:val="20"/>
        </w:rPr>
      </w:pPr>
      <w:r>
        <w:rPr>
          <w:rFonts w:ascii="Times" w:hAnsi="Times" w:cs="Times"/>
          <w:i/>
          <w:iCs/>
          <w:sz w:val="20"/>
          <w:szCs w:val="20"/>
        </w:rPr>
        <w:t>Losses and loss adjustment expenses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Liabilities for losses and loss adjustment expenses are establish</w:t>
      </w:r>
      <w:r>
        <w:rPr>
          <w:rFonts w:ascii="Times" w:hAnsi="Times" w:cs="Times"/>
          <w:sz w:val="20"/>
          <w:szCs w:val="20"/>
        </w:rPr>
        <w:t>ed under property/casualty insurance and reinsurance contracts issued by our insurance subsidiaries for losses that have occurred as of the balance sheet date. The liabilities for losses and loss adjustment expenses are recorded at the estimated ultimate p</w:t>
      </w:r>
      <w:r>
        <w:rPr>
          <w:rFonts w:ascii="Times" w:hAnsi="Times" w:cs="Times"/>
          <w:sz w:val="20"/>
          <w:szCs w:val="20"/>
        </w:rPr>
        <w:t xml:space="preserve">ayment amounts, except that amounts arising from certain workers’ compensation reinsurance business are discounted. Estimated ultimate payment amounts are based upon (1) reports of losses from policyholders, (2) individual case estimates and (3) estimates </w:t>
      </w:r>
      <w:r>
        <w:rPr>
          <w:rFonts w:ascii="Times" w:hAnsi="Times" w:cs="Times"/>
          <w:sz w:val="20"/>
          <w:szCs w:val="20"/>
        </w:rPr>
        <w:t>of incurred but not reported losses.</w:t>
      </w:r>
    </w:p>
    <w:p w:rsidR="00000000" w:rsidRDefault="00A06965">
      <w:pPr>
        <w:pStyle w:val="DefaultParagraphFont"/>
        <w:widowControl w:val="0"/>
        <w:autoSpaceDE w:val="0"/>
        <w:autoSpaceDN w:val="0"/>
        <w:adjustRightInd w:val="0"/>
        <w:spacing w:after="0" w:line="134"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6" w:lineRule="auto"/>
        <w:ind w:left="720"/>
        <w:jc w:val="both"/>
        <w:rPr>
          <w:rFonts w:ascii="Times" w:hAnsi="Times" w:cs="Times"/>
          <w:i/>
          <w:iCs/>
          <w:sz w:val="20"/>
          <w:szCs w:val="20"/>
        </w:rPr>
      </w:pPr>
      <w:r>
        <w:rPr>
          <w:rFonts w:ascii="Times" w:hAnsi="Times" w:cs="Times"/>
          <w:sz w:val="20"/>
          <w:szCs w:val="20"/>
        </w:rPr>
        <w:t>Provisions for losses and loss adjustment expenses are charged to earnings after deducting amounts recovered and estimates of recoverable amounts under ceded reinsurance contracts. Reinsurance contracts do not relieve</w:t>
      </w:r>
      <w:r>
        <w:rPr>
          <w:rFonts w:ascii="Times" w:hAnsi="Times" w:cs="Times"/>
          <w:sz w:val="20"/>
          <w:szCs w:val="20"/>
        </w:rPr>
        <w:t xml:space="preserve"> the ceding company of its obligations to indemnify policyholders with respect to the underlying insurance and reinsurance contracts.</w:t>
      </w:r>
    </w:p>
    <w:p w:rsidR="00000000" w:rsidRDefault="00A06965">
      <w:pPr>
        <w:pStyle w:val="DefaultParagraphFont"/>
        <w:widowControl w:val="0"/>
        <w:autoSpaceDE w:val="0"/>
        <w:autoSpaceDN w:val="0"/>
        <w:adjustRightInd w:val="0"/>
        <w:spacing w:after="0" w:line="137"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7" w:lineRule="auto"/>
        <w:ind w:left="720"/>
        <w:jc w:val="both"/>
        <w:rPr>
          <w:rFonts w:ascii="Times" w:hAnsi="Times" w:cs="Times"/>
          <w:i/>
          <w:iCs/>
          <w:sz w:val="20"/>
          <w:szCs w:val="20"/>
        </w:rPr>
      </w:pPr>
      <w:r>
        <w:rPr>
          <w:rFonts w:ascii="Times" w:hAnsi="Times" w:cs="Times"/>
          <w:sz w:val="20"/>
          <w:szCs w:val="20"/>
        </w:rPr>
        <w:t>The estimated liabilities of workers’ compensation claims assumed under certain reinsurance contracts are discounted bas</w:t>
      </w:r>
      <w:r>
        <w:rPr>
          <w:rFonts w:ascii="Times" w:hAnsi="Times" w:cs="Times"/>
          <w:sz w:val="20"/>
          <w:szCs w:val="20"/>
        </w:rPr>
        <w:t>ed upon an annual discount rate of 4.5% for claims arising prior to January 1, 2003 and 1% for claims arising thereafter, consistent with discount rates used under insurance statutory accounting principles. The change in such reserve discounts, including t</w:t>
      </w:r>
      <w:r>
        <w:rPr>
          <w:rFonts w:ascii="Times" w:hAnsi="Times" w:cs="Times"/>
          <w:sz w:val="20"/>
          <w:szCs w:val="20"/>
        </w:rPr>
        <w:t>he periodic discount accretion is included in earnings as a component of losses and loss adjustment expenses.</w:t>
      </w:r>
    </w:p>
    <w:p w:rsidR="00000000" w:rsidRDefault="00A06965">
      <w:pPr>
        <w:pStyle w:val="DefaultParagraphFont"/>
        <w:widowControl w:val="0"/>
        <w:autoSpaceDE w:val="0"/>
        <w:autoSpaceDN w:val="0"/>
        <w:adjustRightInd w:val="0"/>
        <w:spacing w:after="0" w:line="246" w:lineRule="exact"/>
        <w:rPr>
          <w:rFonts w:ascii="Times" w:hAnsi="Times" w:cs="Times"/>
          <w:i/>
          <w:iCs/>
          <w:sz w:val="20"/>
          <w:szCs w:val="20"/>
        </w:rPr>
      </w:pPr>
    </w:p>
    <w:p w:rsidR="00000000" w:rsidRDefault="00A06965">
      <w:pPr>
        <w:pStyle w:val="DefaultParagraphFont"/>
        <w:widowControl w:val="0"/>
        <w:numPr>
          <w:ilvl w:val="2"/>
          <w:numId w:val="24"/>
        </w:numPr>
        <w:tabs>
          <w:tab w:val="clear" w:pos="2160"/>
          <w:tab w:val="num" w:pos="720"/>
        </w:tabs>
        <w:overflowPunct w:val="0"/>
        <w:autoSpaceDE w:val="0"/>
        <w:autoSpaceDN w:val="0"/>
        <w:adjustRightInd w:val="0"/>
        <w:spacing w:after="0" w:line="239" w:lineRule="auto"/>
        <w:ind w:left="720" w:hanging="320"/>
        <w:jc w:val="both"/>
        <w:rPr>
          <w:rFonts w:ascii="Times" w:hAnsi="Times" w:cs="Times"/>
          <w:i/>
          <w:iCs/>
          <w:sz w:val="20"/>
          <w:szCs w:val="20"/>
        </w:rPr>
      </w:pPr>
      <w:r>
        <w:rPr>
          <w:rFonts w:ascii="Times" w:hAnsi="Times" w:cs="Times"/>
          <w:i/>
          <w:iCs/>
          <w:sz w:val="20"/>
          <w:szCs w:val="20"/>
        </w:rPr>
        <w:t>Deferred charges reinsurance assumed</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The excess, if any, of the estimated ultimate liabilities for claims and claim settlement costs over the premiums earned with respect to retroactive property/casualty reinsurance contracts is recorded as a deferred charge at inception of the contract. Defe</w:t>
      </w:r>
      <w:r>
        <w:rPr>
          <w:rFonts w:ascii="Times" w:hAnsi="Times" w:cs="Times"/>
          <w:sz w:val="20"/>
          <w:szCs w:val="20"/>
        </w:rPr>
        <w:t>rred charges are subsequently amortized using the interest method over the expected claim settlement periods. Changes to the estimated timing or amount of loss payments produce changes in periodic amortization. Changes in such estimates are applied retrosp</w:t>
      </w:r>
      <w:r>
        <w:rPr>
          <w:rFonts w:ascii="Times" w:hAnsi="Times" w:cs="Times"/>
          <w:sz w:val="20"/>
          <w:szCs w:val="20"/>
        </w:rPr>
        <w:t>ectively and are included in insurance losses and loss adjustment expenses in the period of the change. The unamortized deferred charge balances are included in other assets and were $7,772 million and $4,359 million at December 31, 2014 and 2013, respecti</w:t>
      </w:r>
      <w:r>
        <w:rPr>
          <w:rFonts w:ascii="Times" w:hAnsi="Times" w:cs="Times"/>
          <w:sz w:val="20"/>
          <w:szCs w:val="20"/>
        </w:rPr>
        <w:t>vely.</w:t>
      </w:r>
    </w:p>
    <w:p w:rsidR="00000000" w:rsidRDefault="00A06965">
      <w:pPr>
        <w:pStyle w:val="DefaultParagraphFont"/>
        <w:widowControl w:val="0"/>
        <w:autoSpaceDE w:val="0"/>
        <w:autoSpaceDN w:val="0"/>
        <w:adjustRightInd w:val="0"/>
        <w:spacing w:after="0" w:line="246" w:lineRule="exact"/>
        <w:rPr>
          <w:rFonts w:ascii="Times" w:hAnsi="Times" w:cs="Times"/>
          <w:i/>
          <w:iCs/>
          <w:sz w:val="20"/>
          <w:szCs w:val="20"/>
        </w:rPr>
      </w:pPr>
    </w:p>
    <w:p w:rsidR="00000000" w:rsidRDefault="00A06965">
      <w:pPr>
        <w:pStyle w:val="DefaultParagraphFont"/>
        <w:widowControl w:val="0"/>
        <w:numPr>
          <w:ilvl w:val="2"/>
          <w:numId w:val="24"/>
        </w:numPr>
        <w:tabs>
          <w:tab w:val="clear" w:pos="2160"/>
          <w:tab w:val="num" w:pos="720"/>
        </w:tabs>
        <w:overflowPunct w:val="0"/>
        <w:autoSpaceDE w:val="0"/>
        <w:autoSpaceDN w:val="0"/>
        <w:adjustRightInd w:val="0"/>
        <w:spacing w:after="0" w:line="239" w:lineRule="auto"/>
        <w:ind w:left="720" w:hanging="314"/>
        <w:jc w:val="both"/>
        <w:rPr>
          <w:rFonts w:ascii="Times" w:hAnsi="Times" w:cs="Times"/>
          <w:i/>
          <w:iCs/>
          <w:sz w:val="20"/>
          <w:szCs w:val="20"/>
        </w:rPr>
      </w:pPr>
      <w:r>
        <w:rPr>
          <w:rFonts w:ascii="Times" w:hAnsi="Times" w:cs="Times"/>
          <w:i/>
          <w:iCs/>
          <w:sz w:val="20"/>
          <w:szCs w:val="20"/>
        </w:rPr>
        <w:t>Insurance policy acquisition costs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Incremental costs that are directly related to the successful acquisition of insurance contracts are capitalized, subject to ultimate recoverability, and are subsequently amortized to underwriting expenses as the related premiums are earned. Direct increme</w:t>
      </w:r>
      <w:r>
        <w:rPr>
          <w:rFonts w:ascii="Times" w:hAnsi="Times" w:cs="Times"/>
          <w:sz w:val="20"/>
          <w:szCs w:val="20"/>
        </w:rPr>
        <w:t>ntal acquisition costs include commissions, premium taxes, and certain other costs associated with successful efforts. All other underwriting costs are expensed as incurred. The recoverability of capitalized insurance policy acquisition costs generally ref</w:t>
      </w:r>
      <w:r>
        <w:rPr>
          <w:rFonts w:ascii="Times" w:hAnsi="Times" w:cs="Times"/>
          <w:sz w:val="20"/>
          <w:szCs w:val="20"/>
        </w:rPr>
        <w:t>lects anticipation of investment income. The unamortized balances are included in other assets and were $1,722 million and $1,601 million at December 31, 2014 and 2013, respectively.</w:t>
      </w:r>
    </w:p>
    <w:p w:rsidR="00000000" w:rsidRDefault="00A06965">
      <w:pPr>
        <w:pStyle w:val="DefaultParagraphFont"/>
        <w:widowControl w:val="0"/>
        <w:autoSpaceDE w:val="0"/>
        <w:autoSpaceDN w:val="0"/>
        <w:adjustRightInd w:val="0"/>
        <w:spacing w:after="0" w:line="243" w:lineRule="exact"/>
        <w:rPr>
          <w:rFonts w:ascii="Times" w:hAnsi="Times" w:cs="Times"/>
          <w:i/>
          <w:iCs/>
          <w:sz w:val="20"/>
          <w:szCs w:val="20"/>
        </w:rPr>
      </w:pPr>
    </w:p>
    <w:p w:rsidR="00000000" w:rsidRDefault="00A06965">
      <w:pPr>
        <w:pStyle w:val="DefaultParagraphFont"/>
        <w:widowControl w:val="0"/>
        <w:numPr>
          <w:ilvl w:val="2"/>
          <w:numId w:val="25"/>
        </w:numPr>
        <w:tabs>
          <w:tab w:val="clear" w:pos="2160"/>
          <w:tab w:val="num" w:pos="720"/>
        </w:tabs>
        <w:overflowPunct w:val="0"/>
        <w:autoSpaceDE w:val="0"/>
        <w:autoSpaceDN w:val="0"/>
        <w:adjustRightInd w:val="0"/>
        <w:spacing w:after="0" w:line="240" w:lineRule="auto"/>
        <w:ind w:left="720" w:hanging="314"/>
        <w:jc w:val="both"/>
        <w:rPr>
          <w:rFonts w:ascii="Times" w:hAnsi="Times" w:cs="Times"/>
          <w:i/>
          <w:iCs/>
          <w:sz w:val="20"/>
          <w:szCs w:val="20"/>
        </w:rPr>
      </w:pPr>
      <w:r>
        <w:rPr>
          <w:rFonts w:ascii="Times" w:hAnsi="Times" w:cs="Times"/>
          <w:i/>
          <w:iCs/>
          <w:sz w:val="20"/>
          <w:szCs w:val="20"/>
        </w:rPr>
        <w:t>Life, annuity and health insurance benefits</w:t>
      </w:r>
    </w:p>
    <w:p w:rsidR="00000000" w:rsidRDefault="00A06965">
      <w:pPr>
        <w:pStyle w:val="DefaultParagraphFont"/>
        <w:widowControl w:val="0"/>
        <w:autoSpaceDE w:val="0"/>
        <w:autoSpaceDN w:val="0"/>
        <w:adjustRightInd w:val="0"/>
        <w:spacing w:after="0" w:line="140"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5" w:lineRule="auto"/>
        <w:ind w:left="720"/>
        <w:jc w:val="both"/>
        <w:rPr>
          <w:rFonts w:ascii="Times" w:hAnsi="Times" w:cs="Times"/>
          <w:i/>
          <w:iCs/>
          <w:sz w:val="20"/>
          <w:szCs w:val="20"/>
        </w:rPr>
      </w:pPr>
      <w:r>
        <w:rPr>
          <w:rFonts w:ascii="Times" w:hAnsi="Times" w:cs="Times"/>
          <w:sz w:val="20"/>
          <w:szCs w:val="20"/>
        </w:rPr>
        <w:t>Liabilities for insurance benefits under life contracts are computed based upon estimated future investment yields, expected mortality, morbidity, and lapse or withdrawal rates and reflects estimates for future premiums and expenses under the contracts. Th</w:t>
      </w:r>
      <w:r>
        <w:rPr>
          <w:rFonts w:ascii="Times" w:hAnsi="Times" w:cs="Times"/>
          <w:sz w:val="20"/>
          <w:szCs w:val="20"/>
        </w:rPr>
        <w:t>ese assumptions, as applicable, also include a margin for adverse deviation and may vary with</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8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56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numPr>
          <w:ilvl w:val="0"/>
          <w:numId w:val="26"/>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 xml:space="preserve">Significant accounting policies and practices </w:t>
      </w:r>
      <w:r>
        <w:rPr>
          <w:rFonts w:ascii="Times" w:hAnsi="Times" w:cs="Times"/>
          <w:i/>
          <w:iCs/>
          <w:sz w:val="20"/>
          <w:szCs w:val="20"/>
        </w:rPr>
        <w:t>(Continu</w:t>
      </w:r>
      <w:r>
        <w:rPr>
          <w:rFonts w:ascii="Times" w:hAnsi="Times" w:cs="Times"/>
          <w:i/>
          <w:iCs/>
          <w:sz w:val="20"/>
          <w:szCs w:val="20"/>
        </w:rPr>
        <w:t>ed)</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numPr>
          <w:ilvl w:val="1"/>
          <w:numId w:val="26"/>
        </w:numPr>
        <w:tabs>
          <w:tab w:val="clear" w:pos="1440"/>
          <w:tab w:val="num" w:pos="720"/>
        </w:tabs>
        <w:overflowPunct w:val="0"/>
        <w:autoSpaceDE w:val="0"/>
        <w:autoSpaceDN w:val="0"/>
        <w:adjustRightInd w:val="0"/>
        <w:spacing w:after="0" w:line="239" w:lineRule="auto"/>
        <w:ind w:left="720" w:hanging="314"/>
        <w:jc w:val="both"/>
        <w:rPr>
          <w:rFonts w:ascii="Times" w:hAnsi="Times" w:cs="Times"/>
          <w:i/>
          <w:iCs/>
          <w:sz w:val="20"/>
          <w:szCs w:val="20"/>
        </w:rPr>
      </w:pPr>
      <w:r>
        <w:rPr>
          <w:rFonts w:ascii="Times" w:hAnsi="Times" w:cs="Times"/>
          <w:i/>
          <w:iCs/>
          <w:sz w:val="20"/>
          <w:szCs w:val="20"/>
        </w:rPr>
        <w:t>Life, annuity and health insurance benefits (Continued)</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6" w:lineRule="auto"/>
        <w:ind w:left="720"/>
        <w:jc w:val="both"/>
        <w:rPr>
          <w:rFonts w:ascii="Times" w:hAnsi="Times" w:cs="Times"/>
          <w:i/>
          <w:iCs/>
          <w:sz w:val="20"/>
          <w:szCs w:val="20"/>
        </w:rPr>
      </w:pPr>
      <w:r>
        <w:rPr>
          <w:rFonts w:ascii="Times" w:hAnsi="Times" w:cs="Times"/>
          <w:sz w:val="20"/>
          <w:szCs w:val="20"/>
        </w:rPr>
        <w:t>the characteristics of the contract’s date of issuance, policy duration and country of risk. The interest rate assumptions used may vary by contract o</w:t>
      </w:r>
      <w:r>
        <w:rPr>
          <w:rFonts w:ascii="Times" w:hAnsi="Times" w:cs="Times"/>
          <w:sz w:val="20"/>
          <w:szCs w:val="20"/>
        </w:rPr>
        <w:t>r jurisdiction and generally range from less than 1% to 7%. Annuity contracts are discounted based on the implicit rate of return as of the inception of the contracts and such interest rates generally range from less than 1% to 7%.</w:t>
      </w:r>
    </w:p>
    <w:p w:rsidR="00000000" w:rsidRDefault="00A06965">
      <w:pPr>
        <w:pStyle w:val="DefaultParagraphFont"/>
        <w:widowControl w:val="0"/>
        <w:autoSpaceDE w:val="0"/>
        <w:autoSpaceDN w:val="0"/>
        <w:adjustRightInd w:val="0"/>
        <w:spacing w:after="0" w:line="246" w:lineRule="exact"/>
        <w:rPr>
          <w:rFonts w:ascii="Times" w:hAnsi="Times" w:cs="Times"/>
          <w:i/>
          <w:iCs/>
          <w:sz w:val="20"/>
          <w:szCs w:val="20"/>
        </w:rPr>
      </w:pPr>
    </w:p>
    <w:p w:rsidR="00000000" w:rsidRDefault="00A06965">
      <w:pPr>
        <w:pStyle w:val="DefaultParagraphFont"/>
        <w:widowControl w:val="0"/>
        <w:numPr>
          <w:ilvl w:val="1"/>
          <w:numId w:val="26"/>
        </w:numPr>
        <w:tabs>
          <w:tab w:val="clear" w:pos="1440"/>
          <w:tab w:val="num" w:pos="720"/>
        </w:tabs>
        <w:overflowPunct w:val="0"/>
        <w:autoSpaceDE w:val="0"/>
        <w:autoSpaceDN w:val="0"/>
        <w:adjustRightInd w:val="0"/>
        <w:spacing w:after="0" w:line="239" w:lineRule="auto"/>
        <w:ind w:left="720" w:hanging="314"/>
        <w:jc w:val="both"/>
        <w:rPr>
          <w:rFonts w:ascii="Times" w:hAnsi="Times" w:cs="Times"/>
          <w:i/>
          <w:iCs/>
          <w:sz w:val="20"/>
          <w:szCs w:val="20"/>
        </w:rPr>
      </w:pPr>
      <w:r>
        <w:rPr>
          <w:rFonts w:ascii="Times" w:hAnsi="Times" w:cs="Times"/>
          <w:i/>
          <w:iCs/>
          <w:sz w:val="20"/>
          <w:szCs w:val="20"/>
        </w:rPr>
        <w:t>Regulated utilities</w:t>
      </w:r>
      <w:r>
        <w:rPr>
          <w:rFonts w:ascii="Times" w:hAnsi="Times" w:cs="Times"/>
          <w:i/>
          <w:iCs/>
          <w:sz w:val="20"/>
          <w:szCs w:val="20"/>
        </w:rPr>
        <w:t xml:space="preserve"> and energy businesses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7" w:lineRule="auto"/>
        <w:ind w:left="720"/>
        <w:jc w:val="both"/>
        <w:rPr>
          <w:rFonts w:ascii="Times" w:hAnsi="Times" w:cs="Times"/>
          <w:i/>
          <w:iCs/>
          <w:sz w:val="20"/>
          <w:szCs w:val="20"/>
        </w:rPr>
      </w:pPr>
      <w:r>
        <w:rPr>
          <w:rFonts w:ascii="Times" w:hAnsi="Times" w:cs="Times"/>
          <w:sz w:val="20"/>
          <w:szCs w:val="20"/>
        </w:rPr>
        <w:t>Certain energy subsidiaries prepare their financial statements in accordance with authoritative guidance for regulated operations, reflecting the economic effects of regulation from the ability to recover certain costs from custome</w:t>
      </w:r>
      <w:r>
        <w:rPr>
          <w:rFonts w:ascii="Times" w:hAnsi="Times" w:cs="Times"/>
          <w:sz w:val="20"/>
          <w:szCs w:val="20"/>
        </w:rPr>
        <w:t>rs and the requirement to return revenues to customers in the future through the regulated rate-setting process. Accordingly, certain costs are deferred as regulatory assets and obligations are accrued as regulatory liabilities. These assets and liabilitie</w:t>
      </w:r>
      <w:r>
        <w:rPr>
          <w:rFonts w:ascii="Times" w:hAnsi="Times" w:cs="Times"/>
          <w:sz w:val="20"/>
          <w:szCs w:val="20"/>
        </w:rPr>
        <w:t>s will be amortized into operating expenses and revenues over various future periods.</w:t>
      </w:r>
    </w:p>
    <w:p w:rsidR="00000000" w:rsidRDefault="00A06965">
      <w:pPr>
        <w:pStyle w:val="DefaultParagraphFont"/>
        <w:widowControl w:val="0"/>
        <w:autoSpaceDE w:val="0"/>
        <w:autoSpaceDN w:val="0"/>
        <w:adjustRightInd w:val="0"/>
        <w:spacing w:after="0" w:line="136"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9" w:lineRule="auto"/>
        <w:ind w:left="720"/>
        <w:jc w:val="both"/>
        <w:rPr>
          <w:rFonts w:ascii="Times" w:hAnsi="Times" w:cs="Times"/>
          <w:i/>
          <w:iCs/>
          <w:sz w:val="20"/>
          <w:szCs w:val="20"/>
        </w:rPr>
      </w:pPr>
      <w:r>
        <w:rPr>
          <w:rFonts w:ascii="Times" w:hAnsi="Times" w:cs="Times"/>
          <w:sz w:val="20"/>
          <w:szCs w:val="20"/>
        </w:rPr>
        <w:t>Regulatory assets and liabilities are continually assessed for probable future inclusion in regulatory rates by considering factors such as applicable regulatory or leg</w:t>
      </w:r>
      <w:r>
        <w:rPr>
          <w:rFonts w:ascii="Times" w:hAnsi="Times" w:cs="Times"/>
          <w:sz w:val="20"/>
          <w:szCs w:val="20"/>
        </w:rPr>
        <w:t>islative changes and recent rate orders received by other regulated entities. If future inclusion in regulatory rates ceases to be probable, the amount no longer probable of inclusion in regulatory rates is charged or credited to earnings (or other compreh</w:t>
      </w:r>
      <w:r>
        <w:rPr>
          <w:rFonts w:ascii="Times" w:hAnsi="Times" w:cs="Times"/>
          <w:sz w:val="20"/>
          <w:szCs w:val="20"/>
        </w:rPr>
        <w:t xml:space="preserve">ensive income, if applicable) or returned to customers. At December 31, 2014, regulatory assets were $4,253 million and regulatory liabilities were $2,832 million. At December 31, 2013, regulatory assets were $3,515 million and regulatory liabilities were </w:t>
      </w:r>
      <w:r>
        <w:rPr>
          <w:rFonts w:ascii="Times" w:hAnsi="Times" w:cs="Times"/>
          <w:sz w:val="20"/>
          <w:szCs w:val="20"/>
        </w:rPr>
        <w:t>$2,665 million. Regulatory assets and liabilities are components of other assets and other liabilities of utilities and energy businesses.</w:t>
      </w:r>
    </w:p>
    <w:p w:rsidR="00000000" w:rsidRDefault="00A06965">
      <w:pPr>
        <w:pStyle w:val="DefaultParagraphFont"/>
        <w:widowControl w:val="0"/>
        <w:autoSpaceDE w:val="0"/>
        <w:autoSpaceDN w:val="0"/>
        <w:adjustRightInd w:val="0"/>
        <w:spacing w:after="0" w:line="200" w:lineRule="exact"/>
        <w:rPr>
          <w:rFonts w:ascii="Times" w:hAnsi="Times" w:cs="Times"/>
          <w:i/>
          <w:iCs/>
          <w:sz w:val="20"/>
          <w:szCs w:val="20"/>
        </w:rPr>
      </w:pPr>
    </w:p>
    <w:p w:rsidR="00000000" w:rsidRDefault="00A06965">
      <w:pPr>
        <w:pStyle w:val="DefaultParagraphFont"/>
        <w:widowControl w:val="0"/>
        <w:autoSpaceDE w:val="0"/>
        <w:autoSpaceDN w:val="0"/>
        <w:adjustRightInd w:val="0"/>
        <w:spacing w:after="0" w:line="279" w:lineRule="exact"/>
        <w:rPr>
          <w:rFonts w:ascii="Times" w:hAnsi="Times" w:cs="Times"/>
          <w:i/>
          <w:iCs/>
          <w:sz w:val="20"/>
          <w:szCs w:val="20"/>
        </w:rPr>
      </w:pPr>
    </w:p>
    <w:p w:rsidR="00000000" w:rsidRDefault="00A06965">
      <w:pPr>
        <w:pStyle w:val="DefaultParagraphFont"/>
        <w:widowControl w:val="0"/>
        <w:numPr>
          <w:ilvl w:val="1"/>
          <w:numId w:val="26"/>
        </w:numPr>
        <w:tabs>
          <w:tab w:val="clear" w:pos="1440"/>
          <w:tab w:val="num" w:pos="720"/>
        </w:tabs>
        <w:overflowPunct w:val="0"/>
        <w:autoSpaceDE w:val="0"/>
        <w:autoSpaceDN w:val="0"/>
        <w:adjustRightInd w:val="0"/>
        <w:spacing w:after="0" w:line="239" w:lineRule="auto"/>
        <w:ind w:left="720" w:hanging="292"/>
        <w:jc w:val="both"/>
        <w:rPr>
          <w:rFonts w:ascii="Times" w:hAnsi="Times" w:cs="Times"/>
          <w:i/>
          <w:iCs/>
          <w:sz w:val="20"/>
          <w:szCs w:val="20"/>
        </w:rPr>
      </w:pPr>
      <w:r>
        <w:rPr>
          <w:rFonts w:ascii="Times" w:hAnsi="Times" w:cs="Times"/>
          <w:i/>
          <w:iCs/>
          <w:sz w:val="20"/>
          <w:szCs w:val="20"/>
        </w:rPr>
        <w:t>Foreign currency</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The accounts of our non-U.S. based subsidiaries are measured, in most instances, using the local currencies of the subsidiaries as the functional currencies. Revenues and expenses of these businesses are generally translated into U.S. Dollars at the averag</w:t>
      </w:r>
      <w:r>
        <w:rPr>
          <w:rFonts w:ascii="Times" w:hAnsi="Times" w:cs="Times"/>
          <w:sz w:val="20"/>
          <w:szCs w:val="20"/>
        </w:rPr>
        <w:t xml:space="preserve">e exchange rate for the period. Assets and liabilities are translated at the exchange rate as of the end of the reporting period. Gains or losses from translating the financial statements of foreign-based operations are included in shareholders’ equity as </w:t>
      </w:r>
      <w:r>
        <w:rPr>
          <w:rFonts w:ascii="Times" w:hAnsi="Times" w:cs="Times"/>
          <w:sz w:val="20"/>
          <w:szCs w:val="20"/>
        </w:rPr>
        <w:t>a component of accumulated other comprehensive income. Gains and losses arising from transactions denominated in a currency other than the functional currency of the reporting entity are included in earnings.</w:t>
      </w:r>
    </w:p>
    <w:p w:rsidR="00000000" w:rsidRDefault="00A06965">
      <w:pPr>
        <w:pStyle w:val="DefaultParagraphFont"/>
        <w:widowControl w:val="0"/>
        <w:autoSpaceDE w:val="0"/>
        <w:autoSpaceDN w:val="0"/>
        <w:adjustRightInd w:val="0"/>
        <w:spacing w:after="0" w:line="246" w:lineRule="exact"/>
        <w:rPr>
          <w:rFonts w:ascii="Times" w:hAnsi="Times" w:cs="Times"/>
          <w:i/>
          <w:iCs/>
          <w:sz w:val="20"/>
          <w:szCs w:val="20"/>
        </w:rPr>
      </w:pPr>
    </w:p>
    <w:p w:rsidR="00000000" w:rsidRDefault="00A06965">
      <w:pPr>
        <w:pStyle w:val="DefaultParagraphFont"/>
        <w:widowControl w:val="0"/>
        <w:numPr>
          <w:ilvl w:val="1"/>
          <w:numId w:val="26"/>
        </w:numPr>
        <w:tabs>
          <w:tab w:val="clear" w:pos="1440"/>
          <w:tab w:val="num" w:pos="720"/>
        </w:tabs>
        <w:overflowPunct w:val="0"/>
        <w:autoSpaceDE w:val="0"/>
        <w:autoSpaceDN w:val="0"/>
        <w:adjustRightInd w:val="0"/>
        <w:spacing w:after="0" w:line="239" w:lineRule="auto"/>
        <w:ind w:left="720" w:hanging="292"/>
        <w:jc w:val="both"/>
        <w:rPr>
          <w:rFonts w:ascii="Times" w:hAnsi="Times" w:cs="Times"/>
          <w:i/>
          <w:iCs/>
          <w:sz w:val="20"/>
          <w:szCs w:val="20"/>
        </w:rPr>
      </w:pPr>
      <w:r>
        <w:rPr>
          <w:rFonts w:ascii="Times" w:hAnsi="Times" w:cs="Times"/>
          <w:i/>
          <w:iCs/>
          <w:sz w:val="20"/>
          <w:szCs w:val="20"/>
        </w:rPr>
        <w:t>Income taxes</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6" w:lineRule="auto"/>
        <w:ind w:left="720"/>
        <w:jc w:val="both"/>
        <w:rPr>
          <w:rFonts w:ascii="Times" w:hAnsi="Times" w:cs="Times"/>
          <w:i/>
          <w:iCs/>
          <w:sz w:val="20"/>
          <w:szCs w:val="20"/>
        </w:rPr>
      </w:pPr>
      <w:r>
        <w:rPr>
          <w:rFonts w:ascii="Times" w:hAnsi="Times" w:cs="Times"/>
          <w:sz w:val="20"/>
          <w:szCs w:val="20"/>
        </w:rPr>
        <w:t>Berkshire files a consolida</w:t>
      </w:r>
      <w:r>
        <w:rPr>
          <w:rFonts w:ascii="Times" w:hAnsi="Times" w:cs="Times"/>
          <w:sz w:val="20"/>
          <w:szCs w:val="20"/>
        </w:rPr>
        <w:t xml:space="preserve">ted federal income tax return in the United States, which includes our eligible subsidiaries. In addition, we file income tax returns in state, local and foreign jurisdictions as applicable. Provisions for current income tax liabilities are calculated and </w:t>
      </w:r>
      <w:r>
        <w:rPr>
          <w:rFonts w:ascii="Times" w:hAnsi="Times" w:cs="Times"/>
          <w:sz w:val="20"/>
          <w:szCs w:val="20"/>
        </w:rPr>
        <w:t>accrued on income and expense amounts expected to be included in the income tax returns for the current year. Income taxes reported in earnings also include deferred income tax provisions.</w:t>
      </w:r>
    </w:p>
    <w:p w:rsidR="00000000" w:rsidRDefault="00A06965">
      <w:pPr>
        <w:pStyle w:val="DefaultParagraphFont"/>
        <w:widowControl w:val="0"/>
        <w:autoSpaceDE w:val="0"/>
        <w:autoSpaceDN w:val="0"/>
        <w:adjustRightInd w:val="0"/>
        <w:spacing w:after="0" w:line="137"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 xml:space="preserve">Deferred income taxes are calculated under the liability method. </w:t>
      </w:r>
      <w:r>
        <w:rPr>
          <w:rFonts w:ascii="Times" w:hAnsi="Times" w:cs="Times"/>
          <w:sz w:val="20"/>
          <w:szCs w:val="20"/>
        </w:rPr>
        <w:t>Deferred income tax assets and liabilities are computed on differences between the financial statement bases and tax bases of assets and liabilities at the enacted tax rates. Changes in deferred income tax assets and liabilities that are associated with co</w:t>
      </w:r>
      <w:r>
        <w:rPr>
          <w:rFonts w:ascii="Times" w:hAnsi="Times" w:cs="Times"/>
          <w:sz w:val="20"/>
          <w:szCs w:val="20"/>
        </w:rPr>
        <w:t>mponents of other comprehensive income are charged or credited directly to other comprehensive income. Otherwise, changes in deferred income tax assets and liabilities are included as a component of income tax expense. The effect on deferred income tax ass</w:t>
      </w:r>
      <w:r>
        <w:rPr>
          <w:rFonts w:ascii="Times" w:hAnsi="Times" w:cs="Times"/>
          <w:sz w:val="20"/>
          <w:szCs w:val="20"/>
        </w:rPr>
        <w:t>ets and liabilities attributable to changes in enacted tax rates are charged or credited to income tax expense in the period of enactment. Valuation allowances are established for certain deferred tax assets where realization is not likely.</w:t>
      </w:r>
    </w:p>
    <w:p w:rsidR="00000000" w:rsidRDefault="00A06965">
      <w:pPr>
        <w:pStyle w:val="DefaultParagraphFont"/>
        <w:widowControl w:val="0"/>
        <w:autoSpaceDE w:val="0"/>
        <w:autoSpaceDN w:val="0"/>
        <w:adjustRightInd w:val="0"/>
        <w:spacing w:after="0" w:line="136"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6" w:lineRule="auto"/>
        <w:ind w:left="720"/>
        <w:jc w:val="both"/>
        <w:rPr>
          <w:rFonts w:ascii="Times" w:hAnsi="Times" w:cs="Times"/>
          <w:i/>
          <w:iCs/>
          <w:sz w:val="20"/>
          <w:szCs w:val="20"/>
        </w:rPr>
      </w:pPr>
      <w:r>
        <w:rPr>
          <w:rFonts w:ascii="Times" w:hAnsi="Times" w:cs="Times"/>
          <w:sz w:val="20"/>
          <w:szCs w:val="20"/>
        </w:rPr>
        <w:t>Assets and li</w:t>
      </w:r>
      <w:r>
        <w:rPr>
          <w:rFonts w:ascii="Times" w:hAnsi="Times" w:cs="Times"/>
          <w:sz w:val="20"/>
          <w:szCs w:val="20"/>
        </w:rPr>
        <w:t>abilities are established for uncertain tax positions taken or positions expected to be taken in income tax returns when such positions, in our judgment, do not meet a “more-likely-than-not” threshold based on the technical merits of the positions. Estimat</w:t>
      </w:r>
      <w:r>
        <w:rPr>
          <w:rFonts w:ascii="Times" w:hAnsi="Times" w:cs="Times"/>
          <w:sz w:val="20"/>
          <w:szCs w:val="20"/>
        </w:rPr>
        <w:t>ed interest and penalties related to uncertain tax positions are generally included as a component of income tax expense.</w:t>
      </w:r>
    </w:p>
    <w:p w:rsidR="00000000" w:rsidRDefault="00A06965">
      <w:pPr>
        <w:pStyle w:val="DefaultParagraphFont"/>
        <w:widowControl w:val="0"/>
        <w:autoSpaceDE w:val="0"/>
        <w:autoSpaceDN w:val="0"/>
        <w:adjustRightInd w:val="0"/>
        <w:spacing w:after="0" w:line="246" w:lineRule="exact"/>
        <w:rPr>
          <w:rFonts w:ascii="Times" w:hAnsi="Times" w:cs="Times"/>
          <w:i/>
          <w:iCs/>
          <w:sz w:val="20"/>
          <w:szCs w:val="20"/>
        </w:rPr>
      </w:pPr>
    </w:p>
    <w:p w:rsidR="00000000" w:rsidRDefault="00A06965">
      <w:pPr>
        <w:pStyle w:val="DefaultParagraphFont"/>
        <w:widowControl w:val="0"/>
        <w:numPr>
          <w:ilvl w:val="1"/>
          <w:numId w:val="26"/>
        </w:numPr>
        <w:tabs>
          <w:tab w:val="clear" w:pos="1440"/>
          <w:tab w:val="num" w:pos="720"/>
        </w:tabs>
        <w:overflowPunct w:val="0"/>
        <w:autoSpaceDE w:val="0"/>
        <w:autoSpaceDN w:val="0"/>
        <w:adjustRightInd w:val="0"/>
        <w:spacing w:after="0" w:line="239" w:lineRule="auto"/>
        <w:ind w:left="720" w:hanging="270"/>
        <w:jc w:val="both"/>
        <w:rPr>
          <w:rFonts w:ascii="Times" w:hAnsi="Times" w:cs="Times"/>
          <w:i/>
          <w:iCs/>
          <w:sz w:val="20"/>
          <w:szCs w:val="20"/>
        </w:rPr>
      </w:pPr>
      <w:r>
        <w:rPr>
          <w:rFonts w:ascii="Times" w:hAnsi="Times" w:cs="Times"/>
          <w:i/>
          <w:iCs/>
          <w:sz w:val="20"/>
          <w:szCs w:val="20"/>
        </w:rPr>
        <w:t>New accounting pronouncements adopted in 2014</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39" w:lineRule="auto"/>
        <w:ind w:left="720"/>
        <w:jc w:val="both"/>
        <w:rPr>
          <w:rFonts w:ascii="Times" w:hAnsi="Times" w:cs="Times"/>
          <w:i/>
          <w:iCs/>
          <w:sz w:val="20"/>
          <w:szCs w:val="20"/>
        </w:rPr>
      </w:pPr>
      <w:r>
        <w:rPr>
          <w:rFonts w:ascii="Times" w:hAnsi="Times" w:cs="Times"/>
          <w:sz w:val="20"/>
          <w:szCs w:val="20"/>
        </w:rPr>
        <w:t>In February 2013, the Financial Accounting Standards Board (“FASB”</w:t>
      </w:r>
      <w:r>
        <w:rPr>
          <w:rFonts w:ascii="Times" w:hAnsi="Times" w:cs="Times"/>
          <w:sz w:val="20"/>
          <w:szCs w:val="20"/>
        </w:rPr>
        <w:t>) issued Accounting Standards Update (“ASU”) 2013-04, “Obligations Resulting from Joint and Several Liability Arrangements for Which the Total Amount of the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57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w:t>
      </w:r>
      <w:r>
        <w:rPr>
          <w:rFonts w:ascii="Times" w:hAnsi="Times" w:cs="Times"/>
          <w:i/>
          <w:iCs/>
          <w:sz w:val="20"/>
          <w:szCs w:val="20"/>
        </w:rPr>
        <w:t>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numPr>
          <w:ilvl w:val="0"/>
          <w:numId w:val="27"/>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 xml:space="preserve">Significant accounting policies and practices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numPr>
          <w:ilvl w:val="1"/>
          <w:numId w:val="27"/>
        </w:numPr>
        <w:tabs>
          <w:tab w:val="clear" w:pos="1440"/>
          <w:tab w:val="num" w:pos="720"/>
        </w:tabs>
        <w:overflowPunct w:val="0"/>
        <w:autoSpaceDE w:val="0"/>
        <w:autoSpaceDN w:val="0"/>
        <w:adjustRightInd w:val="0"/>
        <w:spacing w:after="0" w:line="239" w:lineRule="auto"/>
        <w:ind w:left="720" w:hanging="270"/>
        <w:jc w:val="both"/>
        <w:rPr>
          <w:rFonts w:ascii="Times" w:hAnsi="Times" w:cs="Times"/>
          <w:i/>
          <w:iCs/>
          <w:sz w:val="20"/>
          <w:szCs w:val="20"/>
        </w:rPr>
      </w:pPr>
      <w:r>
        <w:rPr>
          <w:rFonts w:ascii="Times" w:hAnsi="Times" w:cs="Times"/>
          <w:i/>
          <w:iCs/>
          <w:sz w:val="20"/>
          <w:szCs w:val="20"/>
        </w:rPr>
        <w:t>New accounting pronouncements adopted in 2014 (Continued)</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6" w:lineRule="auto"/>
        <w:ind w:left="720"/>
        <w:jc w:val="both"/>
        <w:rPr>
          <w:rFonts w:ascii="Times" w:hAnsi="Times" w:cs="Times"/>
          <w:i/>
          <w:iCs/>
          <w:sz w:val="20"/>
          <w:szCs w:val="20"/>
        </w:rPr>
      </w:pPr>
      <w:r>
        <w:rPr>
          <w:rFonts w:ascii="Times" w:hAnsi="Times" w:cs="Times"/>
          <w:sz w:val="20"/>
          <w:szCs w:val="20"/>
        </w:rPr>
        <w:t>Obligation Is Fixed at the Reporting Date.”</w:t>
      </w:r>
      <w:r>
        <w:rPr>
          <w:rFonts w:ascii="Times" w:hAnsi="Times" w:cs="Times"/>
          <w:sz w:val="20"/>
          <w:szCs w:val="20"/>
        </w:rPr>
        <w:t xml:space="preserve"> ASU 2013-04 requires an entity to measure obligations resulting from joint and several liability arrangements for which the total amount of the obligation is fixed at the reporting date as the amount the reporting entity agreed to pay plus additional amou</w:t>
      </w:r>
      <w:r>
        <w:rPr>
          <w:rFonts w:ascii="Times" w:hAnsi="Times" w:cs="Times"/>
          <w:sz w:val="20"/>
          <w:szCs w:val="20"/>
        </w:rPr>
        <w:t>nts the reporting entity expects to pay on behalf of its co-obligors. We adopted ASU 2013-04 on January 1, 2014.</w:t>
      </w:r>
    </w:p>
    <w:p w:rsidR="00000000" w:rsidRDefault="00A06965">
      <w:pPr>
        <w:pStyle w:val="DefaultParagraphFont"/>
        <w:widowControl w:val="0"/>
        <w:autoSpaceDE w:val="0"/>
        <w:autoSpaceDN w:val="0"/>
        <w:adjustRightInd w:val="0"/>
        <w:spacing w:after="0" w:line="137"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In January 2014, the FASB issued ASU 2014-01 “Accounting for Investments in Qualified Affordable Housing Projects.” ASU 2014-01 permits an en</w:t>
      </w:r>
      <w:r>
        <w:rPr>
          <w:rFonts w:ascii="Times" w:hAnsi="Times" w:cs="Times"/>
          <w:sz w:val="20"/>
          <w:szCs w:val="20"/>
        </w:rPr>
        <w:t>tity to elect the proportional amortization method of accounting for limited liability investments in qualified affordable housing projects if certain criteria are met. Under the proportional amortization method, the investment is amortized in proportion t</w:t>
      </w:r>
      <w:r>
        <w:rPr>
          <w:rFonts w:ascii="Times" w:hAnsi="Times" w:cs="Times"/>
          <w:sz w:val="20"/>
          <w:szCs w:val="20"/>
        </w:rPr>
        <w:t>o the tax benefits received and the amortization charge is reported as a component of income tax expense. We adopted ASU 2014-01 for eligible investments as of January 1, 2014. The adoption of ASU 2013-04 and ASU 2014-01 had an immaterial effect on our Con</w:t>
      </w:r>
      <w:r>
        <w:rPr>
          <w:rFonts w:ascii="Times" w:hAnsi="Times" w:cs="Times"/>
          <w:sz w:val="20"/>
          <w:szCs w:val="20"/>
        </w:rPr>
        <w:t>solidated Financial Statements.</w:t>
      </w:r>
    </w:p>
    <w:p w:rsidR="00000000" w:rsidRDefault="00A06965">
      <w:pPr>
        <w:pStyle w:val="DefaultParagraphFont"/>
        <w:widowControl w:val="0"/>
        <w:autoSpaceDE w:val="0"/>
        <w:autoSpaceDN w:val="0"/>
        <w:adjustRightInd w:val="0"/>
        <w:spacing w:after="0" w:line="246" w:lineRule="exact"/>
        <w:rPr>
          <w:rFonts w:ascii="Times" w:hAnsi="Times" w:cs="Times"/>
          <w:i/>
          <w:iCs/>
          <w:sz w:val="20"/>
          <w:szCs w:val="20"/>
        </w:rPr>
      </w:pPr>
    </w:p>
    <w:p w:rsidR="00000000" w:rsidRDefault="00A06965">
      <w:pPr>
        <w:pStyle w:val="DefaultParagraphFont"/>
        <w:widowControl w:val="0"/>
        <w:numPr>
          <w:ilvl w:val="1"/>
          <w:numId w:val="27"/>
        </w:numPr>
        <w:tabs>
          <w:tab w:val="clear" w:pos="1440"/>
          <w:tab w:val="num" w:pos="720"/>
        </w:tabs>
        <w:overflowPunct w:val="0"/>
        <w:autoSpaceDE w:val="0"/>
        <w:autoSpaceDN w:val="0"/>
        <w:adjustRightInd w:val="0"/>
        <w:spacing w:after="0" w:line="239" w:lineRule="auto"/>
        <w:ind w:left="720" w:hanging="314"/>
        <w:jc w:val="both"/>
        <w:rPr>
          <w:rFonts w:ascii="Times" w:hAnsi="Times" w:cs="Times"/>
          <w:i/>
          <w:iCs/>
          <w:sz w:val="20"/>
          <w:szCs w:val="20"/>
        </w:rPr>
      </w:pPr>
      <w:r>
        <w:rPr>
          <w:rFonts w:ascii="Times" w:hAnsi="Times" w:cs="Times"/>
          <w:i/>
          <w:iCs/>
          <w:sz w:val="20"/>
          <w:szCs w:val="20"/>
        </w:rPr>
        <w:t>New accounting pronouncements to be adopted subsequent to December 31, 2014</w:t>
      </w:r>
    </w:p>
    <w:p w:rsidR="00000000" w:rsidRDefault="00A06965">
      <w:pPr>
        <w:pStyle w:val="DefaultParagraphFont"/>
        <w:widowControl w:val="0"/>
        <w:autoSpaceDE w:val="0"/>
        <w:autoSpaceDN w:val="0"/>
        <w:adjustRightInd w:val="0"/>
        <w:spacing w:after="0" w:line="141" w:lineRule="exact"/>
        <w:rPr>
          <w:rFonts w:ascii="Times" w:hAnsi="Times" w:cs="Times"/>
          <w:i/>
          <w:iCs/>
          <w:sz w:val="20"/>
          <w:szCs w:val="20"/>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w:hAnsi="Times" w:cs="Times"/>
          <w:i/>
          <w:iCs/>
          <w:sz w:val="20"/>
          <w:szCs w:val="20"/>
        </w:rPr>
      </w:pPr>
      <w:r>
        <w:rPr>
          <w:rFonts w:ascii="Times" w:hAnsi="Times" w:cs="Times"/>
          <w:sz w:val="20"/>
          <w:szCs w:val="20"/>
        </w:rPr>
        <w:t>In April 2014, the FASB issued ASU 2014-08 “Reporting Discontinued Operations and Disclosures of Disposals of Components of an Entity.” ASU 2</w:t>
      </w:r>
      <w:r>
        <w:rPr>
          <w:rFonts w:ascii="Times" w:hAnsi="Times" w:cs="Times"/>
          <w:sz w:val="20"/>
          <w:szCs w:val="20"/>
        </w:rPr>
        <w:t>014-08 provides a narrower definition of discontinued operations than under previous U.S. GAAP. ASU 2014-08 requires that a disposal of components of an entity (or groups of components) be reported as discontinued operations if the disposal represents a st</w:t>
      </w:r>
      <w:r>
        <w:rPr>
          <w:rFonts w:ascii="Times" w:hAnsi="Times" w:cs="Times"/>
          <w:sz w:val="20"/>
          <w:szCs w:val="20"/>
        </w:rPr>
        <w:t>rategic shift that will have a major effect on the reporting entity’s operations and financial results. ASU 2014-08 is effective prospectively for disposals (or classifications of businesses as held-for-sale) of components of an entity that occur in annual</w:t>
      </w:r>
      <w:r>
        <w:rPr>
          <w:rFonts w:ascii="Times" w:hAnsi="Times" w:cs="Times"/>
          <w:sz w:val="20"/>
          <w:szCs w:val="20"/>
        </w:rPr>
        <w:t xml:space="preserve"> or interim periods beginning after December 15, 2014. We do not expect that the adoption of ASU 2014-08 will have a material effect on our Consolidated Financial Statements.</w:t>
      </w:r>
    </w:p>
    <w:p w:rsidR="00000000" w:rsidRDefault="00A06965">
      <w:pPr>
        <w:pStyle w:val="DefaultParagraphFont"/>
        <w:widowControl w:val="0"/>
        <w:autoSpaceDE w:val="0"/>
        <w:autoSpaceDN w:val="0"/>
        <w:adjustRightInd w:val="0"/>
        <w:spacing w:after="0" w:line="13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left="720"/>
        <w:jc w:val="both"/>
        <w:rPr>
          <w:rFonts w:ascii="Times New Roman" w:hAnsi="Times New Roman" w:cs="Times New Roman"/>
          <w:sz w:val="24"/>
          <w:szCs w:val="24"/>
        </w:rPr>
      </w:pPr>
      <w:r>
        <w:rPr>
          <w:rFonts w:ascii="Times" w:hAnsi="Times" w:cs="Times"/>
          <w:sz w:val="20"/>
          <w:szCs w:val="20"/>
        </w:rPr>
        <w:t>In May 2014, the FASB issued ASU 2014-09 “Revenue from Contracts with Customers.</w:t>
      </w:r>
      <w:r>
        <w:rPr>
          <w:rFonts w:ascii="Times" w:hAnsi="Times" w:cs="Times"/>
          <w:sz w:val="20"/>
          <w:szCs w:val="20"/>
        </w:rPr>
        <w:t>” ASU 2014-09 applies to most contracts with customers. However, insurance and leasing contracts are excluded from the scope of this pronouncement. ASU 2014-09 prescribes a five step framework in accounting for revenues from contracts, including</w:t>
      </w:r>
    </w:p>
    <w:p w:rsidR="00000000" w:rsidRDefault="00A06965">
      <w:pPr>
        <w:pStyle w:val="DefaultParagraphFont"/>
        <w:widowControl w:val="0"/>
        <w:autoSpaceDE w:val="0"/>
        <w:autoSpaceDN w:val="0"/>
        <w:adjustRightInd w:val="0"/>
        <w:spacing w:after="0" w:line="1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left="720"/>
        <w:jc w:val="both"/>
        <w:rPr>
          <w:rFonts w:ascii="Times New Roman" w:hAnsi="Times New Roman" w:cs="Times New Roman"/>
          <w:sz w:val="24"/>
          <w:szCs w:val="24"/>
        </w:rPr>
      </w:pPr>
      <w:r>
        <w:rPr>
          <w:rFonts w:ascii="Times" w:hAnsi="Times" w:cs="Times"/>
          <w:sz w:val="20"/>
          <w:szCs w:val="20"/>
        </w:rPr>
        <w:t>(a) ident</w:t>
      </w:r>
      <w:r>
        <w:rPr>
          <w:rFonts w:ascii="Times" w:hAnsi="Times" w:cs="Times"/>
          <w:sz w:val="20"/>
          <w:szCs w:val="20"/>
        </w:rPr>
        <w:t>ification of the contract, (b) identification of the performance obligations under the contract, (c) determination of the transaction price, (d) allocation of the transaction price to the identified performance obligations and</w:t>
      </w:r>
    </w:p>
    <w:p w:rsidR="00000000" w:rsidRDefault="00A06965">
      <w:pPr>
        <w:pStyle w:val="DefaultParagraphFont"/>
        <w:widowControl w:val="0"/>
        <w:autoSpaceDE w:val="0"/>
        <w:autoSpaceDN w:val="0"/>
        <w:adjustRightInd w:val="0"/>
        <w:spacing w:after="0" w:line="2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left="720"/>
        <w:jc w:val="both"/>
        <w:rPr>
          <w:rFonts w:ascii="Times New Roman" w:hAnsi="Times New Roman" w:cs="Times New Roman"/>
          <w:sz w:val="24"/>
          <w:szCs w:val="24"/>
        </w:rPr>
      </w:pPr>
      <w:r>
        <w:rPr>
          <w:rFonts w:ascii="Times" w:hAnsi="Times" w:cs="Times"/>
          <w:sz w:val="20"/>
          <w:szCs w:val="20"/>
        </w:rPr>
        <w:t xml:space="preserve">(e) recognition of revenues </w:t>
      </w:r>
      <w:r>
        <w:rPr>
          <w:rFonts w:ascii="Times" w:hAnsi="Times" w:cs="Times"/>
          <w:sz w:val="20"/>
          <w:szCs w:val="20"/>
        </w:rPr>
        <w:t>as the identified performance obligations are satisfied. ASU 2014-09 also prescribes additional disclosures and financial statement presentations. ASU 2014-09 is effective for public entities in annual reporting periods beginning after December 15, 2016. E</w:t>
      </w:r>
      <w:r>
        <w:rPr>
          <w:rFonts w:ascii="Times" w:hAnsi="Times" w:cs="Times"/>
          <w:sz w:val="20"/>
          <w:szCs w:val="20"/>
        </w:rPr>
        <w:t>arly application is not permitted. ASU 2014-09 may be adopted retrospectively or under a modified retrospective method where the cumulative effect is recognized at the date of initial application. We are currently evaluating the effect the adoption of this</w:t>
      </w:r>
      <w:r>
        <w:rPr>
          <w:rFonts w:ascii="Times" w:hAnsi="Times" w:cs="Times"/>
          <w:sz w:val="20"/>
          <w:szCs w:val="20"/>
        </w:rPr>
        <w:t xml:space="preserve"> standard will have on our Consolidated Financial Statements.</w:t>
      </w:r>
    </w:p>
    <w:p w:rsidR="00000000" w:rsidRDefault="00A06965">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(2)  Significant business acquisitions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Our long-held acquisition strategy is to acquire businesses at sensible prices that have consistent earning power, good returns on equity and able and ho</w:t>
      </w:r>
      <w:r>
        <w:rPr>
          <w:rFonts w:ascii="Times" w:hAnsi="Times" w:cs="Times"/>
          <w:sz w:val="20"/>
          <w:szCs w:val="20"/>
        </w:rPr>
        <w:t>nest management.</w:t>
      </w: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On December 19, 2013, we acquired NV Energy, Inc. (“NV Energy”) through our 89.9% owned subsidiary, Berkshire Hathaway Energy Company (“BHE”</w:t>
      </w:r>
      <w:r>
        <w:rPr>
          <w:rFonts w:ascii="Times" w:hAnsi="Times" w:cs="Times"/>
          <w:sz w:val="20"/>
          <w:szCs w:val="20"/>
        </w:rPr>
        <w:t>), for cash consideration of approximately $5.6 billion. NV Energy is an energy holding company serving approximately 1.2 million electric and 0.2 million retail natural gas customers in Nevada. NV Energy’s principal operating subsidiaries, Nevada Power Co</w:t>
      </w:r>
      <w:r>
        <w:rPr>
          <w:rFonts w:ascii="Times" w:hAnsi="Times" w:cs="Times"/>
          <w:sz w:val="20"/>
          <w:szCs w:val="20"/>
        </w:rPr>
        <w:t>mpany and Sierra Pacific Power Company, are regulated utilities. NV Energy’s financial results are included in our Consolidated Financial Statements beginning on the acquisition date.</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On December 1, 2014, BHE acquired AltaLink, L.P. (“AltaLink”</w:t>
      </w:r>
      <w:r>
        <w:rPr>
          <w:rFonts w:ascii="Times" w:hAnsi="Times" w:cs="Times"/>
          <w:sz w:val="20"/>
          <w:szCs w:val="20"/>
        </w:rPr>
        <w:t>) for a cash purchase price of C$3.1 billion (approximately $2.7 billion). AltaLink is a regulated electric transmission-only business, headquartered in Calgary, Alberta. AltaLink’s financial results are included in our Consolidated Financial Statements be</w:t>
      </w:r>
      <w:r>
        <w:rPr>
          <w:rFonts w:ascii="Times" w:hAnsi="Times" w:cs="Times"/>
          <w:sz w:val="20"/>
          <w:szCs w:val="20"/>
        </w:rPr>
        <w:t>ginning on the acquisition date.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58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(2)  Significant business acquisitions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NV Energy’s and AltaLink’</w:t>
      </w:r>
      <w:r>
        <w:rPr>
          <w:rFonts w:ascii="Times" w:hAnsi="Times" w:cs="Times"/>
          <w:sz w:val="20"/>
          <w:szCs w:val="20"/>
        </w:rPr>
        <w:t>s assets acquired, liabilities assumed and residual goodwill at their respective acquisition dates are summarized as follows (in millions).</w:t>
      </w:r>
    </w:p>
    <w:p w:rsidR="00000000" w:rsidRDefault="00A06965">
      <w:pPr>
        <w:pStyle w:val="DefaultParagraphFont"/>
        <w:widowControl w:val="0"/>
        <w:autoSpaceDE w:val="0"/>
        <w:autoSpaceDN w:val="0"/>
        <w:adjustRightInd w:val="0"/>
        <w:spacing w:after="0" w:line="18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340"/>
        <w:gridCol w:w="140"/>
        <w:gridCol w:w="560"/>
        <w:gridCol w:w="140"/>
        <w:gridCol w:w="200"/>
        <w:gridCol w:w="140"/>
        <w:gridCol w:w="100"/>
        <w:gridCol w:w="560"/>
        <w:gridCol w:w="140"/>
      </w:tblGrid>
      <w:tr w:rsidR="00000000">
        <w:tblPrEx>
          <w:tblCellMar>
            <w:top w:w="0" w:type="dxa"/>
            <w:left w:w="0" w:type="dxa"/>
            <w:bottom w:w="0" w:type="dxa"/>
            <w:right w:w="0" w:type="dxa"/>
          </w:tblCellMar>
        </w:tblPrEx>
        <w:trPr>
          <w:trHeight w:val="184"/>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AltaLink</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NV Energy</w:t>
            </w:r>
          </w:p>
        </w:tc>
      </w:tr>
      <w:tr w:rsidR="00000000">
        <w:tblPrEx>
          <w:tblCellMar>
            <w:top w:w="0" w:type="dxa"/>
            <w:left w:w="0" w:type="dxa"/>
            <w:bottom w:w="0" w:type="dxa"/>
            <w:right w:w="0" w:type="dxa"/>
          </w:tblCellMar>
        </w:tblPrEx>
        <w:trPr>
          <w:trHeight w:val="160"/>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140"/>
              <w:jc w:val="center"/>
              <w:rPr>
                <w:rFonts w:ascii="Times New Roman" w:hAnsi="Times New Roman" w:cs="Times New Roman"/>
                <w:sz w:val="24"/>
                <w:szCs w:val="24"/>
              </w:rPr>
            </w:pPr>
            <w:r>
              <w:rPr>
                <w:rFonts w:ascii="Times" w:hAnsi="Times" w:cs="Times"/>
                <w:b/>
                <w:bCs/>
                <w:sz w:val="16"/>
                <w:szCs w:val="16"/>
              </w:rPr>
              <w:t>as of</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20"/>
              <w:jc w:val="center"/>
              <w:rPr>
                <w:rFonts w:ascii="Times New Roman" w:hAnsi="Times New Roman" w:cs="Times New Roman"/>
                <w:sz w:val="24"/>
                <w:szCs w:val="24"/>
              </w:rPr>
            </w:pPr>
            <w:r>
              <w:rPr>
                <w:rFonts w:ascii="Times" w:hAnsi="Times" w:cs="Times"/>
                <w:b/>
                <w:bCs/>
                <w:sz w:val="16"/>
                <w:szCs w:val="16"/>
              </w:rPr>
              <w:t>as of</w:t>
            </w:r>
          </w:p>
        </w:tc>
      </w:tr>
      <w:tr w:rsidR="00000000">
        <w:tblPrEx>
          <w:tblCellMar>
            <w:top w:w="0" w:type="dxa"/>
            <w:left w:w="0" w:type="dxa"/>
            <w:bottom w:w="0" w:type="dxa"/>
            <w:right w:w="0" w:type="dxa"/>
          </w:tblCellMar>
        </w:tblPrEx>
        <w:trPr>
          <w:trHeight w:val="160"/>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w w:val="98"/>
                <w:sz w:val="16"/>
                <w:szCs w:val="16"/>
              </w:rPr>
              <w:t>December 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sz w:val="16"/>
                <w:szCs w:val="16"/>
              </w:rPr>
              <w:t>December 19,</w:t>
            </w:r>
          </w:p>
        </w:tc>
      </w:tr>
      <w:tr w:rsidR="00000000">
        <w:tblPrEx>
          <w:tblCellMar>
            <w:top w:w="0" w:type="dxa"/>
            <w:left w:w="0" w:type="dxa"/>
            <w:bottom w:w="0" w:type="dxa"/>
            <w:right w:w="0" w:type="dxa"/>
          </w:tblCellMar>
        </w:tblPrEx>
        <w:trPr>
          <w:trHeight w:val="182"/>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45"/>
              <w:jc w:val="center"/>
              <w:rPr>
                <w:rFonts w:ascii="Times New Roman" w:hAnsi="Times New Roman" w:cs="Times New Roman"/>
                <w:sz w:val="24"/>
                <w:szCs w:val="24"/>
              </w:rPr>
            </w:pPr>
            <w:r>
              <w:rPr>
                <w:rFonts w:ascii="Times" w:hAnsi="Times" w:cs="Times"/>
                <w:b/>
                <w:bCs/>
                <w:w w:val="99"/>
                <w:sz w:val="16"/>
                <w:szCs w:val="16"/>
              </w:rPr>
              <w:t>2014</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w w:val="99"/>
                <w:sz w:val="16"/>
                <w:szCs w:val="16"/>
              </w:rPr>
              <w:t>2013</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26"/>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Property, plant and equipment . . . . . . . . . . . . . . . . . . . . . . . . . . . . . . . . . . . . . . . . . . . . . . . . . . . . . . . . .</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$5,610</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9,511</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Goodwill  . . . . . . . . . . . . . . . . . . . . . . . . . . . . . . . . . . . . . . . . . . . . . . . . . . . . . . . . . . . . . . . . . . . . . . . . .</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1,700</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2,369</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assets, including cash and cash equivalents  . . . . . . . . . . . . . . . . . . . . . . . . . . . . . . . . . . . . . . . . .</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294</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2,506</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Assets acquired . . . . . . . . . . . . . . . . . . . . . . . . . . . . . . . . . . . . . . . . . . . . . . . . . . . . . . . . . . . . . . . . . . . .</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$7,604</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14,386</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Accounts payable, accruals and other liabilities . . . . . . . . . . . . . . . . . . . . . . . . . . . . . . . . . . . . . . . . . . .</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$1,025</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3,456</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40"/>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Notes payable and other borrowings . . . . . . . . . . . . . . . . . . . . . . . . . . . . . . . . . . . . . . . . . . . . . . . . . . . .</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3,851</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5,334</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 xml:space="preserve">Liabilities assumed  . . . . . </w:t>
            </w:r>
            <w:r>
              <w:rPr>
                <w:rFonts w:ascii="Times" w:hAnsi="Times" w:cs="Times"/>
                <w:sz w:val="20"/>
                <w:szCs w:val="20"/>
              </w:rPr>
              <w:t>. . . . . . . . . . . . . . . . . . . . . . . . . . . . . . . . . . . . . . . . . . . . . . . . . . . . . . . . . . . .</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$4,876</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8,790</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assets acquired  . . . . . . . . . . . . . . . . . . . . . . . . . . . . . . . . . . . . . . . . . . . . . . . . . . . . . . . . . . . . . . . . .</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$2,728</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5,596</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 xml:space="preserve">On January 1, 2014, we acquired the beverage dispensing equipment manufacturing and merchandising operations of British engineering company, IMI plc for approximately $1.12 billion. On February 25, 2014, we acquired 100% of the outstanding common stock of </w:t>
      </w:r>
      <w:r>
        <w:rPr>
          <w:rFonts w:ascii="Times" w:hAnsi="Times" w:cs="Times"/>
          <w:sz w:val="20"/>
          <w:szCs w:val="20"/>
        </w:rPr>
        <w:t>Phillips Specialty Products Inc. (“PSPI”) from Phillips 66 (“PSX”) in exchange for 17,422,615 shares of PSX common stock with an aggregate fair value of $1.35 billion. PSPI, which has been renamed as Lubrizol Specialty Products Inc. (“LSPI”), provides flow</w:t>
      </w:r>
      <w:r>
        <w:rPr>
          <w:rFonts w:ascii="Times" w:hAnsi="Times" w:cs="Times"/>
          <w:sz w:val="20"/>
          <w:szCs w:val="20"/>
        </w:rPr>
        <w:t xml:space="preserve"> improver products to customers worldwide. Assets of PSPI included cash of approximately $450 million. On June 30, 2014, we acquired WPLG, Inc. (“WPLG”) from Graham Holding Company (“GHC”) in exchange for 1,620,190 shares of GHC common stock with an aggreg</w:t>
      </w:r>
      <w:r>
        <w:rPr>
          <w:rFonts w:ascii="Times" w:hAnsi="Times" w:cs="Times"/>
          <w:sz w:val="20"/>
          <w:szCs w:val="20"/>
        </w:rPr>
        <w:t>ate fair value of $1.13 billion. At the date of the acquisition, the assets of WPLG, which operates a Miami, Florida, ABC affiliated television station, included 2,107 shares of Berkshire Hathaway Class A common stock, 1,278 shares of Berkshire Hathaway Cl</w:t>
      </w:r>
      <w:r>
        <w:rPr>
          <w:rFonts w:ascii="Times" w:hAnsi="Times" w:cs="Times"/>
          <w:sz w:val="20"/>
          <w:szCs w:val="20"/>
        </w:rPr>
        <w:t>ass B common stock and cash of $328 million. At their respective acquisition dates, the aggregate fair value of the identified net assets related to these acquisitions was approximately $2.2 billion and the residual goodwill was approximately $1.4 billion.</w:t>
      </w:r>
    </w:p>
    <w:p w:rsidR="00000000" w:rsidRDefault="00A06965">
      <w:pPr>
        <w:pStyle w:val="DefaultParagraphFont"/>
        <w:widowControl w:val="0"/>
        <w:autoSpaceDE w:val="0"/>
        <w:autoSpaceDN w:val="0"/>
        <w:adjustRightInd w:val="0"/>
        <w:spacing w:after="0" w:line="25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The following table sets forth certa</w:t>
      </w:r>
      <w:r>
        <w:rPr>
          <w:rFonts w:ascii="Times" w:hAnsi="Times" w:cs="Times"/>
          <w:sz w:val="20"/>
          <w:szCs w:val="20"/>
        </w:rPr>
        <w:t>in unaudited pro forma consolidated earnings data for 2014 and 2013, as if the acquisitions discussed previously were consummated on the same terms at the beginning of the year preceding their respective acquisition dates (in millions, except per share amo</w:t>
      </w:r>
      <w:r>
        <w:rPr>
          <w:rFonts w:ascii="Times" w:hAnsi="Times" w:cs="Times"/>
          <w:sz w:val="20"/>
          <w:szCs w:val="20"/>
        </w:rPr>
        <w:t>unts).</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620"/>
        <w:gridCol w:w="760"/>
        <w:gridCol w:w="200"/>
        <w:gridCol w:w="740"/>
      </w:tblGrid>
      <w:tr w:rsidR="00000000">
        <w:tblPrEx>
          <w:tblCellMar>
            <w:top w:w="0" w:type="dxa"/>
            <w:left w:w="0" w:type="dxa"/>
            <w:bottom w:w="0" w:type="dxa"/>
            <w:right w:w="0" w:type="dxa"/>
          </w:tblCellMar>
        </w:tblPrEx>
        <w:trPr>
          <w:trHeight w:val="184"/>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7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85"/>
              <w:jc w:val="right"/>
              <w:rPr>
                <w:rFonts w:ascii="Times New Roman" w:hAnsi="Times New Roman" w:cs="Times New Roman"/>
                <w:sz w:val="24"/>
                <w:szCs w:val="24"/>
              </w:rPr>
            </w:pPr>
            <w:r>
              <w:rPr>
                <w:rFonts w:ascii="Times" w:hAnsi="Times" w:cs="Times"/>
                <w:b/>
                <w:bCs/>
                <w:sz w:val="16"/>
                <w:szCs w:val="16"/>
              </w:rPr>
              <w:t>December 31,</w:t>
            </w:r>
          </w:p>
        </w:tc>
      </w:tr>
      <w:tr w:rsidR="00000000">
        <w:tblPrEx>
          <w:tblCellMar>
            <w:top w:w="0" w:type="dxa"/>
            <w:left w:w="0" w:type="dxa"/>
            <w:bottom w:w="0" w:type="dxa"/>
            <w:right w:w="0" w:type="dxa"/>
          </w:tblCellMar>
        </w:tblPrEx>
        <w:trPr>
          <w:trHeight w:val="26"/>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8"/>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5"/>
              <w:jc w:val="right"/>
              <w:rPr>
                <w:rFonts w:ascii="Times New Roman" w:hAnsi="Times New Roman" w:cs="Times New Roman"/>
                <w:sz w:val="24"/>
                <w:szCs w:val="24"/>
              </w:rPr>
            </w:pPr>
            <w:r>
              <w:rPr>
                <w:rFonts w:ascii="Times" w:hAnsi="Times" w:cs="Times"/>
                <w:b/>
                <w:bCs/>
                <w:sz w:val="16"/>
                <w:szCs w:val="16"/>
              </w:rPr>
              <w:t>2013</w:t>
            </w:r>
          </w:p>
        </w:tc>
      </w:tr>
      <w:tr w:rsidR="00000000">
        <w:tblPrEx>
          <w:tblCellMar>
            <w:top w:w="0" w:type="dxa"/>
            <w:left w:w="0" w:type="dxa"/>
            <w:bottom w:w="0" w:type="dxa"/>
            <w:right w:w="0" w:type="dxa"/>
          </w:tblCellMar>
        </w:tblPrEx>
        <w:trPr>
          <w:trHeight w:val="26"/>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Revenues . . . . . . . . . . . . . . . . . . . . . . . . . . . . . . . . . . . . . . . . . . . . . . . . .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$195,298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$186,664</w:t>
            </w:r>
          </w:p>
        </w:tc>
      </w:tr>
      <w:tr w:rsidR="00000000">
        <w:tblPrEx>
          <w:tblCellMar>
            <w:top w:w="0" w:type="dxa"/>
            <w:left w:w="0" w:type="dxa"/>
            <w:bottom w:w="0" w:type="dxa"/>
            <w:right w:w="0" w:type="dxa"/>
          </w:tblCellMar>
        </w:tblPrEx>
        <w:trPr>
          <w:trHeight w:val="240"/>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earnings attributable to Berkshire Hathaway shareholders  . . . . . . .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19,975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19,845</w:t>
            </w:r>
          </w:p>
        </w:tc>
      </w:tr>
      <w:tr w:rsidR="00000000">
        <w:tblPrEx>
          <w:tblCellMar>
            <w:top w:w="0" w:type="dxa"/>
            <w:left w:w="0" w:type="dxa"/>
            <w:bottom w:w="0" w:type="dxa"/>
            <w:right w:w="0" w:type="dxa"/>
          </w:tblCellMar>
        </w:tblPrEx>
        <w:trPr>
          <w:trHeight w:val="240"/>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earnings per equivalent Class A common share attributable to Berkshire Hathaway shareholders  . . .</w:t>
            </w: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12,154</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12,074</w:t>
            </w:r>
          </w:p>
        </w:tc>
      </w:tr>
    </w:tbl>
    <w:p w:rsidR="00000000" w:rsidRDefault="00A06965">
      <w:pPr>
        <w:pStyle w:val="DefaultParagraphFont"/>
        <w:widowControl w:val="0"/>
        <w:autoSpaceDE w:val="0"/>
        <w:autoSpaceDN w:val="0"/>
        <w:adjustRightInd w:val="0"/>
        <w:spacing w:after="0" w:line="26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During the last three years, we also completed several smaller-sized business acquisitions, most of which were considered as “bolt-on” acquisitions to several of our existing business operations. Aggregate consideration paid for these other busin</w:t>
      </w:r>
      <w:r>
        <w:rPr>
          <w:rFonts w:ascii="Times" w:hAnsi="Times" w:cs="Times"/>
          <w:sz w:val="20"/>
          <w:szCs w:val="20"/>
        </w:rPr>
        <w:t>ess acquisitions was approximately $1.8 billion in 2014; $1.1 billion in 2013; and $3.2 billion in 2012, which included $438 million for entities that develop, construct and subsequently operate renewable energy generation facilities. We do not believe tha</w:t>
      </w:r>
      <w:r>
        <w:rPr>
          <w:rFonts w:ascii="Times" w:hAnsi="Times" w:cs="Times"/>
          <w:sz w:val="20"/>
          <w:szCs w:val="20"/>
        </w:rPr>
        <w:t>t these acquisitions were material, individually or in the aggregate, to our Consolidated Financial Statements.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59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(3)  Investments in fixed mat</w:t>
      </w:r>
      <w:r>
        <w:rPr>
          <w:rFonts w:ascii="Times" w:hAnsi="Times" w:cs="Times"/>
          <w:b/>
          <w:bCs/>
          <w:sz w:val="20"/>
          <w:szCs w:val="20"/>
        </w:rPr>
        <w:t>urity securities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Investments in securities with fixed maturities as of December 31, 2014 and 2013 are summarized by type below (in millions).</w:t>
      </w:r>
    </w:p>
    <w:p w:rsidR="00000000" w:rsidRDefault="00A06965">
      <w:pPr>
        <w:pStyle w:val="DefaultParagraphFont"/>
        <w:widowControl w:val="0"/>
        <w:autoSpaceDE w:val="0"/>
        <w:autoSpaceDN w:val="0"/>
        <w:adjustRightInd w:val="0"/>
        <w:spacing w:after="0" w:line="18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6860"/>
        <w:gridCol w:w="20"/>
        <w:gridCol w:w="100"/>
        <w:gridCol w:w="560"/>
        <w:gridCol w:w="40"/>
        <w:gridCol w:w="200"/>
        <w:gridCol w:w="100"/>
        <w:gridCol w:w="100"/>
        <w:gridCol w:w="440"/>
        <w:gridCol w:w="100"/>
        <w:gridCol w:w="200"/>
        <w:gridCol w:w="140"/>
        <w:gridCol w:w="100"/>
        <w:gridCol w:w="380"/>
        <w:gridCol w:w="140"/>
        <w:gridCol w:w="200"/>
        <w:gridCol w:w="100"/>
        <w:gridCol w:w="540"/>
        <w:gridCol w:w="20"/>
      </w:tblGrid>
      <w:tr w:rsidR="00000000">
        <w:tblPrEx>
          <w:tblCellMar>
            <w:top w:w="0" w:type="dxa"/>
            <w:left w:w="0" w:type="dxa"/>
            <w:bottom w:w="0" w:type="dxa"/>
            <w:right w:w="0" w:type="dxa"/>
          </w:tblCellMar>
        </w:tblPrEx>
        <w:trPr>
          <w:trHeight w:val="184"/>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w w:val="98"/>
                <w:sz w:val="16"/>
                <w:szCs w:val="16"/>
              </w:rPr>
              <w:t>Amortized</w:t>
            </w:r>
          </w:p>
        </w:tc>
        <w:tc>
          <w:tcPr>
            <w:tcW w:w="9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w w:val="99"/>
                <w:sz w:val="16"/>
                <w:szCs w:val="16"/>
              </w:rPr>
              <w:t>Unrealized</w:t>
            </w:r>
          </w:p>
        </w:tc>
        <w:tc>
          <w:tcPr>
            <w:tcW w:w="96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Unrealized</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3"/>
              <w:jc w:val="right"/>
              <w:rPr>
                <w:rFonts w:ascii="Times New Roman" w:hAnsi="Times New Roman" w:cs="Times New Roman"/>
                <w:sz w:val="24"/>
                <w:szCs w:val="24"/>
              </w:rPr>
            </w:pPr>
            <w:r>
              <w:rPr>
                <w:rFonts w:ascii="Times" w:hAnsi="Times" w:cs="Times"/>
                <w:b/>
                <w:bCs/>
                <w:sz w:val="16"/>
                <w:szCs w:val="16"/>
              </w:rPr>
              <w:t>Fair</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340"/>
              <w:jc w:val="center"/>
              <w:rPr>
                <w:rFonts w:ascii="Times New Roman" w:hAnsi="Times New Roman" w:cs="Times New Roman"/>
                <w:sz w:val="24"/>
                <w:szCs w:val="24"/>
              </w:rPr>
            </w:pPr>
            <w:r>
              <w:rPr>
                <w:rFonts w:ascii="Times" w:hAnsi="Times" w:cs="Times"/>
                <w:b/>
                <w:bCs/>
                <w:w w:val="96"/>
                <w:sz w:val="16"/>
                <w:szCs w:val="16"/>
              </w:rPr>
              <w:t>Cost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80"/>
              <w:jc w:val="center"/>
              <w:rPr>
                <w:rFonts w:ascii="Times New Roman" w:hAnsi="Times New Roman" w:cs="Times New Roman"/>
                <w:sz w:val="24"/>
                <w:szCs w:val="24"/>
              </w:rPr>
            </w:pPr>
            <w:r>
              <w:rPr>
                <w:rFonts w:ascii="Times" w:hAnsi="Times" w:cs="Times"/>
                <w:b/>
                <w:bCs/>
                <w:w w:val="99"/>
                <w:sz w:val="16"/>
                <w:szCs w:val="16"/>
              </w:rPr>
              <w:t>Gains</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20"/>
              <w:rPr>
                <w:rFonts w:ascii="Times New Roman" w:hAnsi="Times New Roman" w:cs="Times New Roman"/>
                <w:sz w:val="24"/>
                <w:szCs w:val="24"/>
              </w:rPr>
            </w:pPr>
            <w:r>
              <w:rPr>
                <w:rFonts w:ascii="Times" w:hAnsi="Times" w:cs="Times"/>
                <w:b/>
                <w:bCs/>
                <w:sz w:val="16"/>
                <w:szCs w:val="16"/>
              </w:rPr>
              <w:t>Losses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3"/>
              <w:jc w:val="right"/>
              <w:rPr>
                <w:rFonts w:ascii="Times New Roman" w:hAnsi="Times New Roman" w:cs="Times New Roman"/>
                <w:sz w:val="24"/>
                <w:szCs w:val="24"/>
              </w:rPr>
            </w:pPr>
            <w:r>
              <w:rPr>
                <w:rFonts w:ascii="Times" w:hAnsi="Times" w:cs="Times"/>
                <w:b/>
                <w:bCs/>
                <w:w w:val="99"/>
                <w:sz w:val="16"/>
                <w:szCs w:val="16"/>
              </w:rPr>
              <w:t>Value</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8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December 31, 2014</w:t>
            </w: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8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U.S. Treasury, U.S. government corporations and agencies . . . . . . . . . . . . . . .</w:t>
            </w:r>
          </w:p>
        </w:tc>
        <w:tc>
          <w:tcPr>
            <w:tcW w:w="1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2,921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w w:val="79"/>
                <w:sz w:val="20"/>
                <w:szCs w:val="20"/>
              </w:rPr>
              <w:t>$</w:t>
            </w: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sz w:val="20"/>
                <w:szCs w:val="20"/>
              </w:rPr>
              <w:t>(5)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2,930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States, municipalities and political subdivisions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1,820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93</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sz w:val="20"/>
                <w:szCs w:val="20"/>
              </w:rPr>
              <w:t>(1)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Foreign governments . . . . . . . . . . . . . . . . . . . . .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12,023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373</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w w:val="96"/>
                <w:sz w:val="20"/>
                <w:szCs w:val="20"/>
              </w:rPr>
              <w:t>(126)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12,270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Corporate bonds . . . . . . . . . . . . . . . . . . . . . . . . .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7,704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1,072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sz w:val="20"/>
                <w:szCs w:val="20"/>
              </w:rPr>
              <w:t>(5)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8,771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Mortgage-backed securities . . . . . . . . . . . . . . . .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1,555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sz w:val="20"/>
                <w:szCs w:val="20"/>
              </w:rPr>
              <w:t>(4)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1,753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26,023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1,754</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w w:val="79"/>
                <w:sz w:val="20"/>
                <w:szCs w:val="20"/>
              </w:rPr>
              <w:t>$</w:t>
            </w: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w w:val="96"/>
                <w:sz w:val="20"/>
                <w:szCs w:val="20"/>
              </w:rPr>
              <w:t>(141)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27,636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8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December 31, 2013</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8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92"/>
        </w:trPr>
        <w:tc>
          <w:tcPr>
            <w:tcW w:w="68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U.S. Treasury, U.S. government corporations and agencies . . . . . . . . . . . . . . .</w:t>
            </w:r>
          </w:p>
        </w:tc>
        <w:tc>
          <w:tcPr>
            <w:tcW w:w="1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2,650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w w:val="79"/>
                <w:sz w:val="20"/>
                <w:szCs w:val="20"/>
              </w:rPr>
              <w:t>$</w:t>
            </w: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sz w:val="20"/>
                <w:szCs w:val="20"/>
              </w:rPr>
              <w:t>(8)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2,658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States, municipalities and political subdivisions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2,221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129</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sz w:val="20"/>
                <w:szCs w:val="20"/>
              </w:rPr>
              <w:t>(5)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2,345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400"/>
              <w:rPr>
                <w:rFonts w:ascii="Times New Roman" w:hAnsi="Times New Roman" w:cs="Times New Roman"/>
                <w:sz w:val="24"/>
                <w:szCs w:val="24"/>
              </w:rPr>
            </w:pPr>
            <w:r>
              <w:rPr>
                <w:rFonts w:ascii="Times" w:hAnsi="Times" w:cs="Times"/>
                <w:sz w:val="20"/>
                <w:szCs w:val="20"/>
              </w:rPr>
              <w:t>Foreign governments . . . . . . . . . . . . . . . . . . . . .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8"/>
                <w:sz w:val="20"/>
                <w:szCs w:val="20"/>
              </w:rPr>
              <w:t>11,001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182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w:hAnsi="Times" w:cs="Times"/>
                <w:w w:val="96"/>
                <w:sz w:val="20"/>
                <w:szCs w:val="20"/>
              </w:rPr>
              <w:t>(110)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4"/>
                <w:sz w:val="20"/>
                <w:szCs w:val="20"/>
              </w:rPr>
              <w:t>11,073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Corporate bonds . . . . . . . . . . . . . . . . . . . . . . . . .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10,062</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1,190</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sz w:val="20"/>
                <w:szCs w:val="20"/>
              </w:rPr>
              <w:t>(15)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11,237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Mortgage-backed securities . . . . . . . . . . . . . . . . . . . . . . . . . . . . . . . . . . . . . . . .</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1,830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218</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sz w:val="20"/>
                <w:szCs w:val="20"/>
              </w:rPr>
              <w:t>(8)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2,040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27,764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1,735</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40"/>
              <w:rPr>
                <w:rFonts w:ascii="Times New Roman" w:hAnsi="Times New Roman" w:cs="Times New Roman"/>
                <w:sz w:val="24"/>
                <w:szCs w:val="24"/>
              </w:rPr>
            </w:pPr>
            <w:r>
              <w:rPr>
                <w:rFonts w:ascii="Times" w:hAnsi="Times" w:cs="Times"/>
                <w:w w:val="79"/>
                <w:sz w:val="20"/>
                <w:szCs w:val="20"/>
              </w:rPr>
              <w:t>$</w:t>
            </w: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w w:val="96"/>
                <w:sz w:val="20"/>
                <w:szCs w:val="20"/>
              </w:rPr>
              <w:t>(146)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29,353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sz w:val="20"/>
          <w:szCs w:val="20"/>
        </w:rPr>
        <w:t>Investments in fixed maturity securities are reflected in our Consolidated Balance Sheets as follows (in millions).</w:t>
      </w:r>
    </w:p>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p>
    <w:tbl>
      <w:tblPr>
        <w:tblW w:w="0" w:type="auto"/>
        <w:tblInd w:w="400" w:type="dxa"/>
        <w:tblLayout w:type="fixed"/>
        <w:tblCellMar>
          <w:left w:w="0" w:type="dxa"/>
          <w:right w:w="0" w:type="dxa"/>
        </w:tblCellMar>
        <w:tblLook w:val="0000" w:firstRow="0" w:lastRow="0" w:firstColumn="0" w:lastColumn="0" w:noHBand="0" w:noVBand="0"/>
      </w:tblPr>
      <w:tblGrid>
        <w:gridCol w:w="7920"/>
        <w:gridCol w:w="660"/>
        <w:gridCol w:w="300"/>
        <w:gridCol w:w="640"/>
      </w:tblGrid>
      <w:tr w:rsidR="00000000">
        <w:tblPrEx>
          <w:tblCellMar>
            <w:top w:w="0" w:type="dxa"/>
            <w:left w:w="0" w:type="dxa"/>
            <w:bottom w:w="0" w:type="dxa"/>
            <w:right w:w="0" w:type="dxa"/>
          </w:tblCellMar>
        </w:tblPrEx>
        <w:trPr>
          <w:trHeight w:val="184"/>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w:hAnsi="Times" w:cs="Times"/>
                <w:b/>
                <w:bCs/>
                <w:sz w:val="16"/>
                <w:szCs w:val="16"/>
              </w:rPr>
              <w:t>December 31,</w:t>
            </w:r>
          </w:p>
        </w:tc>
      </w:tr>
      <w:tr w:rsidR="00000000">
        <w:tblPrEx>
          <w:tblCellMar>
            <w:top w:w="0" w:type="dxa"/>
            <w:left w:w="0" w:type="dxa"/>
            <w:bottom w:w="0" w:type="dxa"/>
            <w:right w:w="0" w:type="dxa"/>
          </w:tblCellMar>
        </w:tblPrEx>
        <w:trPr>
          <w:trHeight w:val="26"/>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8"/>
              <w:jc w:val="right"/>
              <w:rPr>
                <w:rFonts w:ascii="Times New Roman" w:hAnsi="Times New Roman" w:cs="Times New Roman"/>
                <w:sz w:val="24"/>
                <w:szCs w:val="24"/>
              </w:rPr>
            </w:pPr>
            <w:r>
              <w:rPr>
                <w:rFonts w:ascii="Times" w:hAnsi="Times" w:cs="Times"/>
                <w:b/>
                <w:bCs/>
                <w:sz w:val="16"/>
                <w:szCs w:val="16"/>
              </w:rPr>
              <w:t>2014</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w:hAnsi="Times" w:cs="Times"/>
                <w:b/>
                <w:bCs/>
                <w:sz w:val="16"/>
                <w:szCs w:val="16"/>
              </w:rPr>
              <w:t>2013</w:t>
            </w:r>
          </w:p>
        </w:tc>
      </w:tr>
      <w:tr w:rsidR="00000000">
        <w:tblPrEx>
          <w:tblCellMar>
            <w:top w:w="0" w:type="dxa"/>
            <w:left w:w="0" w:type="dxa"/>
            <w:bottom w:w="0" w:type="dxa"/>
            <w:right w:w="0" w:type="dxa"/>
          </w:tblCellMar>
        </w:tblPrEx>
        <w:trPr>
          <w:trHeight w:val="26"/>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Insurance and other . . . . . . . . . . .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$27,397</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$28,785</w:t>
            </w: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 xml:space="preserve">Finance and financial products . . . . . . . . . . . . . . . . . . . . . . . . . . . . . . . . . . </w:t>
            </w:r>
            <w:r>
              <w:rPr>
                <w:rFonts w:ascii="Times" w:hAnsi="Times" w:cs="Times"/>
                <w:sz w:val="20"/>
                <w:szCs w:val="20"/>
              </w:rPr>
              <w:t>.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239</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568</w:t>
            </w:r>
          </w:p>
        </w:tc>
      </w:tr>
      <w:tr w:rsidR="00000000">
        <w:tblPrEx>
          <w:tblCellMar>
            <w:top w:w="0" w:type="dxa"/>
            <w:left w:w="0" w:type="dxa"/>
            <w:bottom w:w="0" w:type="dxa"/>
            <w:right w:w="0" w:type="dxa"/>
          </w:tblCellMar>
        </w:tblPrEx>
        <w:trPr>
          <w:trHeight w:val="28"/>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$27,636</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$29,353</w:t>
            </w:r>
          </w:p>
        </w:tc>
      </w:tr>
      <w:tr w:rsidR="00000000">
        <w:tblPrEx>
          <w:tblCellMar>
            <w:top w:w="0" w:type="dxa"/>
            <w:left w:w="0" w:type="dxa"/>
            <w:bottom w:w="0" w:type="dxa"/>
            <w:right w:w="0" w:type="dxa"/>
          </w:tblCellMar>
        </w:tblPrEx>
        <w:trPr>
          <w:trHeight w:val="28"/>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Investments in foreign government securities include securities issued by national and provincial government entities as well as instruments that are unconditionally guaranteed by such entities. As of December 31, 2014, approximately 93% of foreign governm</w:t>
      </w:r>
      <w:r>
        <w:rPr>
          <w:rFonts w:ascii="Times" w:hAnsi="Times" w:cs="Times"/>
          <w:sz w:val="20"/>
          <w:szCs w:val="20"/>
        </w:rPr>
        <w:t>ent holdings were rated AA or higher by at least one of the major rating agencies. Approximately 77% of foreign government holdings were issued or guaranteed by the United Kingdom, Germany, Australia, Canada or The Netherlands. Unrealized losses on all fix</w:t>
      </w:r>
      <w:r>
        <w:rPr>
          <w:rFonts w:ascii="Times" w:hAnsi="Times" w:cs="Times"/>
          <w:sz w:val="20"/>
          <w:szCs w:val="20"/>
        </w:rPr>
        <w:t>ed maturity investments in a continuous unrealized loss position for more than twelve consecutive months were $15 million as of December 31, 2014 and $26 million as of December 31, 2013.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60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(3)  Investments in fixed maturity securities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 xml:space="preserve">The amortized cost and estimated fair value of securities with fixed maturities at December 31, 2014 are summarized below by contractual maturity dates. Actual maturities will differ from contractual maturities because issuers of certain of the securities </w:t>
      </w:r>
      <w:r>
        <w:rPr>
          <w:rFonts w:ascii="Times" w:hAnsi="Times" w:cs="Times"/>
          <w:sz w:val="20"/>
          <w:szCs w:val="20"/>
        </w:rPr>
        <w:t>retain early call or prepayment rights. Amounts are in millions.</w:t>
      </w:r>
    </w:p>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160"/>
        <w:gridCol w:w="780"/>
        <w:gridCol w:w="200"/>
        <w:gridCol w:w="920"/>
        <w:gridCol w:w="200"/>
        <w:gridCol w:w="960"/>
        <w:gridCol w:w="200"/>
        <w:gridCol w:w="640"/>
        <w:gridCol w:w="200"/>
        <w:gridCol w:w="1220"/>
        <w:gridCol w:w="200"/>
        <w:gridCol w:w="640"/>
      </w:tblGrid>
      <w:tr w:rsidR="00000000">
        <w:tblPrEx>
          <w:tblCellMar>
            <w:top w:w="0" w:type="dxa"/>
            <w:left w:w="0" w:type="dxa"/>
            <w:bottom w:w="0" w:type="dxa"/>
            <w:right w:w="0" w:type="dxa"/>
          </w:tblCellMar>
        </w:tblPrEx>
        <w:trPr>
          <w:trHeight w:val="184"/>
        </w:trPr>
        <w:tc>
          <w:tcPr>
            <w:tcW w:w="4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w w:val="99"/>
                <w:sz w:val="16"/>
                <w:szCs w:val="16"/>
              </w:rPr>
              <w:t>Due after one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w w:val="98"/>
                <w:sz w:val="16"/>
                <w:szCs w:val="16"/>
              </w:rPr>
              <w:t>Due after five</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160"/>
        </w:trPr>
        <w:tc>
          <w:tcPr>
            <w:tcW w:w="4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left="20"/>
              <w:rPr>
                <w:rFonts w:ascii="Times New Roman" w:hAnsi="Times New Roman" w:cs="Times New Roman"/>
                <w:sz w:val="24"/>
                <w:szCs w:val="24"/>
              </w:rPr>
            </w:pPr>
            <w:r>
              <w:rPr>
                <w:rFonts w:ascii="Times" w:hAnsi="Times" w:cs="Times"/>
                <w:b/>
                <w:bCs/>
                <w:sz w:val="16"/>
                <w:szCs w:val="16"/>
              </w:rPr>
              <w:t>Due in one</w:t>
            </w:r>
          </w:p>
        </w:tc>
        <w:tc>
          <w:tcPr>
            <w:tcW w:w="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w w:val="98"/>
                <w:sz w:val="16"/>
                <w:szCs w:val="16"/>
              </w:rPr>
              <w:t>year through</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0"/>
              <w:jc w:val="center"/>
              <w:rPr>
                <w:rFonts w:ascii="Times New Roman" w:hAnsi="Times New Roman" w:cs="Times New Roman"/>
                <w:sz w:val="24"/>
                <w:szCs w:val="24"/>
              </w:rPr>
            </w:pPr>
            <w:r>
              <w:rPr>
                <w:rFonts w:ascii="Times" w:hAnsi="Times" w:cs="Times"/>
                <w:b/>
                <w:bCs/>
                <w:sz w:val="16"/>
                <w:szCs w:val="16"/>
              </w:rPr>
              <w:t>years through</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rPr>
                <w:rFonts w:ascii="Times New Roman" w:hAnsi="Times New Roman" w:cs="Times New Roman"/>
                <w:sz w:val="24"/>
                <w:szCs w:val="24"/>
              </w:rPr>
            </w:pPr>
            <w:r>
              <w:rPr>
                <w:rFonts w:ascii="Times" w:hAnsi="Times" w:cs="Times"/>
                <w:b/>
                <w:bCs/>
                <w:sz w:val="16"/>
                <w:szCs w:val="16"/>
              </w:rPr>
              <w:t>Due after</w:t>
            </w:r>
          </w:p>
        </w:tc>
        <w:tc>
          <w:tcPr>
            <w:tcW w:w="14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0"/>
              <w:jc w:val="center"/>
              <w:rPr>
                <w:rFonts w:ascii="Times New Roman" w:hAnsi="Times New Roman" w:cs="Times New Roman"/>
                <w:sz w:val="24"/>
                <w:szCs w:val="24"/>
              </w:rPr>
            </w:pPr>
            <w:r>
              <w:rPr>
                <w:rFonts w:ascii="Times" w:hAnsi="Times" w:cs="Times"/>
                <w:b/>
                <w:bCs/>
                <w:sz w:val="16"/>
                <w:szCs w:val="16"/>
              </w:rPr>
              <w:t>Mortgage-backed</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r>
      <w:tr w:rsidR="00000000">
        <w:tblPrEx>
          <w:tblCellMar>
            <w:top w:w="0" w:type="dxa"/>
            <w:left w:w="0" w:type="dxa"/>
            <w:bottom w:w="0" w:type="dxa"/>
            <w:right w:w="0" w:type="dxa"/>
          </w:tblCellMar>
        </w:tblPrEx>
        <w:trPr>
          <w:trHeight w:val="182"/>
        </w:trPr>
        <w:tc>
          <w:tcPr>
            <w:tcW w:w="4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r>
              <w:rPr>
                <w:rFonts w:ascii="Times" w:hAnsi="Times" w:cs="Times"/>
                <w:b/>
                <w:bCs/>
                <w:sz w:val="16"/>
                <w:szCs w:val="16"/>
              </w:rPr>
              <w:t>year or less</w:t>
            </w:r>
          </w:p>
        </w:tc>
        <w:tc>
          <w:tcPr>
            <w:tcW w:w="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w w:val="97"/>
                <w:sz w:val="16"/>
                <w:szCs w:val="16"/>
              </w:rPr>
              <w:t>five years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00"/>
              <w:jc w:val="center"/>
              <w:rPr>
                <w:rFonts w:ascii="Times New Roman" w:hAnsi="Times New Roman" w:cs="Times New Roman"/>
                <w:sz w:val="24"/>
                <w:szCs w:val="24"/>
              </w:rPr>
            </w:pPr>
            <w:r>
              <w:rPr>
                <w:rFonts w:ascii="Times" w:hAnsi="Times" w:cs="Times"/>
                <w:b/>
                <w:bCs/>
                <w:w w:val="97"/>
                <w:sz w:val="16"/>
                <w:szCs w:val="16"/>
              </w:rPr>
              <w:t>ten years</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20"/>
              <w:rPr>
                <w:rFonts w:ascii="Times New Roman" w:hAnsi="Times New Roman" w:cs="Times New Roman"/>
                <w:sz w:val="24"/>
                <w:szCs w:val="24"/>
              </w:rPr>
            </w:pPr>
            <w:r>
              <w:rPr>
                <w:rFonts w:ascii="Times" w:hAnsi="Times" w:cs="Times"/>
                <w:b/>
                <w:bCs/>
                <w:sz w:val="16"/>
                <w:szCs w:val="16"/>
              </w:rPr>
              <w:t>ten years</w:t>
            </w:r>
          </w:p>
        </w:tc>
        <w:tc>
          <w:tcPr>
            <w:tcW w:w="14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20"/>
              <w:jc w:val="center"/>
              <w:rPr>
                <w:rFonts w:ascii="Times New Roman" w:hAnsi="Times New Roman" w:cs="Times New Roman"/>
                <w:sz w:val="24"/>
                <w:szCs w:val="24"/>
              </w:rPr>
            </w:pPr>
            <w:r>
              <w:rPr>
                <w:rFonts w:ascii="Times" w:hAnsi="Times" w:cs="Times"/>
                <w:b/>
                <w:bCs/>
                <w:w w:val="99"/>
                <w:sz w:val="16"/>
                <w:szCs w:val="16"/>
              </w:rPr>
              <w:t>securities</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47"/>
              <w:jc w:val="right"/>
              <w:rPr>
                <w:rFonts w:ascii="Times New Roman" w:hAnsi="Times New Roman" w:cs="Times New Roman"/>
                <w:sz w:val="24"/>
                <w:szCs w:val="24"/>
              </w:rPr>
            </w:pPr>
            <w:r>
              <w:rPr>
                <w:rFonts w:ascii="Times" w:hAnsi="Times" w:cs="Times"/>
                <w:b/>
                <w:bCs/>
                <w:sz w:val="16"/>
                <w:szCs w:val="16"/>
              </w:rPr>
              <w:t>Total</w:t>
            </w:r>
          </w:p>
        </w:tc>
      </w:tr>
      <w:tr w:rsidR="00000000">
        <w:tblPrEx>
          <w:tblCellMar>
            <w:top w:w="0" w:type="dxa"/>
            <w:left w:w="0" w:type="dxa"/>
            <w:bottom w:w="0" w:type="dxa"/>
            <w:right w:w="0" w:type="dxa"/>
          </w:tblCellMar>
        </w:tblPrEx>
        <w:trPr>
          <w:trHeight w:val="26"/>
        </w:trPr>
        <w:tc>
          <w:tcPr>
            <w:tcW w:w="4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4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Amortized cost . . . . . . . . . . . . . . . . . . . . . . . . . . .</w:t>
            </w: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
              <w:jc w:val="right"/>
              <w:rPr>
                <w:rFonts w:ascii="Times New Roman" w:hAnsi="Times New Roman" w:cs="Times New Roman"/>
                <w:sz w:val="24"/>
                <w:szCs w:val="24"/>
              </w:rPr>
            </w:pPr>
            <w:r>
              <w:rPr>
                <w:rFonts w:ascii="Times" w:hAnsi="Times" w:cs="Times"/>
                <w:sz w:val="20"/>
                <w:szCs w:val="20"/>
              </w:rPr>
              <w:t>$7,650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52"/>
              <w:jc w:val="right"/>
              <w:rPr>
                <w:rFonts w:ascii="Times New Roman" w:hAnsi="Times New Roman" w:cs="Times New Roman"/>
                <w:sz w:val="24"/>
                <w:szCs w:val="24"/>
              </w:rPr>
            </w:pPr>
            <w:r>
              <w:rPr>
                <w:rFonts w:ascii="Times" w:hAnsi="Times" w:cs="Times"/>
                <w:sz w:val="20"/>
                <w:szCs w:val="20"/>
              </w:rPr>
              <w:t>$11,341</w:t>
            </w:r>
          </w:p>
        </w:tc>
        <w:tc>
          <w:tcPr>
            <w:tcW w:w="1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$2,782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$2,695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50"/>
              <w:jc w:val="right"/>
              <w:rPr>
                <w:rFonts w:ascii="Times New Roman" w:hAnsi="Times New Roman" w:cs="Times New Roman"/>
                <w:sz w:val="24"/>
                <w:szCs w:val="24"/>
              </w:rPr>
            </w:pPr>
            <w:r>
              <w:rPr>
                <w:rFonts w:ascii="Times" w:hAnsi="Times" w:cs="Times"/>
                <w:sz w:val="20"/>
                <w:szCs w:val="20"/>
              </w:rPr>
              <w:t>$1,555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$26,023</w:t>
            </w:r>
          </w:p>
        </w:tc>
      </w:tr>
      <w:tr w:rsidR="00000000">
        <w:tblPrEx>
          <w:tblCellMar>
            <w:top w:w="0" w:type="dxa"/>
            <w:left w:w="0" w:type="dxa"/>
            <w:bottom w:w="0" w:type="dxa"/>
            <w:right w:w="0" w:type="dxa"/>
          </w:tblCellMar>
        </w:tblPrEx>
        <w:trPr>
          <w:trHeight w:val="240"/>
        </w:trPr>
        <w:tc>
          <w:tcPr>
            <w:tcW w:w="4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Fair value . . . . . . . . . . . . . . . . . . . . . . . . . . . . . . .</w:t>
            </w:r>
          </w:p>
        </w:tc>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
              <w:jc w:val="right"/>
              <w:rPr>
                <w:rFonts w:ascii="Times New Roman" w:hAnsi="Times New Roman" w:cs="Times New Roman"/>
                <w:sz w:val="24"/>
                <w:szCs w:val="24"/>
              </w:rPr>
            </w:pPr>
            <w:r>
              <w:rPr>
                <w:rFonts w:ascii="Times" w:hAnsi="Times" w:cs="Times"/>
                <w:sz w:val="20"/>
                <w:szCs w:val="20"/>
              </w:rPr>
              <w:t>7,585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52"/>
              <w:jc w:val="right"/>
              <w:rPr>
                <w:rFonts w:ascii="Times New Roman" w:hAnsi="Times New Roman" w:cs="Times New Roman"/>
                <w:sz w:val="24"/>
                <w:szCs w:val="24"/>
              </w:rPr>
            </w:pPr>
            <w:r>
              <w:rPr>
                <w:rFonts w:ascii="Times" w:hAnsi="Times" w:cs="Times"/>
                <w:sz w:val="20"/>
                <w:szCs w:val="20"/>
              </w:rPr>
              <w:t>11,994</w:t>
            </w:r>
          </w:p>
        </w:tc>
        <w:tc>
          <w:tcPr>
            <w:tcW w:w="1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3,009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3,295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50"/>
              <w:jc w:val="right"/>
              <w:rPr>
                <w:rFonts w:ascii="Times New Roman" w:hAnsi="Times New Roman" w:cs="Times New Roman"/>
                <w:sz w:val="24"/>
                <w:szCs w:val="24"/>
              </w:rPr>
            </w:pPr>
            <w:r>
              <w:rPr>
                <w:rFonts w:ascii="Times" w:hAnsi="Times" w:cs="Times"/>
                <w:sz w:val="20"/>
                <w:szCs w:val="20"/>
              </w:rPr>
              <w:t>1,753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27,636</w:t>
            </w:r>
          </w:p>
        </w:tc>
      </w:tr>
    </w:tbl>
    <w:p w:rsidR="00000000" w:rsidRDefault="00A06965">
      <w:pPr>
        <w:pStyle w:val="DefaultParagraphFont"/>
        <w:widowControl w:val="0"/>
        <w:autoSpaceDE w:val="0"/>
        <w:autoSpaceDN w:val="0"/>
        <w:adjustRightInd w:val="0"/>
        <w:spacing w:after="0" w:line="37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(4)  Investments in equity securities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Investments in equity securities as of December 31, 2014 and 2013 are summarized based on the primary industry of the investee in the table below (in millions).</w:t>
      </w:r>
    </w:p>
    <w:p w:rsidR="00000000" w:rsidRDefault="00A06965">
      <w:pPr>
        <w:pStyle w:val="DefaultParagraphFont"/>
        <w:widowControl w:val="0"/>
        <w:autoSpaceDE w:val="0"/>
        <w:autoSpaceDN w:val="0"/>
        <w:adjustRightInd w:val="0"/>
        <w:spacing w:after="0" w:line="18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40"/>
        <w:gridCol w:w="3240"/>
        <w:gridCol w:w="20"/>
        <w:gridCol w:w="660"/>
        <w:gridCol w:w="20"/>
        <w:gridCol w:w="200"/>
        <w:gridCol w:w="40"/>
        <w:gridCol w:w="660"/>
        <w:gridCol w:w="40"/>
        <w:gridCol w:w="200"/>
        <w:gridCol w:w="60"/>
        <w:gridCol w:w="100"/>
        <w:gridCol w:w="520"/>
        <w:gridCol w:w="80"/>
        <w:gridCol w:w="200"/>
        <w:gridCol w:w="100"/>
        <w:gridCol w:w="640"/>
        <w:gridCol w:w="20"/>
      </w:tblGrid>
      <w:tr w:rsidR="00000000">
        <w:tblPrEx>
          <w:tblCellMar>
            <w:top w:w="0" w:type="dxa"/>
            <w:left w:w="0" w:type="dxa"/>
            <w:bottom w:w="0" w:type="dxa"/>
            <w:right w:w="0" w:type="dxa"/>
          </w:tblCellMar>
        </w:tblPrEx>
        <w:trPr>
          <w:trHeight w:val="184"/>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w w:val="99"/>
                <w:sz w:val="16"/>
                <w:szCs w:val="16"/>
              </w:rPr>
              <w:t>Unrealized</w:t>
            </w:r>
          </w:p>
        </w:tc>
        <w:tc>
          <w:tcPr>
            <w:tcW w:w="96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sz w:val="16"/>
                <w:szCs w:val="16"/>
              </w:rPr>
              <w:t>Unrealized</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7"/>
              <w:jc w:val="right"/>
              <w:rPr>
                <w:rFonts w:ascii="Times New Roman" w:hAnsi="Times New Roman" w:cs="Times New Roman"/>
                <w:sz w:val="24"/>
                <w:szCs w:val="24"/>
              </w:rPr>
            </w:pPr>
            <w:r>
              <w:rPr>
                <w:rFonts w:ascii="Times" w:hAnsi="Times" w:cs="Times"/>
                <w:b/>
                <w:bCs/>
                <w:sz w:val="16"/>
                <w:szCs w:val="16"/>
              </w:rPr>
              <w:t>Fair</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r>
              <w:rPr>
                <w:rFonts w:ascii="Times" w:hAnsi="Times" w:cs="Times"/>
                <w:b/>
                <w:bCs/>
                <w:sz w:val="16"/>
                <w:szCs w:val="16"/>
              </w:rPr>
              <w:t>Cost Basis</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20"/>
              <w:jc w:val="center"/>
              <w:rPr>
                <w:rFonts w:ascii="Times New Roman" w:hAnsi="Times New Roman" w:cs="Times New Roman"/>
                <w:sz w:val="24"/>
                <w:szCs w:val="24"/>
              </w:rPr>
            </w:pPr>
            <w:r>
              <w:rPr>
                <w:rFonts w:ascii="Times" w:hAnsi="Times" w:cs="Times"/>
                <w:b/>
                <w:bCs/>
                <w:w w:val="99"/>
                <w:sz w:val="16"/>
                <w:szCs w:val="16"/>
              </w:rPr>
              <w:t>Gains</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60"/>
              <w:jc w:val="center"/>
              <w:rPr>
                <w:rFonts w:ascii="Times New Roman" w:hAnsi="Times New Roman" w:cs="Times New Roman"/>
                <w:sz w:val="24"/>
                <w:szCs w:val="24"/>
              </w:rPr>
            </w:pPr>
            <w:r>
              <w:rPr>
                <w:rFonts w:ascii="Times" w:hAnsi="Times" w:cs="Times"/>
                <w:b/>
                <w:bCs/>
                <w:w w:val="98"/>
                <w:sz w:val="16"/>
                <w:szCs w:val="16"/>
              </w:rPr>
              <w:t>Losses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87"/>
              <w:jc w:val="right"/>
              <w:rPr>
                <w:rFonts w:ascii="Times New Roman" w:hAnsi="Times New Roman" w:cs="Times New Roman"/>
                <w:sz w:val="24"/>
                <w:szCs w:val="24"/>
              </w:rPr>
            </w:pPr>
            <w:r>
              <w:rPr>
                <w:rFonts w:ascii="Times" w:hAnsi="Times" w:cs="Times"/>
                <w:b/>
                <w:bCs/>
                <w:sz w:val="16"/>
                <w:szCs w:val="16"/>
              </w:rPr>
              <w:t>Value</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78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i/>
                <w:iCs/>
                <w:sz w:val="20"/>
                <w:szCs w:val="20"/>
              </w:rPr>
              <w:t>December 31, 2014 *</w:t>
            </w: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78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Banks, insurance and finance . . . . . . . . . . . . . . . . . . . . . . . . . . . . . . . . . . . . . . . . . .</w:t>
            </w: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$22,495</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$33,170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20"/>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55,665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Consumer products . . . . . . . . . . . . . . . . . . . . . . . . . . . . . . . . . . . . . . . . . . . . . . . . . .</w:t>
            </w: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6,951</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18,389</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(1)</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25,339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Commercial, industrial and other . . . . . . . . . . . . . . . . . . . . . . . . . . . . . . . . . . . . . . .</w:t>
            </w: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28,924</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8,578</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w w:val="99"/>
                <w:sz w:val="20"/>
                <w:szCs w:val="20"/>
              </w:rPr>
              <w:t>(1,036)</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36,466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$58,370</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$60,137</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w w:val="99"/>
                <w:sz w:val="20"/>
                <w:szCs w:val="20"/>
              </w:rPr>
              <w:t>(1,037)</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117,470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0"/>
        </w:trPr>
        <w:tc>
          <w:tcPr>
            <w:tcW w:w="3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64" w:lineRule="exact"/>
        <w:rPr>
          <w:rFonts w:ascii="Times New Roman" w:hAnsi="Times New Roman" w:cs="Times New Roman"/>
          <w:sz w:val="24"/>
          <w:szCs w:val="24"/>
        </w:rPr>
      </w:pPr>
    </w:p>
    <w:p w:rsidR="00000000" w:rsidRDefault="00A06965">
      <w:pPr>
        <w:pStyle w:val="DefaultParagraphFont"/>
        <w:widowControl w:val="0"/>
        <w:numPr>
          <w:ilvl w:val="0"/>
          <w:numId w:val="28"/>
        </w:numPr>
        <w:tabs>
          <w:tab w:val="clear" w:pos="720"/>
          <w:tab w:val="num" w:pos="200"/>
        </w:tabs>
        <w:overflowPunct w:val="0"/>
        <w:autoSpaceDE w:val="0"/>
        <w:autoSpaceDN w:val="0"/>
        <w:adjustRightInd w:val="0"/>
        <w:spacing w:after="0" w:line="244" w:lineRule="auto"/>
        <w:ind w:left="200" w:hanging="200"/>
        <w:jc w:val="both"/>
        <w:rPr>
          <w:rFonts w:ascii="Times" w:hAnsi="Times" w:cs="Times"/>
          <w:i/>
          <w:iCs/>
          <w:sz w:val="20"/>
          <w:szCs w:val="20"/>
        </w:rPr>
      </w:pPr>
      <w:r>
        <w:rPr>
          <w:rFonts w:ascii="Times" w:hAnsi="Times" w:cs="Times"/>
          <w:i/>
          <w:iCs/>
          <w:sz w:val="20"/>
          <w:szCs w:val="20"/>
        </w:rPr>
        <w:t>Approximately 59% of the aggregate fair value was concentrated in the equity securities of four companies (American Express Company – $14.1 billion; Wells Fargo &amp; Company – $26.5 billion; International Business Machines Corporation – $12.3 billion; and The</w:t>
      </w:r>
      <w:r>
        <w:rPr>
          <w:rFonts w:ascii="Times" w:hAnsi="Times" w:cs="Times"/>
          <w:i/>
          <w:iCs/>
          <w:sz w:val="20"/>
          <w:szCs w:val="20"/>
        </w:rPr>
        <w:t xml:space="preserve"> Coca-Cola Company – $16.9 billion).</w:t>
      </w:r>
    </w:p>
    <w:p w:rsidR="00000000" w:rsidRDefault="00A06965">
      <w:pPr>
        <w:pStyle w:val="DefaultParagraphFont"/>
        <w:widowControl w:val="0"/>
        <w:autoSpaceDE w:val="0"/>
        <w:autoSpaceDN w:val="0"/>
        <w:adjustRightInd w:val="0"/>
        <w:spacing w:after="0" w:line="18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40"/>
        <w:gridCol w:w="3240"/>
        <w:gridCol w:w="20"/>
        <w:gridCol w:w="660"/>
        <w:gridCol w:w="20"/>
        <w:gridCol w:w="200"/>
        <w:gridCol w:w="40"/>
        <w:gridCol w:w="660"/>
        <w:gridCol w:w="40"/>
        <w:gridCol w:w="200"/>
        <w:gridCol w:w="140"/>
        <w:gridCol w:w="480"/>
        <w:gridCol w:w="140"/>
        <w:gridCol w:w="200"/>
        <w:gridCol w:w="100"/>
        <w:gridCol w:w="640"/>
        <w:gridCol w:w="20"/>
      </w:tblGrid>
      <w:tr w:rsidR="00000000">
        <w:tblPrEx>
          <w:tblCellMar>
            <w:top w:w="0" w:type="dxa"/>
            <w:left w:w="0" w:type="dxa"/>
            <w:bottom w:w="0" w:type="dxa"/>
            <w:right w:w="0" w:type="dxa"/>
          </w:tblCellMar>
        </w:tblPrEx>
        <w:trPr>
          <w:trHeight w:val="184"/>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w w:val="99"/>
                <w:sz w:val="16"/>
                <w:szCs w:val="16"/>
              </w:rPr>
              <w:t>Unrealized</w:t>
            </w:r>
          </w:p>
        </w:tc>
        <w:tc>
          <w:tcPr>
            <w:tcW w:w="9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sz w:val="16"/>
                <w:szCs w:val="16"/>
              </w:rPr>
              <w:t>Unrealized</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7"/>
              <w:jc w:val="right"/>
              <w:rPr>
                <w:rFonts w:ascii="Times New Roman" w:hAnsi="Times New Roman" w:cs="Times New Roman"/>
                <w:sz w:val="24"/>
                <w:szCs w:val="24"/>
              </w:rPr>
            </w:pPr>
            <w:r>
              <w:rPr>
                <w:rFonts w:ascii="Times" w:hAnsi="Times" w:cs="Times"/>
                <w:b/>
                <w:bCs/>
                <w:sz w:val="16"/>
                <w:szCs w:val="16"/>
              </w:rPr>
              <w:t>Fair</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r>
              <w:rPr>
                <w:rFonts w:ascii="Times" w:hAnsi="Times" w:cs="Times"/>
                <w:b/>
                <w:bCs/>
                <w:sz w:val="16"/>
                <w:szCs w:val="16"/>
              </w:rPr>
              <w:t>Cost Basis</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20"/>
              <w:jc w:val="center"/>
              <w:rPr>
                <w:rFonts w:ascii="Times New Roman" w:hAnsi="Times New Roman" w:cs="Times New Roman"/>
                <w:sz w:val="24"/>
                <w:szCs w:val="24"/>
              </w:rPr>
            </w:pPr>
            <w:r>
              <w:rPr>
                <w:rFonts w:ascii="Times" w:hAnsi="Times" w:cs="Times"/>
                <w:b/>
                <w:bCs/>
                <w:w w:val="99"/>
                <w:sz w:val="16"/>
                <w:szCs w:val="16"/>
              </w:rPr>
              <w:t>Gains</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340"/>
              <w:jc w:val="center"/>
              <w:rPr>
                <w:rFonts w:ascii="Times New Roman" w:hAnsi="Times New Roman" w:cs="Times New Roman"/>
                <w:sz w:val="24"/>
                <w:szCs w:val="24"/>
              </w:rPr>
            </w:pPr>
            <w:r>
              <w:rPr>
                <w:rFonts w:ascii="Times" w:hAnsi="Times" w:cs="Times"/>
                <w:b/>
                <w:bCs/>
                <w:w w:val="98"/>
                <w:sz w:val="16"/>
                <w:szCs w:val="16"/>
              </w:rPr>
              <w:t>Losses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87"/>
              <w:jc w:val="right"/>
              <w:rPr>
                <w:rFonts w:ascii="Times New Roman" w:hAnsi="Times New Roman" w:cs="Times New Roman"/>
                <w:sz w:val="24"/>
                <w:szCs w:val="24"/>
              </w:rPr>
            </w:pPr>
            <w:r>
              <w:rPr>
                <w:rFonts w:ascii="Times" w:hAnsi="Times" w:cs="Times"/>
                <w:b/>
                <w:bCs/>
                <w:sz w:val="16"/>
                <w:szCs w:val="16"/>
              </w:rPr>
              <w:t>Value</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78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December 31, 2013 *</w:t>
            </w: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78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Banks, insurance and finance . . . . . . . . . . . . . . . . . . . . . . . . . . . . . . . . . . . . . . . . . .</w:t>
            </w: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$22,420</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$28,021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40"/>
              <w:jc w:val="right"/>
              <w:rPr>
                <w:rFonts w:ascii="Times New Roman" w:hAnsi="Times New Roman" w:cs="Times New Roman"/>
                <w:sz w:val="24"/>
                <w:szCs w:val="24"/>
              </w:rPr>
            </w:pPr>
            <w:r>
              <w:rPr>
                <w:rFonts w:ascii="Times" w:hAnsi="Times" w:cs="Times"/>
                <w:sz w:val="20"/>
                <w:szCs w:val="20"/>
              </w:rPr>
              <w:t>$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50,441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Consumer products . . . . . . . . . . . . . . . . . . . . . . . . . . . . . . . . . . . . . . . . . . . . . . . . . .</w:t>
            </w: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7,082</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17,854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40"/>
              <w:jc w:val="right"/>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24,936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Commercial, industrial and other . . . . . . . . . . . . . . . . . . . . . . . . . . . . . . . . . . . . . . .</w:t>
            </w: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29,949</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12,322</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sz w:val="20"/>
                <w:szCs w:val="20"/>
              </w:rPr>
              <w:t>(143)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42,128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$59,451</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$58,197</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0"/>
              <w:jc w:val="right"/>
              <w:rPr>
                <w:rFonts w:ascii="Times New Roman" w:hAnsi="Times New Roman" w:cs="Times New Roman"/>
                <w:sz w:val="24"/>
                <w:szCs w:val="24"/>
              </w:rPr>
            </w:pPr>
            <w:r>
              <w:rPr>
                <w:rFonts w:ascii="Times" w:hAnsi="Times" w:cs="Times"/>
                <w:sz w:val="20"/>
                <w:szCs w:val="20"/>
              </w:rPr>
              <w:t>$(143)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117,505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0"/>
        </w:trPr>
        <w:tc>
          <w:tcPr>
            <w:tcW w:w="3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64" w:lineRule="exact"/>
        <w:rPr>
          <w:rFonts w:ascii="Times New Roman" w:hAnsi="Times New Roman" w:cs="Times New Roman"/>
          <w:sz w:val="24"/>
          <w:szCs w:val="24"/>
        </w:rPr>
      </w:pPr>
    </w:p>
    <w:p w:rsidR="00000000" w:rsidRDefault="00A06965">
      <w:pPr>
        <w:pStyle w:val="DefaultParagraphFont"/>
        <w:widowControl w:val="0"/>
        <w:numPr>
          <w:ilvl w:val="0"/>
          <w:numId w:val="29"/>
        </w:numPr>
        <w:tabs>
          <w:tab w:val="clear" w:pos="720"/>
          <w:tab w:val="num" w:pos="200"/>
        </w:tabs>
        <w:overflowPunct w:val="0"/>
        <w:autoSpaceDE w:val="0"/>
        <w:autoSpaceDN w:val="0"/>
        <w:adjustRightInd w:val="0"/>
        <w:spacing w:after="0" w:line="244" w:lineRule="auto"/>
        <w:ind w:left="200" w:hanging="200"/>
        <w:jc w:val="both"/>
        <w:rPr>
          <w:rFonts w:ascii="Times" w:hAnsi="Times" w:cs="Times"/>
          <w:i/>
          <w:iCs/>
          <w:sz w:val="20"/>
          <w:szCs w:val="20"/>
        </w:rPr>
      </w:pPr>
      <w:r>
        <w:rPr>
          <w:rFonts w:ascii="Times" w:hAnsi="Times" w:cs="Times"/>
          <w:i/>
          <w:iCs/>
          <w:sz w:val="20"/>
          <w:szCs w:val="20"/>
        </w:rPr>
        <w:t>Approximately 55% of the aggregate fair value was concentrated in the equity securities of four companies (American Express Company –</w:t>
      </w:r>
      <w:r>
        <w:rPr>
          <w:rFonts w:ascii="Times" w:hAnsi="Times" w:cs="Times"/>
          <w:i/>
          <w:iCs/>
          <w:sz w:val="20"/>
          <w:szCs w:val="20"/>
        </w:rPr>
        <w:t xml:space="preserve"> $13.8 billion; Wells Fargo &amp; Company – $21.9 billion; International Business Machines Corporation – $12.8 billion; and The Coca-Cola Company – $16.5 billion).</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As of December 31, 2014 and 2013, we concluded that there were no unrealized losses that were other than temporary. Our conclusions were based on: (a) our ability and intent to hold the securities to recovery; (b) our assessment that the underlying busines</w:t>
      </w:r>
      <w:r>
        <w:rPr>
          <w:rFonts w:ascii="Times" w:hAnsi="Times" w:cs="Times"/>
          <w:sz w:val="20"/>
          <w:szCs w:val="20"/>
        </w:rPr>
        <w:t>s and financial condition of each of these issuers was favorable; (c) our opinion that the relative price declines were not significant; and (d) our belief that market prices will increase to and exceed our cost. As of December 31, 2014 and 2013, unrealize</w:t>
      </w:r>
      <w:r>
        <w:rPr>
          <w:rFonts w:ascii="Times" w:hAnsi="Times" w:cs="Times"/>
          <w:sz w:val="20"/>
          <w:szCs w:val="20"/>
        </w:rPr>
        <w:t>d losses on equity securities in a continuous unrealized loss position for more than twelve consecutive months were $65 million and $52 million, respectively.</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8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61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Notes to Co</w:t>
      </w:r>
      <w:r>
        <w:rPr>
          <w:rFonts w:ascii="Times" w:hAnsi="Times" w:cs="Times"/>
          <w:b/>
          <w:bCs/>
          <w:sz w:val="20"/>
          <w:szCs w:val="20"/>
        </w:rPr>
        <w:t xml:space="preserve">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numPr>
          <w:ilvl w:val="0"/>
          <w:numId w:val="30"/>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 xml:space="preserve">Investments in equity securities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overflowPunct w:val="0"/>
        <w:autoSpaceDE w:val="0"/>
        <w:autoSpaceDN w:val="0"/>
        <w:adjustRightInd w:val="0"/>
        <w:spacing w:after="0" w:line="239" w:lineRule="auto"/>
        <w:ind w:left="400"/>
        <w:jc w:val="both"/>
        <w:rPr>
          <w:rFonts w:ascii="Times" w:hAnsi="Times" w:cs="Times"/>
          <w:b/>
          <w:bCs/>
          <w:sz w:val="20"/>
          <w:szCs w:val="20"/>
        </w:rPr>
      </w:pPr>
      <w:r>
        <w:rPr>
          <w:rFonts w:ascii="Times" w:hAnsi="Times" w:cs="Times"/>
          <w:sz w:val="20"/>
          <w:szCs w:val="20"/>
        </w:rPr>
        <w:t>Investments in equity securities are reflected in our Consolidated Balance Sheets as follows (in millions).</w:t>
      </w:r>
    </w:p>
    <w:p w:rsidR="00000000" w:rsidRDefault="00A06965">
      <w:pPr>
        <w:pStyle w:val="DefaultParagraphFont"/>
        <w:widowControl w:val="0"/>
        <w:autoSpaceDE w:val="0"/>
        <w:autoSpaceDN w:val="0"/>
        <w:adjustRightInd w:val="0"/>
        <w:spacing w:after="0" w:line="19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ind w:left="9000"/>
        <w:rPr>
          <w:rFonts w:ascii="Times New Roman" w:hAnsi="Times New Roman" w:cs="Times New Roman"/>
          <w:sz w:val="24"/>
          <w:szCs w:val="24"/>
        </w:rPr>
      </w:pPr>
      <w:r>
        <w:rPr>
          <w:rFonts w:ascii="Times" w:hAnsi="Times" w:cs="Times"/>
          <w:b/>
          <w:bCs/>
          <w:sz w:val="16"/>
          <w:szCs w:val="16"/>
        </w:rPr>
        <w:t>December 31,</w:t>
      </w:r>
    </w:p>
    <w:p w:rsidR="00000000" w:rsidRDefault="00A06965">
      <w:pPr>
        <w:pStyle w:val="DefaultParagraphFont"/>
        <w:widowControl w:val="0"/>
        <w:autoSpaceDE w:val="0"/>
        <w:autoSpaceDN w:val="0"/>
        <w:adjustRightInd w:val="0"/>
        <w:spacing w:after="0" w:line="56" w:lineRule="exact"/>
        <w:rPr>
          <w:rFonts w:ascii="Times New Roman" w:hAnsi="Times New Roman" w:cs="Times New Roman"/>
          <w:sz w:val="24"/>
          <w:szCs w:val="24"/>
        </w:rPr>
      </w:pPr>
      <w:r>
        <w:rPr>
          <w:noProof/>
        </w:rPr>
        <mc:AlternateContent>
          <mc:Choice Requires="wps">
            <w:drawing>
              <wp:anchor distT="0" distB="0" distL="114300" distR="114300" simplePos="0" relativeHeight="251672576" behindDoc="1" locked="0" layoutInCell="0" allowOverlap="1">
                <wp:simplePos x="0" y="0"/>
                <wp:positionH relativeFrom="column">
                  <wp:posOffset>5473700</wp:posOffset>
                </wp:positionH>
                <wp:positionV relativeFrom="paragraph">
                  <wp:posOffset>22225</wp:posOffset>
                </wp:positionV>
                <wp:extent cx="1079500" cy="0"/>
                <wp:effectExtent l="0" t="0" r="0" b="0"/>
                <wp:wrapNone/>
                <wp:docPr id="5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pt,1.75pt" to="5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" o:allowincell="f" strokeweight="1pt"/>
            </w:pict>
          </mc:Fallback>
        </mc:AlternateContent>
      </w:r>
    </w:p>
    <w:p w:rsidR="00000000" w:rsidRDefault="00A06965">
      <w:pPr>
        <w:pStyle w:val="DefaultParagraphFont"/>
        <w:widowControl w:val="0"/>
        <w:tabs>
          <w:tab w:val="num" w:pos="9760"/>
        </w:tabs>
        <w:overflowPunct w:val="0"/>
        <w:autoSpaceDE w:val="0"/>
        <w:autoSpaceDN w:val="0"/>
        <w:adjustRightInd w:val="0"/>
        <w:spacing w:after="0" w:line="240" w:lineRule="auto"/>
        <w:ind w:left="8840"/>
        <w:rPr>
          <w:rFonts w:ascii="Times New Roman" w:hAnsi="Times New Roman" w:cs="Times New Roman"/>
          <w:sz w:val="24"/>
          <w:szCs w:val="24"/>
        </w:rPr>
      </w:pPr>
      <w:r>
        <w:rPr>
          <w:rFonts w:ascii="Times" w:hAnsi="Times" w:cs="Times"/>
          <w:b/>
          <w:bCs/>
          <w:sz w:val="16"/>
          <w:szCs w:val="16"/>
        </w:rPr>
        <w:t>2014</w:t>
      </w:r>
      <w:r>
        <w:rPr>
          <w:rFonts w:ascii="Times New Roman" w:hAnsi="Times New Roman" w:cs="Times New Roman"/>
          <w:sz w:val="24"/>
          <w:szCs w:val="24"/>
        </w:rPr>
        <w:tab/>
      </w:r>
      <w:r>
        <w:rPr>
          <w:rFonts w:ascii="Times" w:hAnsi="Times" w:cs="Times"/>
          <w:b/>
          <w:bCs/>
          <w:sz w:val="16"/>
          <w:szCs w:val="16"/>
        </w:rPr>
        <w:t>2013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1180" w:bottom="523" w:left="960" w:header="720" w:footer="720" w:gutter="0"/>
          <w:cols w:space="720" w:equalWidth="0">
            <w:col w:w="10100"/>
          </w:cols>
          <w:noEndnote/>
        </w:sectPr>
      </w:pPr>
      <w:r>
        <w:rPr>
          <w:noProof/>
        </w:rPr>
        <mc:AlternateContent>
          <mc:Choice Requires="wps">
            <w:drawing>
              <wp:anchor distT="0" distB="0" distL="114300" distR="114300" simplePos="0" relativeHeight="251673600" behindDoc="1" locked="0" layoutInCell="0" allowOverlap="1">
                <wp:simplePos x="0" y="0"/>
                <wp:positionH relativeFrom="column">
                  <wp:posOffset>5473700</wp:posOffset>
                </wp:positionH>
                <wp:positionV relativeFrom="paragraph">
                  <wp:posOffset>22225</wp:posOffset>
                </wp:positionV>
                <wp:extent cx="476250" cy="0"/>
                <wp:effectExtent l="0" t="0" r="0" b="0"/>
                <wp:wrapNone/>
                <wp:docPr id="5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pt,1.75pt" to="46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" o:allowincell="f" strokeweight="1pt"/>
            </w:pict>
          </mc:Fallback>
        </mc:AlternateContent>
      </w:r>
      <w:r>
        <w:rPr>
          <w:noProof/>
        </w:rPr>
        <mc:AlternateContent>
          <mc:Choice Requires="wps">
            <w:drawing>
              <wp:anchor distT="0" distB="0" distL="114300" distR="114300" simplePos="0" relativeHeight="251674624" behindDoc="1" locked="0" layoutInCell="0" allowOverlap="1">
                <wp:simplePos x="0" y="0"/>
                <wp:positionH relativeFrom="column">
                  <wp:posOffset>6076950</wp:posOffset>
                </wp:positionH>
                <wp:positionV relativeFrom="paragraph">
                  <wp:posOffset>22225</wp:posOffset>
                </wp:positionV>
                <wp:extent cx="476250" cy="0"/>
                <wp:effectExtent l="0" t="0" r="0" b="0"/>
                <wp:wrapNone/>
                <wp:docPr id="5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5pt,1.75pt" to="5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" o:allowincell="f" strokeweight="1pt"/>
            </w:pict>
          </mc:Fallback>
        </mc:AlternateContent>
      </w:r>
    </w:p>
    <w:p w:rsidR="00000000" w:rsidRDefault="00A06965">
      <w:pPr>
        <w:pStyle w:val="DefaultParagraphFont"/>
        <w:widowControl w:val="0"/>
        <w:autoSpaceDE w:val="0"/>
        <w:autoSpaceDN w:val="0"/>
        <w:adjustRightInd w:val="0"/>
        <w:spacing w:after="0" w:line="9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Insurance and other . . . . . . . . . . . . . . . . . . . . . . . . . . . . . . . . . . . . . . . . . . . . . . . . . . . . . . . . . . . . . . . . . . . .  $115,529</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tabs>
          <w:tab w:val="left" w:pos="9060"/>
        </w:tabs>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 xml:space="preserve">Railroad, utilities and energy * . . . . . . . . . . . . . . . . . . . . . . . . . . . . </w:t>
      </w:r>
      <w:r>
        <w:rPr>
          <w:rFonts w:ascii="Times" w:hAnsi="Times" w:cs="Times"/>
          <w:sz w:val="20"/>
          <w:szCs w:val="20"/>
        </w:rPr>
        <w:t>. . . . . . . . . . . . . . . . . . . . . . . . . . . . . . .</w:t>
      </w:r>
      <w:r>
        <w:rPr>
          <w:rFonts w:ascii="Times New Roman" w:hAnsi="Times New Roman" w:cs="Times New Roman"/>
          <w:sz w:val="24"/>
          <w:szCs w:val="24"/>
        </w:rPr>
        <w:tab/>
      </w:r>
      <w:r>
        <w:rPr>
          <w:rFonts w:ascii="Times" w:hAnsi="Times" w:cs="Times"/>
          <w:sz w:val="20"/>
          <w:szCs w:val="20"/>
        </w:rPr>
        <w:t>881</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tabs>
          <w:tab w:val="left" w:pos="8900"/>
        </w:tabs>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Finance and financial products . . . . . . . . . . . . . . . . . . . . . . . . . . . . . . . . . . . . . . . . . . . . . . . . . . . . . . . . . . .</w:t>
      </w:r>
      <w:r>
        <w:rPr>
          <w:rFonts w:ascii="Times New Roman" w:hAnsi="Times New Roman" w:cs="Times New Roman"/>
          <w:sz w:val="24"/>
          <w:szCs w:val="24"/>
        </w:rPr>
        <w:tab/>
      </w:r>
      <w:r>
        <w:rPr>
          <w:rFonts w:ascii="Times" w:hAnsi="Times" w:cs="Times"/>
          <w:sz w:val="20"/>
          <w:szCs w:val="20"/>
        </w:rPr>
        <w:t>1,060</w:t>
      </w:r>
    </w:p>
    <w:p w:rsidR="00000000" w:rsidRDefault="00A06965">
      <w:pPr>
        <w:pStyle w:val="DefaultParagraphFont"/>
        <w:widowControl w:val="0"/>
        <w:autoSpaceDE w:val="0"/>
        <w:autoSpaceDN w:val="0"/>
        <w:adjustRightInd w:val="0"/>
        <w:spacing w:after="0" w:line="91" w:lineRule="exact"/>
        <w:rPr>
          <w:rFonts w:ascii="Times New Roman" w:hAnsi="Times New Roman" w:cs="Times New Roman"/>
          <w:sz w:val="24"/>
          <w:szCs w:val="24"/>
        </w:rPr>
      </w:pPr>
      <w:r>
        <w:rPr>
          <w:noProof/>
        </w:rPr>
        <mc:AlternateContent>
          <mc:Choice Requires="wps">
            <w:drawing>
              <wp:anchor distT="0" distB="0" distL="114300" distR="114300" simplePos="0" relativeHeight="251675648" behindDoc="1" locked="0" layoutInCell="0" allowOverlap="1">
                <wp:simplePos x="0" y="0"/>
                <wp:positionH relativeFrom="column">
                  <wp:posOffset>5473700</wp:posOffset>
                </wp:positionH>
                <wp:positionV relativeFrom="paragraph">
                  <wp:posOffset>20955</wp:posOffset>
                </wp:positionV>
                <wp:extent cx="476250" cy="0"/>
                <wp:effectExtent l="0" t="0" r="0" b="0"/>
                <wp:wrapNone/>
                <wp:docPr id="52"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pt,1.65pt" to="46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" o:allowincell="f" strokeweight=".5pt"/>
            </w:pict>
          </mc:Fallback>
        </mc:AlternateContent>
      </w:r>
    </w:p>
    <w:p w:rsidR="00000000" w:rsidRDefault="00A0696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Times" w:hAnsi="Times" w:cs="Times"/>
          <w:sz w:val="20"/>
          <w:szCs w:val="20"/>
        </w:rPr>
        <w:t>$117,470</w:t>
      </w:r>
    </w:p>
    <w:p w:rsidR="00000000" w:rsidRDefault="00A06965">
      <w:pPr>
        <w:pStyle w:val="DefaultParagraphFont"/>
        <w:widowControl w:val="0"/>
        <w:autoSpaceDE w:val="0"/>
        <w:autoSpaceDN w:val="0"/>
        <w:adjustRightInd w:val="0"/>
        <w:spacing w:after="0" w:line="108" w:lineRule="exact"/>
        <w:rPr>
          <w:rFonts w:ascii="Times New Roman" w:hAnsi="Times New Roman" w:cs="Times New Roman"/>
          <w:sz w:val="24"/>
          <w:szCs w:val="24"/>
        </w:rPr>
      </w:pPr>
      <w:r>
        <w:rPr>
          <w:noProof/>
        </w:rPr>
        <mc:AlternateContent>
          <mc:Choice Requires="wps">
            <w:drawing>
              <wp:anchor distT="0" distB="0" distL="114300" distR="114300" simplePos="0" relativeHeight="251676672" behindDoc="1" locked="0" layoutInCell="0" allowOverlap="1">
                <wp:simplePos x="0" y="0"/>
                <wp:positionH relativeFrom="column">
                  <wp:posOffset>5473700</wp:posOffset>
                </wp:positionH>
                <wp:positionV relativeFrom="paragraph">
                  <wp:posOffset>20955</wp:posOffset>
                </wp:positionV>
                <wp:extent cx="476250" cy="0"/>
                <wp:effectExtent l="0" t="0" r="0" b="0"/>
                <wp:wrapNone/>
                <wp:docPr id="5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pt,1.65pt" to="46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" o:allowincell="f" strokeweight=".5pt"/>
            </w:pict>
          </mc:Fallback>
        </mc:AlternateContent>
      </w:r>
      <w:r>
        <w:rPr>
          <w:noProof/>
        </w:rPr>
        <mc:AlternateContent>
          <mc:Choice Requires="wps">
            <w:drawing>
              <wp:anchor distT="0" distB="0" distL="114300" distR="114300" simplePos="0" relativeHeight="251677696" behindDoc="1" locked="0" layoutInCell="0" allowOverlap="1">
                <wp:simplePos x="0" y="0"/>
                <wp:positionH relativeFrom="column">
                  <wp:posOffset>5473700</wp:posOffset>
                </wp:positionH>
                <wp:positionV relativeFrom="paragraph">
                  <wp:posOffset>46355</wp:posOffset>
                </wp:positionV>
                <wp:extent cx="476250" cy="0"/>
                <wp:effectExtent l="0" t="0" r="0" b="0"/>
                <wp:wrapNone/>
                <wp:docPr id="5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pt,3.65pt" to="468.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" o:allowincell="f" strokeweight=".5pt"/>
            </w:pict>
          </mc:Fallback>
        </mc:AlternateContent>
      </w:r>
      <w:r>
        <w:rPr>
          <w:noProof/>
        </w:rPr>
        <mc:AlternateContent>
          <mc:Choice Requires="wps">
            <w:drawing>
              <wp:anchor distT="0" distB="0" distL="114300" distR="114300" simplePos="0" relativeHeight="251678720" behindDoc="1" locked="0" layoutInCell="0" allowOverlap="1">
                <wp:simplePos x="0" y="0"/>
                <wp:positionH relativeFrom="column">
                  <wp:posOffset>0</wp:posOffset>
                </wp:positionH>
                <wp:positionV relativeFrom="paragraph">
                  <wp:posOffset>147955</wp:posOffset>
                </wp:positionV>
                <wp:extent cx="2247900" cy="0"/>
                <wp:effectExtent l="0" t="0" r="0" b="0"/>
                <wp:wrapNone/>
                <wp:docPr id="4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65pt" to="177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" o:allowincell="f" strokeweight=".5pt"/>
            </w:pict>
          </mc:Fallback>
        </mc:AlternateContent>
      </w:r>
      <w:r>
        <w:rPr>
          <w:rFonts w:ascii="Times New Roman" w:hAnsi="Times New Roman" w:cs="Times New Roman"/>
          <w:sz w:val="24"/>
          <w:szCs w:val="24"/>
        </w:rPr>
        <w:br w:type="column"/>
      </w:r>
    </w:p>
    <w:p w:rsidR="00000000" w:rsidRDefault="00A06965">
      <w:pPr>
        <w:pStyle w:val="DefaultParagraphFont"/>
        <w:widowControl w:val="0"/>
        <w:overflowPunct w:val="0"/>
        <w:autoSpaceDE w:val="0"/>
        <w:autoSpaceDN w:val="0"/>
        <w:adjustRightInd w:val="0"/>
        <w:spacing w:after="0" w:line="264" w:lineRule="auto"/>
        <w:jc w:val="right"/>
        <w:rPr>
          <w:rFonts w:ascii="Times New Roman" w:hAnsi="Times New Roman" w:cs="Times New Roman"/>
          <w:sz w:val="24"/>
          <w:szCs w:val="24"/>
        </w:rPr>
      </w:pPr>
      <w:r>
        <w:rPr>
          <w:rFonts w:ascii="Times" w:hAnsi="Times" w:cs="Times"/>
          <w:sz w:val="19"/>
          <w:szCs w:val="19"/>
        </w:rPr>
        <w:t>$115,464 1,103 938</w:t>
      </w:r>
    </w:p>
    <w:p w:rsidR="00000000" w:rsidRDefault="00A06965">
      <w:pPr>
        <w:pStyle w:val="DefaultParagraphFont"/>
        <w:widowControl w:val="0"/>
        <w:autoSpaceDE w:val="0"/>
        <w:autoSpaceDN w:val="0"/>
        <w:adjustRightInd w:val="0"/>
        <w:spacing w:after="0" w:line="79" w:lineRule="exact"/>
        <w:rPr>
          <w:rFonts w:ascii="Times New Roman" w:hAnsi="Times New Roman" w:cs="Times New Roman"/>
          <w:sz w:val="24"/>
          <w:szCs w:val="24"/>
        </w:rPr>
      </w:pPr>
      <w:r>
        <w:rPr>
          <w:noProof/>
        </w:rPr>
        <mc:AlternateContent>
          <mc:Choice Requires="wps">
            <w:drawing>
              <wp:anchor distT="0" distB="0" distL="114300" distR="114300" simplePos="0" relativeHeight="251679744" behindDoc="1" locked="0" layoutInCell="0" allowOverlap="1">
                <wp:simplePos x="0" y="0"/>
                <wp:positionH relativeFrom="column">
                  <wp:posOffset>-6350</wp:posOffset>
                </wp:positionH>
                <wp:positionV relativeFrom="paragraph">
                  <wp:posOffset>6985</wp:posOffset>
                </wp:positionV>
                <wp:extent cx="476250" cy="0"/>
                <wp:effectExtent l="0" t="0" r="0" b="0"/>
                <wp:wrapNone/>
                <wp:docPr id="4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55pt" to="3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" o:allowincell="f" strokeweight=".5pt"/>
            </w:pict>
          </mc:Fallback>
        </mc:AlternateConten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19"/>
          <w:szCs w:val="19"/>
        </w:rPr>
        <w:t>$117,505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960" w:bottom="523" w:left="960" w:header="720" w:footer="720" w:gutter="0"/>
          <w:cols w:num="2" w:space="200" w:equalWidth="0">
            <w:col w:w="9380" w:space="200"/>
            <w:col w:w="740"/>
          </w:cols>
          <w:noEndnote/>
        </w:sectPr>
      </w:pPr>
      <w:r>
        <w:rPr>
          <w:noProof/>
        </w:rPr>
        <mc:AlternateContent>
          <mc:Choice Requires="wps">
            <w:drawing>
              <wp:anchor distT="0" distB="0" distL="114300" distR="114300" simplePos="0" relativeHeight="251680768" behindDoc="1" locked="0" layoutInCell="0" allowOverlap="1">
                <wp:simplePos x="0" y="0"/>
                <wp:positionH relativeFrom="column">
                  <wp:posOffset>-6350</wp:posOffset>
                </wp:positionH>
                <wp:positionV relativeFrom="paragraph">
                  <wp:posOffset>21590</wp:posOffset>
                </wp:positionV>
                <wp:extent cx="476250" cy="0"/>
                <wp:effectExtent l="0" t="0" r="0" b="0"/>
                <wp:wrapNone/>
                <wp:docPr id="4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7pt" to="37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" o:allowincell="f" strokeweight=".5pt"/>
            </w:pict>
          </mc:Fallback>
        </mc:AlternateContent>
      </w:r>
      <w:r>
        <w:rPr>
          <w:noProof/>
        </w:rPr>
        <mc:AlternateContent>
          <mc:Choice Requires="wps">
            <w:drawing>
              <wp:anchor distT="0" distB="0" distL="114300" distR="114300" simplePos="0" relativeHeight="251681792" behindDoc="1" locked="0" layoutInCell="0" allowOverlap="1">
                <wp:simplePos x="0" y="0"/>
                <wp:positionH relativeFrom="column">
                  <wp:posOffset>-6350</wp:posOffset>
                </wp:positionH>
                <wp:positionV relativeFrom="paragraph">
                  <wp:posOffset>46990</wp:posOffset>
                </wp:positionV>
                <wp:extent cx="476250" cy="0"/>
                <wp:effectExtent l="0" t="0" r="0" b="0"/>
                <wp:wrapNone/>
                <wp:docPr id="4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7pt" to="3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" o:allowincell="f" strokeweight=".5pt"/>
            </w:pict>
          </mc:Fallback>
        </mc:AlternateContent>
      </w:r>
    </w:p>
    <w:p w:rsidR="00000000" w:rsidRDefault="00A0696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i/>
          <w:iCs/>
          <w:sz w:val="20"/>
          <w:szCs w:val="20"/>
        </w:rPr>
        <w:t>* Included in other assets.</w:t>
      </w:r>
    </w:p>
    <w:p w:rsidR="00000000" w:rsidRDefault="00A06965">
      <w:pPr>
        <w:pStyle w:val="DefaultParagraphFont"/>
        <w:widowControl w:val="0"/>
        <w:autoSpaceDE w:val="0"/>
        <w:autoSpaceDN w:val="0"/>
        <w:adjustRightInd w:val="0"/>
        <w:spacing w:after="0" w:line="35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(5)  Other investments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Other investments include preferred stock of Wm. Wrigley Jr. Company (“Wrigley”), The Dow Chemical Company (“Dow”) and Bank of America Corporation (“BAC”</w:t>
      </w:r>
      <w:r>
        <w:rPr>
          <w:rFonts w:ascii="Times" w:hAnsi="Times" w:cs="Times"/>
          <w:sz w:val="20"/>
          <w:szCs w:val="20"/>
        </w:rPr>
        <w:t>), as well as warrants to purchase common stock of BAC and our investments in Restaurant Brands International, Inc. (“RBI”). Other investments are classified as available-for-sale and carried at fair value and are shown in our Consolidated Balance Sheets a</w:t>
      </w:r>
      <w:r>
        <w:rPr>
          <w:rFonts w:ascii="Times" w:hAnsi="Times" w:cs="Times"/>
          <w:sz w:val="20"/>
          <w:szCs w:val="20"/>
        </w:rPr>
        <w:t>s follows (in millions).</w:t>
      </w:r>
    </w:p>
    <w:p w:rsidR="00000000" w:rsidRDefault="00A06965">
      <w:pPr>
        <w:pStyle w:val="DefaultParagraphFont"/>
        <w:widowControl w:val="0"/>
        <w:autoSpaceDE w:val="0"/>
        <w:autoSpaceDN w:val="0"/>
        <w:adjustRightInd w:val="0"/>
        <w:spacing w:after="0" w:line="19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120"/>
        <w:gridCol w:w="100"/>
        <w:gridCol w:w="560"/>
        <w:gridCol w:w="200"/>
        <w:gridCol w:w="100"/>
        <w:gridCol w:w="540"/>
        <w:gridCol w:w="200"/>
        <w:gridCol w:w="660"/>
        <w:gridCol w:w="200"/>
        <w:gridCol w:w="640"/>
      </w:tblGrid>
      <w:tr w:rsidR="00000000">
        <w:tblPrEx>
          <w:tblCellMar>
            <w:top w:w="0" w:type="dxa"/>
            <w:left w:w="0" w:type="dxa"/>
            <w:bottom w:w="0" w:type="dxa"/>
            <w:right w:w="0" w:type="dxa"/>
          </w:tblCellMar>
        </w:tblPrEx>
        <w:trPr>
          <w:trHeight w:val="184"/>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w:hAnsi="Times" w:cs="Times"/>
                <w:b/>
                <w:bCs/>
                <w:sz w:val="16"/>
                <w:szCs w:val="16"/>
              </w:rPr>
              <w:t>Cost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80"/>
              <w:jc w:val="right"/>
              <w:rPr>
                <w:rFonts w:ascii="Times New Roman" w:hAnsi="Times New Roman" w:cs="Times New Roman"/>
                <w:sz w:val="24"/>
                <w:szCs w:val="24"/>
              </w:rPr>
            </w:pPr>
            <w:r>
              <w:rPr>
                <w:rFonts w:ascii="Times" w:hAnsi="Times" w:cs="Times"/>
                <w:b/>
                <w:bCs/>
                <w:sz w:val="16"/>
                <w:szCs w:val="16"/>
              </w:rPr>
              <w:t>Fair Value</w:t>
            </w:r>
          </w:p>
        </w:tc>
      </w:tr>
      <w:tr w:rsidR="00000000">
        <w:tblPrEx>
          <w:tblCellMar>
            <w:top w:w="0" w:type="dxa"/>
            <w:left w:w="0" w:type="dxa"/>
            <w:bottom w:w="0" w:type="dxa"/>
            <w:right w:w="0" w:type="dxa"/>
          </w:tblCellMar>
        </w:tblPrEx>
        <w:trPr>
          <w:trHeight w:val="26"/>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85"/>
              <w:jc w:val="right"/>
              <w:rPr>
                <w:rFonts w:ascii="Times New Roman" w:hAnsi="Times New Roman" w:cs="Times New Roman"/>
                <w:sz w:val="24"/>
                <w:szCs w:val="24"/>
              </w:rPr>
            </w:pPr>
            <w:r>
              <w:rPr>
                <w:rFonts w:ascii="Times" w:hAnsi="Times" w:cs="Times"/>
                <w:b/>
                <w:bCs/>
                <w:sz w:val="16"/>
                <w:szCs w:val="16"/>
              </w:rPr>
              <w:t>December 31,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Times" w:hAnsi="Times" w:cs="Times"/>
                <w:b/>
                <w:bCs/>
                <w:sz w:val="16"/>
                <w:szCs w:val="16"/>
              </w:rPr>
              <w:t>December 31,</w:t>
            </w:r>
          </w:p>
        </w:tc>
      </w:tr>
      <w:tr w:rsidR="00000000">
        <w:tblPrEx>
          <w:tblCellMar>
            <w:top w:w="0" w:type="dxa"/>
            <w:left w:w="0" w:type="dxa"/>
            <w:bottom w:w="0" w:type="dxa"/>
            <w:right w:w="0" w:type="dxa"/>
          </w:tblCellMar>
        </w:tblPrEx>
        <w:trPr>
          <w:trHeight w:val="26"/>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90"/>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5"/>
              <w:jc w:val="right"/>
              <w:rPr>
                <w:rFonts w:ascii="Times New Roman" w:hAnsi="Times New Roman" w:cs="Times New Roman"/>
                <w:sz w:val="24"/>
                <w:szCs w:val="24"/>
              </w:rPr>
            </w:pPr>
            <w:r>
              <w:rPr>
                <w:rFonts w:ascii="Times" w:hAnsi="Times" w:cs="Times"/>
                <w:b/>
                <w:bCs/>
                <w:sz w:val="16"/>
                <w:szCs w:val="16"/>
              </w:rPr>
              <w:t>2013</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w:hAnsi="Times" w:cs="Times"/>
                <w:b/>
                <w:bCs/>
                <w:sz w:val="16"/>
                <w:szCs w:val="16"/>
              </w:rPr>
              <w:t>2014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w:hAnsi="Times" w:cs="Times"/>
                <w:b/>
                <w:bCs/>
                <w:sz w:val="16"/>
                <w:szCs w:val="16"/>
              </w:rPr>
              <w:t>2013</w:t>
            </w:r>
          </w:p>
        </w:tc>
      </w:tr>
      <w:tr w:rsidR="00000000">
        <w:tblPrEx>
          <w:tblCellMar>
            <w:top w:w="0" w:type="dxa"/>
            <w:left w:w="0" w:type="dxa"/>
            <w:bottom w:w="0" w:type="dxa"/>
            <w:right w:w="0" w:type="dxa"/>
          </w:tblCellMar>
        </w:tblPrEx>
        <w:trPr>
          <w:trHeight w:val="26"/>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 xml:space="preserve">Insurance and other . . . . . . . . . . . . . . . . . . . </w:t>
            </w:r>
            <w:r>
              <w:rPr>
                <w:rFonts w:ascii="Times" w:hAnsi="Times" w:cs="Times"/>
                <w:sz w:val="20"/>
                <w:szCs w:val="20"/>
              </w:rPr>
              <w:t>.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9,970</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6,970</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$16,346</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$12,334</w:t>
            </w:r>
          </w:p>
        </w:tc>
      </w:tr>
      <w:tr w:rsidR="00000000">
        <w:tblPrEx>
          <w:tblCellMar>
            <w:top w:w="0" w:type="dxa"/>
            <w:left w:w="0" w:type="dxa"/>
            <w:bottom w:w="0" w:type="dxa"/>
            <w:right w:w="0" w:type="dxa"/>
          </w:tblCellMar>
        </w:tblPrEx>
        <w:trPr>
          <w:trHeight w:val="24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Finance and financial products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3,052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3,052</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5,978</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5,617</w:t>
            </w:r>
          </w:p>
        </w:tc>
      </w:tr>
      <w:tr w:rsidR="00000000">
        <w:tblPrEx>
          <w:tblCellMar>
            <w:top w:w="0" w:type="dxa"/>
            <w:left w:w="0" w:type="dxa"/>
            <w:bottom w:w="0" w:type="dxa"/>
            <w:right w:w="0" w:type="dxa"/>
          </w:tblCellMar>
        </w:tblPrEx>
        <w:trPr>
          <w:trHeight w:val="28"/>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13,022</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10,022</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$22,324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$17,951</w:t>
            </w:r>
          </w:p>
        </w:tc>
      </w:tr>
      <w:tr w:rsidR="00000000">
        <w:tblPrEx>
          <w:tblCellMar>
            <w:top w:w="0" w:type="dxa"/>
            <w:left w:w="0" w:type="dxa"/>
            <w:bottom w:w="0" w:type="dxa"/>
            <w:right w:w="0" w:type="dxa"/>
          </w:tblCellMar>
        </w:tblPrEx>
        <w:trPr>
          <w:trHeight w:val="28"/>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9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In 2008, we acquired $2.1 billion liquidation amount of Wrigley preferred stock in conjunction with the Mars Incorporated (“Mars”</w:t>
      </w:r>
      <w:r>
        <w:rPr>
          <w:rFonts w:ascii="Times" w:hAnsi="Times" w:cs="Times"/>
          <w:sz w:val="20"/>
          <w:szCs w:val="20"/>
        </w:rPr>
        <w:t xml:space="preserve">) acquisition of Wrigley. The Wrigley preferred stock is entitled to dividends at a rate of 5% per annum and is subject to certain put and call arrangements in 2016 and then annually beginning in 2021. The redemption amount will be based upon the earnings </w:t>
      </w:r>
      <w:r>
        <w:rPr>
          <w:rFonts w:ascii="Times" w:hAnsi="Times" w:cs="Times"/>
          <w:sz w:val="20"/>
          <w:szCs w:val="20"/>
        </w:rPr>
        <w:t>of Wrigley.</w:t>
      </w:r>
    </w:p>
    <w:p w:rsidR="00000000" w:rsidRDefault="00A06965">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In 2009, we acquired 3,000,000 shares of Series A Cumulative Convertible Perpetual Preferred Stock of Dow (“Dow Preferred”</w:t>
      </w:r>
      <w:r>
        <w:rPr>
          <w:rFonts w:ascii="Times" w:hAnsi="Times" w:cs="Times"/>
          <w:sz w:val="20"/>
          <w:szCs w:val="20"/>
        </w:rPr>
        <w:t xml:space="preserve">) for a cost of $3 billion. Each share of the Dow Preferred is convertible into 24.201 shares of Dow common stock (equivalent to a conversion price of $41.32 per share). Beginning in April 2014, Dow has the option to cause some or all of the Dow Preferred </w:t>
      </w:r>
      <w:r>
        <w:rPr>
          <w:rFonts w:ascii="Times" w:hAnsi="Times" w:cs="Times"/>
          <w:sz w:val="20"/>
          <w:szCs w:val="20"/>
        </w:rPr>
        <w:t>to be converted into Dow common stock at the then applicable conversion rate, if the closing price on the New York Stock Exchange of Dow’s common stock price exceeds $53.72 per share for any 20 trading days within a period of 30 consecutive trading days en</w:t>
      </w:r>
      <w:r>
        <w:rPr>
          <w:rFonts w:ascii="Times" w:hAnsi="Times" w:cs="Times"/>
          <w:sz w:val="20"/>
          <w:szCs w:val="20"/>
        </w:rPr>
        <w:t>ding on the day before Dow exercises its option. The Dow Preferred is entitled to dividends at a rate of 8.5% per annum.</w:t>
      </w:r>
    </w:p>
    <w:p w:rsidR="00000000" w:rsidRDefault="00A06965">
      <w:pPr>
        <w:pStyle w:val="DefaultParagraphFont"/>
        <w:widowControl w:val="0"/>
        <w:autoSpaceDE w:val="0"/>
        <w:autoSpaceDN w:val="0"/>
        <w:adjustRightInd w:val="0"/>
        <w:spacing w:after="0" w:line="24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In 2011, we acquired 50,000 shares of 6% Cumulative Perpetual Preferred Stock of BAC (“BAC Preferred”) and warrants to purchase 700,00</w:t>
      </w:r>
      <w:r>
        <w:rPr>
          <w:rFonts w:ascii="Times" w:hAnsi="Times" w:cs="Times"/>
          <w:sz w:val="20"/>
          <w:szCs w:val="20"/>
        </w:rPr>
        <w:t>0,000 shares of common stock of BAC (“BAC Warrants”) for a combined cost of $5 billion. When issued, the BAC Preferred was redeemable at any time by BAC at a price of $105,000 per share ($5.25 billion in aggregate) and dividends were payable on a cumulativ</w:t>
      </w:r>
      <w:r>
        <w:rPr>
          <w:rFonts w:ascii="Times" w:hAnsi="Times" w:cs="Times"/>
          <w:sz w:val="20"/>
          <w:szCs w:val="20"/>
        </w:rPr>
        <w:t>e basis. At the end of 2013, Berkshire agreed to a proposed amendment to the BAC Preferred and on May 7, 2014, BAC’s common stock shareholders approved the amendment. Pursuant to the amendment, the BAC Preferred may not be redeemed at the option of BAC bef</w:t>
      </w:r>
      <w:r>
        <w:rPr>
          <w:rFonts w:ascii="Times" w:hAnsi="Times" w:cs="Times"/>
          <w:sz w:val="20"/>
          <w:szCs w:val="20"/>
        </w:rPr>
        <w:t>ore May 7, 2019 and dividends payable on the BAC Preferred are no longer cumulative. The BAC Warrants expire in 2021 and are exercisable for an additional aggregate cost of $5 billion ($7.142857/share).</w:t>
      </w:r>
    </w:p>
    <w:p w:rsidR="00000000" w:rsidRDefault="00A06965">
      <w:pPr>
        <w:pStyle w:val="DefaultParagraphFont"/>
        <w:widowControl w:val="0"/>
        <w:autoSpaceDE w:val="0"/>
        <w:autoSpaceDN w:val="0"/>
        <w:adjustRightInd w:val="0"/>
        <w:spacing w:after="0" w:line="24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On December 12, 2014, we acquired Class A 9% Cumulat</w:t>
      </w:r>
      <w:r>
        <w:rPr>
          <w:rFonts w:ascii="Times" w:hAnsi="Times" w:cs="Times"/>
          <w:sz w:val="20"/>
          <w:szCs w:val="20"/>
        </w:rPr>
        <w:t>ive Compounding Perpetual Preferred Shares of RBI having a stated value of $3 billion (“RBI Preferred”) and common stock of RBI for an aggregate purchase price of $3 billion. RBI, domiciled in Canada, is a newly formed entity that is the ultimate parent co</w:t>
      </w:r>
      <w:r>
        <w:rPr>
          <w:rFonts w:ascii="Times" w:hAnsi="Times" w:cs="Times"/>
          <w:sz w:val="20"/>
          <w:szCs w:val="20"/>
        </w:rPr>
        <w:t>mpany of Burger King and Tim Hortons. As of the acquisition date, our combined investment in RBI possessed approximately 14.4% of the voting interests of RBI. The RBI Preferred is entitled to dividends on a cumulative basis of 9% per annum plus an addition</w:t>
      </w:r>
      <w:r>
        <w:rPr>
          <w:rFonts w:ascii="Times" w:hAnsi="Times" w:cs="Times"/>
          <w:sz w:val="20"/>
          <w:szCs w:val="20"/>
        </w:rPr>
        <w:t>al amount that is intended to produce an after-tax yield to Berkshire as if the dividends were paid by a U.S. based company.</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960" w:bottom="523" w:left="960" w:header="720" w:footer="720" w:gutter="0"/>
          <w:cols w:space="200" w:equalWidth="0">
            <w:col w:w="10320" w:space="200"/>
          </w:cols>
          <w:noEndnote/>
        </w:sectPr>
      </w:pPr>
    </w:p>
    <w:p w:rsidR="00000000" w:rsidRDefault="00A06965">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62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200" w:equalWidth="0">
            <w:col w:w="200" w:space="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(6)  Investme</w:t>
      </w:r>
      <w:r>
        <w:rPr>
          <w:rFonts w:ascii="Times" w:hAnsi="Times" w:cs="Times"/>
          <w:b/>
          <w:bCs/>
          <w:sz w:val="20"/>
          <w:szCs w:val="20"/>
        </w:rPr>
        <w:t>nts in H.J. Heinz Holding Corporation</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On June 7, 2013, Berkshire and an affiliate of the global investment firm 3G Capital (such affiliate, “3G”), through a newly formed holding company, H.J. Heinz Holding Corporation (“Heinz Holding”</w:t>
      </w:r>
      <w:r>
        <w:rPr>
          <w:rFonts w:ascii="Times" w:hAnsi="Times" w:cs="Times"/>
          <w:sz w:val="20"/>
          <w:szCs w:val="20"/>
        </w:rPr>
        <w:t>), acquired H.J. Heinz Company (“Heinz”). Berkshire and 3G each made equity investments in Heinz Holding, which, together with debt financing obtained by Heinz Holding, was used to acquire Heinz for approximately $23.25 billion in the aggregate.</w:t>
      </w:r>
    </w:p>
    <w:p w:rsidR="00000000" w:rsidRDefault="00A06965">
      <w:pPr>
        <w:pStyle w:val="DefaultParagraphFont"/>
        <w:widowControl w:val="0"/>
        <w:autoSpaceDE w:val="0"/>
        <w:autoSpaceDN w:val="0"/>
        <w:adjustRightInd w:val="0"/>
        <w:spacing w:after="0" w:line="15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16" w:lineRule="auto"/>
        <w:ind w:firstLine="400"/>
        <w:jc w:val="both"/>
        <w:rPr>
          <w:rFonts w:ascii="Times New Roman" w:hAnsi="Times New Roman" w:cs="Times New Roman"/>
          <w:sz w:val="24"/>
          <w:szCs w:val="24"/>
        </w:rPr>
      </w:pPr>
      <w:r>
        <w:rPr>
          <w:rFonts w:ascii="Times" w:hAnsi="Times" w:cs="Times"/>
          <w:sz w:val="20"/>
          <w:szCs w:val="20"/>
        </w:rPr>
        <w:t xml:space="preserve">Heinz is </w:t>
      </w:r>
      <w:r>
        <w:rPr>
          <w:rFonts w:ascii="Times" w:hAnsi="Times" w:cs="Times"/>
          <w:sz w:val="20"/>
          <w:szCs w:val="20"/>
        </w:rPr>
        <w:t>one of the world’s leading marketers and producers of healthy, convenient and affordable foods specializing in ketchup, sauces, meals, soups, snacks and infant nutrition. Heinz is a global family of leading branded products, including Heinz</w:t>
      </w:r>
      <w:r>
        <w:rPr>
          <w:rFonts w:ascii="Times" w:hAnsi="Times" w:cs="Times"/>
          <w:sz w:val="30"/>
          <w:szCs w:val="30"/>
          <w:vertAlign w:val="superscript"/>
        </w:rPr>
        <w:t>®</w:t>
      </w:r>
      <w:r>
        <w:rPr>
          <w:rFonts w:ascii="Times" w:hAnsi="Times" w:cs="Times"/>
          <w:sz w:val="20"/>
          <w:szCs w:val="20"/>
        </w:rPr>
        <w:t xml:space="preserve"> Ketchup, sauce</w:t>
      </w:r>
      <w:r>
        <w:rPr>
          <w:rFonts w:ascii="Times" w:hAnsi="Times" w:cs="Times"/>
          <w:sz w:val="20"/>
          <w:szCs w:val="20"/>
        </w:rPr>
        <w:t>s, soups, beans, pasta, infant foods, Ore-Ida</w:t>
      </w:r>
      <w:r>
        <w:rPr>
          <w:rFonts w:ascii="Times" w:hAnsi="Times" w:cs="Times"/>
          <w:sz w:val="30"/>
          <w:szCs w:val="30"/>
          <w:vertAlign w:val="superscript"/>
        </w:rPr>
        <w:t>®</w:t>
      </w:r>
      <w:r>
        <w:rPr>
          <w:rFonts w:ascii="Times" w:hAnsi="Times" w:cs="Times"/>
          <w:sz w:val="20"/>
          <w:szCs w:val="20"/>
        </w:rPr>
        <w:t xml:space="preserve"> potato products, Weight Watchers</w:t>
      </w:r>
      <w:r>
        <w:rPr>
          <w:rFonts w:ascii="Times" w:hAnsi="Times" w:cs="Times"/>
          <w:sz w:val="30"/>
          <w:szCs w:val="30"/>
          <w:vertAlign w:val="superscript"/>
        </w:rPr>
        <w:t>®</w:t>
      </w:r>
      <w:r>
        <w:rPr>
          <w:rFonts w:ascii="Times" w:hAnsi="Times" w:cs="Times"/>
          <w:sz w:val="20"/>
          <w:szCs w:val="20"/>
        </w:rPr>
        <w:t xml:space="preserve"> Smart Ones</w:t>
      </w:r>
      <w:r>
        <w:rPr>
          <w:rFonts w:ascii="Times" w:hAnsi="Times" w:cs="Times"/>
          <w:sz w:val="30"/>
          <w:szCs w:val="30"/>
          <w:vertAlign w:val="superscript"/>
        </w:rPr>
        <w:t>®</w:t>
      </w:r>
      <w:r>
        <w:rPr>
          <w:rFonts w:ascii="Times" w:hAnsi="Times" w:cs="Times"/>
          <w:sz w:val="20"/>
          <w:szCs w:val="20"/>
        </w:rPr>
        <w:t xml:space="preserve"> entrées and T.G.I. Friday’s</w:t>
      </w:r>
      <w:r>
        <w:rPr>
          <w:rFonts w:ascii="Times" w:hAnsi="Times" w:cs="Times"/>
          <w:sz w:val="30"/>
          <w:szCs w:val="30"/>
          <w:vertAlign w:val="superscript"/>
        </w:rPr>
        <w:t>®</w:t>
      </w:r>
      <w:r>
        <w:rPr>
          <w:rFonts w:ascii="Times" w:hAnsi="Times" w:cs="Times"/>
          <w:sz w:val="20"/>
          <w:szCs w:val="20"/>
        </w:rPr>
        <w:t xml:space="preserve"> snacks.</w:t>
      </w:r>
    </w:p>
    <w:p w:rsidR="00000000" w:rsidRDefault="00A06965">
      <w:pPr>
        <w:pStyle w:val="DefaultParagraphFont"/>
        <w:widowControl w:val="0"/>
        <w:autoSpaceDE w:val="0"/>
        <w:autoSpaceDN w:val="0"/>
        <w:adjustRightInd w:val="0"/>
        <w:spacing w:after="0" w:line="6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 xml:space="preserve">Berkshire’s investments in Heinz Holding consist of 425 million shares of common stock, warrants to acquire approximately 46 </w:t>
      </w:r>
      <w:r>
        <w:rPr>
          <w:rFonts w:ascii="Times" w:hAnsi="Times" w:cs="Times"/>
          <w:sz w:val="20"/>
          <w:szCs w:val="20"/>
        </w:rPr>
        <w:t>million additional shares of common stock, and cumulative compounding preferred stock (“Preferred Stock”) with a liquidation preference of $8 billion. The aggregate cost of these investments was $12.25 billion. 3G acquired 425 million shares of Heinz Holdi</w:t>
      </w:r>
      <w:r>
        <w:rPr>
          <w:rFonts w:ascii="Times" w:hAnsi="Times" w:cs="Times"/>
          <w:sz w:val="20"/>
          <w:szCs w:val="20"/>
        </w:rPr>
        <w:t>ng common stock for $4.25 billion. In addition, Heinz Holding reserved 39.6 million shares of common stock for issuance under stock options.</w:t>
      </w:r>
    </w:p>
    <w:p w:rsidR="00000000" w:rsidRDefault="00A06965">
      <w:pPr>
        <w:pStyle w:val="DefaultParagraphFont"/>
        <w:widowControl w:val="0"/>
        <w:autoSpaceDE w:val="0"/>
        <w:autoSpaceDN w:val="0"/>
        <w:adjustRightInd w:val="0"/>
        <w:spacing w:after="0" w:line="15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63" w:lineRule="auto"/>
        <w:ind w:firstLine="400"/>
        <w:jc w:val="both"/>
        <w:rPr>
          <w:rFonts w:ascii="Times New Roman" w:hAnsi="Times New Roman" w:cs="Times New Roman"/>
          <w:sz w:val="24"/>
          <w:szCs w:val="24"/>
        </w:rPr>
      </w:pPr>
      <w:r>
        <w:rPr>
          <w:rFonts w:ascii="Times" w:hAnsi="Times" w:cs="Times"/>
          <w:sz w:val="19"/>
          <w:szCs w:val="19"/>
        </w:rPr>
        <w:t>The Preferred Stock possesses no voting rights except as required by law or for certain matters specified in the H</w:t>
      </w:r>
      <w:r>
        <w:rPr>
          <w:rFonts w:ascii="Times" w:hAnsi="Times" w:cs="Times"/>
          <w:sz w:val="19"/>
          <w:szCs w:val="19"/>
        </w:rPr>
        <w:t>einz Holding charter. The Preferred Stock is entitled to dividends at 9% per annum whether or not declared, is senior in priority to the common stock and is callable after June 7, 2016 at the liquidation value plus an applicable premium and any accrued and</w:t>
      </w:r>
      <w:r>
        <w:rPr>
          <w:rFonts w:ascii="Times" w:hAnsi="Times" w:cs="Times"/>
          <w:sz w:val="19"/>
          <w:szCs w:val="19"/>
        </w:rPr>
        <w:t xml:space="preserve"> unpaid dividends. Under the Heinz Holding charter and a shareholders’ agreement entered into as of the acquisition date (the “shareholders’ agreement”), after June 7, 2021, Berkshire can cause Heinz Holding to attempt to sell shares of common stock throug</w:t>
      </w:r>
      <w:r>
        <w:rPr>
          <w:rFonts w:ascii="Times" w:hAnsi="Times" w:cs="Times"/>
          <w:sz w:val="19"/>
          <w:szCs w:val="19"/>
        </w:rPr>
        <w:t>h public offerings or other issuances (“redemption offerings”), the proceeds of which would be required to be used to redeem any outstanding shares of Preferred Stock. The warrants are exercisable for one cent per share and expire on June 7, 2018.</w:t>
      </w:r>
    </w:p>
    <w:p w:rsidR="00000000" w:rsidRDefault="00A06965">
      <w:pPr>
        <w:pStyle w:val="DefaultParagraphFont"/>
        <w:widowControl w:val="0"/>
        <w:autoSpaceDE w:val="0"/>
        <w:autoSpaceDN w:val="0"/>
        <w:adjustRightInd w:val="0"/>
        <w:spacing w:after="0" w:line="14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63" w:lineRule="auto"/>
        <w:ind w:firstLine="400"/>
        <w:jc w:val="both"/>
        <w:rPr>
          <w:rFonts w:ascii="Times New Roman" w:hAnsi="Times New Roman" w:cs="Times New Roman"/>
          <w:sz w:val="24"/>
          <w:szCs w:val="24"/>
        </w:rPr>
      </w:pPr>
      <w:r>
        <w:rPr>
          <w:rFonts w:ascii="Times" w:hAnsi="Times" w:cs="Times"/>
          <w:sz w:val="19"/>
          <w:szCs w:val="19"/>
        </w:rPr>
        <w:t>Berkshi</w:t>
      </w:r>
      <w:r>
        <w:rPr>
          <w:rFonts w:ascii="Times" w:hAnsi="Times" w:cs="Times"/>
          <w:sz w:val="19"/>
          <w:szCs w:val="19"/>
        </w:rPr>
        <w:t>re and 3G each own 50% of the outstanding shares of common stock and possess equal voting interests in Heinz Holding. Under the shareholders’ agreement, unless and until Heinz Holding engages in a public offering, Berkshire and 3G each must approve all sig</w:t>
      </w:r>
      <w:r>
        <w:rPr>
          <w:rFonts w:ascii="Times" w:hAnsi="Times" w:cs="Times"/>
          <w:sz w:val="19"/>
          <w:szCs w:val="19"/>
        </w:rPr>
        <w:t>nificant transactions and governance matters involving Heinz Holding and Heinz so long as Berkshire and 3G each continue to hold at least 66% of their initial common stock investments, except for (i) the declaration and payment of dividends on the Preferre</w:t>
      </w:r>
      <w:r>
        <w:rPr>
          <w:rFonts w:ascii="Times" w:hAnsi="Times" w:cs="Times"/>
          <w:sz w:val="19"/>
          <w:szCs w:val="19"/>
        </w:rPr>
        <w:t>d Stock, and actions related to a Heinz Holding call of the Preferred Stock, for which Berkshire does not have a vote or approval right, and (ii) redemption offerings and redemptions resulting therefrom, which may only be triggered by Berkshire. No dividen</w:t>
      </w:r>
      <w:r>
        <w:rPr>
          <w:rFonts w:ascii="Times" w:hAnsi="Times" w:cs="Times"/>
          <w:sz w:val="19"/>
          <w:szCs w:val="19"/>
        </w:rPr>
        <w:t>ds may be paid on the common stock if there are any unpaid dividends on the Preferred Stock.</w:t>
      </w:r>
    </w:p>
    <w:p w:rsidR="00000000" w:rsidRDefault="00A06965">
      <w:pPr>
        <w:pStyle w:val="DefaultParagraphFont"/>
        <w:widowControl w:val="0"/>
        <w:autoSpaceDE w:val="0"/>
        <w:autoSpaceDN w:val="0"/>
        <w:adjustRightInd w:val="0"/>
        <w:spacing w:after="0" w:line="14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We are accounting for our investments in Heinz Holding common stock and common stock warrants on the equity method. Accordingly, we included our proportionate sha</w:t>
      </w:r>
      <w:r>
        <w:rPr>
          <w:rFonts w:ascii="Times" w:hAnsi="Times" w:cs="Times"/>
          <w:sz w:val="20"/>
          <w:szCs w:val="20"/>
        </w:rPr>
        <w:t>re of net earnings attributable to common stockholders and other comprehensive income in our Consolidated Statements of Earnings and Comprehensive Income beginning as of the acquisition date. We account for our investment in Preferred Stock as an equity in</w:t>
      </w:r>
      <w:r>
        <w:rPr>
          <w:rFonts w:ascii="Times" w:hAnsi="Times" w:cs="Times"/>
          <w:sz w:val="20"/>
          <w:szCs w:val="20"/>
        </w:rPr>
        <w:t xml:space="preserve">vestment and it is carried at cost in our Consolidated Balance Sheets. Dividends earned in connection with the Preferred Stock and our share of Heinz Holding’s net earnings or loss attributable to common stockholders are included in interest, dividend and </w:t>
      </w:r>
      <w:r>
        <w:rPr>
          <w:rFonts w:ascii="Times" w:hAnsi="Times" w:cs="Times"/>
          <w:sz w:val="20"/>
          <w:szCs w:val="20"/>
        </w:rPr>
        <w:t>other investment income of Insurance and Other in our Consolidated Statements of Earnings.</w:t>
      </w:r>
    </w:p>
    <w:p w:rsidR="00000000" w:rsidRDefault="00A06965">
      <w:pPr>
        <w:pStyle w:val="DefaultParagraphFont"/>
        <w:widowControl w:val="0"/>
        <w:autoSpaceDE w:val="0"/>
        <w:autoSpaceDN w:val="0"/>
        <w:adjustRightInd w:val="0"/>
        <w:spacing w:after="0" w:line="14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ind w:left="400"/>
        <w:rPr>
          <w:rFonts w:ascii="Times New Roman" w:hAnsi="Times New Roman" w:cs="Times New Roman"/>
          <w:sz w:val="24"/>
          <w:szCs w:val="24"/>
        </w:rPr>
      </w:pPr>
      <w:r>
        <w:rPr>
          <w:rFonts w:ascii="Times" w:hAnsi="Times" w:cs="Times"/>
          <w:sz w:val="20"/>
          <w:szCs w:val="20"/>
        </w:rPr>
        <w:t>Summarized consolidated financial information of Heinz Holding and its subsidiaries follows (in millions).</w:t>
      </w:r>
    </w:p>
    <w:p w:rsidR="00000000" w:rsidRDefault="00A06965">
      <w:pPr>
        <w:pStyle w:val="DefaultParagraphFont"/>
        <w:widowControl w:val="0"/>
        <w:autoSpaceDE w:val="0"/>
        <w:autoSpaceDN w:val="0"/>
        <w:adjustRightInd w:val="0"/>
        <w:spacing w:after="0" w:line="8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40"/>
        <w:gridCol w:w="3840"/>
        <w:gridCol w:w="320"/>
        <w:gridCol w:w="100"/>
        <w:gridCol w:w="560"/>
        <w:gridCol w:w="320"/>
        <w:gridCol w:w="200"/>
        <w:gridCol w:w="400"/>
        <w:gridCol w:w="100"/>
        <w:gridCol w:w="540"/>
        <w:gridCol w:w="400"/>
      </w:tblGrid>
      <w:tr w:rsidR="00000000">
        <w:tblPrEx>
          <w:tblCellMar>
            <w:top w:w="0" w:type="dxa"/>
            <w:left w:w="0" w:type="dxa"/>
            <w:bottom w:w="0" w:type="dxa"/>
            <w:right w:w="0" w:type="dxa"/>
          </w:tblCellMar>
        </w:tblPrEx>
        <w:trPr>
          <w:trHeight w:val="184"/>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3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December 28,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w w:val="98"/>
                <w:sz w:val="16"/>
                <w:szCs w:val="16"/>
              </w:rPr>
              <w:t>December 29,</w:t>
            </w:r>
          </w:p>
        </w:tc>
      </w:tr>
      <w:tr w:rsidR="00000000">
        <w:tblPrEx>
          <w:tblCellMar>
            <w:top w:w="0" w:type="dxa"/>
            <w:left w:w="0" w:type="dxa"/>
            <w:bottom w:w="0" w:type="dxa"/>
            <w:right w:w="0" w:type="dxa"/>
          </w:tblCellMar>
        </w:tblPrEx>
        <w:trPr>
          <w:trHeight w:val="18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w w:val="99"/>
                <w:sz w:val="16"/>
                <w:szCs w:val="16"/>
              </w:rPr>
              <w:t>2014</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3"/>
              <w:jc w:val="center"/>
              <w:rPr>
                <w:rFonts w:ascii="Times New Roman" w:hAnsi="Times New Roman" w:cs="Times New Roman"/>
                <w:sz w:val="24"/>
                <w:szCs w:val="24"/>
              </w:rPr>
            </w:pPr>
            <w:r>
              <w:rPr>
                <w:rFonts w:ascii="Times" w:hAnsi="Times" w:cs="Times"/>
                <w:b/>
                <w:bCs/>
                <w:w w:val="99"/>
                <w:sz w:val="16"/>
                <w:szCs w:val="16"/>
              </w:rPr>
              <w:t>2013</w:t>
            </w: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r>
      <w:tr w:rsidR="00000000">
        <w:tblPrEx>
          <w:tblCellMar>
            <w:top w:w="0" w:type="dxa"/>
            <w:left w:w="0" w:type="dxa"/>
            <w:bottom w:w="0" w:type="dxa"/>
            <w:right w:w="0" w:type="dxa"/>
          </w:tblCellMar>
        </w:tblPrEx>
        <w:trPr>
          <w:trHeight w:val="26"/>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Assets . . . . . . . . . . . . . . . . . . . . . . . . . . . . . . . . . . . . . . . . . . . . . . . . . . . . . . . . . . . . . . . . . .</w:t>
            </w: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$36,763</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$38,972</w:t>
            </w: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7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Liabilities . . . . . . . . . . . . . . . . . . . . . . . . . . . . . . . . . . . . . . . . . . . . . . . . . . . . . . . . . . . . . . .</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21,077</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22,429</w:t>
            </w: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7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w w:val="99"/>
                <w:sz w:val="16"/>
                <w:szCs w:val="16"/>
              </w:rPr>
              <w:t>Fiscal Year ending</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w w:val="99"/>
                <w:sz w:val="16"/>
                <w:szCs w:val="16"/>
              </w:rPr>
              <w:t>June 7, 2013 through</w:t>
            </w:r>
          </w:p>
        </w:tc>
      </w:tr>
      <w:tr w:rsidR="00000000">
        <w:tblPrEx>
          <w:tblCellMar>
            <w:top w:w="0" w:type="dxa"/>
            <w:left w:w="0" w:type="dxa"/>
            <w:bottom w:w="0" w:type="dxa"/>
            <w:right w:w="0" w:type="dxa"/>
          </w:tblCellMar>
        </w:tblPrEx>
        <w:trPr>
          <w:trHeight w:val="18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3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sz w:val="16"/>
                <w:szCs w:val="16"/>
              </w:rPr>
              <w:t>December 28, 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4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w w:val="98"/>
                <w:sz w:val="16"/>
                <w:szCs w:val="16"/>
              </w:rPr>
              <w:t>December 29, 2013</w:t>
            </w:r>
          </w:p>
        </w:tc>
      </w:tr>
      <w:tr w:rsidR="00000000">
        <w:tblPrEx>
          <w:tblCellMar>
            <w:top w:w="0" w:type="dxa"/>
            <w:left w:w="0" w:type="dxa"/>
            <w:bottom w:w="0" w:type="dxa"/>
            <w:right w:w="0" w:type="dxa"/>
          </w:tblCellMar>
        </w:tblPrEx>
        <w:trPr>
          <w:trHeight w:val="26"/>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Sales . . . . . . . . . . . . . . . . . . . . . . . . . . . . . . . . . . . . . . . . . . . . . . . . . . . . . . . . . . . . . . . . . . .</w:t>
            </w: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$10,922</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6,240</w:t>
            </w: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earnings (loss) . . . . . . . . . . . . . . . . . . . . . . . . . . . . . . . . . . . . . . . . . . . . . . . . . . . . . . . .</w:t>
            </w:r>
          </w:p>
        </w:tc>
        <w:tc>
          <w:tcPr>
            <w:tcW w:w="4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657</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20"/>
              <w:jc w:val="right"/>
              <w:rPr>
                <w:rFonts w:ascii="Times New Roman" w:hAnsi="Times New Roman" w:cs="Times New Roman"/>
                <w:sz w:val="24"/>
                <w:szCs w:val="24"/>
              </w:rPr>
            </w:pPr>
            <w:r>
              <w:rPr>
                <w:rFonts w:ascii="Times" w:hAnsi="Times" w:cs="Times"/>
                <w:sz w:val="20"/>
                <w:szCs w:val="20"/>
              </w:rPr>
              <w:t>(77)</w:t>
            </w:r>
          </w:p>
        </w:tc>
      </w:tr>
      <w:tr w:rsidR="00000000">
        <w:tblPrEx>
          <w:tblCellMar>
            <w:top w:w="0" w:type="dxa"/>
            <w:left w:w="0" w:type="dxa"/>
            <w:bottom w:w="0" w:type="dxa"/>
            <w:right w:w="0" w:type="dxa"/>
          </w:tblCellMar>
        </w:tblPrEx>
        <w:trPr>
          <w:trHeight w:val="240"/>
        </w:trPr>
        <w:tc>
          <w:tcPr>
            <w:tcW w:w="7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Preferred stock divide</w:t>
            </w:r>
            <w:r>
              <w:rPr>
                <w:rFonts w:ascii="Times" w:hAnsi="Times" w:cs="Times"/>
                <w:sz w:val="20"/>
                <w:szCs w:val="20"/>
              </w:rPr>
              <w:t>nds earned by Berkshire . . . . . . . . . . . . . . . . . . . . . . . . . . . . . . . . . .</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60"/>
              <w:jc w:val="right"/>
              <w:rPr>
                <w:rFonts w:ascii="Times New Roman" w:hAnsi="Times New Roman" w:cs="Times New Roman"/>
                <w:sz w:val="24"/>
                <w:szCs w:val="24"/>
              </w:rPr>
            </w:pPr>
            <w:r>
              <w:rPr>
                <w:rFonts w:ascii="Times" w:hAnsi="Times" w:cs="Times"/>
                <w:sz w:val="20"/>
                <w:szCs w:val="20"/>
              </w:rPr>
              <w:t>(720)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20"/>
              <w:jc w:val="right"/>
              <w:rPr>
                <w:rFonts w:ascii="Times New Roman" w:hAnsi="Times New Roman" w:cs="Times New Roman"/>
                <w:sz w:val="24"/>
                <w:szCs w:val="24"/>
              </w:rPr>
            </w:pPr>
            <w:r>
              <w:rPr>
                <w:rFonts w:ascii="Times" w:hAnsi="Times" w:cs="Times"/>
                <w:sz w:val="20"/>
                <w:szCs w:val="20"/>
              </w:rPr>
              <w:t>(408)</w:t>
            </w: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earnings (loss) attributable to common stockholders  . . . . . . . . . . . . . . . . . . . . . . . . . .</w:t>
            </w:r>
          </w:p>
        </w:tc>
        <w:tc>
          <w:tcPr>
            <w:tcW w:w="4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60"/>
              <w:jc w:val="right"/>
              <w:rPr>
                <w:rFonts w:ascii="Times New Roman" w:hAnsi="Times New Roman" w:cs="Times New Roman"/>
                <w:sz w:val="24"/>
                <w:szCs w:val="24"/>
              </w:rPr>
            </w:pPr>
            <w:r>
              <w:rPr>
                <w:rFonts w:ascii="Times" w:hAnsi="Times" w:cs="Times"/>
                <w:sz w:val="20"/>
                <w:szCs w:val="20"/>
              </w:rPr>
              <w:t>(63)</w:t>
            </w:r>
          </w:p>
        </w:tc>
        <w:tc>
          <w:tcPr>
            <w:tcW w:w="7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20"/>
              <w:jc w:val="right"/>
              <w:rPr>
                <w:rFonts w:ascii="Times New Roman" w:hAnsi="Times New Roman" w:cs="Times New Roman"/>
                <w:sz w:val="24"/>
                <w:szCs w:val="24"/>
              </w:rPr>
            </w:pPr>
            <w:r>
              <w:rPr>
                <w:rFonts w:ascii="Times" w:hAnsi="Times" w:cs="Times"/>
                <w:sz w:val="20"/>
                <w:szCs w:val="20"/>
              </w:rPr>
              <w:t>(485)</w:t>
            </w: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Earnings attributable to Berkshire Hathaway Shareholders * . . . . . . . . . . . . . . . . . . . . . . .</w:t>
            </w:r>
          </w:p>
        </w:tc>
        <w:tc>
          <w:tcPr>
            <w:tcW w:w="4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687</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153</w:t>
            </w: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0"/>
        </w:trPr>
        <w:tc>
          <w:tcPr>
            <w:tcW w:w="3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r>
    </w:tbl>
    <w:p w:rsidR="00000000" w:rsidRDefault="00A0696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 xml:space="preserve">* </w:t>
      </w:r>
      <w:r>
        <w:rPr>
          <w:rFonts w:ascii="Times" w:hAnsi="Times" w:cs="Times"/>
          <w:i/>
          <w:iCs/>
          <w:sz w:val="20"/>
          <w:szCs w:val="20"/>
        </w:rPr>
        <w:t>Includes dividends earned and Berkshire’</w:t>
      </w:r>
      <w:r>
        <w:rPr>
          <w:rFonts w:ascii="Times" w:hAnsi="Times" w:cs="Times"/>
          <w:i/>
          <w:iCs/>
          <w:sz w:val="20"/>
          <w:szCs w:val="20"/>
        </w:rPr>
        <w:t>s share of net earnings (loss) attributable to common stockholders.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63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(7)  Investment gains/losses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right="60" w:firstLine="400"/>
        <w:jc w:val="both"/>
        <w:rPr>
          <w:rFonts w:ascii="Times New Roman" w:hAnsi="Times New Roman" w:cs="Times New Roman"/>
          <w:sz w:val="24"/>
          <w:szCs w:val="24"/>
        </w:rPr>
      </w:pPr>
      <w:r>
        <w:rPr>
          <w:rFonts w:ascii="Times" w:hAnsi="Times" w:cs="Times"/>
          <w:sz w:val="20"/>
          <w:szCs w:val="20"/>
        </w:rPr>
        <w:t>Investment gains/losses, including other-than-temporary impairment (“OTTI”) losses, for each of the three years ending December 31, 2014 are summarized below (in millions).</w:t>
      </w:r>
    </w:p>
    <w:p w:rsidR="00000000" w:rsidRDefault="00A06965">
      <w:pPr>
        <w:pStyle w:val="DefaultParagraphFont"/>
        <w:widowControl w:val="0"/>
        <w:autoSpaceDE w:val="0"/>
        <w:autoSpaceDN w:val="0"/>
        <w:adjustRightInd w:val="0"/>
        <w:spacing w:after="0" w:line="11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280"/>
        <w:gridCol w:w="100"/>
        <w:gridCol w:w="440"/>
        <w:gridCol w:w="200"/>
        <w:gridCol w:w="560"/>
        <w:gridCol w:w="200"/>
        <w:gridCol w:w="100"/>
        <w:gridCol w:w="440"/>
        <w:gridCol w:w="60"/>
        <w:gridCol w:w="20"/>
      </w:tblGrid>
      <w:tr w:rsidR="00000000">
        <w:tblPrEx>
          <w:tblCellMar>
            <w:top w:w="0" w:type="dxa"/>
            <w:left w:w="0" w:type="dxa"/>
            <w:bottom w:w="0" w:type="dxa"/>
            <w:right w:w="0" w:type="dxa"/>
          </w:tblCellMar>
        </w:tblPrEx>
        <w:trPr>
          <w:trHeight w:val="184"/>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w w:val="93"/>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w w:val="93"/>
                <w:sz w:val="16"/>
                <w:szCs w:val="16"/>
              </w:rPr>
              <w:t>2012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82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Fixed maturity securities—</w:t>
            </w: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2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Gross gains from sales and other disposals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$1,783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Gross losses from sales and other disposals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(89)</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(139)</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(354)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Equity securities—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 xml:space="preserve">Gross gains from sales </w:t>
            </w:r>
            <w:r>
              <w:rPr>
                <w:rFonts w:ascii="Times" w:hAnsi="Times" w:cs="Times"/>
                <w:sz w:val="20"/>
                <w:szCs w:val="20"/>
              </w:rPr>
              <w:t>and redemptions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4,016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1,253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1,468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Gross losses from sales and redemptions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(125)</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(62)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OTTI losses  . . . . . .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(697)</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(228)</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Other . . . . . . . . . . . .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1,458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509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3,575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$4,065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1,462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right="60" w:firstLine="400"/>
        <w:jc w:val="both"/>
        <w:rPr>
          <w:rFonts w:ascii="Times New Roman" w:hAnsi="Times New Roman" w:cs="Times New Roman"/>
          <w:sz w:val="24"/>
          <w:szCs w:val="24"/>
        </w:rPr>
      </w:pPr>
      <w:r>
        <w:rPr>
          <w:rFonts w:ascii="Times" w:hAnsi="Times" w:cs="Times"/>
          <w:sz w:val="20"/>
          <w:szCs w:val="20"/>
        </w:rPr>
        <w:t>Gains from disposals of equity securities in 2014 included non-cash gains of approximately $2.1 billion in the aggregate from the exchanges of PSX common stock in connection with the acquisition of PSPI and of GHC common stock in connection with the acquis</w:t>
      </w:r>
      <w:r>
        <w:rPr>
          <w:rFonts w:ascii="Times" w:hAnsi="Times" w:cs="Times"/>
          <w:sz w:val="20"/>
          <w:szCs w:val="20"/>
        </w:rPr>
        <w:t>ition of WPLG. The PSX/PSPI exchange was completed February 25, 2014 and the GHC/WPLG exchange was completed on June 30, 2014. The non-cash gains represented the excess of the respective fair value of the net assets of PSPI and WPLG received over the respe</w:t>
      </w:r>
      <w:r>
        <w:rPr>
          <w:rFonts w:ascii="Times" w:hAnsi="Times" w:cs="Times"/>
          <w:sz w:val="20"/>
          <w:szCs w:val="20"/>
        </w:rPr>
        <w:t>ctive cost basis of the PSX and GHC shares exchanged.</w:t>
      </w:r>
    </w:p>
    <w:p w:rsidR="00000000" w:rsidRDefault="00A06965">
      <w:pPr>
        <w:pStyle w:val="DefaultParagraphFont"/>
        <w:widowControl w:val="0"/>
        <w:autoSpaceDE w:val="0"/>
        <w:autoSpaceDN w:val="0"/>
        <w:adjustRightInd w:val="0"/>
        <w:spacing w:after="0" w:line="15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In 2008, we acquired $4.4 billion par amount of 11.45% Wrigley subordinated notes due in 2018 in conjunction with the Mars acquisition of Wrigley. In 2013, the subordinated note agreement was amended to permit a repurchase of all of the Wrigley subordinate</w:t>
      </w:r>
      <w:r>
        <w:rPr>
          <w:rFonts w:ascii="Times" w:hAnsi="Times" w:cs="Times"/>
          <w:sz w:val="20"/>
          <w:szCs w:val="20"/>
        </w:rPr>
        <w:t>d notes on October 1, 2013 at a price of 115.45% of par. On that date, the subordinated notes were repurchased for $5.08 billion, plus accrued interest and we realized a gain of $680 million. We also realized additional gains from the dispositions and conv</w:t>
      </w:r>
      <w:r>
        <w:rPr>
          <w:rFonts w:ascii="Times" w:hAnsi="Times" w:cs="Times"/>
          <w:sz w:val="20"/>
          <w:szCs w:val="20"/>
        </w:rPr>
        <w:t>ersions of corporate bonds in 2013. Other investment gains/losses in 2013 included $1.4 billion related to the changes in the valuations of warrants of General Electric Company and The Goldman Sachs Group, which were acquired in 2008 and exercised in Octob</w:t>
      </w:r>
      <w:r>
        <w:rPr>
          <w:rFonts w:ascii="Times" w:hAnsi="Times" w:cs="Times"/>
          <w:sz w:val="20"/>
          <w:szCs w:val="20"/>
        </w:rPr>
        <w:t>er 2013.</w:t>
      </w:r>
    </w:p>
    <w:p w:rsidR="00000000" w:rsidRDefault="00A06965">
      <w:pPr>
        <w:pStyle w:val="DefaultParagraphFont"/>
        <w:widowControl w:val="0"/>
        <w:autoSpaceDE w:val="0"/>
        <w:autoSpaceDN w:val="0"/>
        <w:adjustRightInd w:val="0"/>
        <w:spacing w:after="0" w:line="1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We record investments in equity and fixed maturity securities classified as available-for-sale at fair value and record the difference between fair value and cost in other comprehensive income. OTTI losses recognized in earnings represent reducti</w:t>
      </w:r>
      <w:r>
        <w:rPr>
          <w:rFonts w:ascii="Times" w:hAnsi="Times" w:cs="Times"/>
          <w:sz w:val="20"/>
          <w:szCs w:val="20"/>
        </w:rPr>
        <w:t xml:space="preserve">ons in the cost basis of the investment, but not the fair value. Accordingly, such losses that are included in earnings are generally offset by a credit to other comprehensive income, producing no net effect on shareholders’ equity as of the balance sheet </w:t>
      </w:r>
      <w:r>
        <w:rPr>
          <w:rFonts w:ascii="Times" w:hAnsi="Times" w:cs="Times"/>
          <w:sz w:val="20"/>
          <w:szCs w:val="20"/>
        </w:rPr>
        <w:t>date. In 2014, we recorded an OTTI charge of $678 million related to our investment in equity securities of Tesco PLC. We recorded OTTI losses on bonds issued by Texas Competitive Electric Holdings of $228 million in 2013 and $337 million in 2012.</w:t>
      </w:r>
    </w:p>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p>
    <w:p w:rsidR="00000000" w:rsidRDefault="00A06965">
      <w:pPr>
        <w:pStyle w:val="DefaultParagraphFont"/>
        <w:widowControl w:val="0"/>
        <w:numPr>
          <w:ilvl w:val="0"/>
          <w:numId w:val="31"/>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Rec</w:t>
      </w:r>
      <w:r>
        <w:rPr>
          <w:rFonts w:ascii="Times" w:hAnsi="Times" w:cs="Times"/>
          <w:b/>
          <w:bCs/>
          <w:sz w:val="20"/>
          <w:szCs w:val="20"/>
        </w:rPr>
        <w:t>eivables</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overflowPunct w:val="0"/>
        <w:autoSpaceDE w:val="0"/>
        <w:autoSpaceDN w:val="0"/>
        <w:adjustRightInd w:val="0"/>
        <w:spacing w:after="0" w:line="239" w:lineRule="auto"/>
        <w:ind w:left="400"/>
        <w:jc w:val="both"/>
        <w:rPr>
          <w:rFonts w:ascii="Times" w:hAnsi="Times" w:cs="Times"/>
          <w:b/>
          <w:bCs/>
          <w:sz w:val="20"/>
          <w:szCs w:val="20"/>
        </w:rPr>
      </w:pPr>
      <w:r>
        <w:rPr>
          <w:rFonts w:ascii="Times" w:hAnsi="Times" w:cs="Times"/>
          <w:sz w:val="20"/>
          <w:szCs w:val="20"/>
        </w:rPr>
        <w:t>Receivables of insurance and other businesses are comprised of the following (in millions).</w:t>
      </w:r>
    </w:p>
    <w:p w:rsidR="00000000" w:rsidRDefault="00A06965">
      <w:pPr>
        <w:pStyle w:val="DefaultParagraphFont"/>
        <w:widowControl w:val="0"/>
        <w:autoSpaceDE w:val="0"/>
        <w:autoSpaceDN w:val="0"/>
        <w:adjustRightInd w:val="0"/>
        <w:spacing w:after="0" w:line="1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820"/>
        <w:gridCol w:w="100"/>
        <w:gridCol w:w="560"/>
        <w:gridCol w:w="200"/>
        <w:gridCol w:w="100"/>
        <w:gridCol w:w="540"/>
        <w:gridCol w:w="60"/>
      </w:tblGrid>
      <w:tr w:rsidR="00000000">
        <w:tblPrEx>
          <w:tblCellMar>
            <w:top w:w="0" w:type="dxa"/>
            <w:left w:w="0" w:type="dxa"/>
            <w:bottom w:w="0" w:type="dxa"/>
            <w:right w:w="0" w:type="dxa"/>
          </w:tblCellMar>
        </w:tblPrEx>
        <w:trPr>
          <w:trHeight w:val="184"/>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6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w:hAnsi="Times" w:cs="Times"/>
                <w:b/>
                <w:bCs/>
                <w:sz w:val="16"/>
                <w:szCs w:val="16"/>
              </w:rPr>
              <w:t>December 31,</w:t>
            </w:r>
          </w:p>
        </w:tc>
      </w:tr>
      <w:tr w:rsidR="00000000">
        <w:tblPrEx>
          <w:tblCellMar>
            <w:top w:w="0" w:type="dxa"/>
            <w:left w:w="0" w:type="dxa"/>
            <w:bottom w:w="0" w:type="dxa"/>
            <w:right w:w="0" w:type="dxa"/>
          </w:tblCellMar>
        </w:tblPrEx>
        <w:trPr>
          <w:trHeight w:val="26"/>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3"/>
              <w:jc w:val="right"/>
              <w:rPr>
                <w:rFonts w:ascii="Times New Roman" w:hAnsi="Times New Roman" w:cs="Times New Roman"/>
                <w:sz w:val="24"/>
                <w:szCs w:val="24"/>
              </w:rPr>
            </w:pPr>
            <w:r>
              <w:rPr>
                <w:rFonts w:ascii="Times" w:hAnsi="Times" w:cs="Times"/>
                <w:b/>
                <w:bCs/>
                <w:sz w:val="16"/>
                <w:szCs w:val="16"/>
              </w:rPr>
              <w:t>2013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Insurance premiums receivable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7,914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7,474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Reinsurance recoverable on unpaid losses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3,116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3,055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Trade and other receivables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11,133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10,111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Allowances for uncollectible accounts . . . . . . . . . . . . . . . . . . . . . .</w:t>
            </w:r>
            <w:r>
              <w:rPr>
                <w:rFonts w:ascii="Times" w:hAnsi="Times" w:cs="Times"/>
                <w:sz w:val="20"/>
                <w:szCs w:val="20"/>
              </w:rPr>
              <w:t xml:space="preserve">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(311)</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(360)</w:t>
            </w:r>
          </w:p>
        </w:tc>
      </w:tr>
      <w:tr w:rsidR="00000000">
        <w:tblPrEx>
          <w:tblCellMar>
            <w:top w:w="0" w:type="dxa"/>
            <w:left w:w="0" w:type="dxa"/>
            <w:bottom w:w="0" w:type="dxa"/>
            <w:right w:w="0" w:type="dxa"/>
          </w:tblCellMar>
        </w:tblPrEx>
        <w:trPr>
          <w:trHeight w:val="28"/>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21,852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20,280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19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sz w:val="20"/>
          <w:szCs w:val="20"/>
        </w:rPr>
        <w:t>Loans and finance receivables of finance and financial products businesses are summarized as follows (in millions).</w:t>
      </w:r>
    </w:p>
    <w:p w:rsidR="00000000" w:rsidRDefault="00A06965">
      <w:pPr>
        <w:pStyle w:val="DefaultParagraphFont"/>
        <w:widowControl w:val="0"/>
        <w:autoSpaceDE w:val="0"/>
        <w:autoSpaceDN w:val="0"/>
        <w:adjustRightInd w:val="0"/>
        <w:spacing w:after="0" w:line="1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820"/>
        <w:gridCol w:w="660"/>
        <w:gridCol w:w="200"/>
        <w:gridCol w:w="640"/>
        <w:gridCol w:w="60"/>
      </w:tblGrid>
      <w:tr w:rsidR="00000000">
        <w:tblPrEx>
          <w:tblCellMar>
            <w:top w:w="0" w:type="dxa"/>
            <w:left w:w="0" w:type="dxa"/>
            <w:bottom w:w="0" w:type="dxa"/>
            <w:right w:w="0" w:type="dxa"/>
          </w:tblCellMar>
        </w:tblPrEx>
        <w:trPr>
          <w:trHeight w:val="184"/>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w:hAnsi="Times" w:cs="Times"/>
                <w:b/>
                <w:bCs/>
                <w:sz w:val="16"/>
                <w:szCs w:val="16"/>
              </w:rPr>
              <w:t>December 31,</w:t>
            </w:r>
          </w:p>
        </w:tc>
      </w:tr>
      <w:tr w:rsidR="00000000">
        <w:tblPrEx>
          <w:tblCellMar>
            <w:top w:w="0" w:type="dxa"/>
            <w:left w:w="0" w:type="dxa"/>
            <w:bottom w:w="0" w:type="dxa"/>
            <w:right w:w="0" w:type="dxa"/>
          </w:tblCellMar>
        </w:tblPrEx>
        <w:trPr>
          <w:trHeight w:val="26"/>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7"/>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4"/>
              <w:jc w:val="right"/>
              <w:rPr>
                <w:rFonts w:ascii="Times New Roman" w:hAnsi="Times New Roman" w:cs="Times New Roman"/>
                <w:sz w:val="24"/>
                <w:szCs w:val="24"/>
              </w:rPr>
            </w:pPr>
            <w:r>
              <w:rPr>
                <w:rFonts w:ascii="Times" w:hAnsi="Times" w:cs="Times"/>
                <w:b/>
                <w:bCs/>
                <w:sz w:val="16"/>
                <w:szCs w:val="16"/>
              </w:rPr>
              <w:t>2013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Loans and finance receivables before allowances and discounts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$13,150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$13,576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Allowances for uncollectible loans . . . . . . . . . . . . . . . . . . . . . . . . . . . . . . . . . . . . . . . .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(303)</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(344)</w:t>
            </w:r>
          </w:p>
        </w:tc>
      </w:tr>
      <w:tr w:rsidR="00000000">
        <w:tblPrEx>
          <w:tblCellMar>
            <w:top w:w="0" w:type="dxa"/>
            <w:left w:w="0" w:type="dxa"/>
            <w:bottom w:w="0" w:type="dxa"/>
            <w:right w:w="0" w:type="dxa"/>
          </w:tblCellMar>
        </w:tblPrEx>
        <w:trPr>
          <w:trHeight w:val="240"/>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 xml:space="preserve">Unamortized acquisition discounts . . . . . . . . . . . . . . . . . . . . . . . . . . . . . </w:t>
            </w:r>
            <w:r>
              <w:rPr>
                <w:rFonts w:ascii="Times" w:hAnsi="Times" w:cs="Times"/>
                <w:sz w:val="20"/>
                <w:szCs w:val="20"/>
              </w:rPr>
              <w:t>. . . . . . . . . . .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(281)</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(406)</w:t>
            </w:r>
          </w:p>
        </w:tc>
      </w:tr>
      <w:tr w:rsidR="00000000">
        <w:tblPrEx>
          <w:tblCellMar>
            <w:top w:w="0" w:type="dxa"/>
            <w:left w:w="0" w:type="dxa"/>
            <w:bottom w:w="0" w:type="dxa"/>
            <w:right w:w="0" w:type="dxa"/>
          </w:tblCellMar>
        </w:tblPrEx>
        <w:trPr>
          <w:trHeight w:val="28"/>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$12,566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$12,826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9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64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(8)  Receivables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Loans and finance receivables are predominantly installment loans originated or acquired by our manufactured housing business. Provisions for loan losses for 2014 and 2013 were $173 million and $249 million, respectively. Loan charge-offs, net of recoverie</w:t>
      </w:r>
      <w:r>
        <w:rPr>
          <w:rFonts w:ascii="Times" w:hAnsi="Times" w:cs="Times"/>
          <w:sz w:val="20"/>
          <w:szCs w:val="20"/>
        </w:rPr>
        <w:t>s, were $214 million in 2014 and $266 million in 2013. At December 31, 2014, approximately 97% of the loan balances were evaluated collectively for impairment. As a part of the evaluation process, credit quality indicators are reviewed and loans are design</w:t>
      </w:r>
      <w:r>
        <w:rPr>
          <w:rFonts w:ascii="Times" w:hAnsi="Times" w:cs="Times"/>
          <w:sz w:val="20"/>
          <w:szCs w:val="20"/>
        </w:rPr>
        <w:t>ated as performing or non-performing. At December 31, 2014, approximately 98% of the loan balances were determined to be performing and approximately 94% of the loan balances were current as to payment status.</w:t>
      </w:r>
    </w:p>
    <w:p w:rsidR="00000000" w:rsidRDefault="00A06965">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A06965">
      <w:pPr>
        <w:pStyle w:val="DefaultParagraphFont"/>
        <w:widowControl w:val="0"/>
        <w:numPr>
          <w:ilvl w:val="0"/>
          <w:numId w:val="32"/>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Inventories</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overflowPunct w:val="0"/>
        <w:autoSpaceDE w:val="0"/>
        <w:autoSpaceDN w:val="0"/>
        <w:adjustRightInd w:val="0"/>
        <w:spacing w:after="0" w:line="239" w:lineRule="auto"/>
        <w:ind w:left="400"/>
        <w:jc w:val="both"/>
        <w:rPr>
          <w:rFonts w:ascii="Times" w:hAnsi="Times" w:cs="Times"/>
          <w:b/>
          <w:bCs/>
          <w:sz w:val="20"/>
          <w:szCs w:val="20"/>
        </w:rPr>
      </w:pPr>
      <w:r>
        <w:rPr>
          <w:rFonts w:ascii="Times" w:hAnsi="Times" w:cs="Times"/>
          <w:sz w:val="20"/>
          <w:szCs w:val="20"/>
        </w:rPr>
        <w:t>Inventories are comprised of the following (in millions).</w:t>
      </w:r>
    </w:p>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920"/>
        <w:gridCol w:w="100"/>
        <w:gridCol w:w="560"/>
        <w:gridCol w:w="200"/>
        <w:gridCol w:w="540"/>
      </w:tblGrid>
      <w:tr w:rsidR="00000000">
        <w:tblPrEx>
          <w:tblCellMar>
            <w:top w:w="0" w:type="dxa"/>
            <w:left w:w="0" w:type="dxa"/>
            <w:bottom w:w="0" w:type="dxa"/>
            <w:right w:w="0" w:type="dxa"/>
          </w:tblCellMar>
        </w:tblPrEx>
        <w:trPr>
          <w:trHeight w:val="18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3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40"/>
              <w:jc w:val="right"/>
              <w:rPr>
                <w:rFonts w:ascii="Times New Roman" w:hAnsi="Times New Roman" w:cs="Times New Roman"/>
                <w:sz w:val="24"/>
                <w:szCs w:val="24"/>
              </w:rPr>
            </w:pPr>
            <w:r>
              <w:rPr>
                <w:rFonts w:ascii="Times" w:hAnsi="Times" w:cs="Times"/>
                <w:b/>
                <w:bCs/>
                <w:sz w:val="16"/>
                <w:szCs w:val="16"/>
              </w:rPr>
              <w:t>December 31,</w:t>
            </w:r>
          </w:p>
        </w:tc>
      </w:tr>
      <w:tr w:rsidR="00000000">
        <w:tblPrEx>
          <w:tblCellMar>
            <w:top w:w="0" w:type="dxa"/>
            <w:left w:w="0" w:type="dxa"/>
            <w:bottom w:w="0" w:type="dxa"/>
            <w:right w:w="0" w:type="dxa"/>
          </w:tblCellMar>
        </w:tblPrEx>
        <w:trPr>
          <w:trHeight w:val="2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6"/>
              <w:jc w:val="right"/>
              <w:rPr>
                <w:rFonts w:ascii="Times New Roman" w:hAnsi="Times New Roman" w:cs="Times New Roman"/>
                <w:sz w:val="24"/>
                <w:szCs w:val="24"/>
              </w:rPr>
            </w:pPr>
            <w:r>
              <w:rPr>
                <w:rFonts w:ascii="Times" w:hAnsi="Times" w:cs="Times"/>
                <w:b/>
                <w:bCs/>
                <w:sz w:val="16"/>
                <w:szCs w:val="16"/>
              </w:rPr>
              <w:t>2014</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2013</w:t>
            </w:r>
          </w:p>
        </w:tc>
      </w:tr>
      <w:tr w:rsidR="00000000">
        <w:tblPrEx>
          <w:tblCellMar>
            <w:top w:w="0" w:type="dxa"/>
            <w:left w:w="0" w:type="dxa"/>
            <w:bottom w:w="0" w:type="dxa"/>
            <w:right w:w="0" w:type="dxa"/>
          </w:tblCellMar>
        </w:tblPrEx>
        <w:trPr>
          <w:trHeight w:val="26"/>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Raw materials . . . . . . . . . . .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1,881</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$1,755</w:t>
            </w:r>
          </w:p>
        </w:tc>
      </w:tr>
      <w:tr w:rsidR="00000000">
        <w:tblPrEx>
          <w:tblCellMar>
            <w:top w:w="0" w:type="dxa"/>
            <w:left w:w="0" w:type="dxa"/>
            <w:bottom w:w="0" w:type="dxa"/>
            <w:right w:w="0" w:type="dxa"/>
          </w:tblCellMar>
        </w:tblPrEx>
        <w:trPr>
          <w:trHeight w:val="24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Work in process and other . .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850</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842</w:t>
            </w:r>
          </w:p>
        </w:tc>
      </w:tr>
      <w:tr w:rsidR="00000000">
        <w:tblPrEx>
          <w:tblCellMar>
            <w:top w:w="0" w:type="dxa"/>
            <w:left w:w="0" w:type="dxa"/>
            <w:bottom w:w="0" w:type="dxa"/>
            <w:right w:w="0" w:type="dxa"/>
          </w:tblCellMar>
        </w:tblPrEx>
        <w:trPr>
          <w:trHeight w:val="24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 xml:space="preserve">Finished manufactured goods . . . . . . . . . . . . . . . . . . . . . . . . . . . . . . </w:t>
            </w:r>
            <w:r>
              <w:rPr>
                <w:rFonts w:ascii="Times" w:hAnsi="Times" w:cs="Times"/>
                <w:sz w:val="20"/>
                <w:szCs w:val="20"/>
              </w:rPr>
              <w:t>.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3,333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3,206</w:t>
            </w:r>
          </w:p>
        </w:tc>
      </w:tr>
      <w:tr w:rsidR="00000000">
        <w:tblPrEx>
          <w:tblCellMar>
            <w:top w:w="0" w:type="dxa"/>
            <w:left w:w="0" w:type="dxa"/>
            <w:bottom w:w="0" w:type="dxa"/>
            <w:right w:w="0" w:type="dxa"/>
          </w:tblCellMar>
        </w:tblPrEx>
        <w:trPr>
          <w:trHeight w:val="24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Goods acquired for resale . .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4,172</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4,057</w:t>
            </w:r>
          </w:p>
        </w:tc>
      </w:tr>
      <w:tr w:rsidR="00000000">
        <w:tblPrEx>
          <w:tblCellMar>
            <w:top w:w="0" w:type="dxa"/>
            <w:left w:w="0" w:type="dxa"/>
            <w:bottom w:w="0" w:type="dxa"/>
            <w:right w:w="0" w:type="dxa"/>
          </w:tblCellMar>
        </w:tblPrEx>
        <w:trPr>
          <w:trHeight w:val="28"/>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10,236</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$9,860</w:t>
            </w:r>
          </w:p>
        </w:tc>
      </w:tr>
      <w:tr w:rsidR="00000000">
        <w:tblPrEx>
          <w:tblCellMar>
            <w:top w:w="0" w:type="dxa"/>
            <w:left w:w="0" w:type="dxa"/>
            <w:bottom w:w="0" w:type="dxa"/>
            <w:right w:w="0" w:type="dxa"/>
          </w:tblCellMar>
        </w:tblPrEx>
        <w:trPr>
          <w:trHeight w:val="28"/>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numPr>
          <w:ilvl w:val="0"/>
          <w:numId w:val="33"/>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Property, plant and equipment</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overflowPunct w:val="0"/>
        <w:autoSpaceDE w:val="0"/>
        <w:autoSpaceDN w:val="0"/>
        <w:adjustRightInd w:val="0"/>
        <w:spacing w:after="0" w:line="239" w:lineRule="auto"/>
        <w:ind w:left="400"/>
        <w:jc w:val="both"/>
        <w:rPr>
          <w:rFonts w:ascii="Times" w:hAnsi="Times" w:cs="Times"/>
          <w:b/>
          <w:bCs/>
          <w:sz w:val="20"/>
          <w:szCs w:val="20"/>
        </w:rPr>
      </w:pPr>
      <w:r>
        <w:rPr>
          <w:rFonts w:ascii="Times" w:hAnsi="Times" w:cs="Times"/>
          <w:sz w:val="20"/>
          <w:szCs w:val="20"/>
        </w:rPr>
        <w:t>A summary of property, plant and equipment of our insurance and other businesses follows (in millions).</w:t>
      </w:r>
    </w:p>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140"/>
        <w:gridCol w:w="1340"/>
        <w:gridCol w:w="200"/>
        <w:gridCol w:w="100"/>
        <w:gridCol w:w="620"/>
        <w:gridCol w:w="200"/>
        <w:gridCol w:w="100"/>
        <w:gridCol w:w="620"/>
        <w:gridCol w:w="60"/>
        <w:gridCol w:w="20"/>
      </w:tblGrid>
      <w:tr w:rsidR="00000000">
        <w:tblPrEx>
          <w:tblCellMar>
            <w:top w:w="0" w:type="dxa"/>
            <w:left w:w="0" w:type="dxa"/>
            <w:bottom w:w="0" w:type="dxa"/>
            <w:right w:w="0" w:type="dxa"/>
          </w:tblCellMar>
        </w:tblPrEx>
        <w:trPr>
          <w:trHeight w:val="184"/>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4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w w:val="98"/>
                <w:sz w:val="16"/>
                <w:szCs w:val="16"/>
              </w:rPr>
              <w:t>Ranges of</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0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20"/>
              <w:jc w:val="right"/>
              <w:rPr>
                <w:rFonts w:ascii="Times New Roman" w:hAnsi="Times New Roman" w:cs="Times New Roman"/>
                <w:sz w:val="24"/>
                <w:szCs w:val="24"/>
              </w:rPr>
            </w:pPr>
            <w:r>
              <w:rPr>
                <w:rFonts w:ascii="Times" w:hAnsi="Times" w:cs="Times"/>
                <w:b/>
                <w:bCs/>
                <w:sz w:val="16"/>
                <w:szCs w:val="16"/>
              </w:rPr>
              <w:t>December 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4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w w:val="98"/>
                <w:sz w:val="16"/>
                <w:szCs w:val="16"/>
              </w:rPr>
              <w:t>estimated useful life</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4"/>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3"/>
              <w:jc w:val="right"/>
              <w:rPr>
                <w:rFonts w:ascii="Times New Roman" w:hAnsi="Times New Roman" w:cs="Times New Roman"/>
                <w:sz w:val="24"/>
                <w:szCs w:val="24"/>
              </w:rPr>
            </w:pPr>
            <w:r>
              <w:rPr>
                <w:rFonts w:ascii="Times" w:hAnsi="Times" w:cs="Times"/>
                <w:b/>
                <w:bCs/>
                <w:sz w:val="16"/>
                <w:szCs w:val="16"/>
              </w:rPr>
              <w:t>2013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Land . . . . . . . . . . . . . . . . . . . . . . . . . . . . . . . . . . . . . . . . . . . . . . . . . . . . . . . . . . . . . . . . .</w:t>
            </w:r>
          </w:p>
        </w:tc>
        <w:tc>
          <w:tcPr>
            <w:tcW w:w="15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20"/>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1,171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1,098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Buildings and improvements . . . . . . . . . . . . . . . . . . . . . . . . . . . . . . . . . . . . . . . . . . . . . .</w:t>
            </w:r>
          </w:p>
        </w:tc>
        <w:tc>
          <w:tcPr>
            <w:tcW w:w="15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center"/>
              <w:rPr>
                <w:rFonts w:ascii="Times New Roman" w:hAnsi="Times New Roman" w:cs="Times New Roman"/>
                <w:sz w:val="24"/>
                <w:szCs w:val="24"/>
              </w:rPr>
            </w:pPr>
            <w:r>
              <w:rPr>
                <w:rFonts w:ascii="Times" w:hAnsi="Times" w:cs="Times"/>
                <w:sz w:val="20"/>
                <w:szCs w:val="20"/>
              </w:rPr>
              <w:t>2 – 40 years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6,600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6,244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Machinery and equipment . . . . . . . . . . . . . . . . . . . . . . . . . . . . . . . . . . . . . . . . . . . . . . . .</w:t>
            </w:r>
          </w:p>
        </w:tc>
        <w:tc>
          <w:tcPr>
            <w:tcW w:w="15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center"/>
              <w:rPr>
                <w:rFonts w:ascii="Times New Roman" w:hAnsi="Times New Roman" w:cs="Times New Roman"/>
                <w:sz w:val="24"/>
                <w:szCs w:val="24"/>
              </w:rPr>
            </w:pPr>
            <w:r>
              <w:rPr>
                <w:rFonts w:ascii="Times" w:hAnsi="Times" w:cs="Times"/>
                <w:sz w:val="20"/>
                <w:szCs w:val="20"/>
              </w:rPr>
              <w:t>3 – 25 years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16,413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15,984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Furniture, fixtures and other . . . . . . . . . . . . . . . . . . . . . . . . . . . . . . . . . . . . . . . . . . . . . .</w:t>
            </w:r>
          </w:p>
        </w:tc>
        <w:tc>
          <w:tcPr>
            <w:tcW w:w="15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center"/>
              <w:rPr>
                <w:rFonts w:ascii="Times New Roman" w:hAnsi="Times New Roman" w:cs="Times New Roman"/>
                <w:sz w:val="24"/>
                <w:szCs w:val="24"/>
              </w:rPr>
            </w:pPr>
            <w:r>
              <w:rPr>
                <w:rFonts w:ascii="Times" w:hAnsi="Times" w:cs="Times"/>
                <w:sz w:val="20"/>
                <w:szCs w:val="20"/>
              </w:rPr>
              <w:t>2 – 18 years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3,136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2,748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27,320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26,074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Accumulated depreciation . . . . . . . . . . . . . . . . . . . . . . . . . . . . . . . . . . . . . . . . . . . . . . . .</w:t>
            </w:r>
          </w:p>
        </w:tc>
        <w:tc>
          <w:tcPr>
            <w:tcW w:w="1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w w:val="96"/>
                <w:sz w:val="20"/>
                <w:szCs w:val="20"/>
              </w:rPr>
              <w:t>(13,167)</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6"/>
                <w:sz w:val="20"/>
                <w:szCs w:val="20"/>
              </w:rPr>
              <w:t>(12,451)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14,153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13,623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65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numPr>
          <w:ilvl w:val="0"/>
          <w:numId w:val="34"/>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 xml:space="preserve">Property, plant and equipment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overflowPunct w:val="0"/>
        <w:autoSpaceDE w:val="0"/>
        <w:autoSpaceDN w:val="0"/>
        <w:adjustRightInd w:val="0"/>
        <w:spacing w:after="0" w:line="239" w:lineRule="auto"/>
        <w:ind w:left="400"/>
        <w:jc w:val="both"/>
        <w:rPr>
          <w:rFonts w:ascii="Times" w:hAnsi="Times" w:cs="Times"/>
          <w:b/>
          <w:bCs/>
          <w:sz w:val="20"/>
          <w:szCs w:val="20"/>
        </w:rPr>
      </w:pPr>
      <w:r>
        <w:rPr>
          <w:rFonts w:ascii="Times" w:hAnsi="Times" w:cs="Times"/>
          <w:sz w:val="20"/>
          <w:szCs w:val="20"/>
        </w:rPr>
        <w:t>A summary of property, plant and equipment of our railroad and our utilities and energy businesses follows (in millions).</w:t>
      </w:r>
    </w:p>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060"/>
        <w:gridCol w:w="1360"/>
        <w:gridCol w:w="200"/>
        <w:gridCol w:w="100"/>
        <w:gridCol w:w="660"/>
        <w:gridCol w:w="200"/>
        <w:gridCol w:w="100"/>
        <w:gridCol w:w="640"/>
        <w:gridCol w:w="60"/>
        <w:gridCol w:w="20"/>
      </w:tblGrid>
      <w:tr w:rsidR="00000000">
        <w:tblPrEx>
          <w:tblCellMar>
            <w:top w:w="0" w:type="dxa"/>
            <w:left w:w="0" w:type="dxa"/>
            <w:bottom w:w="0" w:type="dxa"/>
            <w:right w:w="0" w:type="dxa"/>
          </w:tblCellMar>
        </w:tblPrEx>
        <w:trPr>
          <w:trHeight w:val="184"/>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6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sz w:val="16"/>
                <w:szCs w:val="16"/>
              </w:rPr>
              <w:t>Ranges of</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6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40"/>
              <w:jc w:val="right"/>
              <w:rPr>
                <w:rFonts w:ascii="Times New Roman" w:hAnsi="Times New Roman" w:cs="Times New Roman"/>
                <w:sz w:val="24"/>
                <w:szCs w:val="24"/>
              </w:rPr>
            </w:pPr>
            <w:r>
              <w:rPr>
                <w:rFonts w:ascii="Times" w:hAnsi="Times" w:cs="Times"/>
                <w:b/>
                <w:bCs/>
                <w:sz w:val="16"/>
                <w:szCs w:val="16"/>
              </w:rPr>
              <w:t>December 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6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w w:val="99"/>
                <w:sz w:val="16"/>
                <w:szCs w:val="16"/>
              </w:rPr>
              <w:t>estimated useful life</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3"/>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2"/>
              <w:jc w:val="right"/>
              <w:rPr>
                <w:rFonts w:ascii="Times New Roman" w:hAnsi="Times New Roman" w:cs="Times New Roman"/>
                <w:sz w:val="24"/>
                <w:szCs w:val="24"/>
              </w:rPr>
            </w:pPr>
            <w:r>
              <w:rPr>
                <w:rFonts w:ascii="Times" w:hAnsi="Times" w:cs="Times"/>
                <w:b/>
                <w:bCs/>
                <w:sz w:val="16"/>
                <w:szCs w:val="16"/>
              </w:rPr>
              <w:t>2013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0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Railroad:</w:t>
            </w:r>
          </w:p>
        </w:tc>
        <w:tc>
          <w:tcPr>
            <w:tcW w:w="13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0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Land . . . . . . . . . . . . . . . . . . . . . . . . . . . . . . . . . . . . . . . . . . . . . . . . . . . . . . . . . . . .</w:t>
            </w: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40"/>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5,983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5,973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Track structure and other roadway . . . . . . . . . . . . . . . . . . . . . . . . . . . . . . . . . . . . .</w:t>
            </w: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center"/>
              <w:rPr>
                <w:rFonts w:ascii="Times New Roman" w:hAnsi="Times New Roman" w:cs="Times New Roman"/>
                <w:sz w:val="24"/>
                <w:szCs w:val="24"/>
              </w:rPr>
            </w:pPr>
            <w:r>
              <w:rPr>
                <w:rFonts w:ascii="Times" w:hAnsi="Times" w:cs="Times"/>
                <w:sz w:val="20"/>
                <w:szCs w:val="20"/>
              </w:rPr>
              <w:t>5 – 100 years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42,588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40,098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Locomotives, freight cars and other equipment . . . . . . . . . . . . . . . . . . . . . . . . . . .</w:t>
            </w: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center"/>
              <w:rPr>
                <w:rFonts w:ascii="Times New Roman" w:hAnsi="Times New Roman" w:cs="Times New Roman"/>
                <w:sz w:val="24"/>
                <w:szCs w:val="24"/>
              </w:rPr>
            </w:pPr>
            <w:r>
              <w:rPr>
                <w:rFonts w:ascii="Times" w:hAnsi="Times" w:cs="Times"/>
                <w:w w:val="98"/>
                <w:sz w:val="20"/>
                <w:szCs w:val="20"/>
              </w:rPr>
              <w:t>5 – 40 years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9,493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7,551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Construction in progress  . . . . . . . . . . . . . . . . . . . . . . . . . . . . . . . . . . . . . . . . . . . .</w:t>
            </w: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center"/>
              <w:rPr>
                <w:rFonts w:ascii="Times New Roman" w:hAnsi="Times New Roman" w:cs="Times New Roman"/>
                <w:sz w:val="24"/>
                <w:szCs w:val="24"/>
              </w:rPr>
            </w:pPr>
            <w:r>
              <w:rPr>
                <w:rFonts w:ascii="Times" w:hAnsi="Times" w:cs="Times"/>
                <w:w w:val="99"/>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973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Utilities and energy:</w:t>
            </w: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Utility generation, distribution and transmission system . . . . . . . . . . . . . . . . . . . .</w:t>
            </w: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center"/>
              <w:rPr>
                <w:rFonts w:ascii="Times New Roman" w:hAnsi="Times New Roman" w:cs="Times New Roman"/>
                <w:sz w:val="24"/>
                <w:szCs w:val="24"/>
              </w:rPr>
            </w:pPr>
            <w:r>
              <w:rPr>
                <w:rFonts w:ascii="Times" w:hAnsi="Times" w:cs="Times"/>
                <w:w w:val="98"/>
                <w:sz w:val="20"/>
                <w:szCs w:val="20"/>
              </w:rPr>
              <w:t>5 – 80 years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64,645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57,490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Interstate pipeline assets . . . . . . . . . . . . . . . . . . . . . . . . . . . . . . . . . . . . . . . . . . . . .</w:t>
            </w: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center"/>
              <w:rPr>
                <w:rFonts w:ascii="Times New Roman" w:hAnsi="Times New Roman" w:cs="Times New Roman"/>
                <w:sz w:val="24"/>
                <w:szCs w:val="24"/>
              </w:rPr>
            </w:pPr>
            <w:r>
              <w:rPr>
                <w:rFonts w:ascii="Times" w:hAnsi="Times" w:cs="Times"/>
                <w:w w:val="98"/>
                <w:sz w:val="20"/>
                <w:szCs w:val="20"/>
              </w:rPr>
              <w:t>3 –</w:t>
            </w:r>
            <w:r>
              <w:rPr>
                <w:rFonts w:ascii="Times" w:hAnsi="Times" w:cs="Times"/>
                <w:w w:val="98"/>
                <w:sz w:val="20"/>
                <w:szCs w:val="20"/>
              </w:rPr>
              <w:t xml:space="preserve"> 80 years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6,660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6,448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Independent power plants and other assets . . . . . . . . . . . . . . . . . . . . . . . . . . . . . .</w:t>
            </w: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center"/>
              <w:rPr>
                <w:rFonts w:ascii="Times New Roman" w:hAnsi="Times New Roman" w:cs="Times New Roman"/>
                <w:sz w:val="24"/>
                <w:szCs w:val="24"/>
              </w:rPr>
            </w:pPr>
            <w:r>
              <w:rPr>
                <w:rFonts w:ascii="Times" w:hAnsi="Times" w:cs="Times"/>
                <w:w w:val="98"/>
                <w:sz w:val="20"/>
                <w:szCs w:val="20"/>
              </w:rPr>
              <w:t>3 – 30 years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5,035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2,516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Construction in progress  . . . . . . . . . . . . . . . . . . . . . . . . . . . . . . . . . . . . . . . . . . . .</w:t>
            </w: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40"/>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5,194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4,217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140,890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125,266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Accumulated depreciation . . . . . . . . . . . . . . . . . . . . . . . . . . . . . . . . . . . . . . . . . . . . . . .</w:t>
            </w: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(25,836)</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(22,784)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115,054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102,482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right="60" w:firstLine="400"/>
        <w:jc w:val="both"/>
        <w:rPr>
          <w:rFonts w:ascii="Times New Roman" w:hAnsi="Times New Roman" w:cs="Times New Roman"/>
          <w:sz w:val="24"/>
          <w:szCs w:val="24"/>
        </w:rPr>
      </w:pPr>
      <w:r>
        <w:rPr>
          <w:rFonts w:ascii="Times" w:hAnsi="Times" w:cs="Times"/>
          <w:sz w:val="20"/>
          <w:szCs w:val="20"/>
        </w:rPr>
        <w:t>Railroad property, plant and equipment includes the land, other roadway, track structure and rolling stock (primarily locomotives and freight cars) of BNSF. The utility generation, distribution and transmission system and interstate pipeline assets are the</w:t>
      </w:r>
      <w:r>
        <w:rPr>
          <w:rFonts w:ascii="Times" w:hAnsi="Times" w:cs="Times"/>
          <w:sz w:val="20"/>
          <w:szCs w:val="20"/>
        </w:rPr>
        <w:t xml:space="preserve"> regulated assets of public utility and natural gas pipeline subsidiaries.</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right="60" w:firstLine="400"/>
        <w:jc w:val="both"/>
        <w:rPr>
          <w:rFonts w:ascii="Times New Roman" w:hAnsi="Times New Roman" w:cs="Times New Roman"/>
          <w:sz w:val="24"/>
          <w:szCs w:val="24"/>
        </w:rPr>
      </w:pPr>
      <w:r>
        <w:rPr>
          <w:rFonts w:ascii="Times" w:hAnsi="Times" w:cs="Times"/>
          <w:sz w:val="20"/>
          <w:szCs w:val="20"/>
        </w:rPr>
        <w:t>Assets held for lease and property, plant and equipment of our finance and financial products businesses are summarized below (in millions).</w:t>
      </w: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260"/>
        <w:gridCol w:w="1360"/>
        <w:gridCol w:w="200"/>
        <w:gridCol w:w="100"/>
        <w:gridCol w:w="560"/>
        <w:gridCol w:w="200"/>
        <w:gridCol w:w="100"/>
        <w:gridCol w:w="540"/>
        <w:gridCol w:w="60"/>
        <w:gridCol w:w="20"/>
      </w:tblGrid>
      <w:tr w:rsidR="00000000">
        <w:tblPrEx>
          <w:tblCellMar>
            <w:top w:w="0" w:type="dxa"/>
            <w:left w:w="0" w:type="dxa"/>
            <w:bottom w:w="0" w:type="dxa"/>
            <w:right w:w="0" w:type="dxa"/>
          </w:tblCellMar>
        </w:tblPrEx>
        <w:trPr>
          <w:trHeight w:val="184"/>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6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sz w:val="16"/>
                <w:szCs w:val="16"/>
              </w:rPr>
              <w:t>Ranges of</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6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w:hAnsi="Times" w:cs="Times"/>
                <w:b/>
                <w:bCs/>
                <w:sz w:val="16"/>
                <w:szCs w:val="16"/>
              </w:rPr>
              <w:t>December 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6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w w:val="99"/>
                <w:sz w:val="16"/>
                <w:szCs w:val="16"/>
              </w:rPr>
              <w:t>estimated useful life</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5"/>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3"/>
              <w:jc w:val="right"/>
              <w:rPr>
                <w:rFonts w:ascii="Times New Roman" w:hAnsi="Times New Roman" w:cs="Times New Roman"/>
                <w:sz w:val="24"/>
                <w:szCs w:val="24"/>
              </w:rPr>
            </w:pPr>
            <w:r>
              <w:rPr>
                <w:rFonts w:ascii="Times" w:hAnsi="Times" w:cs="Times"/>
                <w:b/>
                <w:bCs/>
                <w:sz w:val="16"/>
                <w:szCs w:val="16"/>
              </w:rPr>
              <w:t>2013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Assets held for lease . . . . . . . . . . . . . . . . . . . . . . . . . . . . . . . . . . . . . . . . . . . . . . . . . . . . . .</w:t>
            </w: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center"/>
              <w:rPr>
                <w:rFonts w:ascii="Times New Roman" w:hAnsi="Times New Roman" w:cs="Times New Roman"/>
                <w:sz w:val="24"/>
                <w:szCs w:val="24"/>
              </w:rPr>
            </w:pPr>
            <w:r>
              <w:rPr>
                <w:rFonts w:ascii="Times" w:hAnsi="Times" w:cs="Times"/>
                <w:w w:val="98"/>
                <w:sz w:val="20"/>
                <w:szCs w:val="20"/>
              </w:rPr>
              <w:t>5 – 30 years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9,810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9,509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Land . . . . . . . . . . . . . . . . . . . . . . . . . . . . . . . . . . . . . . . . . . . . . . . . . . . . . . . . . . . . . . . . . .</w:t>
            </w: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40"/>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Buildings, machinery and other . . . . . . . . . . . . . . . . . . . . . . . . . . . . . . . . . . . . . . . . . . . . .</w:t>
            </w:r>
          </w:p>
        </w:tc>
        <w:tc>
          <w:tcPr>
            <w:tcW w:w="1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center"/>
              <w:rPr>
                <w:rFonts w:ascii="Times New Roman" w:hAnsi="Times New Roman" w:cs="Times New Roman"/>
                <w:sz w:val="24"/>
                <w:szCs w:val="24"/>
              </w:rPr>
            </w:pPr>
            <w:r>
              <w:rPr>
                <w:rFonts w:ascii="Times" w:hAnsi="Times" w:cs="Times"/>
                <w:w w:val="98"/>
                <w:sz w:val="20"/>
                <w:szCs w:val="20"/>
              </w:rPr>
              <w:t>3 – 50 years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1,179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1,146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11,216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10,888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Accumulated depreciation . . . . . . . . . . . . . . . . . . . . . . . . . . . . . . . . . . . . . . . . . . . . . . . . .</w:t>
            </w: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(3,179)</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(3,188)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8,037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7,700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right="60" w:firstLine="400"/>
        <w:jc w:val="both"/>
        <w:rPr>
          <w:rFonts w:ascii="Times New Roman" w:hAnsi="Times New Roman" w:cs="Times New Roman"/>
          <w:sz w:val="24"/>
          <w:szCs w:val="24"/>
        </w:rPr>
      </w:pPr>
      <w:r>
        <w:rPr>
          <w:rFonts w:ascii="Times" w:hAnsi="Times" w:cs="Times"/>
          <w:sz w:val="20"/>
          <w:szCs w:val="20"/>
        </w:rPr>
        <w:t xml:space="preserve">Assets held for lease includes railcars, intermodal tank containers, cranes, over-the-road trailers, storage units and furniture. As of December 31, 2014, the minimum future lease rentals to be received on assets held for lease (including rail cars leased </w:t>
      </w:r>
      <w:r>
        <w:rPr>
          <w:rFonts w:ascii="Times" w:hAnsi="Times" w:cs="Times"/>
          <w:sz w:val="20"/>
          <w:szCs w:val="20"/>
        </w:rPr>
        <w:t>from others) were as follows (in millions): 2015 – $982; 2016 – $822; 2017 – $643; 2018 – $461; 2019 – $311; and thereafter – $385.</w:t>
      </w:r>
    </w:p>
    <w:p w:rsidR="00000000" w:rsidRDefault="00A06965">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A06965">
      <w:pPr>
        <w:pStyle w:val="DefaultParagraphFont"/>
        <w:widowControl w:val="0"/>
        <w:numPr>
          <w:ilvl w:val="0"/>
          <w:numId w:val="35"/>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Goodwill and other intangible assets</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overflowPunct w:val="0"/>
        <w:autoSpaceDE w:val="0"/>
        <w:autoSpaceDN w:val="0"/>
        <w:adjustRightInd w:val="0"/>
        <w:spacing w:after="0" w:line="239" w:lineRule="auto"/>
        <w:ind w:left="400"/>
        <w:jc w:val="both"/>
        <w:rPr>
          <w:rFonts w:ascii="Times" w:hAnsi="Times" w:cs="Times"/>
          <w:b/>
          <w:bCs/>
          <w:sz w:val="20"/>
          <w:szCs w:val="20"/>
        </w:rPr>
      </w:pPr>
      <w:r>
        <w:rPr>
          <w:rFonts w:ascii="Times" w:hAnsi="Times" w:cs="Times"/>
          <w:sz w:val="20"/>
          <w:szCs w:val="20"/>
        </w:rPr>
        <w:t>A reconciliation of the change in the carrying value of goodwill is as follows (in millions).</w:t>
      </w:r>
    </w:p>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820"/>
        <w:gridCol w:w="660"/>
        <w:gridCol w:w="200"/>
        <w:gridCol w:w="640"/>
        <w:gridCol w:w="60"/>
      </w:tblGrid>
      <w:tr w:rsidR="00000000">
        <w:tblPrEx>
          <w:tblCellMar>
            <w:top w:w="0" w:type="dxa"/>
            <w:left w:w="0" w:type="dxa"/>
            <w:bottom w:w="0" w:type="dxa"/>
            <w:right w:w="0" w:type="dxa"/>
          </w:tblCellMar>
        </w:tblPrEx>
        <w:trPr>
          <w:trHeight w:val="184"/>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w:hAnsi="Times" w:cs="Times"/>
                <w:b/>
                <w:bCs/>
                <w:sz w:val="16"/>
                <w:szCs w:val="16"/>
              </w:rPr>
              <w:t>December 31,</w:t>
            </w:r>
          </w:p>
        </w:tc>
      </w:tr>
      <w:tr w:rsidR="00000000">
        <w:tblPrEx>
          <w:tblCellMar>
            <w:top w:w="0" w:type="dxa"/>
            <w:left w:w="0" w:type="dxa"/>
            <w:bottom w:w="0" w:type="dxa"/>
            <w:right w:w="0" w:type="dxa"/>
          </w:tblCellMar>
        </w:tblPrEx>
        <w:trPr>
          <w:trHeight w:val="26"/>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7"/>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4"/>
              <w:jc w:val="right"/>
              <w:rPr>
                <w:rFonts w:ascii="Times New Roman" w:hAnsi="Times New Roman" w:cs="Times New Roman"/>
                <w:sz w:val="24"/>
                <w:szCs w:val="24"/>
              </w:rPr>
            </w:pPr>
            <w:r>
              <w:rPr>
                <w:rFonts w:ascii="Times" w:hAnsi="Times" w:cs="Times"/>
                <w:b/>
                <w:bCs/>
                <w:sz w:val="16"/>
                <w:szCs w:val="16"/>
              </w:rPr>
              <w:t>2013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beginning of year . . . . . . . . . . . . . .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$57,011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$54,523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Acquisitions of businesses  . . . . . . . . . . . . . . .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4,006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2,732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including foreign currency translation . . . . . . . . . . . . . . . . . . . . . . . . . . . . . . . .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(303)</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(244)</w:t>
            </w:r>
          </w:p>
        </w:tc>
      </w:tr>
      <w:tr w:rsidR="00000000">
        <w:tblPrEx>
          <w:tblCellMar>
            <w:top w:w="0" w:type="dxa"/>
            <w:left w:w="0" w:type="dxa"/>
            <w:bottom w:w="0" w:type="dxa"/>
            <w:right w:w="0" w:type="dxa"/>
          </w:tblCellMar>
        </w:tblPrEx>
        <w:trPr>
          <w:trHeight w:val="28"/>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end of year . . . . . . . . . . . . . . . . . . .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$60,714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$57,011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3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66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numPr>
          <w:ilvl w:val="0"/>
          <w:numId w:val="36"/>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 xml:space="preserve">Goodwill and other intangible assets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overflowPunct w:val="0"/>
        <w:autoSpaceDE w:val="0"/>
        <w:autoSpaceDN w:val="0"/>
        <w:adjustRightInd w:val="0"/>
        <w:spacing w:after="0" w:line="239" w:lineRule="auto"/>
        <w:ind w:left="400"/>
        <w:jc w:val="both"/>
        <w:rPr>
          <w:rFonts w:ascii="Times" w:hAnsi="Times" w:cs="Times"/>
          <w:b/>
          <w:bCs/>
          <w:sz w:val="20"/>
          <w:szCs w:val="20"/>
        </w:rPr>
      </w:pPr>
      <w:r>
        <w:rPr>
          <w:rFonts w:ascii="Times" w:hAnsi="Times" w:cs="Times"/>
          <w:sz w:val="20"/>
          <w:szCs w:val="20"/>
        </w:rPr>
        <w:t>Intangible assets other than goodwill are included in other assets and are summarized as follows (in millions).</w:t>
      </w:r>
    </w:p>
    <w:p w:rsidR="00000000" w:rsidRDefault="00A06965">
      <w:pPr>
        <w:pStyle w:val="DefaultParagraphFont"/>
        <w:widowControl w:val="0"/>
        <w:autoSpaceDE w:val="0"/>
        <w:autoSpaceDN w:val="0"/>
        <w:adjustRightInd w:val="0"/>
        <w:spacing w:after="0" w:line="11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840"/>
        <w:gridCol w:w="180"/>
        <w:gridCol w:w="100"/>
        <w:gridCol w:w="560"/>
        <w:gridCol w:w="180"/>
        <w:gridCol w:w="200"/>
        <w:gridCol w:w="180"/>
        <w:gridCol w:w="100"/>
        <w:gridCol w:w="460"/>
        <w:gridCol w:w="180"/>
        <w:gridCol w:w="200"/>
        <w:gridCol w:w="180"/>
        <w:gridCol w:w="100"/>
        <w:gridCol w:w="560"/>
        <w:gridCol w:w="180"/>
        <w:gridCol w:w="200"/>
        <w:gridCol w:w="180"/>
        <w:gridCol w:w="100"/>
        <w:gridCol w:w="460"/>
        <w:gridCol w:w="180"/>
      </w:tblGrid>
      <w:tr w:rsidR="00000000">
        <w:tblPrEx>
          <w:tblCellMar>
            <w:top w:w="0" w:type="dxa"/>
            <w:left w:w="0" w:type="dxa"/>
            <w:bottom w:w="0" w:type="dxa"/>
            <w:right w:w="0" w:type="dxa"/>
          </w:tblCellMar>
        </w:tblPrEx>
        <w:trPr>
          <w:trHeight w:val="184"/>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60" w:type="dxa"/>
            <w:gridSpan w:val="7"/>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w:hAnsi="Times" w:cs="Times"/>
                <w:b/>
                <w:bCs/>
                <w:sz w:val="16"/>
                <w:szCs w:val="16"/>
              </w:rPr>
              <w:t>December 31, 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60" w:type="dxa"/>
            <w:gridSpan w:val="7"/>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w:hAnsi="Times" w:cs="Times"/>
                <w:b/>
                <w:bCs/>
                <w:sz w:val="16"/>
                <w:szCs w:val="16"/>
              </w:rPr>
              <w:t>December 31, 2013</w:t>
            </w:r>
          </w:p>
        </w:tc>
      </w:tr>
      <w:tr w:rsidR="00000000">
        <w:tblPrEx>
          <w:tblCellMar>
            <w:top w:w="0" w:type="dxa"/>
            <w:left w:w="0" w:type="dxa"/>
            <w:bottom w:w="0" w:type="dxa"/>
            <w:right w:w="0" w:type="dxa"/>
          </w:tblCellMar>
        </w:tblPrEx>
        <w:trPr>
          <w:trHeight w:val="26"/>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2"/>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22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2" w:lineRule="exact"/>
              <w:ind w:right="200"/>
              <w:jc w:val="center"/>
              <w:rPr>
                <w:rFonts w:ascii="Times New Roman" w:hAnsi="Times New Roman" w:cs="Times New Roman"/>
                <w:sz w:val="24"/>
                <w:szCs w:val="24"/>
              </w:rPr>
            </w:pPr>
            <w:r>
              <w:rPr>
                <w:rFonts w:ascii="Times" w:hAnsi="Times" w:cs="Times"/>
                <w:b/>
                <w:bCs/>
                <w:w w:val="99"/>
                <w:sz w:val="16"/>
                <w:szCs w:val="16"/>
              </w:rPr>
              <w:t>Gross carrying</w:t>
            </w:r>
          </w:p>
        </w:tc>
        <w:tc>
          <w:tcPr>
            <w:tcW w:w="9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2" w:lineRule="exact"/>
              <w:rPr>
                <w:rFonts w:ascii="Times New Roman" w:hAnsi="Times New Roman" w:cs="Times New Roman"/>
                <w:sz w:val="24"/>
                <w:szCs w:val="24"/>
              </w:rPr>
            </w:pPr>
            <w:r>
              <w:rPr>
                <w:rFonts w:ascii="Times" w:hAnsi="Times" w:cs="Times"/>
                <w:b/>
                <w:bCs/>
                <w:w w:val="99"/>
                <w:sz w:val="16"/>
                <w:szCs w:val="16"/>
              </w:rPr>
              <w:t>Accumulated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122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2" w:lineRule="exact"/>
              <w:ind w:right="200"/>
              <w:jc w:val="center"/>
              <w:rPr>
                <w:rFonts w:ascii="Times New Roman" w:hAnsi="Times New Roman" w:cs="Times New Roman"/>
                <w:sz w:val="24"/>
                <w:szCs w:val="24"/>
              </w:rPr>
            </w:pPr>
            <w:r>
              <w:rPr>
                <w:rFonts w:ascii="Times" w:hAnsi="Times" w:cs="Times"/>
                <w:b/>
                <w:bCs/>
                <w:w w:val="99"/>
                <w:sz w:val="16"/>
                <w:szCs w:val="16"/>
              </w:rPr>
              <w:t>Gross carrying</w:t>
            </w:r>
          </w:p>
        </w:tc>
        <w:tc>
          <w:tcPr>
            <w:tcW w:w="9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2" w:lineRule="exact"/>
              <w:rPr>
                <w:rFonts w:ascii="Times New Roman" w:hAnsi="Times New Roman" w:cs="Times New Roman"/>
                <w:sz w:val="24"/>
                <w:szCs w:val="24"/>
              </w:rPr>
            </w:pPr>
            <w:r>
              <w:rPr>
                <w:rFonts w:ascii="Times" w:hAnsi="Times" w:cs="Times"/>
                <w:b/>
                <w:bCs/>
                <w:w w:val="99"/>
                <w:sz w:val="16"/>
                <w:szCs w:val="16"/>
              </w:rPr>
              <w:t>Accumulated</w:t>
            </w:r>
          </w:p>
        </w:tc>
      </w:tr>
      <w:tr w:rsidR="00000000">
        <w:tblPrEx>
          <w:tblCellMar>
            <w:top w:w="0" w:type="dxa"/>
            <w:left w:w="0" w:type="dxa"/>
            <w:bottom w:w="0" w:type="dxa"/>
            <w:right w:w="0" w:type="dxa"/>
          </w:tblCellMar>
        </w:tblPrEx>
        <w:trPr>
          <w:trHeight w:val="182"/>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400"/>
              <w:jc w:val="center"/>
              <w:rPr>
                <w:rFonts w:ascii="Times New Roman" w:hAnsi="Times New Roman" w:cs="Times New Roman"/>
                <w:sz w:val="24"/>
                <w:szCs w:val="24"/>
              </w:rPr>
            </w:pPr>
            <w:r>
              <w:rPr>
                <w:rFonts w:ascii="Times" w:hAnsi="Times" w:cs="Times"/>
                <w:b/>
                <w:bCs/>
                <w:w w:val="99"/>
                <w:sz w:val="16"/>
                <w:szCs w:val="16"/>
              </w:rPr>
              <w:t>amount</w:t>
            </w:r>
          </w:p>
        </w:tc>
        <w:tc>
          <w:tcPr>
            <w:tcW w:w="9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20"/>
              <w:rPr>
                <w:rFonts w:ascii="Times New Roman" w:hAnsi="Times New Roman" w:cs="Times New Roman"/>
                <w:sz w:val="24"/>
                <w:szCs w:val="24"/>
              </w:rPr>
            </w:pPr>
            <w:r>
              <w:rPr>
                <w:rFonts w:ascii="Times" w:hAnsi="Times" w:cs="Times"/>
                <w:b/>
                <w:bCs/>
                <w:w w:val="99"/>
                <w:sz w:val="16"/>
                <w:szCs w:val="16"/>
              </w:rPr>
              <w:t>amortization</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380"/>
              <w:jc w:val="center"/>
              <w:rPr>
                <w:rFonts w:ascii="Times New Roman" w:hAnsi="Times New Roman" w:cs="Times New Roman"/>
                <w:sz w:val="24"/>
                <w:szCs w:val="24"/>
              </w:rPr>
            </w:pPr>
            <w:r>
              <w:rPr>
                <w:rFonts w:ascii="Times" w:hAnsi="Times" w:cs="Times"/>
                <w:b/>
                <w:bCs/>
                <w:sz w:val="16"/>
                <w:szCs w:val="16"/>
              </w:rPr>
              <w:t>amount</w:t>
            </w:r>
          </w:p>
        </w:tc>
        <w:tc>
          <w:tcPr>
            <w:tcW w:w="9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20"/>
              <w:rPr>
                <w:rFonts w:ascii="Times New Roman" w:hAnsi="Times New Roman" w:cs="Times New Roman"/>
                <w:sz w:val="24"/>
                <w:szCs w:val="24"/>
              </w:rPr>
            </w:pPr>
            <w:r>
              <w:rPr>
                <w:rFonts w:ascii="Times" w:hAnsi="Times" w:cs="Times"/>
                <w:b/>
                <w:bCs/>
                <w:w w:val="99"/>
                <w:sz w:val="16"/>
                <w:szCs w:val="16"/>
              </w:rPr>
              <w:t>amortization</w:t>
            </w:r>
          </w:p>
        </w:tc>
      </w:tr>
      <w:tr w:rsidR="00000000">
        <w:tblPrEx>
          <w:tblCellMar>
            <w:top w:w="0" w:type="dxa"/>
            <w:left w:w="0" w:type="dxa"/>
            <w:bottom w:w="0" w:type="dxa"/>
            <w:right w:w="0" w:type="dxa"/>
          </w:tblCellMar>
        </w:tblPrEx>
        <w:trPr>
          <w:trHeight w:val="26"/>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Insurance and other . . . . . . . . . . . . . . . . . . . . . . . . . . . . . . . . . . . . . . . .</w:t>
            </w: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13,714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4,476</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11,923</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3,723</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Railroad, utilities and energy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2,254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1,551</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2,214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1,231</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15,968</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6,027</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14,137</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4,954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46"/>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Trademarks and trade names . . . . . . . . . . . . . . . . . . . . . . . . . . . . . . . . .</w:t>
            </w: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3,117</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599</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2,750</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340</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Patents and technology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5,425</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3,133</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5,173</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2,626</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Customer relationships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5,603</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1,768</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4,690</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1,518</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 .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1,823</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527</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1,524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470</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15,968</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6,027</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14,137</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4,954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right="160" w:firstLine="400"/>
        <w:jc w:val="both"/>
        <w:rPr>
          <w:rFonts w:ascii="Times New Roman" w:hAnsi="Times New Roman" w:cs="Times New Roman"/>
          <w:sz w:val="24"/>
          <w:szCs w:val="24"/>
        </w:rPr>
      </w:pPr>
      <w:r>
        <w:rPr>
          <w:rFonts w:ascii="Times" w:hAnsi="Times" w:cs="Times"/>
          <w:sz w:val="20"/>
          <w:szCs w:val="20"/>
        </w:rPr>
        <w:t>Amortization expense was $1,155 million in 2014, $1,090 million in 2013 and $1,008 million in 2012. Estimated amortization expense over the next five years is as follows (in millions): 2015 – $927;</w:t>
      </w:r>
      <w:r>
        <w:rPr>
          <w:rFonts w:ascii="Times" w:hAnsi="Times" w:cs="Times"/>
          <w:sz w:val="20"/>
          <w:szCs w:val="20"/>
        </w:rPr>
        <w:t xml:space="preserve"> 2016 – $870; 2017 – $856, 2018 – $759 and 2019 – $684. Intangible assets with indefinite lives as of December 31, 2014 and 2013 were $2,586 million and $2,221 million, respectively.</w:t>
      </w:r>
    </w:p>
    <w:p w:rsidR="00000000" w:rsidRDefault="00A0696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(12) Derivative contracts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right="160" w:firstLine="400"/>
        <w:jc w:val="both"/>
        <w:rPr>
          <w:rFonts w:ascii="Times New Roman" w:hAnsi="Times New Roman" w:cs="Times New Roman"/>
          <w:sz w:val="24"/>
          <w:szCs w:val="24"/>
        </w:rPr>
      </w:pPr>
      <w:r>
        <w:rPr>
          <w:rFonts w:ascii="Times" w:hAnsi="Times" w:cs="Times"/>
          <w:sz w:val="20"/>
          <w:szCs w:val="20"/>
        </w:rPr>
        <w:t>Derivative contracts have been entered into primarily by our finance and financial products and our energy businesses. A summary of derivative contract liabilities and notional values as of December 31, 2014 and 2013 related to our finance and financial pr</w:t>
      </w:r>
      <w:r>
        <w:rPr>
          <w:rFonts w:ascii="Times" w:hAnsi="Times" w:cs="Times"/>
          <w:sz w:val="20"/>
          <w:szCs w:val="20"/>
        </w:rPr>
        <w:t>oducts businesses follows (in millions).</w:t>
      </w:r>
    </w:p>
    <w:p w:rsidR="00000000" w:rsidRDefault="00A06965">
      <w:pPr>
        <w:pStyle w:val="DefaultParagraphFont"/>
        <w:widowControl w:val="0"/>
        <w:autoSpaceDE w:val="0"/>
        <w:autoSpaceDN w:val="0"/>
        <w:adjustRightInd w:val="0"/>
        <w:spacing w:after="0" w:line="11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40"/>
        <w:gridCol w:w="3480"/>
        <w:gridCol w:w="80"/>
        <w:gridCol w:w="560"/>
        <w:gridCol w:w="80"/>
        <w:gridCol w:w="200"/>
        <w:gridCol w:w="640"/>
        <w:gridCol w:w="200"/>
        <w:gridCol w:w="80"/>
        <w:gridCol w:w="540"/>
        <w:gridCol w:w="80"/>
        <w:gridCol w:w="200"/>
        <w:gridCol w:w="640"/>
        <w:gridCol w:w="160"/>
      </w:tblGrid>
      <w:tr w:rsidR="00000000">
        <w:tblPrEx>
          <w:tblCellMar>
            <w:top w:w="0" w:type="dxa"/>
            <w:left w:w="0" w:type="dxa"/>
            <w:bottom w:w="0" w:type="dxa"/>
            <w:right w:w="0" w:type="dxa"/>
          </w:tblCellMar>
        </w:tblPrEx>
        <w:trPr>
          <w:trHeight w:val="184"/>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8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40"/>
              <w:jc w:val="right"/>
              <w:rPr>
                <w:rFonts w:ascii="Times New Roman" w:hAnsi="Times New Roman" w:cs="Times New Roman"/>
                <w:sz w:val="24"/>
                <w:szCs w:val="24"/>
              </w:rPr>
            </w:pPr>
            <w:r>
              <w:rPr>
                <w:rFonts w:ascii="Times" w:hAnsi="Times" w:cs="Times"/>
                <w:b/>
                <w:bCs/>
                <w:sz w:val="16"/>
                <w:szCs w:val="16"/>
              </w:rPr>
              <w:t>December 31, 2014</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2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Times" w:hAnsi="Times" w:cs="Times"/>
                <w:b/>
                <w:bCs/>
                <w:sz w:val="16"/>
                <w:szCs w:val="16"/>
              </w:rPr>
              <w:t>December 31, 2013</w:t>
            </w:r>
          </w:p>
        </w:tc>
      </w:tr>
      <w:tr w:rsidR="00000000">
        <w:tblPrEx>
          <w:tblCellMar>
            <w:top w:w="0" w:type="dxa"/>
            <w:left w:w="0" w:type="dxa"/>
            <w:bottom w:w="0" w:type="dxa"/>
            <w:right w:w="0" w:type="dxa"/>
          </w:tblCellMar>
        </w:tblPrEx>
        <w:trPr>
          <w:trHeight w:val="26"/>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3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2" w:lineRule="exact"/>
              <w:ind w:right="220"/>
              <w:jc w:val="right"/>
              <w:rPr>
                <w:rFonts w:ascii="Times New Roman" w:hAnsi="Times New Roman" w:cs="Times New Roman"/>
                <w:sz w:val="24"/>
                <w:szCs w:val="24"/>
              </w:rPr>
            </w:pPr>
            <w:r>
              <w:rPr>
                <w:rFonts w:ascii="Times" w:hAnsi="Times" w:cs="Times"/>
                <w:b/>
                <w:bCs/>
                <w:sz w:val="16"/>
                <w:szCs w:val="16"/>
              </w:rPr>
              <w:t>Notional</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4"/>
                <w:szCs w:val="14"/>
              </w:rPr>
            </w:pP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2" w:lineRule="exact"/>
              <w:ind w:right="200"/>
              <w:jc w:val="right"/>
              <w:rPr>
                <w:rFonts w:ascii="Times New Roman" w:hAnsi="Times New Roman" w:cs="Times New Roman"/>
                <w:sz w:val="24"/>
                <w:szCs w:val="24"/>
              </w:rPr>
            </w:pPr>
            <w:r>
              <w:rPr>
                <w:rFonts w:ascii="Times" w:hAnsi="Times" w:cs="Times"/>
                <w:b/>
                <w:bCs/>
                <w:w w:val="98"/>
                <w:sz w:val="16"/>
                <w:szCs w:val="16"/>
              </w:rPr>
              <w:t>Notional</w:t>
            </w:r>
          </w:p>
        </w:tc>
      </w:tr>
      <w:tr w:rsidR="00000000">
        <w:tblPrEx>
          <w:tblCellMar>
            <w:top w:w="0" w:type="dxa"/>
            <w:left w:w="0" w:type="dxa"/>
            <w:bottom w:w="0" w:type="dxa"/>
            <w:right w:w="0" w:type="dxa"/>
          </w:tblCellMar>
        </w:tblPrEx>
        <w:trPr>
          <w:trHeight w:val="18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3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r>
              <w:rPr>
                <w:rFonts w:ascii="Times" w:hAnsi="Times" w:cs="Times"/>
                <w:b/>
                <w:bCs/>
                <w:sz w:val="16"/>
                <w:szCs w:val="16"/>
              </w:rPr>
              <w:t>Liabilities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320"/>
              <w:jc w:val="right"/>
              <w:rPr>
                <w:rFonts w:ascii="Times New Roman" w:hAnsi="Times New Roman" w:cs="Times New Roman"/>
                <w:sz w:val="24"/>
                <w:szCs w:val="24"/>
              </w:rPr>
            </w:pPr>
            <w:r>
              <w:rPr>
                <w:rFonts w:ascii="Times" w:hAnsi="Times" w:cs="Times"/>
                <w:b/>
                <w:bCs/>
                <w:sz w:val="16"/>
                <w:szCs w:val="16"/>
              </w:rPr>
              <w:t>Value</w:t>
            </w:r>
          </w:p>
        </w:tc>
        <w:tc>
          <w:tcPr>
            <w:tcW w:w="9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r>
              <w:rPr>
                <w:rFonts w:ascii="Times" w:hAnsi="Times" w:cs="Times"/>
                <w:b/>
                <w:bCs/>
                <w:sz w:val="16"/>
                <w:szCs w:val="16"/>
              </w:rPr>
              <w:t>Liabilities</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80"/>
              <w:jc w:val="right"/>
              <w:rPr>
                <w:rFonts w:ascii="Times New Roman" w:hAnsi="Times New Roman" w:cs="Times New Roman"/>
                <w:sz w:val="24"/>
                <w:szCs w:val="24"/>
              </w:rPr>
            </w:pPr>
            <w:r>
              <w:rPr>
                <w:rFonts w:ascii="Times" w:hAnsi="Times" w:cs="Times"/>
                <w:b/>
                <w:bCs/>
                <w:sz w:val="16"/>
                <w:szCs w:val="16"/>
              </w:rPr>
              <w:t>Value</w:t>
            </w:r>
          </w:p>
        </w:tc>
      </w:tr>
      <w:tr w:rsidR="00000000">
        <w:tblPrEx>
          <w:tblCellMar>
            <w:top w:w="0" w:type="dxa"/>
            <w:left w:w="0" w:type="dxa"/>
            <w:bottom w:w="0" w:type="dxa"/>
            <w:right w:w="0" w:type="dxa"/>
          </w:tblCellMar>
        </w:tblPrEx>
        <w:trPr>
          <w:trHeight w:val="26"/>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7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Equity index put options . . . . . . . . . . . . . . . . . . . . . . . . . . . . . . . . . . . . . . . . . . . . . . . .</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$4,560</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sz w:val="20"/>
                <w:szCs w:val="20"/>
              </w:rPr>
              <w:t>$29,469</w:t>
            </w:r>
            <w:r>
              <w:rPr>
                <w:rFonts w:ascii="Times" w:hAnsi="Times" w:cs="Times"/>
                <w:sz w:val="26"/>
                <w:szCs w:val="26"/>
                <w:vertAlign w:val="superscript"/>
              </w:rPr>
              <w:t>(1)</w:t>
            </w: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$4,667</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1"/>
                <w:sz w:val="20"/>
                <w:szCs w:val="20"/>
              </w:rPr>
              <w:t>$32,095</w:t>
            </w:r>
            <w:r>
              <w:rPr>
                <w:rFonts w:ascii="Times" w:hAnsi="Times" w:cs="Times"/>
                <w:w w:val="91"/>
                <w:sz w:val="26"/>
                <w:szCs w:val="26"/>
                <w:vertAlign w:val="superscript"/>
              </w:rPr>
              <w:t>(1)</w:t>
            </w:r>
          </w:p>
        </w:tc>
      </w:tr>
      <w:tr w:rsidR="00000000">
        <w:tblPrEx>
          <w:tblCellMar>
            <w:top w:w="0" w:type="dxa"/>
            <w:left w:w="0" w:type="dxa"/>
            <w:bottom w:w="0" w:type="dxa"/>
            <w:right w:w="0" w:type="dxa"/>
          </w:tblCellMar>
        </w:tblPrEx>
        <w:trPr>
          <w:trHeight w:val="240"/>
        </w:trPr>
        <w:tc>
          <w:tcPr>
            <w:tcW w:w="7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sz w:val="20"/>
                <w:szCs w:val="20"/>
              </w:rPr>
              <w:t xml:space="preserve">Credit default . . . . . . . . . . . . . . . . . . . . . . . . </w:t>
            </w:r>
            <w:r>
              <w:rPr>
                <w:rFonts w:ascii="Times" w:hAnsi="Times" w:cs="Times"/>
                <w:sz w:val="20"/>
                <w:szCs w:val="20"/>
              </w:rPr>
              <w:t>. . . . . . . . . . . . . . . . . . . . . . . . . . . . . . . . .</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250</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39" w:lineRule="exact"/>
              <w:ind w:right="40"/>
              <w:jc w:val="right"/>
              <w:rPr>
                <w:rFonts w:ascii="Times New Roman" w:hAnsi="Times New Roman" w:cs="Times New Roman"/>
                <w:sz w:val="24"/>
                <w:szCs w:val="24"/>
              </w:rPr>
            </w:pPr>
            <w:r>
              <w:rPr>
                <w:rFonts w:ascii="Times" w:hAnsi="Times" w:cs="Times"/>
                <w:sz w:val="20"/>
                <w:szCs w:val="20"/>
              </w:rPr>
              <w:t>7,792</w:t>
            </w:r>
            <w:r>
              <w:rPr>
                <w:rFonts w:ascii="Times" w:hAnsi="Times" w:cs="Times"/>
                <w:sz w:val="26"/>
                <w:szCs w:val="26"/>
                <w:vertAlign w:val="superscript"/>
              </w:rPr>
              <w:t>(2)</w:t>
            </w: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648</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39" w:lineRule="exact"/>
              <w:jc w:val="right"/>
              <w:rPr>
                <w:rFonts w:ascii="Times New Roman" w:hAnsi="Times New Roman" w:cs="Times New Roman"/>
                <w:sz w:val="24"/>
                <w:szCs w:val="24"/>
              </w:rPr>
            </w:pPr>
            <w:r>
              <w:rPr>
                <w:rFonts w:ascii="Times" w:hAnsi="Times" w:cs="Times"/>
                <w:sz w:val="20"/>
                <w:szCs w:val="20"/>
              </w:rPr>
              <w:t>7,792</w:t>
            </w:r>
            <w:r>
              <w:rPr>
                <w:rFonts w:ascii="Times" w:hAnsi="Times" w:cs="Times"/>
                <w:sz w:val="26"/>
                <w:szCs w:val="26"/>
                <w:vertAlign w:val="superscript"/>
              </w:rPr>
              <w:t>(2)</w:t>
            </w:r>
          </w:p>
        </w:tc>
      </w:tr>
      <w:tr w:rsidR="00000000">
        <w:tblPrEx>
          <w:tblCellMar>
            <w:top w:w="0" w:type="dxa"/>
            <w:left w:w="0" w:type="dxa"/>
            <w:bottom w:w="0" w:type="dxa"/>
            <w:right w:w="0" w:type="dxa"/>
          </w:tblCellMar>
        </w:tblPrEx>
        <w:trPr>
          <w:trHeight w:val="220"/>
        </w:trPr>
        <w:tc>
          <w:tcPr>
            <w:tcW w:w="7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sz w:val="20"/>
                <w:szCs w:val="20"/>
              </w:rPr>
              <w:t>Other, principally interest rate and foreign currency  . . . . . . . . . . . . . . . . . . . . . . . . . .</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left="260"/>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16</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$4,810</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$5,331</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0"/>
        </w:trPr>
        <w:tc>
          <w:tcPr>
            <w:tcW w:w="3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r>
    </w:tbl>
    <w:p w:rsidR="00000000" w:rsidRDefault="00A06965">
      <w:pPr>
        <w:pStyle w:val="DefaultParagraphFont"/>
        <w:widowControl w:val="0"/>
        <w:autoSpaceDE w:val="0"/>
        <w:autoSpaceDN w:val="0"/>
        <w:adjustRightInd w:val="0"/>
        <w:spacing w:after="0" w:line="64" w:lineRule="exact"/>
        <w:rPr>
          <w:rFonts w:ascii="Times New Roman" w:hAnsi="Times New Roman" w:cs="Times New Roman"/>
          <w:sz w:val="24"/>
          <w:szCs w:val="24"/>
        </w:rPr>
      </w:pPr>
    </w:p>
    <w:p w:rsidR="00000000" w:rsidRDefault="00A06965">
      <w:pPr>
        <w:pStyle w:val="DefaultParagraphFont"/>
        <w:widowControl w:val="0"/>
        <w:numPr>
          <w:ilvl w:val="0"/>
          <w:numId w:val="37"/>
        </w:numPr>
        <w:tabs>
          <w:tab w:val="clear" w:pos="720"/>
          <w:tab w:val="num" w:pos="400"/>
        </w:tabs>
        <w:overflowPunct w:val="0"/>
        <w:autoSpaceDE w:val="0"/>
        <w:autoSpaceDN w:val="0"/>
        <w:adjustRightInd w:val="0"/>
        <w:spacing w:after="0" w:line="207" w:lineRule="auto"/>
        <w:ind w:left="400" w:right="160" w:hanging="400"/>
        <w:jc w:val="both"/>
        <w:rPr>
          <w:rFonts w:ascii="Times" w:hAnsi="Times" w:cs="Times"/>
          <w:i/>
          <w:iCs/>
          <w:sz w:val="26"/>
          <w:szCs w:val="26"/>
          <w:vertAlign w:val="superscript"/>
        </w:rPr>
      </w:pPr>
      <w:r>
        <w:rPr>
          <w:rFonts w:ascii="Times" w:hAnsi="Times" w:cs="Times"/>
          <w:i/>
          <w:iCs/>
          <w:sz w:val="20"/>
          <w:szCs w:val="20"/>
        </w:rPr>
        <w:t>Represents the aggregate undiscounted amount payable at the contract expiration dates assuming that the value of each index is zero at each contract’s expiration date.</w:t>
      </w:r>
    </w:p>
    <w:p w:rsidR="00000000" w:rsidRDefault="00A06965">
      <w:pPr>
        <w:pStyle w:val="DefaultParagraphFont"/>
        <w:widowControl w:val="0"/>
        <w:autoSpaceDE w:val="0"/>
        <w:autoSpaceDN w:val="0"/>
        <w:adjustRightInd w:val="0"/>
        <w:spacing w:after="0" w:line="72" w:lineRule="exact"/>
        <w:rPr>
          <w:rFonts w:ascii="Times" w:hAnsi="Times" w:cs="Times"/>
          <w:i/>
          <w:iCs/>
          <w:sz w:val="26"/>
          <w:szCs w:val="26"/>
          <w:vertAlign w:val="superscript"/>
        </w:rPr>
      </w:pPr>
    </w:p>
    <w:p w:rsidR="00000000" w:rsidRDefault="00A06965">
      <w:pPr>
        <w:pStyle w:val="DefaultParagraphFont"/>
        <w:widowControl w:val="0"/>
        <w:numPr>
          <w:ilvl w:val="0"/>
          <w:numId w:val="37"/>
        </w:numPr>
        <w:tabs>
          <w:tab w:val="clear" w:pos="720"/>
          <w:tab w:val="num" w:pos="400"/>
        </w:tabs>
        <w:overflowPunct w:val="0"/>
        <w:autoSpaceDE w:val="0"/>
        <w:autoSpaceDN w:val="0"/>
        <w:adjustRightInd w:val="0"/>
        <w:spacing w:after="0" w:line="207" w:lineRule="auto"/>
        <w:ind w:left="400" w:right="160" w:hanging="400"/>
        <w:jc w:val="both"/>
        <w:rPr>
          <w:rFonts w:ascii="Times" w:hAnsi="Times" w:cs="Times"/>
          <w:i/>
          <w:iCs/>
          <w:sz w:val="26"/>
          <w:szCs w:val="26"/>
          <w:vertAlign w:val="superscript"/>
        </w:rPr>
      </w:pPr>
      <w:r>
        <w:rPr>
          <w:rFonts w:ascii="Times" w:hAnsi="Times" w:cs="Times"/>
          <w:i/>
          <w:iCs/>
          <w:sz w:val="20"/>
          <w:szCs w:val="20"/>
        </w:rPr>
        <w:t>Represents the maximum undiscounted future value of losses payable under the contracts, if all underlying issuers default and the residual value of the specified obligations is zero.</w:t>
      </w:r>
    </w:p>
    <w:p w:rsidR="00000000" w:rsidRDefault="00A0696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right="160" w:firstLine="400"/>
        <w:jc w:val="both"/>
        <w:rPr>
          <w:rFonts w:ascii="Times New Roman" w:hAnsi="Times New Roman" w:cs="Times New Roman"/>
          <w:sz w:val="24"/>
          <w:szCs w:val="24"/>
        </w:rPr>
      </w:pPr>
      <w:r>
        <w:rPr>
          <w:rFonts w:ascii="Times" w:hAnsi="Times" w:cs="Times"/>
          <w:sz w:val="20"/>
          <w:szCs w:val="20"/>
        </w:rPr>
        <w:t>The derivative contracts of our finance and financial products businesse</w:t>
      </w:r>
      <w:r>
        <w:rPr>
          <w:rFonts w:ascii="Times" w:hAnsi="Times" w:cs="Times"/>
          <w:sz w:val="20"/>
          <w:szCs w:val="20"/>
        </w:rPr>
        <w:t xml:space="preserve">s are recorded at fair value and the changes in the fair values of such contracts are reported in earnings as derivative gains/losses. We entered into these contracts with the expectation that the premiums received would exceed the amounts ultimately paid </w:t>
      </w:r>
      <w:r>
        <w:rPr>
          <w:rFonts w:ascii="Times" w:hAnsi="Times" w:cs="Times"/>
          <w:sz w:val="20"/>
          <w:szCs w:val="20"/>
        </w:rPr>
        <w:t>to counterparties. A summary of the derivative gains/losses included in our Consolidated Statements of Earnings in each of the three years ending December 31, 2014 follows (in millions).</w:t>
      </w:r>
    </w:p>
    <w:p w:rsidR="00000000" w:rsidRDefault="00A06965">
      <w:pPr>
        <w:pStyle w:val="DefaultParagraphFont"/>
        <w:widowControl w:val="0"/>
        <w:autoSpaceDE w:val="0"/>
        <w:autoSpaceDN w:val="0"/>
        <w:adjustRightInd w:val="0"/>
        <w:spacing w:after="0" w:line="112" w:lineRule="exact"/>
        <w:rPr>
          <w:rFonts w:ascii="Times New Roman" w:hAnsi="Times New Roman" w:cs="Times New Roman"/>
          <w:sz w:val="24"/>
          <w:szCs w:val="24"/>
        </w:rPr>
      </w:pPr>
    </w:p>
    <w:p w:rsidR="00000000" w:rsidRDefault="00A06965">
      <w:pPr>
        <w:pStyle w:val="DefaultParagraphFont"/>
        <w:widowControl w:val="0"/>
        <w:tabs>
          <w:tab w:val="left" w:pos="9120"/>
          <w:tab w:val="left" w:pos="9860"/>
        </w:tabs>
        <w:autoSpaceDE w:val="0"/>
        <w:autoSpaceDN w:val="0"/>
        <w:adjustRightInd w:val="0"/>
        <w:spacing w:after="0" w:line="240" w:lineRule="auto"/>
        <w:ind w:left="8380"/>
        <w:rPr>
          <w:rFonts w:ascii="Times New Roman" w:hAnsi="Times New Roman" w:cs="Times New Roman"/>
          <w:sz w:val="24"/>
          <w:szCs w:val="24"/>
        </w:rPr>
      </w:pPr>
      <w:r>
        <w:rPr>
          <w:rFonts w:ascii="Times" w:hAnsi="Times" w:cs="Times"/>
          <w:b/>
          <w:bCs/>
          <w:sz w:val="16"/>
          <w:szCs w:val="16"/>
        </w:rPr>
        <w:t>2014</w:t>
      </w:r>
      <w:r>
        <w:rPr>
          <w:rFonts w:ascii="Times New Roman" w:hAnsi="Times New Roman" w:cs="Times New Roman"/>
          <w:sz w:val="24"/>
          <w:szCs w:val="24"/>
        </w:rPr>
        <w:tab/>
      </w:r>
      <w:r>
        <w:rPr>
          <w:rFonts w:ascii="Times" w:hAnsi="Times" w:cs="Times"/>
          <w:b/>
          <w:bCs/>
          <w:sz w:val="16"/>
          <w:szCs w:val="16"/>
        </w:rPr>
        <w:t>2013</w:t>
      </w:r>
      <w:r>
        <w:rPr>
          <w:rFonts w:ascii="Times New Roman" w:hAnsi="Times New Roman" w:cs="Times New Roman"/>
          <w:sz w:val="24"/>
          <w:szCs w:val="24"/>
        </w:rPr>
        <w:tab/>
      </w:r>
      <w:r>
        <w:rPr>
          <w:rFonts w:ascii="Times" w:hAnsi="Times" w:cs="Times"/>
          <w:b/>
          <w:bCs/>
          <w:sz w:val="16"/>
          <w:szCs w:val="16"/>
        </w:rPr>
        <w:t>2012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800" w:bottom="523" w:left="960" w:header="720" w:footer="720" w:gutter="0"/>
          <w:cols w:space="720" w:equalWidth="0">
            <w:col w:w="10480"/>
          </w:cols>
          <w:noEndnote/>
        </w:sectPr>
      </w:pPr>
      <w:r>
        <w:rPr>
          <w:noProof/>
        </w:rPr>
        <mc:AlternateContent>
          <mc:Choice Requires="wps">
            <w:drawing>
              <wp:anchor distT="0" distB="0" distL="114300" distR="114300" simplePos="0" relativeHeight="251682816" behindDoc="1" locked="0" layoutInCell="0" allowOverlap="1">
                <wp:simplePos x="0" y="0"/>
                <wp:positionH relativeFrom="column">
                  <wp:posOffset>5251450</wp:posOffset>
                </wp:positionH>
                <wp:positionV relativeFrom="paragraph">
                  <wp:posOffset>22860</wp:posOffset>
                </wp:positionV>
                <wp:extent cx="349250" cy="0"/>
                <wp:effectExtent l="0" t="0" r="0" b="0"/>
                <wp:wrapNone/>
                <wp:docPr id="4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5pt,1.8pt" to="44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" o:allowincell="f" strokeweight="1pt"/>
            </w:pict>
          </mc:Fallback>
        </mc:AlternateContent>
      </w:r>
      <w:r>
        <w:rPr>
          <w:noProof/>
        </w:rPr>
        <mc:AlternateContent>
          <mc:Choice Requires="wps">
            <w:drawing>
              <wp:anchor distT="0" distB="0" distL="114300" distR="114300" simplePos="0" relativeHeight="251683840" behindDoc="1" locked="0" layoutInCell="0" allowOverlap="1">
                <wp:simplePos x="0" y="0"/>
                <wp:positionH relativeFrom="column">
                  <wp:posOffset>5727700</wp:posOffset>
                </wp:positionH>
                <wp:positionV relativeFrom="paragraph">
                  <wp:posOffset>22860</wp:posOffset>
                </wp:positionV>
                <wp:extent cx="349250" cy="0"/>
                <wp:effectExtent l="0" t="0" r="0" b="0"/>
                <wp:wrapNone/>
                <wp:docPr id="4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pt,1.8pt" to="478.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" o:allowincell="f" strokeweight="1pt"/>
            </w:pict>
          </mc:Fallback>
        </mc:AlternateContent>
      </w:r>
      <w:r>
        <w:rPr>
          <w:noProof/>
        </w:rPr>
        <mc:AlternateContent>
          <mc:Choice Requires="wps">
            <w:drawing>
              <wp:anchor distT="0" distB="0" distL="114300" distR="114300" simplePos="0" relativeHeight="251684864" behindDoc="1" locked="0" layoutInCell="0" allowOverlap="1">
                <wp:simplePos x="0" y="0"/>
                <wp:positionH relativeFrom="column">
                  <wp:posOffset>6203950</wp:posOffset>
                </wp:positionH>
                <wp:positionV relativeFrom="paragraph">
                  <wp:posOffset>22860</wp:posOffset>
                </wp:positionV>
                <wp:extent cx="349250" cy="0"/>
                <wp:effectExtent l="0" t="0" r="0" b="0"/>
                <wp:wrapNone/>
                <wp:docPr id="4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5pt,1.8pt" to="51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" o:allowincell="f" strokeweight="1pt"/>
            </w:pict>
          </mc:Fallback>
        </mc:AlternateContent>
      </w:r>
    </w:p>
    <w:p w:rsidR="00000000" w:rsidRDefault="00A06965">
      <w:pPr>
        <w:pStyle w:val="DefaultParagraphFont"/>
        <w:widowControl w:val="0"/>
        <w:autoSpaceDE w:val="0"/>
        <w:autoSpaceDN w:val="0"/>
        <w:adjustRightInd w:val="0"/>
        <w:spacing w:after="0" w:line="9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280"/>
        <w:gridCol w:w="160"/>
        <w:gridCol w:w="380"/>
        <w:gridCol w:w="200"/>
        <w:gridCol w:w="560"/>
        <w:gridCol w:w="60"/>
      </w:tblGrid>
      <w:tr w:rsidR="00000000">
        <w:tblPrEx>
          <w:tblCellMar>
            <w:top w:w="0" w:type="dxa"/>
            <w:left w:w="0" w:type="dxa"/>
            <w:bottom w:w="0" w:type="dxa"/>
            <w:right w:w="0" w:type="dxa"/>
          </w:tblCellMar>
        </w:tblPrEx>
        <w:trPr>
          <w:trHeight w:val="23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Equity index put options  . . . . . . . . . . . . . . . . . . . . . . . . . . . . . . . . . . . . . . . . . . . . . . . . . . . . . . . . . . . .</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108</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$2,843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Credit default . . . . . . . . . . . . . . . . . . . . . . . . . . . . . . . . . . . . . . . . . . . . . . . . . . . . . . . . . . . . . . . . . . . . .</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397</w:t>
            </w: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(213)</w:t>
            </w: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principally interest rate and foreign currency . . . . . . . . . . . . . . . . . . . . . . . . . . . . . . . . . . . . . . .</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w:t>
            </w: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w:t>
            </w: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9"/>
                <w:sz w:val="20"/>
                <w:szCs w:val="20"/>
              </w:rPr>
              <w:t>$</w:t>
            </w: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506</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$2,608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98"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A06965">
      <w:pPr>
        <w:pStyle w:val="DefaultParagraphFont"/>
        <w:widowControl w:val="0"/>
        <w:numPr>
          <w:ilvl w:val="0"/>
          <w:numId w:val="38"/>
        </w:numPr>
        <w:tabs>
          <w:tab w:val="clear" w:pos="720"/>
          <w:tab w:val="num" w:pos="250"/>
        </w:tabs>
        <w:overflowPunct w:val="0"/>
        <w:autoSpaceDE w:val="0"/>
        <w:autoSpaceDN w:val="0"/>
        <w:adjustRightInd w:val="0"/>
        <w:spacing w:after="0" w:line="239" w:lineRule="auto"/>
        <w:ind w:left="250" w:hanging="250"/>
        <w:jc w:val="both"/>
        <w:rPr>
          <w:rFonts w:ascii="Times" w:hAnsi="Times" w:cs="Times"/>
          <w:sz w:val="20"/>
          <w:szCs w:val="20"/>
        </w:rPr>
      </w:pPr>
      <w:r>
        <w:rPr>
          <w:rFonts w:ascii="Times" w:hAnsi="Times" w:cs="Times"/>
          <w:sz w:val="20"/>
          <w:szCs w:val="20"/>
        </w:rPr>
        <w:t>997</w:t>
      </w:r>
    </w:p>
    <w:p w:rsidR="00000000" w:rsidRDefault="00A06965">
      <w:pPr>
        <w:pStyle w:val="DefaultParagraphFont"/>
        <w:widowControl w:val="0"/>
        <w:autoSpaceDE w:val="0"/>
        <w:autoSpaceDN w:val="0"/>
        <w:adjustRightInd w:val="0"/>
        <w:spacing w:after="0" w:line="10" w:lineRule="exact"/>
        <w:rPr>
          <w:rFonts w:ascii="Times" w:hAnsi="Times" w:cs="Times"/>
          <w:sz w:val="20"/>
          <w:szCs w:val="20"/>
        </w:rPr>
      </w:pPr>
    </w:p>
    <w:p w:rsidR="00000000" w:rsidRDefault="00A06965">
      <w:pPr>
        <w:pStyle w:val="DefaultParagraphFont"/>
        <w:widowControl w:val="0"/>
        <w:overflowPunct w:val="0"/>
        <w:autoSpaceDE w:val="0"/>
        <w:autoSpaceDN w:val="0"/>
        <w:adjustRightInd w:val="0"/>
        <w:spacing w:after="0" w:line="239" w:lineRule="auto"/>
        <w:ind w:left="250"/>
        <w:jc w:val="both"/>
        <w:rPr>
          <w:rFonts w:ascii="Times" w:hAnsi="Times" w:cs="Times"/>
          <w:sz w:val="20"/>
          <w:szCs w:val="20"/>
        </w:rPr>
      </w:pPr>
      <w:r>
        <w:rPr>
          <w:rFonts w:ascii="Times" w:hAnsi="Times" w:cs="Times"/>
          <w:sz w:val="20"/>
          <w:szCs w:val="20"/>
        </w:rPr>
        <w:t>894</w:t>
      </w:r>
    </w:p>
    <w:p w:rsidR="00000000" w:rsidRDefault="00A06965">
      <w:pPr>
        <w:pStyle w:val="DefaultParagraphFont"/>
        <w:widowControl w:val="0"/>
        <w:autoSpaceDE w:val="0"/>
        <w:autoSpaceDN w:val="0"/>
        <w:adjustRightInd w:val="0"/>
        <w:spacing w:after="0" w:line="10" w:lineRule="exact"/>
        <w:rPr>
          <w:rFonts w:ascii="Times" w:hAnsi="Times" w:cs="Times"/>
          <w:sz w:val="20"/>
          <w:szCs w:val="20"/>
        </w:rPr>
      </w:pPr>
    </w:p>
    <w:p w:rsidR="00000000" w:rsidRDefault="00A06965">
      <w:pPr>
        <w:pStyle w:val="DefaultParagraphFont"/>
        <w:widowControl w:val="0"/>
        <w:overflowPunct w:val="0"/>
        <w:autoSpaceDE w:val="0"/>
        <w:autoSpaceDN w:val="0"/>
        <w:adjustRightInd w:val="0"/>
        <w:spacing w:after="0" w:line="239" w:lineRule="auto"/>
        <w:ind w:left="350"/>
        <w:jc w:val="both"/>
        <w:rPr>
          <w:rFonts w:ascii="Times" w:hAnsi="Times" w:cs="Times"/>
          <w:sz w:val="20"/>
          <w:szCs w:val="20"/>
        </w:rPr>
      </w:pPr>
      <w:r>
        <w:rPr>
          <w:rFonts w:ascii="Times" w:hAnsi="Times" w:cs="Times"/>
          <w:sz w:val="20"/>
          <w:szCs w:val="20"/>
        </w:rPr>
        <w:t>72</w:t>
      </w:r>
    </w:p>
    <w:p w:rsidR="00000000" w:rsidRDefault="00A06965">
      <w:pPr>
        <w:pStyle w:val="DefaultParagraphFont"/>
        <w:widowControl w:val="0"/>
        <w:autoSpaceDE w:val="0"/>
        <w:autoSpaceDN w:val="0"/>
        <w:adjustRightInd w:val="0"/>
        <w:spacing w:after="0" w:line="101" w:lineRule="exact"/>
        <w:rPr>
          <w:rFonts w:ascii="Times New Roman" w:hAnsi="Times New Roman" w:cs="Times New Roman"/>
          <w:sz w:val="24"/>
          <w:szCs w:val="24"/>
        </w:rPr>
      </w:pPr>
      <w:r>
        <w:rPr>
          <w:noProof/>
        </w:rPr>
        <mc:AlternateContent>
          <mc:Choice Requires="wps">
            <w:drawing>
              <wp:anchor distT="0" distB="0" distL="114300" distR="114300" simplePos="0" relativeHeight="251685888" behindDoc="1" locked="0" layoutInCell="0" allowOverlap="1">
                <wp:simplePos x="0" y="0"/>
                <wp:positionH relativeFrom="column">
                  <wp:posOffset>0</wp:posOffset>
                </wp:positionH>
                <wp:positionV relativeFrom="paragraph">
                  <wp:posOffset>20955</wp:posOffset>
                </wp:positionV>
                <wp:extent cx="349250" cy="0"/>
                <wp:effectExtent l="0" t="0" r="0" b="0"/>
                <wp:wrapNone/>
                <wp:docPr id="4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65pt" to="2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" o:allowincell="f" strokeweight=".5pt"/>
            </w:pict>
          </mc:Fallback>
        </mc:AlternateContent>
      </w:r>
    </w:p>
    <w:p w:rsidR="00000000" w:rsidRDefault="00A06965">
      <w:pPr>
        <w:pStyle w:val="DefaultParagraphFont"/>
        <w:widowControl w:val="0"/>
        <w:autoSpaceDE w:val="0"/>
        <w:autoSpaceDN w:val="0"/>
        <w:adjustRightInd w:val="0"/>
        <w:spacing w:after="0" w:line="240" w:lineRule="auto"/>
        <w:ind w:left="10"/>
        <w:rPr>
          <w:rFonts w:ascii="Times New Roman" w:hAnsi="Times New Roman" w:cs="Times New Roman"/>
          <w:sz w:val="24"/>
          <w:szCs w:val="24"/>
        </w:rPr>
      </w:pPr>
      <w:r>
        <w:rPr>
          <w:rFonts w:ascii="Times" w:hAnsi="Times" w:cs="Times"/>
          <w:sz w:val="19"/>
          <w:szCs w:val="19"/>
        </w:rPr>
        <w:t>$1,963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960" w:bottom="523" w:left="960" w:header="720" w:footer="720" w:gutter="0"/>
          <w:cols w:num="2" w:space="130" w:equalWidth="0">
            <w:col w:w="9640" w:space="130"/>
            <w:col w:w="550"/>
          </w:cols>
          <w:noEndnote/>
        </w:sectPr>
      </w:pPr>
      <w:r>
        <w:rPr>
          <w:noProof/>
        </w:rPr>
        <mc:AlternateContent>
          <mc:Choice Requires="wps">
            <w:drawing>
              <wp:anchor distT="0" distB="0" distL="114300" distR="114300" simplePos="0" relativeHeight="251686912" behindDoc="1" locked="0" layoutInCell="0" allowOverlap="1">
                <wp:simplePos x="0" y="0"/>
                <wp:positionH relativeFrom="column">
                  <wp:posOffset>0</wp:posOffset>
                </wp:positionH>
                <wp:positionV relativeFrom="paragraph">
                  <wp:posOffset>21590</wp:posOffset>
                </wp:positionV>
                <wp:extent cx="349250" cy="0"/>
                <wp:effectExtent l="0" t="0" r="0" b="0"/>
                <wp:wrapNone/>
                <wp:docPr id="41"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pt" to="2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" o:allowincell="f" strokeweight=".5pt"/>
            </w:pict>
          </mc:Fallback>
        </mc:AlternateContent>
      </w:r>
      <w:r>
        <w:rPr>
          <w:noProof/>
        </w:rPr>
        <mc:AlternateContent>
          <mc:Choice Requires="wps">
            <w:drawing>
              <wp:anchor distT="0" distB="0" distL="114300" distR="114300" simplePos="0" relativeHeight="251687936" behindDoc="1" locked="0" layoutInCell="0" allowOverlap="1">
                <wp:simplePos x="0" y="0"/>
                <wp:positionH relativeFrom="column">
                  <wp:posOffset>0</wp:posOffset>
                </wp:positionH>
                <wp:positionV relativeFrom="paragraph">
                  <wp:posOffset>46990</wp:posOffset>
                </wp:positionV>
                <wp:extent cx="349250" cy="0"/>
                <wp:effectExtent l="0" t="0" r="0" b="0"/>
                <wp:wrapNone/>
                <wp:docPr id="40"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7pt" to="27.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" o:allowincell="f" strokeweight=".5pt"/>
            </w:pict>
          </mc:Fallback>
        </mc:AlternateContent>
      </w: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 xml:space="preserve">The equity index put option contracts were written between 2004 and 2008. These contracts are European style options written on four major equity indexes and will expire between June 2018 and January 2026. Future payments, if any, under any given contract </w:t>
      </w:r>
      <w:r>
        <w:rPr>
          <w:rFonts w:ascii="Times" w:hAnsi="Times" w:cs="Times"/>
          <w:sz w:val="20"/>
          <w:szCs w:val="20"/>
        </w:rPr>
        <w:t>will be required if the underlying index value is below the strike price at the contract expiration date. We received the premiums on these contracts in full at the contract inception dates and therefore have no counterparty credit risk.</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960" w:bottom="523" w:left="960" w:header="720" w:footer="720" w:gutter="0"/>
          <w:cols w:space="130" w:equalWidth="0">
            <w:col w:w="10320" w:space="130"/>
          </w:cols>
          <w:noEndnote/>
        </w:sectPr>
      </w:pP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67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130" w:equalWidth="0">
            <w:col w:w="200" w:space="13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(12) Derivative contracts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The aggregate intrinsic value (which is the undiscounted liability assuming the contracts are settled based on the index values and foreign currency exchange rates as of the balance sheet date) of our equity index put option contracts was approximately $1.</w:t>
      </w:r>
      <w:r>
        <w:rPr>
          <w:rFonts w:ascii="Times" w:hAnsi="Times" w:cs="Times"/>
          <w:sz w:val="20"/>
          <w:szCs w:val="20"/>
        </w:rPr>
        <w:t xml:space="preserve">4 billion at December 31, 2014 and $1.7 billion at December 31, 2013. However, these contracts may not be unilaterally terminated or fully settled before the expiration dates. Therefore, the ultimate amount of cash basis gains or losses on these contracts </w:t>
      </w:r>
      <w:r>
        <w:rPr>
          <w:rFonts w:ascii="Times" w:hAnsi="Times" w:cs="Times"/>
          <w:sz w:val="20"/>
          <w:szCs w:val="20"/>
        </w:rPr>
        <w:t>will not be determined for several years. The remaining weighted average life of all contracts was approximately 6 years at December 31, 2014.</w:t>
      </w:r>
    </w:p>
    <w:p w:rsidR="00000000" w:rsidRDefault="00A0696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Our remaining credit default contract was written in 2008 and relates to approximately 500 zero-coupon municipal</w:t>
      </w:r>
      <w:r>
        <w:rPr>
          <w:rFonts w:ascii="Times" w:hAnsi="Times" w:cs="Times"/>
          <w:sz w:val="20"/>
          <w:szCs w:val="20"/>
        </w:rPr>
        <w:t xml:space="preserve"> debt issues with maturities ranging from 2019 to 2054. The underlying debt issues have a weighted average maturity of approximately 16.75 years. Pursuant to the contract terms, future loss payments would be required in the event of non-payment by the issu</w:t>
      </w:r>
      <w:r>
        <w:rPr>
          <w:rFonts w:ascii="Times" w:hAnsi="Times" w:cs="Times"/>
          <w:sz w:val="20"/>
          <w:szCs w:val="20"/>
        </w:rPr>
        <w:t>er and non-performance by the primary financial guarantee insurers under their contracts. Payments under our contract, if any, are not required prior to the maturity dates of the underlying obligations. Our premium under this contract was received at the i</w:t>
      </w:r>
      <w:r>
        <w:rPr>
          <w:rFonts w:ascii="Times" w:hAnsi="Times" w:cs="Times"/>
          <w:sz w:val="20"/>
          <w:szCs w:val="20"/>
        </w:rPr>
        <w:t>nception of this contract and therefore we have no counterparty credit risk.</w:t>
      </w:r>
    </w:p>
    <w:p w:rsidR="00000000" w:rsidRDefault="00A0696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A limited number of our equity index put option contracts contain collateral posting requirements with respect to changes in the fair value or intrinsic value of the contracts an</w:t>
      </w:r>
      <w:r>
        <w:rPr>
          <w:rFonts w:ascii="Times" w:hAnsi="Times" w:cs="Times"/>
          <w:sz w:val="20"/>
          <w:szCs w:val="20"/>
        </w:rPr>
        <w:t>d/or a downgrade of Berkshire’s credit ratings. As of December 31, 2014 and 2013, we did not have any collateral posting requirements. If Berkshire’s credit ratings (currently AA from Standard &amp; Poor’s and Aa2 from Moody’s) are downgraded below either A- b</w:t>
      </w:r>
      <w:r>
        <w:rPr>
          <w:rFonts w:ascii="Times" w:hAnsi="Times" w:cs="Times"/>
          <w:sz w:val="20"/>
          <w:szCs w:val="20"/>
        </w:rPr>
        <w:t>y Standard &amp; Poor’s or A3 by Moody’s, additional collateral of up to $1.1 billion could be required to be posted.</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Our regulated utility subsidiaries are exposed to variations in the prices of fuel required to generate electricity, wholesale electricity pu</w:t>
      </w:r>
      <w:r>
        <w:rPr>
          <w:rFonts w:ascii="Times" w:hAnsi="Times" w:cs="Times"/>
          <w:sz w:val="20"/>
          <w:szCs w:val="20"/>
        </w:rPr>
        <w:t>rchased and sold and natural gas supplied for customers. Derivative instruments, including forward purchases and sales, futures, swaps and options, are used to manage a portion of these price risks. Derivative contract assets are included in other assets o</w:t>
      </w:r>
      <w:r>
        <w:rPr>
          <w:rFonts w:ascii="Times" w:hAnsi="Times" w:cs="Times"/>
          <w:sz w:val="20"/>
          <w:szCs w:val="20"/>
        </w:rPr>
        <w:t>f railroad, utilities and energy businesses and were $108 million and $87 million as of December 31, 2014 and December 31, 2013, respectively. Derivative contract liabilities are included in accounts payable, accruals and other liabilities of railroad, uti</w:t>
      </w:r>
      <w:r>
        <w:rPr>
          <w:rFonts w:ascii="Times" w:hAnsi="Times" w:cs="Times"/>
          <w:sz w:val="20"/>
          <w:szCs w:val="20"/>
        </w:rPr>
        <w:t>lities and energy businesses and were $230 million and $208 million as of December 31, 2014 and December 31, 2013, respectively. Unrealized gains and losses under the contracts of our regulated utilities that are probable of recovery through rates are reco</w:t>
      </w:r>
      <w:r>
        <w:rPr>
          <w:rFonts w:ascii="Times" w:hAnsi="Times" w:cs="Times"/>
          <w:sz w:val="20"/>
          <w:szCs w:val="20"/>
        </w:rPr>
        <w:t>rded as regulatory assets or liabilities. Unrealized gains or losses on contracts accounted for as cash flow or fair value hedges are recorded in other comprehensive income or in net earnings, as appropriate.</w:t>
      </w:r>
    </w:p>
    <w:p w:rsidR="00000000" w:rsidRDefault="00A06965">
      <w:pPr>
        <w:pStyle w:val="DefaultParagraphFont"/>
        <w:widowControl w:val="0"/>
        <w:autoSpaceDE w:val="0"/>
        <w:autoSpaceDN w:val="0"/>
        <w:adjustRightInd w:val="0"/>
        <w:spacing w:after="0" w:line="3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(13) Supplemental cash flow information</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A summary of supplemental cash flow information for each of the three years ending December 31, 2014 is presented in the following table (in millions).</w:t>
      </w: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280"/>
        <w:gridCol w:w="540"/>
        <w:gridCol w:w="200"/>
        <w:gridCol w:w="560"/>
        <w:gridCol w:w="200"/>
        <w:gridCol w:w="540"/>
        <w:gridCol w:w="20"/>
      </w:tblGrid>
      <w:tr w:rsidR="00000000">
        <w:tblPrEx>
          <w:tblCellMar>
            <w:top w:w="0" w:type="dxa"/>
            <w:left w:w="0" w:type="dxa"/>
            <w:bottom w:w="0" w:type="dxa"/>
            <w:right w:w="0" w:type="dxa"/>
          </w:tblCellMar>
        </w:tblPrEx>
        <w:trPr>
          <w:trHeight w:val="184"/>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Times" w:hAnsi="Times" w:cs="Times"/>
                <w:b/>
                <w:bCs/>
                <w:sz w:val="16"/>
                <w:szCs w:val="16"/>
              </w:rPr>
              <w:t>2014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w:hAnsi="Times" w:cs="Times"/>
                <w:b/>
                <w:bCs/>
                <w:sz w:val="16"/>
                <w:szCs w:val="16"/>
              </w:rPr>
              <w:t>2013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w:hAnsi="Times" w:cs="Times"/>
                <w:b/>
                <w:bCs/>
                <w:sz w:val="16"/>
                <w:szCs w:val="16"/>
              </w:rPr>
              <w:t>2012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82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Cash paid during the period for:</w:t>
            </w: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2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Income taxes . . . . . .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$4,014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$5,401</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$4,695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7120"/>
              <w:jc w:val="right"/>
              <w:rPr>
                <w:rFonts w:ascii="Times New Roman" w:hAnsi="Times New Roman" w:cs="Times New Roman"/>
                <w:sz w:val="24"/>
                <w:szCs w:val="24"/>
              </w:rPr>
            </w:pPr>
            <w:r>
              <w:rPr>
                <w:rFonts w:ascii="Times" w:hAnsi="Times" w:cs="Times"/>
                <w:sz w:val="20"/>
                <w:szCs w:val="20"/>
              </w:rPr>
              <w:t>Interest: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Insurance and other businesses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360</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Railroad, utilities and energy businesses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2,487</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1,958</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1,829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 xml:space="preserve">Finance and financial products businesses . . . . . . . . . . . . . . . . . . . . . . . . . . . . . . . . . . . . </w:t>
            </w:r>
            <w:r>
              <w:rPr>
                <w:rFonts w:ascii="Times" w:hAnsi="Times" w:cs="Times"/>
                <w:sz w:val="20"/>
                <w:szCs w:val="20"/>
              </w:rPr>
              <w:t>.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465</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573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653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Non-cash investing and financing activities:</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Liabilities assumed in connection with business acquisitions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6,334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9,224</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1,751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Equity securities exchanged in connection with business acquisitions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2,478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Borrowings assumed in connection with certain property, plant and equipment additions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
              <w:jc w:val="right"/>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Treasury stock acquired in connection with business acquisition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3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68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(14) Unpaid losses and loss adjustment expenses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right="60" w:firstLine="400"/>
        <w:jc w:val="both"/>
        <w:rPr>
          <w:rFonts w:ascii="Times New Roman" w:hAnsi="Times New Roman" w:cs="Times New Roman"/>
          <w:sz w:val="24"/>
          <w:szCs w:val="24"/>
        </w:rPr>
      </w:pPr>
      <w:r>
        <w:rPr>
          <w:rFonts w:ascii="Times" w:hAnsi="Times" w:cs="Times"/>
          <w:sz w:val="20"/>
          <w:szCs w:val="20"/>
        </w:rPr>
        <w:t>The liabilities for unpaid losses and loss adjustment expenses are based upon estimates of the ultimate claim costs associated with property and casualty claim occurrences as of the balance sheet dates inclu</w:t>
      </w:r>
      <w:r>
        <w:rPr>
          <w:rFonts w:ascii="Times" w:hAnsi="Times" w:cs="Times"/>
          <w:sz w:val="20"/>
          <w:szCs w:val="20"/>
        </w:rPr>
        <w:t>ding estimates for incurred but not reported (“IBNR”) claims. Considerable judgment is required to evaluate claims and establish estimated claim liabilities. A reconciliation of the changes in liabilities for unpaid losses and loss adjustment expenses of o</w:t>
      </w:r>
      <w:r>
        <w:rPr>
          <w:rFonts w:ascii="Times" w:hAnsi="Times" w:cs="Times"/>
          <w:sz w:val="20"/>
          <w:szCs w:val="20"/>
        </w:rPr>
        <w:t>ur property/casualty insurance subsidiaries for each of the three years ending December 31, 2014 is as follows (in millions).</w:t>
      </w:r>
    </w:p>
    <w:p w:rsidR="00000000" w:rsidRDefault="00A06965">
      <w:pPr>
        <w:pStyle w:val="DefaultParagraphFont"/>
        <w:widowControl w:val="0"/>
        <w:autoSpaceDE w:val="0"/>
        <w:autoSpaceDN w:val="0"/>
        <w:adjustRightInd w:val="0"/>
        <w:spacing w:after="0" w:line="7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760"/>
        <w:gridCol w:w="720"/>
        <w:gridCol w:w="200"/>
        <w:gridCol w:w="720"/>
        <w:gridCol w:w="200"/>
        <w:gridCol w:w="720"/>
        <w:gridCol w:w="60"/>
        <w:gridCol w:w="20"/>
      </w:tblGrid>
      <w:tr w:rsidR="00000000">
        <w:tblPrEx>
          <w:tblCellMar>
            <w:top w:w="0" w:type="dxa"/>
            <w:left w:w="0" w:type="dxa"/>
            <w:bottom w:w="0" w:type="dxa"/>
            <w:right w:w="0" w:type="dxa"/>
          </w:tblCellMar>
        </w:tblPrEx>
        <w:trPr>
          <w:trHeight w:val="184"/>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1"/>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1"/>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1"/>
              <w:jc w:val="right"/>
              <w:rPr>
                <w:rFonts w:ascii="Times New Roman" w:hAnsi="Times New Roman" w:cs="Times New Roman"/>
                <w:sz w:val="24"/>
                <w:szCs w:val="24"/>
              </w:rPr>
            </w:pPr>
            <w:r>
              <w:rPr>
                <w:rFonts w:ascii="Times" w:hAnsi="Times" w:cs="Times"/>
                <w:b/>
                <w:bCs/>
                <w:sz w:val="16"/>
                <w:szCs w:val="16"/>
              </w:rPr>
              <w:t>2012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7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Unpaid losses and loss adjustment expenses:</w:t>
            </w: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2"/>
        </w:trPr>
        <w:tc>
          <w:tcPr>
            <w:tcW w:w="77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Gross liabilities at beginning of year . . . . . . . . . . . . . . . . . . . . . . . . . . . . . . . . . . . . . . . . . .</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w w:val="99"/>
                <w:sz w:val="20"/>
                <w:szCs w:val="20"/>
              </w:rPr>
              <w:t>$ 64,866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w w:val="99"/>
                <w:sz w:val="20"/>
                <w:szCs w:val="20"/>
              </w:rPr>
              <w:t>$ 64,160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w w:val="99"/>
                <w:sz w:val="20"/>
                <w:szCs w:val="20"/>
              </w:rPr>
              <w:t>$ 63,819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Ceded losses and deferred charges at beginning of year . . . . . . . . . . . . . . . . . . . . . . . . . . .</w:t>
            </w: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20"/>
              <w:jc w:val="right"/>
              <w:rPr>
                <w:rFonts w:ascii="Times New Roman" w:hAnsi="Times New Roman" w:cs="Times New Roman"/>
                <w:sz w:val="24"/>
                <w:szCs w:val="24"/>
              </w:rPr>
            </w:pPr>
            <w:r>
              <w:rPr>
                <w:rFonts w:ascii="Times" w:hAnsi="Times" w:cs="Times"/>
                <w:sz w:val="20"/>
                <w:szCs w:val="20"/>
              </w:rPr>
              <w:t>(7,414)</w:t>
            </w: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40"/>
              <w:jc w:val="right"/>
              <w:rPr>
                <w:rFonts w:ascii="Times New Roman" w:hAnsi="Times New Roman" w:cs="Times New Roman"/>
                <w:sz w:val="24"/>
                <w:szCs w:val="24"/>
              </w:rPr>
            </w:pPr>
            <w:r>
              <w:rPr>
                <w:rFonts w:ascii="Times" w:hAnsi="Times" w:cs="Times"/>
                <w:sz w:val="20"/>
                <w:szCs w:val="20"/>
              </w:rPr>
              <w:t>(6,944)</w:t>
            </w:r>
          </w:p>
        </w:tc>
        <w:tc>
          <w:tcPr>
            <w:tcW w:w="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(7,092)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Net balance at beginning of year . . . . . . . .</w:t>
            </w:r>
            <w:r>
              <w:rPr>
                <w:rFonts w:ascii="Times" w:hAnsi="Times" w:cs="Times"/>
                <w:sz w:val="20"/>
                <w:szCs w:val="20"/>
              </w:rPr>
              <w:t xml:space="preserve"> . . . . . . . . . . . . . . . . . . . . . . . . . . . . . . . . . . . . .</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57,452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57,216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56,727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Incurred losses recorded during the year:</w:t>
            </w: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77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Current accident year . . . . . . . . . . . . . . . . . . . . . . . . . . . . . . . . . . . . . . . . . . . . . . . . . . . . . .</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27,771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23,027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22,239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Prior accident years . . . . . . . . . . . . . . . . . . . . . . . . . . . . . . . . . . . . . . . . . . . . . . . . . . . . . . .</w:t>
            </w: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20"/>
              <w:jc w:val="right"/>
              <w:rPr>
                <w:rFonts w:ascii="Times New Roman" w:hAnsi="Times New Roman" w:cs="Times New Roman"/>
                <w:sz w:val="24"/>
                <w:szCs w:val="24"/>
              </w:rPr>
            </w:pPr>
            <w:r>
              <w:rPr>
                <w:rFonts w:ascii="Times" w:hAnsi="Times" w:cs="Times"/>
                <w:sz w:val="20"/>
                <w:szCs w:val="20"/>
              </w:rPr>
              <w:t>(1,365)</w:t>
            </w: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40"/>
              <w:jc w:val="right"/>
              <w:rPr>
                <w:rFonts w:ascii="Times New Roman" w:hAnsi="Times New Roman" w:cs="Times New Roman"/>
                <w:sz w:val="24"/>
                <w:szCs w:val="24"/>
              </w:rPr>
            </w:pPr>
            <w:r>
              <w:rPr>
                <w:rFonts w:ascii="Times" w:hAnsi="Times" w:cs="Times"/>
                <w:sz w:val="20"/>
                <w:szCs w:val="20"/>
              </w:rPr>
              <w:t>(1,752)</w:t>
            </w:r>
          </w:p>
        </w:tc>
        <w:tc>
          <w:tcPr>
            <w:tcW w:w="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(2,126)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Total incurred l</w:t>
            </w:r>
            <w:r>
              <w:rPr>
                <w:rFonts w:ascii="Times" w:hAnsi="Times" w:cs="Times"/>
                <w:sz w:val="20"/>
                <w:szCs w:val="20"/>
              </w:rPr>
              <w:t>osses  . . . . . . . . . . . . . . . . . . . . . . . . . . . . . . . . . . . . . . . . . . . . . . . . . . . . . .</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26,406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21,275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20,113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Payments during the year with respect to:</w:t>
            </w: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77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Current accident year . . . . . . . . . . . . . . . . . . . . . . . . . . . . . . . . . . . . . . . . . . . . . . . . . . . . . .</w:t>
            </w: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20"/>
              <w:jc w:val="right"/>
              <w:rPr>
                <w:rFonts w:ascii="Times New Roman" w:hAnsi="Times New Roman" w:cs="Times New Roman"/>
                <w:sz w:val="24"/>
                <w:szCs w:val="24"/>
              </w:rPr>
            </w:pPr>
            <w:r>
              <w:rPr>
                <w:rFonts w:ascii="Times" w:hAnsi="Times" w:cs="Times"/>
                <w:sz w:val="20"/>
                <w:szCs w:val="20"/>
              </w:rPr>
              <w:t>(11,289)</w:t>
            </w: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40"/>
              <w:jc w:val="right"/>
              <w:rPr>
                <w:rFonts w:ascii="Times New Roman" w:hAnsi="Times New Roman" w:cs="Times New Roman"/>
                <w:sz w:val="24"/>
                <w:szCs w:val="24"/>
              </w:rPr>
            </w:pPr>
            <w:r>
              <w:rPr>
                <w:rFonts w:ascii="Times" w:hAnsi="Times" w:cs="Times"/>
                <w:sz w:val="20"/>
                <w:szCs w:val="20"/>
              </w:rPr>
              <w:t>(10,154)</w:t>
            </w:r>
          </w:p>
        </w:tc>
        <w:tc>
          <w:tcPr>
            <w:tcW w:w="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(9,667)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Prior accident years . . . . . . . . . . . . . . . . . . . . . . . . . . . . . . . . . . . . . . . . . . . . . . . . . . . . . . .</w:t>
            </w: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20"/>
              <w:jc w:val="right"/>
              <w:rPr>
                <w:rFonts w:ascii="Times New Roman" w:hAnsi="Times New Roman" w:cs="Times New Roman"/>
                <w:sz w:val="24"/>
                <w:szCs w:val="24"/>
              </w:rPr>
            </w:pPr>
            <w:r>
              <w:rPr>
                <w:rFonts w:ascii="Times" w:hAnsi="Times" w:cs="Times"/>
                <w:sz w:val="20"/>
                <w:szCs w:val="20"/>
              </w:rPr>
              <w:t>(11,381)</w:t>
            </w: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40"/>
              <w:jc w:val="right"/>
              <w:rPr>
                <w:rFonts w:ascii="Times New Roman" w:hAnsi="Times New Roman" w:cs="Times New Roman"/>
                <w:sz w:val="24"/>
                <w:szCs w:val="24"/>
              </w:rPr>
            </w:pPr>
            <w:r>
              <w:rPr>
                <w:rFonts w:ascii="Times" w:hAnsi="Times" w:cs="Times"/>
                <w:sz w:val="20"/>
                <w:szCs w:val="20"/>
              </w:rPr>
              <w:t>(10,978)</w:t>
            </w:r>
          </w:p>
        </w:tc>
        <w:tc>
          <w:tcPr>
            <w:tcW w:w="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(10,628)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Total payments . . . . . . . . . . . . . . . . . . . . . . . . . . . . . . . . . . . . . . . . . . . . . . . . . . . . . . . . . . .</w:t>
            </w: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(22,670)</w:t>
            </w: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(21,132)</w:t>
            </w:r>
          </w:p>
        </w:tc>
        <w:tc>
          <w:tcPr>
            <w:tcW w:w="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(20,295)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Foreign currency translation adjustment . . . . . . . . . . . . . . . . . . . . . . . . . . . . . . . . . . . . . . . . . . .</w:t>
            </w: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(666)</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Business acquisitions . . . . . . . . . . . . . . . . . . . . . . . . . . . . . . . . . . . . . . . . . . . . . . . . . . . . . . . . . .</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67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300"/>
              <w:jc w:val="right"/>
              <w:rPr>
                <w:rFonts w:ascii="Times New Roman" w:hAnsi="Times New Roman" w:cs="Times New Roman"/>
                <w:sz w:val="24"/>
                <w:szCs w:val="24"/>
              </w:rPr>
            </w:pPr>
            <w:r>
              <w:rPr>
                <w:rFonts w:ascii="Times" w:hAnsi="Times" w:cs="Times"/>
                <w:sz w:val="20"/>
                <w:szCs w:val="20"/>
              </w:rPr>
              <w:t>—</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485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Unpaid losses and loss adjustment expenses:</w:t>
            </w: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77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Net balance at end of year . . . . . . . . . . . . . . . . . . . . . . . . . . . . . . . . . . . . . . . . . . . . . . . . . .</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60,589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57,452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57,216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Ceded losses and deferred charges at end of year . . . . . . . . . . . . . . . . . . . . . . . . . . . . . . . .</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10,888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7,414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6,944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 xml:space="preserve">Gross liabilities at end of year . . . . . . . . . . . . . . . . . . . . . . . . . . . . . . . . </w:t>
            </w:r>
            <w:r>
              <w:rPr>
                <w:rFonts w:ascii="Times" w:hAnsi="Times" w:cs="Times"/>
                <w:sz w:val="20"/>
                <w:szCs w:val="20"/>
              </w:rPr>
              <w:t>. . . . . . . . . . . . . . .</w:t>
            </w: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$ 71,477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$ 64,866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$ 64,160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Incurred losses shown in the preceding table represent loss and loss adjustment expenses recorded in earnings in each year. Such losses pertain to loss events occurring during the year (“current accident year”) and losses pertaining to prior year events (“</w:t>
      </w:r>
      <w:r>
        <w:rPr>
          <w:rFonts w:ascii="Times" w:hAnsi="Times" w:cs="Times"/>
          <w:sz w:val="20"/>
          <w:szCs w:val="20"/>
        </w:rPr>
        <w:t xml:space="preserve">prior accident years”). We present incurred losses related to our retroactive reinsurance contracts based on the inception dates of the contracts. Incurred losses that are attributable to prior accident years reflect the amount of estimation error charged </w:t>
      </w:r>
      <w:r>
        <w:rPr>
          <w:rFonts w:ascii="Times" w:hAnsi="Times" w:cs="Times"/>
          <w:sz w:val="20"/>
          <w:szCs w:val="20"/>
        </w:rPr>
        <w:t>or credited to earnings during the year with respect to estimated liabilities as of the beginning of that year. Incurred losses include the impact of changes in deferred charge assets established in connection with retroactive reinsurance contracts and dis</w:t>
      </w:r>
      <w:r>
        <w:rPr>
          <w:rFonts w:ascii="Times" w:hAnsi="Times" w:cs="Times"/>
          <w:sz w:val="20"/>
          <w:szCs w:val="20"/>
        </w:rPr>
        <w:t>counting of certain assumed workers’ compensation liabilities. Deferred charges and loss reserve discounts represent time value discounting of the related ultimate estimated claim liabilities.</w:t>
      </w:r>
    </w:p>
    <w:p w:rsidR="00000000" w:rsidRDefault="00A06965">
      <w:pPr>
        <w:pStyle w:val="DefaultParagraphFont"/>
        <w:widowControl w:val="0"/>
        <w:autoSpaceDE w:val="0"/>
        <w:autoSpaceDN w:val="0"/>
        <w:adjustRightInd w:val="0"/>
        <w:spacing w:after="0" w:line="18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Incurred losses for prior accident years included charges of $128 million in 2014, $186 million in 2013 and $381 million in 2012 associated with the changes in deferred charges and discounts related to certain workers’ compensation claims. Discounted worke</w:t>
      </w:r>
      <w:r>
        <w:rPr>
          <w:rFonts w:ascii="Times" w:hAnsi="Times" w:cs="Times"/>
          <w:sz w:val="20"/>
          <w:szCs w:val="20"/>
        </w:rPr>
        <w:t xml:space="preserve">rs’ compensation liabilities at December 31, 2014 and 2013 were $2,035 million and $2,066 million, respectively, reflecting net discounts of $1,745 million and $1,866 million, respectively. Unamortized deferred charges on retroactive reinsurance contracts </w:t>
      </w:r>
      <w:r>
        <w:rPr>
          <w:rFonts w:ascii="Times" w:hAnsi="Times" w:cs="Times"/>
          <w:sz w:val="20"/>
          <w:szCs w:val="20"/>
        </w:rPr>
        <w:t>were $7,772 million at December 31, 2014, which included $3,428 million from contracts written in 2014, and $4,359 million at December 31, 2013.</w:t>
      </w:r>
    </w:p>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right="60" w:firstLine="400"/>
        <w:jc w:val="both"/>
        <w:rPr>
          <w:rFonts w:ascii="Times New Roman" w:hAnsi="Times New Roman" w:cs="Times New Roman"/>
          <w:sz w:val="24"/>
          <w:szCs w:val="24"/>
        </w:rPr>
      </w:pPr>
      <w:r>
        <w:rPr>
          <w:rFonts w:ascii="Times" w:hAnsi="Times" w:cs="Times"/>
          <w:sz w:val="20"/>
          <w:szCs w:val="20"/>
        </w:rPr>
        <w:t>Before the effects of deferred charges and discounting, we reduced the beginning of the year net losses and lo</w:t>
      </w:r>
      <w:r>
        <w:rPr>
          <w:rFonts w:ascii="Times" w:hAnsi="Times" w:cs="Times"/>
          <w:sz w:val="20"/>
          <w:szCs w:val="20"/>
        </w:rPr>
        <w:t>ss adjustment expenses liability by $1,493 million in 2014, $1,938 million in 2013 and $2,507 million in 2012. In each of the years, the reduction primarily derived from assumed reinsurance and from primary private passenger auto and medical malpractice in</w:t>
      </w:r>
      <w:r>
        <w:rPr>
          <w:rFonts w:ascii="Times" w:hAnsi="Times" w:cs="Times"/>
          <w:sz w:val="20"/>
          <w:szCs w:val="20"/>
        </w:rPr>
        <w:t>surance. The reductions in liabilities related to assumed reinsurance, excluding retroactive reinsurance, were attributable to generally lower than expected reported losses from ceding companies with respect to both property and casualty coverages. Individ</w:t>
      </w:r>
      <w:r>
        <w:rPr>
          <w:rFonts w:ascii="Times" w:hAnsi="Times" w:cs="Times"/>
          <w:sz w:val="20"/>
          <w:szCs w:val="20"/>
        </w:rPr>
        <w:t xml:space="preserve">ual underlying claim counts and average amounts per claim are not utilized by our reinsurance assumed businesses because clients do not consistently provide reliable data in sufficient detail. The reductions in private passenger auto liabilities reflected </w:t>
      </w:r>
      <w:r>
        <w:rPr>
          <w:rFonts w:ascii="Times" w:hAnsi="Times" w:cs="Times"/>
          <w:sz w:val="20"/>
          <w:szCs w:val="20"/>
        </w:rPr>
        <w:t>lower than previously anticipated bodily injury and personal injury protection severities. The reductions in medical malpractice liabilities reflected lower than anticipated claims frequencies and severities. We also increased liabilities under retroactive</w:t>
      </w:r>
      <w:r>
        <w:rPr>
          <w:rFonts w:ascii="Times" w:hAnsi="Times" w:cs="Times"/>
          <w:sz w:val="20"/>
          <w:szCs w:val="20"/>
        </w:rPr>
        <w:t xml:space="preserve"> reinsurance contracts by approximately $825 million in 2014 and $300 million in 2013, primarily due to net increases in estimated asbestos and environmental liabilities. Accident year loss estimates are regularly adjusted to consider emerging loss develop</w:t>
      </w:r>
      <w:r>
        <w:rPr>
          <w:rFonts w:ascii="Times" w:hAnsi="Times" w:cs="Times"/>
          <w:sz w:val="20"/>
          <w:szCs w:val="20"/>
        </w:rPr>
        <w:t>ment patterns of prior years’ losses, whether favorable or unfavorable.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69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(14) Unpaid losses and loss adjustment expenses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We are exposed to en</w:t>
      </w:r>
      <w:r>
        <w:rPr>
          <w:rFonts w:ascii="Times" w:hAnsi="Times" w:cs="Times"/>
          <w:sz w:val="20"/>
          <w:szCs w:val="20"/>
        </w:rPr>
        <w:t>vironmental, asbestos and other latent injury claims arising from insurance and reinsurance contracts. Liability estimates for environmental and asbestos exposures include case basis reserves and also reflect reserves for legal and other loss adjustment ex</w:t>
      </w:r>
      <w:r>
        <w:rPr>
          <w:rFonts w:ascii="Times" w:hAnsi="Times" w:cs="Times"/>
          <w:sz w:val="20"/>
          <w:szCs w:val="20"/>
        </w:rPr>
        <w:t>penses and IBNR reserves. IBNR reserves are based upon our historic general liability exposure base and policy language, previous environmental loss experience and the assessment of current trends of environmental law, environmental cleanup costs, asbestos</w:t>
      </w:r>
      <w:r>
        <w:rPr>
          <w:rFonts w:ascii="Times" w:hAnsi="Times" w:cs="Times"/>
          <w:sz w:val="20"/>
          <w:szCs w:val="20"/>
        </w:rPr>
        <w:t xml:space="preserve"> liability law and judgmental settlements of asbestos liabilities.</w:t>
      </w:r>
    </w:p>
    <w:p w:rsidR="00000000" w:rsidRDefault="00A06965">
      <w:pPr>
        <w:pStyle w:val="DefaultParagraphFont"/>
        <w:widowControl w:val="0"/>
        <w:autoSpaceDE w:val="0"/>
        <w:autoSpaceDN w:val="0"/>
        <w:adjustRightInd w:val="0"/>
        <w:spacing w:after="0" w:line="28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The liabilities for environmental, asbestos and other latent injury claims and claims expenses, net of reinsurance recoverables, were approximately $14.4 billion at December 31, 2014 and $13.7 billion at December 31, 2013. These liabilities included approx</w:t>
      </w:r>
      <w:r>
        <w:rPr>
          <w:rFonts w:ascii="Times" w:hAnsi="Times" w:cs="Times"/>
          <w:sz w:val="20"/>
          <w:szCs w:val="20"/>
        </w:rPr>
        <w:t>imately $12.7 billion at December 31, 2014 and $11.9 billion at December 31, 2013 of liabilities assumed under retroactive reinsurance contracts. Liabilities arising from retroactive contracts with exposure to claims of this nature are generally subject to</w:t>
      </w:r>
      <w:r>
        <w:rPr>
          <w:rFonts w:ascii="Times" w:hAnsi="Times" w:cs="Times"/>
          <w:sz w:val="20"/>
          <w:szCs w:val="20"/>
        </w:rPr>
        <w:t xml:space="preserve"> aggregate policy limits. Thus, our exposure to environmental and other latent injury claims under these contracts is, likewise, limited. We monitor evolving case law and its effect on environmental and other latent injury claims. Changing government regul</w:t>
      </w:r>
      <w:r>
        <w:rPr>
          <w:rFonts w:ascii="Times" w:hAnsi="Times" w:cs="Times"/>
          <w:sz w:val="20"/>
          <w:szCs w:val="20"/>
        </w:rPr>
        <w:t>ations, newly identified toxins, newly reported claims, new theories of liability, new contract interpretations and other factors could result in significant increases in these liabilities. Such development could be material to our results of operations. W</w:t>
      </w:r>
      <w:r>
        <w:rPr>
          <w:rFonts w:ascii="Times" w:hAnsi="Times" w:cs="Times"/>
          <w:sz w:val="20"/>
          <w:szCs w:val="20"/>
        </w:rPr>
        <w:t>e are unable to reliably estimate the amount of additional net loss or the range of net loss that is reasonably possible.</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(15) Notes payable and other borrowings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Notes payable and other borrowings are summarized below (in millions). The weighted average</w:t>
      </w:r>
      <w:r>
        <w:rPr>
          <w:rFonts w:ascii="Times" w:hAnsi="Times" w:cs="Times"/>
          <w:sz w:val="20"/>
          <w:szCs w:val="20"/>
        </w:rPr>
        <w:t xml:space="preserve"> interest rates and maturity date ranges shown in the following tables are based on borrowings as of December 31, 2014.</w:t>
      </w:r>
    </w:p>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680"/>
        <w:gridCol w:w="940"/>
        <w:gridCol w:w="200"/>
        <w:gridCol w:w="100"/>
        <w:gridCol w:w="560"/>
        <w:gridCol w:w="200"/>
        <w:gridCol w:w="100"/>
        <w:gridCol w:w="540"/>
        <w:gridCol w:w="20"/>
      </w:tblGrid>
      <w:tr w:rsidR="00000000">
        <w:tblPrEx>
          <w:tblCellMar>
            <w:top w:w="0" w:type="dxa"/>
            <w:left w:w="0" w:type="dxa"/>
            <w:bottom w:w="0" w:type="dxa"/>
            <w:right w:w="0" w:type="dxa"/>
          </w:tblCellMar>
        </w:tblPrEx>
        <w:trPr>
          <w:trHeight w:val="184"/>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Weighted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00" w:type="dxa"/>
            <w:gridSpan w:val="4"/>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84"/>
              <w:jc w:val="right"/>
              <w:rPr>
                <w:rFonts w:ascii="Times New Roman" w:hAnsi="Times New Roman" w:cs="Times New Roman"/>
                <w:sz w:val="24"/>
                <w:szCs w:val="24"/>
              </w:rPr>
            </w:pPr>
            <w:r>
              <w:rPr>
                <w:rFonts w:ascii="Times" w:hAnsi="Times" w:cs="Times"/>
                <w:b/>
                <w:bCs/>
                <w:sz w:val="16"/>
                <w:szCs w:val="16"/>
              </w:rPr>
              <w:t>December 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2"/>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9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27" w:lineRule="exact"/>
              <w:jc w:val="center"/>
              <w:rPr>
                <w:rFonts w:ascii="Times New Roman" w:hAnsi="Times New Roman" w:cs="Times New Roman"/>
                <w:sz w:val="24"/>
                <w:szCs w:val="24"/>
              </w:rPr>
            </w:pPr>
            <w:r>
              <w:rPr>
                <w:rFonts w:ascii="Times" w:hAnsi="Times" w:cs="Times"/>
                <w:b/>
                <w:bCs/>
                <w:sz w:val="14"/>
                <w:szCs w:val="14"/>
              </w:rPr>
              <w:t>Average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1400" w:type="dxa"/>
            <w:gridSpan w:val="4"/>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Interest Rate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7"/>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4"/>
              <w:jc w:val="right"/>
              <w:rPr>
                <w:rFonts w:ascii="Times New Roman" w:hAnsi="Times New Roman" w:cs="Times New Roman"/>
                <w:sz w:val="24"/>
                <w:szCs w:val="24"/>
              </w:rPr>
            </w:pPr>
            <w:r>
              <w:rPr>
                <w:rFonts w:ascii="Times" w:hAnsi="Times" w:cs="Times"/>
                <w:b/>
                <w:bCs/>
                <w:sz w:val="16"/>
                <w:szCs w:val="16"/>
              </w:rPr>
              <w:t>2013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6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Insurance and other:</w:t>
            </w:r>
          </w:p>
        </w:tc>
        <w:tc>
          <w:tcPr>
            <w:tcW w:w="9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6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Issued by Berkshire due 2015-2047 . . . . . . . . . . . . . . . . . . . . . . . . . . . . . . . . . . . . . . . . . .</w:t>
            </w: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92"/>
              <w:jc w:val="right"/>
              <w:rPr>
                <w:rFonts w:ascii="Times New Roman" w:hAnsi="Times New Roman" w:cs="Times New Roman"/>
                <w:sz w:val="24"/>
                <w:szCs w:val="24"/>
              </w:rPr>
            </w:pPr>
            <w:r>
              <w:rPr>
                <w:rFonts w:ascii="Times" w:hAnsi="Times" w:cs="Times"/>
                <w:sz w:val="20"/>
                <w:szCs w:val="20"/>
              </w:rPr>
              <w:t>2.8%</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8,354</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8,311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 xml:space="preserve">Short-term subsidiary borrowings  . . . . . . . . . . . . . . . . . . . . . . . . . . . . . . . </w:t>
            </w:r>
            <w:r>
              <w:rPr>
                <w:rFonts w:ascii="Times" w:hAnsi="Times" w:cs="Times"/>
                <w:sz w:val="20"/>
                <w:szCs w:val="20"/>
              </w:rPr>
              <w:t>. . . . . . . . . . . .</w:t>
            </w: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92"/>
              <w:jc w:val="right"/>
              <w:rPr>
                <w:rFonts w:ascii="Times New Roman" w:hAnsi="Times New Roman" w:cs="Times New Roman"/>
                <w:sz w:val="24"/>
                <w:szCs w:val="24"/>
              </w:rPr>
            </w:pPr>
            <w:r>
              <w:rPr>
                <w:rFonts w:ascii="Times" w:hAnsi="Times" w:cs="Times"/>
                <w:sz w:val="20"/>
                <w:szCs w:val="20"/>
              </w:rPr>
              <w:t>0.6%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949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Other subsidiary borrowings due 2015-2035 . . . . . . . . . . . . . . . . . . . . . . . . . . . . . . . . . . .</w:t>
            </w: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92"/>
              <w:jc w:val="right"/>
              <w:rPr>
                <w:rFonts w:ascii="Times New Roman" w:hAnsi="Times New Roman" w:cs="Times New Roman"/>
                <w:sz w:val="24"/>
                <w:szCs w:val="24"/>
              </w:rPr>
            </w:pPr>
            <w:r>
              <w:rPr>
                <w:rFonts w:ascii="Times" w:hAnsi="Times" w:cs="Times"/>
                <w:sz w:val="20"/>
                <w:szCs w:val="20"/>
              </w:rPr>
              <w:t>6.1%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2,701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3,180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11,894</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12,440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Weighted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31"/>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0" w:type="dxa"/>
            <w:gridSpan w:val="4"/>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84"/>
              <w:jc w:val="right"/>
              <w:rPr>
                <w:rFonts w:ascii="Times New Roman" w:hAnsi="Times New Roman" w:cs="Times New Roman"/>
                <w:sz w:val="24"/>
                <w:szCs w:val="24"/>
              </w:rPr>
            </w:pPr>
            <w:r>
              <w:rPr>
                <w:rFonts w:ascii="Times" w:hAnsi="Times" w:cs="Times"/>
                <w:b/>
                <w:bCs/>
                <w:sz w:val="16"/>
                <w:szCs w:val="16"/>
              </w:rPr>
              <w:t>December 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2"/>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9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27" w:lineRule="exact"/>
              <w:jc w:val="center"/>
              <w:rPr>
                <w:rFonts w:ascii="Times New Roman" w:hAnsi="Times New Roman" w:cs="Times New Roman"/>
                <w:sz w:val="24"/>
                <w:szCs w:val="24"/>
              </w:rPr>
            </w:pPr>
            <w:r>
              <w:rPr>
                <w:rFonts w:ascii="Times" w:hAnsi="Times" w:cs="Times"/>
                <w:b/>
                <w:bCs/>
                <w:sz w:val="14"/>
                <w:szCs w:val="14"/>
              </w:rPr>
              <w:t>Average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1400" w:type="dxa"/>
            <w:gridSpan w:val="4"/>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Interest Rate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7"/>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4"/>
              <w:jc w:val="right"/>
              <w:rPr>
                <w:rFonts w:ascii="Times New Roman" w:hAnsi="Times New Roman" w:cs="Times New Roman"/>
                <w:sz w:val="24"/>
                <w:szCs w:val="24"/>
              </w:rPr>
            </w:pPr>
            <w:r>
              <w:rPr>
                <w:rFonts w:ascii="Times" w:hAnsi="Times" w:cs="Times"/>
                <w:b/>
                <w:bCs/>
                <w:sz w:val="16"/>
                <w:szCs w:val="16"/>
              </w:rPr>
              <w:t>2013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6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Railroad, utilities and energy:</w:t>
            </w:r>
          </w:p>
        </w:tc>
        <w:tc>
          <w:tcPr>
            <w:tcW w:w="9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6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80"/>
              <w:jc w:val="right"/>
              <w:rPr>
                <w:rFonts w:ascii="Times New Roman" w:hAnsi="Times New Roman" w:cs="Times New Roman"/>
                <w:sz w:val="24"/>
                <w:szCs w:val="24"/>
              </w:rPr>
            </w:pPr>
            <w:r>
              <w:rPr>
                <w:rFonts w:ascii="Times" w:hAnsi="Times" w:cs="Times"/>
                <w:sz w:val="20"/>
                <w:szCs w:val="20"/>
              </w:rPr>
              <w:t>Issued by Berkshire Hathaway Energy Company (“BHE”) and its subsidiaries:</w:t>
            </w: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BHE senior unsecured debt due 2017-2045 . . . . . . . . . . . . . . . . . . . . . . . . . . . . . . . .</w:t>
            </w: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92"/>
              <w:jc w:val="right"/>
              <w:rPr>
                <w:rFonts w:ascii="Times New Roman" w:hAnsi="Times New Roman" w:cs="Times New Roman"/>
                <w:sz w:val="24"/>
                <w:szCs w:val="24"/>
              </w:rPr>
            </w:pPr>
            <w:r>
              <w:rPr>
                <w:rFonts w:ascii="Times" w:hAnsi="Times" w:cs="Times"/>
                <w:sz w:val="20"/>
                <w:szCs w:val="20"/>
              </w:rPr>
              <w:t>5.1%</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7,860</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6,616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Subsidiary and other debt due 2015-2064  . . . . . . . . . . . . . . . . . . . . . . . . . . . . . . . . .</w:t>
            </w: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92"/>
              <w:jc w:val="right"/>
              <w:rPr>
                <w:rFonts w:ascii="Times New Roman" w:hAnsi="Times New Roman" w:cs="Times New Roman"/>
                <w:sz w:val="24"/>
                <w:szCs w:val="24"/>
              </w:rPr>
            </w:pPr>
            <w:r>
              <w:rPr>
                <w:rFonts w:ascii="Times" w:hAnsi="Times" w:cs="Times"/>
                <w:sz w:val="20"/>
                <w:szCs w:val="20"/>
              </w:rPr>
              <w:t>5.1%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28,439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23,033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Issued by BNSF due 2015-2097 . . . . . . . . . . . . . . . . . . . . . . . . . . . . . . . . . . . . . . . . . . . . .</w:t>
            </w: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92"/>
              <w:jc w:val="right"/>
              <w:rPr>
                <w:rFonts w:ascii="Times New Roman" w:hAnsi="Times New Roman" w:cs="Times New Roman"/>
                <w:sz w:val="24"/>
                <w:szCs w:val="24"/>
              </w:rPr>
            </w:pPr>
            <w:r>
              <w:rPr>
                <w:rFonts w:ascii="Times" w:hAnsi="Times" w:cs="Times"/>
                <w:sz w:val="20"/>
                <w:szCs w:val="20"/>
              </w:rPr>
              <w:t>5.0%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19,280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17,006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55,579</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46,655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7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 xml:space="preserve">In December 2014, BHE issued $1.5 billion in senior unsecured notes consisting of $350 million of 2.4% notes due in 2020, $400 million of 3.5% notes due in 2025 and $750 million of 4.5% notes due in 2045. BHE subsidiary debt at December 31, 2014, included </w:t>
      </w:r>
      <w:r>
        <w:rPr>
          <w:rFonts w:ascii="Times" w:hAnsi="Times" w:cs="Times"/>
          <w:sz w:val="20"/>
          <w:szCs w:val="20"/>
        </w:rPr>
        <w:t>borrowings of approximately $4.0 billion of AltaLink, which was acquired by BHE on December 1, 2014. BHE subsidiary debt represents amounts issued pursuant to separate financing agreements. Substantially all of the assets of certain BHE subsidiaries are, o</w:t>
      </w:r>
      <w:r>
        <w:rPr>
          <w:rFonts w:ascii="Times" w:hAnsi="Times" w:cs="Times"/>
          <w:sz w:val="20"/>
          <w:szCs w:val="20"/>
        </w:rPr>
        <w:t>r may be, pledged or encumbered to support or otherwise secure the debt. These borrowing arrangements generally contain various covenants including, but not limited to, leverage ratios, interest coverage ratios and debt service coverage ratios. BNSF’s borr</w:t>
      </w:r>
      <w:r>
        <w:rPr>
          <w:rFonts w:ascii="Times" w:hAnsi="Times" w:cs="Times"/>
          <w:sz w:val="20"/>
          <w:szCs w:val="20"/>
        </w:rPr>
        <w:t xml:space="preserve">owings are primarily senior unsecured debentures. In 2014, BNSF issued $3.0 billion of debentures consisting of $500 million of 3.75% debentures due in 2024, $700 million of 3.4% debentures due in 2024, $1.0 billion of 4.9% debentures due in 2044 and $800 </w:t>
      </w:r>
      <w:r>
        <w:rPr>
          <w:rFonts w:ascii="Times" w:hAnsi="Times" w:cs="Times"/>
          <w:sz w:val="20"/>
          <w:szCs w:val="20"/>
        </w:rPr>
        <w:t>million of 4.55% debentures due in 2044. As of December 31, 2014, BNSF and BHE and their subsidiaries were in compliance with all applicable debt covenants. Berkshire does not guarantee any debt, borrowings or lines of credit of BNSF, BHE or their subsidia</w:t>
      </w:r>
      <w:r>
        <w:rPr>
          <w:rFonts w:ascii="Times" w:hAnsi="Times" w:cs="Times"/>
          <w:sz w:val="20"/>
          <w:szCs w:val="20"/>
        </w:rPr>
        <w:t>ries.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70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(15) Notes payable and other borrowings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6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680"/>
        <w:gridCol w:w="940"/>
        <w:gridCol w:w="200"/>
        <w:gridCol w:w="660"/>
        <w:gridCol w:w="200"/>
        <w:gridCol w:w="640"/>
        <w:gridCol w:w="20"/>
      </w:tblGrid>
      <w:tr w:rsidR="00000000">
        <w:tblPrEx>
          <w:tblCellMar>
            <w:top w:w="0" w:type="dxa"/>
            <w:left w:w="0" w:type="dxa"/>
            <w:bottom w:w="0" w:type="dxa"/>
            <w:right w:w="0" w:type="dxa"/>
          </w:tblCellMar>
        </w:tblPrEx>
        <w:trPr>
          <w:trHeight w:val="184"/>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Weighted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00" w:type="dxa"/>
            <w:gridSpan w:val="3"/>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Times" w:hAnsi="Times" w:cs="Times"/>
                <w:b/>
                <w:bCs/>
                <w:sz w:val="16"/>
                <w:szCs w:val="16"/>
              </w:rPr>
              <w:t>December 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2"/>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9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27" w:lineRule="exact"/>
              <w:jc w:val="center"/>
              <w:rPr>
                <w:rFonts w:ascii="Times New Roman" w:hAnsi="Times New Roman" w:cs="Times New Roman"/>
                <w:sz w:val="24"/>
                <w:szCs w:val="24"/>
              </w:rPr>
            </w:pPr>
            <w:r>
              <w:rPr>
                <w:rFonts w:ascii="Times" w:hAnsi="Times" w:cs="Times"/>
                <w:b/>
                <w:bCs/>
                <w:sz w:val="14"/>
                <w:szCs w:val="14"/>
              </w:rPr>
              <w:t>Average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1500" w:type="dxa"/>
            <w:gridSpan w:val="3"/>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Interest Rate</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w:hAnsi="Times" w:cs="Times"/>
                <w:b/>
                <w:bCs/>
                <w:sz w:val="16"/>
                <w:szCs w:val="16"/>
              </w:rPr>
              <w:t>2014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w:hAnsi="Times" w:cs="Times"/>
                <w:b/>
                <w:bCs/>
                <w:sz w:val="16"/>
                <w:szCs w:val="16"/>
              </w:rPr>
              <w:t>2013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6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Finance and financial products:</w:t>
            </w:r>
          </w:p>
        </w:tc>
        <w:tc>
          <w:tcPr>
            <w:tcW w:w="9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6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Issued by Berkshire Hathaway Finance Corporation (“BHFC”) due 2015-2043  . . . . . . .</w:t>
            </w: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94"/>
              <w:jc w:val="right"/>
              <w:rPr>
                <w:rFonts w:ascii="Times New Roman" w:hAnsi="Times New Roman" w:cs="Times New Roman"/>
                <w:sz w:val="24"/>
                <w:szCs w:val="24"/>
              </w:rPr>
            </w:pPr>
            <w:r>
              <w:rPr>
                <w:rFonts w:ascii="Times" w:hAnsi="Times" w:cs="Times"/>
                <w:sz w:val="20"/>
                <w:szCs w:val="20"/>
              </w:rPr>
              <w:t>3.1%</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$11,178</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$11,178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Issued by other subsidiaries due 2015-2036 . . . . . . . . . . . . . . . . . . . . . . . . . . . . . . . . . . . .</w:t>
            </w: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94"/>
              <w:jc w:val="right"/>
              <w:rPr>
                <w:rFonts w:ascii="Times New Roman" w:hAnsi="Times New Roman" w:cs="Times New Roman"/>
                <w:sz w:val="24"/>
                <w:szCs w:val="24"/>
              </w:rPr>
            </w:pPr>
            <w:r>
              <w:rPr>
                <w:rFonts w:ascii="Times" w:hAnsi="Times" w:cs="Times"/>
                <w:sz w:val="20"/>
                <w:szCs w:val="20"/>
              </w:rPr>
              <w:t>5.3%</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1,558</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1,951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$12,736</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$13,129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In 2014, BHFC issued $1.15 billion o</w:t>
      </w:r>
      <w:r>
        <w:rPr>
          <w:rFonts w:ascii="Times" w:hAnsi="Times" w:cs="Times"/>
          <w:sz w:val="20"/>
          <w:szCs w:val="20"/>
        </w:rPr>
        <w:t>f new senior notes consisting of $1.05 billion of floating rate notes due in 2017 and $100 million of 2% notes due in 2018. These issuances replaced a corresponding aggregate amount of senior notes that matured in 2014.</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 xml:space="preserve">Our subsidiaries have unused lines </w:t>
      </w:r>
      <w:r>
        <w:rPr>
          <w:rFonts w:ascii="Times" w:hAnsi="Times" w:cs="Times"/>
          <w:sz w:val="20"/>
          <w:szCs w:val="20"/>
        </w:rPr>
        <w:t>of credit and commercial paper capacity aggregating approximately $7.8 billion at December 31, 2014, to support short-term borrowing programs and provide additional liquidity. Such unused lines of credit included about $4.6 billion related to BHE and its s</w:t>
      </w:r>
      <w:r>
        <w:rPr>
          <w:rFonts w:ascii="Times" w:hAnsi="Times" w:cs="Times"/>
          <w:sz w:val="20"/>
          <w:szCs w:val="20"/>
        </w:rPr>
        <w:t>ubsidiaries. The borrowings of BHFC, a wholly owned finance subsidiary of Berkshire, are fully and unconditionally guaranteed by Berkshire. In addition to BHFC’s borrowings, Berkshire has guaranteed other subsidiary borrowings, aggregating approximately $3</w:t>
      </w:r>
      <w:r>
        <w:rPr>
          <w:rFonts w:ascii="Times" w:hAnsi="Times" w:cs="Times"/>
          <w:sz w:val="20"/>
          <w:szCs w:val="20"/>
        </w:rPr>
        <w:t>.4 billion at December 31, 2014. Generally, Berkshire’s guarantee of a subsidiary’s debt obligation is an absolute, unconditional and irrevocable guarantee for the full and prompt payment when due of all present and future payment obligations.</w:t>
      </w:r>
    </w:p>
    <w:p w:rsidR="00000000" w:rsidRDefault="00A06965">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sz w:val="20"/>
          <w:szCs w:val="20"/>
        </w:rPr>
        <w:t>Principal repayments expected during each of the next five years are as follows (in millions).</w:t>
      </w:r>
    </w:p>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6780"/>
        <w:gridCol w:w="540"/>
        <w:gridCol w:w="200"/>
        <w:gridCol w:w="560"/>
        <w:gridCol w:w="200"/>
        <w:gridCol w:w="540"/>
        <w:gridCol w:w="200"/>
        <w:gridCol w:w="560"/>
        <w:gridCol w:w="200"/>
        <w:gridCol w:w="100"/>
        <w:gridCol w:w="440"/>
      </w:tblGrid>
      <w:tr w:rsidR="00000000">
        <w:tblPrEx>
          <w:tblCellMar>
            <w:top w:w="0" w:type="dxa"/>
            <w:left w:w="0" w:type="dxa"/>
            <w:bottom w:w="0" w:type="dxa"/>
            <w:right w:w="0" w:type="dxa"/>
          </w:tblCellMar>
        </w:tblPrEx>
        <w:trPr>
          <w:trHeight w:val="184"/>
        </w:trPr>
        <w:tc>
          <w:tcPr>
            <w:tcW w:w="6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4"/>
              <w:jc w:val="right"/>
              <w:rPr>
                <w:rFonts w:ascii="Times New Roman" w:hAnsi="Times New Roman" w:cs="Times New Roman"/>
                <w:sz w:val="24"/>
                <w:szCs w:val="24"/>
              </w:rPr>
            </w:pPr>
            <w:r>
              <w:rPr>
                <w:rFonts w:ascii="Times" w:hAnsi="Times" w:cs="Times"/>
                <w:b/>
                <w:bCs/>
                <w:sz w:val="16"/>
                <w:szCs w:val="16"/>
              </w:rPr>
              <w:t>2015</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2016</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2017</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4"/>
              <w:jc w:val="right"/>
              <w:rPr>
                <w:rFonts w:ascii="Times New Roman" w:hAnsi="Times New Roman" w:cs="Times New Roman"/>
                <w:sz w:val="24"/>
                <w:szCs w:val="24"/>
              </w:rPr>
            </w:pPr>
            <w:r>
              <w:rPr>
                <w:rFonts w:ascii="Times" w:hAnsi="Times" w:cs="Times"/>
                <w:b/>
                <w:bCs/>
                <w:w w:val="93"/>
                <w:sz w:val="16"/>
                <w:szCs w:val="16"/>
              </w:rPr>
              <w:t>2019</w:t>
            </w:r>
          </w:p>
        </w:tc>
      </w:tr>
      <w:tr w:rsidR="00000000">
        <w:tblPrEx>
          <w:tblCellMar>
            <w:top w:w="0" w:type="dxa"/>
            <w:left w:w="0" w:type="dxa"/>
            <w:bottom w:w="0" w:type="dxa"/>
            <w:right w:w="0" w:type="dxa"/>
          </w:tblCellMar>
        </w:tblPrEx>
        <w:trPr>
          <w:trHeight w:val="26"/>
        </w:trPr>
        <w:tc>
          <w:tcPr>
            <w:tcW w:w="6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Insurance and other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$2,676</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$1,094</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$1,428</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$1,088</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804</w:t>
            </w:r>
          </w:p>
        </w:tc>
      </w:tr>
      <w:tr w:rsidR="00000000">
        <w:tblPrEx>
          <w:tblCellMar>
            <w:top w:w="0" w:type="dxa"/>
            <w:left w:w="0" w:type="dxa"/>
            <w:bottom w:w="0" w:type="dxa"/>
            <w:right w:w="0" w:type="dxa"/>
          </w:tblCellMar>
        </w:tblPrEx>
        <w:trPr>
          <w:trHeight w:val="240"/>
        </w:trPr>
        <w:tc>
          <w:tcPr>
            <w:tcW w:w="6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Railroad, utilities and energy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3,043</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1,642</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1,677</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4,241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2,885</w:t>
            </w:r>
          </w:p>
        </w:tc>
      </w:tr>
      <w:tr w:rsidR="00000000">
        <w:tblPrEx>
          <w:tblCellMar>
            <w:top w:w="0" w:type="dxa"/>
            <w:left w:w="0" w:type="dxa"/>
            <w:bottom w:w="0" w:type="dxa"/>
            <w:right w:w="0" w:type="dxa"/>
          </w:tblCellMar>
        </w:tblPrEx>
        <w:trPr>
          <w:trHeight w:val="240"/>
        </w:trPr>
        <w:tc>
          <w:tcPr>
            <w:tcW w:w="6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Finance and financial products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1,725</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1,204</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2,924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2,365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107</w:t>
            </w:r>
          </w:p>
        </w:tc>
      </w:tr>
      <w:tr w:rsidR="00000000">
        <w:tblPrEx>
          <w:tblCellMar>
            <w:top w:w="0" w:type="dxa"/>
            <w:left w:w="0" w:type="dxa"/>
            <w:bottom w:w="0" w:type="dxa"/>
            <w:right w:w="0" w:type="dxa"/>
          </w:tblCellMar>
        </w:tblPrEx>
        <w:trPr>
          <w:trHeight w:val="28"/>
        </w:trPr>
        <w:tc>
          <w:tcPr>
            <w:tcW w:w="6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$7,444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$3,940</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$6,029</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$7,694</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3,796</w:t>
            </w:r>
          </w:p>
        </w:tc>
      </w:tr>
      <w:tr w:rsidR="00000000">
        <w:tblPrEx>
          <w:tblCellMar>
            <w:top w:w="0" w:type="dxa"/>
            <w:left w:w="0" w:type="dxa"/>
            <w:bottom w:w="0" w:type="dxa"/>
            <w:right w:w="0" w:type="dxa"/>
          </w:tblCellMar>
        </w:tblPrEx>
        <w:trPr>
          <w:trHeight w:val="28"/>
        </w:trPr>
        <w:tc>
          <w:tcPr>
            <w:tcW w:w="6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numPr>
          <w:ilvl w:val="0"/>
          <w:numId w:val="39"/>
        </w:numPr>
        <w:tabs>
          <w:tab w:val="clear" w:pos="720"/>
          <w:tab w:val="num" w:pos="400"/>
        </w:tabs>
        <w:overflowPunct w:val="0"/>
        <w:autoSpaceDE w:val="0"/>
        <w:autoSpaceDN w:val="0"/>
        <w:adjustRightInd w:val="0"/>
        <w:spacing w:after="0" w:line="239" w:lineRule="auto"/>
        <w:ind w:left="400" w:hanging="400"/>
        <w:jc w:val="both"/>
        <w:rPr>
          <w:rFonts w:ascii="Times" w:hAnsi="Times" w:cs="Times"/>
          <w:b/>
          <w:bCs/>
          <w:sz w:val="20"/>
          <w:szCs w:val="20"/>
        </w:rPr>
      </w:pPr>
      <w:r>
        <w:rPr>
          <w:rFonts w:ascii="Times" w:hAnsi="Times" w:cs="Times"/>
          <w:b/>
          <w:bCs/>
          <w:sz w:val="20"/>
          <w:szCs w:val="20"/>
        </w:rPr>
        <w:t>Income taxes</w:t>
      </w:r>
    </w:p>
    <w:p w:rsidR="00000000" w:rsidRDefault="00A06965">
      <w:pPr>
        <w:pStyle w:val="DefaultParagraphFont"/>
        <w:widowControl w:val="0"/>
        <w:autoSpaceDE w:val="0"/>
        <w:autoSpaceDN w:val="0"/>
        <w:adjustRightInd w:val="0"/>
        <w:spacing w:after="0" w:line="130" w:lineRule="exact"/>
        <w:rPr>
          <w:rFonts w:ascii="Times" w:hAnsi="Times" w:cs="Times"/>
          <w:b/>
          <w:bCs/>
          <w:sz w:val="20"/>
          <w:szCs w:val="20"/>
        </w:rPr>
      </w:pPr>
    </w:p>
    <w:p w:rsidR="00000000" w:rsidRDefault="00A06965">
      <w:pPr>
        <w:pStyle w:val="DefaultParagraphFont"/>
        <w:widowControl w:val="0"/>
        <w:overflowPunct w:val="0"/>
        <w:autoSpaceDE w:val="0"/>
        <w:autoSpaceDN w:val="0"/>
        <w:adjustRightInd w:val="0"/>
        <w:spacing w:after="0" w:line="239" w:lineRule="auto"/>
        <w:ind w:left="400"/>
        <w:jc w:val="both"/>
        <w:rPr>
          <w:rFonts w:ascii="Times" w:hAnsi="Times" w:cs="Times"/>
          <w:b/>
          <w:bCs/>
          <w:sz w:val="20"/>
          <w:szCs w:val="20"/>
        </w:rPr>
      </w:pPr>
      <w:r>
        <w:rPr>
          <w:rFonts w:ascii="Times" w:hAnsi="Times" w:cs="Times"/>
          <w:sz w:val="20"/>
          <w:szCs w:val="20"/>
        </w:rPr>
        <w:t>The liabilities for income taxes reflected in our Consolidated Balance Sheets are as follows (in millions).</w:t>
      </w:r>
    </w:p>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p>
    <w:tbl>
      <w:tblPr>
        <w:tblW w:w="0" w:type="auto"/>
        <w:tblInd w:w="400" w:type="dxa"/>
        <w:tblLayout w:type="fixed"/>
        <w:tblCellMar>
          <w:left w:w="0" w:type="dxa"/>
          <w:right w:w="0" w:type="dxa"/>
        </w:tblCellMar>
        <w:tblLook w:val="0000" w:firstRow="0" w:lastRow="0" w:firstColumn="0" w:lastColumn="0" w:noHBand="0" w:noVBand="0"/>
      </w:tblPr>
      <w:tblGrid>
        <w:gridCol w:w="7920"/>
        <w:gridCol w:w="660"/>
        <w:gridCol w:w="300"/>
        <w:gridCol w:w="100"/>
        <w:gridCol w:w="540"/>
        <w:gridCol w:w="60"/>
      </w:tblGrid>
      <w:tr w:rsidR="00000000">
        <w:tblPrEx>
          <w:tblCellMar>
            <w:top w:w="0" w:type="dxa"/>
            <w:left w:w="0" w:type="dxa"/>
            <w:bottom w:w="0" w:type="dxa"/>
            <w:right w:w="0" w:type="dxa"/>
          </w:tblCellMar>
        </w:tblPrEx>
        <w:trPr>
          <w:trHeight w:val="184"/>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6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0"/>
              <w:jc w:val="right"/>
              <w:rPr>
                <w:rFonts w:ascii="Times New Roman" w:hAnsi="Times New Roman" w:cs="Times New Roman"/>
                <w:sz w:val="24"/>
                <w:szCs w:val="24"/>
              </w:rPr>
            </w:pPr>
            <w:r>
              <w:rPr>
                <w:rFonts w:ascii="Times" w:hAnsi="Times" w:cs="Times"/>
                <w:b/>
                <w:bCs/>
                <w:sz w:val="16"/>
                <w:szCs w:val="16"/>
              </w:rPr>
              <w:t>December 31,</w:t>
            </w:r>
          </w:p>
        </w:tc>
      </w:tr>
      <w:tr w:rsidR="00000000">
        <w:tblPrEx>
          <w:tblCellMar>
            <w:top w:w="0" w:type="dxa"/>
            <w:left w:w="0" w:type="dxa"/>
            <w:bottom w:w="0" w:type="dxa"/>
            <w:right w:w="0" w:type="dxa"/>
          </w:tblCellMar>
        </w:tblPrEx>
        <w:trPr>
          <w:trHeight w:val="26"/>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7"/>
              <w:jc w:val="right"/>
              <w:rPr>
                <w:rFonts w:ascii="Times New Roman" w:hAnsi="Times New Roman" w:cs="Times New Roman"/>
                <w:sz w:val="24"/>
                <w:szCs w:val="24"/>
              </w:rPr>
            </w:pPr>
            <w:r>
              <w:rPr>
                <w:rFonts w:ascii="Times" w:hAnsi="Times" w:cs="Times"/>
                <w:b/>
                <w:bCs/>
                <w:sz w:val="16"/>
                <w:szCs w:val="16"/>
              </w:rPr>
              <w:t>2014</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4"/>
              <w:jc w:val="right"/>
              <w:rPr>
                <w:rFonts w:ascii="Times New Roman" w:hAnsi="Times New Roman" w:cs="Times New Roman"/>
                <w:sz w:val="24"/>
                <w:szCs w:val="24"/>
              </w:rPr>
            </w:pPr>
            <w:r>
              <w:rPr>
                <w:rFonts w:ascii="Times" w:hAnsi="Times" w:cs="Times"/>
                <w:b/>
                <w:bCs/>
                <w:sz w:val="16"/>
                <w:szCs w:val="16"/>
              </w:rPr>
              <w:t>2013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Currently payable (receivable) . . . . . . . . . . . . . . . . . . . . . . . . . . . . . . . . . . . . . . . . . . . . . . . . . . .</w:t>
            </w: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40"/>
              <w:jc w:val="right"/>
              <w:rPr>
                <w:rFonts w:ascii="Times New Roman" w:hAnsi="Times New Roman" w:cs="Times New Roman"/>
                <w:sz w:val="24"/>
                <w:szCs w:val="24"/>
              </w:rPr>
            </w:pPr>
            <w:r>
              <w:rPr>
                <w:rFonts w:ascii="Times" w:hAnsi="Times" w:cs="Times"/>
                <w:w w:val="95"/>
                <w:sz w:val="20"/>
                <w:szCs w:val="20"/>
              </w:rPr>
              <w:t>$ (1,346)</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(395)</w:t>
            </w: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Deferred . . . . . . . . . . . . . . . . . . . .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61,936</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57,442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 xml:space="preserve">Other . . . . . . . . . . . . . . . . . </w:t>
            </w:r>
            <w:r>
              <w:rPr>
                <w:rFonts w:ascii="Times" w:hAnsi="Times" w:cs="Times"/>
                <w:sz w:val="20"/>
                <w:szCs w:val="20"/>
              </w:rPr>
              <w:t>. . . . .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645</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692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$61,235</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57,739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71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(16) Income taxes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The tax effects of temporary differences that give rise to significant portions of deferred tax assets and deferred tax liabilities are shown below (in millions).</w:t>
      </w: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tbl>
      <w:tblPr>
        <w:tblW w:w="0" w:type="auto"/>
        <w:tblInd w:w="400" w:type="dxa"/>
        <w:tblLayout w:type="fixed"/>
        <w:tblCellMar>
          <w:left w:w="0" w:type="dxa"/>
          <w:right w:w="0" w:type="dxa"/>
        </w:tblCellMar>
        <w:tblLook w:val="0000" w:firstRow="0" w:lastRow="0" w:firstColumn="0" w:lastColumn="0" w:noHBand="0" w:noVBand="0"/>
      </w:tblPr>
      <w:tblGrid>
        <w:gridCol w:w="7920"/>
        <w:gridCol w:w="660"/>
        <w:gridCol w:w="300"/>
        <w:gridCol w:w="640"/>
        <w:gridCol w:w="60"/>
        <w:gridCol w:w="20"/>
      </w:tblGrid>
      <w:tr w:rsidR="00000000">
        <w:tblPrEx>
          <w:tblCellMar>
            <w:top w:w="0" w:type="dxa"/>
            <w:left w:w="0" w:type="dxa"/>
            <w:bottom w:w="0" w:type="dxa"/>
            <w:right w:w="0" w:type="dxa"/>
          </w:tblCellMar>
        </w:tblPrEx>
        <w:trPr>
          <w:trHeight w:val="184"/>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0"/>
              <w:jc w:val="right"/>
              <w:rPr>
                <w:rFonts w:ascii="Times New Roman" w:hAnsi="Times New Roman" w:cs="Times New Roman"/>
                <w:sz w:val="24"/>
                <w:szCs w:val="24"/>
              </w:rPr>
            </w:pPr>
            <w:r>
              <w:rPr>
                <w:rFonts w:ascii="Times" w:hAnsi="Times" w:cs="Times"/>
                <w:b/>
                <w:bCs/>
                <w:sz w:val="16"/>
                <w:szCs w:val="16"/>
              </w:rPr>
              <w:t>December 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3"/>
              <w:jc w:val="right"/>
              <w:rPr>
                <w:rFonts w:ascii="Times New Roman" w:hAnsi="Times New Roman" w:cs="Times New Roman"/>
                <w:sz w:val="24"/>
                <w:szCs w:val="24"/>
              </w:rPr>
            </w:pPr>
            <w:r>
              <w:rPr>
                <w:rFonts w:ascii="Times" w:hAnsi="Times" w:cs="Times"/>
                <w:b/>
                <w:bCs/>
                <w:sz w:val="16"/>
                <w:szCs w:val="16"/>
              </w:rPr>
              <w:t>2014</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Times" w:hAnsi="Times" w:cs="Times"/>
                <w:b/>
                <w:bCs/>
                <w:sz w:val="16"/>
                <w:szCs w:val="16"/>
              </w:rPr>
              <w:t>2013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9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Deferred tax liabilities:</w:t>
            </w: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9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Investments – unrealized appreciation and cost basis differences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$26,633</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$25,660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Deferred charges reinsurance assumed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2,721</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1,526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 xml:space="preserve">Property, plant and equipment  . . . . . . . . . . . . . . . . . . . . . . . . . . . . . . . . . . . . . . . . . . . . . </w:t>
            </w:r>
            <w:r>
              <w:rPr>
                <w:rFonts w:ascii="Times" w:hAnsi="Times" w:cs="Times"/>
                <w:sz w:val="20"/>
                <w:szCs w:val="20"/>
              </w:rPr>
              <w:t>.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34,618</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32,409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Other . . . . . . . . . . . . . . . . . .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6,396</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6,278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70,368</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65,873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9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Deferred tax assets:</w:t>
            </w: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92"/>
        </w:trPr>
        <w:tc>
          <w:tcPr>
            <w:tcW w:w="79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Unpaid losses and loss adjustment expenses  . . . . . . . . . . . . . . . . . . . . . . . . . . . . . . . . . . . .</w:t>
            </w: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40"/>
              <w:jc w:val="right"/>
              <w:rPr>
                <w:rFonts w:ascii="Times New Roman" w:hAnsi="Times New Roman" w:cs="Times New Roman"/>
                <w:sz w:val="24"/>
                <w:szCs w:val="24"/>
              </w:rPr>
            </w:pPr>
            <w:r>
              <w:rPr>
                <w:rFonts w:ascii="Times" w:hAnsi="Times" w:cs="Times"/>
                <w:sz w:val="20"/>
                <w:szCs w:val="20"/>
              </w:rPr>
              <w:t>(933)</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(817)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Unearned premiums  . . . . . . . . . . . . . . . . . . . . . . . . . . . . . . . . . . . . . . . . . . . . . . . . . . . . . . .</w:t>
            </w: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40"/>
              <w:jc w:val="right"/>
              <w:rPr>
                <w:rFonts w:ascii="Times New Roman" w:hAnsi="Times New Roman" w:cs="Times New Roman"/>
                <w:sz w:val="24"/>
                <w:szCs w:val="24"/>
              </w:rPr>
            </w:pPr>
            <w:r>
              <w:rPr>
                <w:rFonts w:ascii="Times" w:hAnsi="Times" w:cs="Times"/>
                <w:sz w:val="20"/>
                <w:szCs w:val="20"/>
              </w:rPr>
              <w:t>(773)</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(682)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Accrued liabilities . . . . . . . . . . . . . . . . . . . . . . . . . . . . . . . . . . . . . . . . . . . . . . .</w:t>
            </w:r>
            <w:r>
              <w:rPr>
                <w:rFonts w:ascii="Times" w:hAnsi="Times" w:cs="Times"/>
                <w:sz w:val="20"/>
                <w:szCs w:val="20"/>
              </w:rPr>
              <w:t xml:space="preserve"> . . . . . . . . . .</w:t>
            </w: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40"/>
              <w:jc w:val="right"/>
              <w:rPr>
                <w:rFonts w:ascii="Times New Roman" w:hAnsi="Times New Roman" w:cs="Times New Roman"/>
                <w:sz w:val="24"/>
                <w:szCs w:val="24"/>
              </w:rPr>
            </w:pPr>
            <w:r>
              <w:rPr>
                <w:rFonts w:ascii="Times" w:hAnsi="Times" w:cs="Times"/>
                <w:sz w:val="20"/>
                <w:szCs w:val="20"/>
              </w:rPr>
              <w:t>(3,575)</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(3,398)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w:hAnsi="Times" w:cs="Times"/>
                <w:sz w:val="20"/>
                <w:szCs w:val="20"/>
              </w:rPr>
              <w:t>Derivative contract liabilities  . . . . . . . . . . . . . . . . . . . . . . . . . . . . . . . . . . . . . . . . . . . . . . . .</w:t>
            </w: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40"/>
              <w:jc w:val="right"/>
              <w:rPr>
                <w:rFonts w:ascii="Times New Roman" w:hAnsi="Times New Roman" w:cs="Times New Roman"/>
                <w:sz w:val="24"/>
                <w:szCs w:val="24"/>
              </w:rPr>
            </w:pPr>
            <w:r>
              <w:rPr>
                <w:rFonts w:ascii="Times" w:hAnsi="Times" w:cs="Times"/>
                <w:sz w:val="20"/>
                <w:szCs w:val="20"/>
              </w:rPr>
              <w:t>(206)</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(374)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Other . . . . . . . . . . . . . . . . . . . . . . . . . . . . . . . . . . . . . . . . . . . . . . . . . . . . . . . . . . . . . . . . . . .</w:t>
            </w: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40"/>
              <w:jc w:val="right"/>
              <w:rPr>
                <w:rFonts w:ascii="Times New Roman" w:hAnsi="Times New Roman" w:cs="Times New Roman"/>
                <w:sz w:val="24"/>
                <w:szCs w:val="24"/>
              </w:rPr>
            </w:pPr>
            <w:r>
              <w:rPr>
                <w:rFonts w:ascii="Times" w:hAnsi="Times" w:cs="Times"/>
                <w:sz w:val="20"/>
                <w:szCs w:val="20"/>
              </w:rPr>
              <w:t>(2,945)</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(3,160)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40"/>
              <w:jc w:val="right"/>
              <w:rPr>
                <w:rFonts w:ascii="Times New Roman" w:hAnsi="Times New Roman" w:cs="Times New Roman"/>
                <w:sz w:val="24"/>
                <w:szCs w:val="24"/>
              </w:rPr>
            </w:pPr>
            <w:r>
              <w:rPr>
                <w:rFonts w:ascii="Times" w:hAnsi="Times" w:cs="Times"/>
                <w:sz w:val="20"/>
                <w:szCs w:val="20"/>
              </w:rPr>
              <w:t>(8,432)</w:t>
            </w:r>
          </w:p>
        </w:tc>
        <w:tc>
          <w:tcPr>
            <w:tcW w:w="7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(8,431)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Net deferred tax liability . . . . . . .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$61,936</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$57,442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 xml:space="preserve">We have not established deferred </w:t>
      </w:r>
      <w:r>
        <w:rPr>
          <w:rFonts w:ascii="Times" w:hAnsi="Times" w:cs="Times"/>
          <w:sz w:val="20"/>
          <w:szCs w:val="20"/>
        </w:rPr>
        <w:t>income taxes on accumulated undistributed earnings of certain foreign subsidiaries. Such earnings were approximately $10.0 billion as of December 31, 2014 and are expected to remain reinvested indefinitely. Upon distribution as dividends or otherwise, such</w:t>
      </w:r>
      <w:r>
        <w:rPr>
          <w:rFonts w:ascii="Times" w:hAnsi="Times" w:cs="Times"/>
          <w:sz w:val="20"/>
          <w:szCs w:val="20"/>
        </w:rPr>
        <w:t xml:space="preserve"> amounts would be subject to taxation in the U.S. as well as foreign countries. However, U.S. income tax liabilities would be offset, in whole or in part, by allowable tax credits deriving from income taxes previously paid to foreign jurisdictions. Further</w:t>
      </w:r>
      <w:r>
        <w:rPr>
          <w:rFonts w:ascii="Times" w:hAnsi="Times" w:cs="Times"/>
          <w:sz w:val="20"/>
          <w:szCs w:val="20"/>
        </w:rPr>
        <w:t>, repatriation of all earnings of foreign subsidiaries would be impracticable to the extent that such earnings represent capital needed to support normal business operations in those jurisdictions. As a result, we currently believe that any incremental U.S</w:t>
      </w:r>
      <w:r>
        <w:rPr>
          <w:rFonts w:ascii="Times" w:hAnsi="Times" w:cs="Times"/>
          <w:sz w:val="20"/>
          <w:szCs w:val="20"/>
        </w:rPr>
        <w:t>. income tax liabilities arising from the repatriation of distributable earnings of foreign subsidiaries would not be material.</w:t>
      </w:r>
    </w:p>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Income tax expense reflected in our Consolidated Statements of Earnings for each of the three years ending December 31, 2014 is</w:t>
      </w:r>
      <w:r>
        <w:rPr>
          <w:rFonts w:ascii="Times" w:hAnsi="Times" w:cs="Times"/>
          <w:sz w:val="20"/>
          <w:szCs w:val="20"/>
        </w:rPr>
        <w:t xml:space="preserve"> as follows (in millions).</w:t>
      </w: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tbl>
      <w:tblPr>
        <w:tblW w:w="0" w:type="auto"/>
        <w:tblInd w:w="400" w:type="dxa"/>
        <w:tblLayout w:type="fixed"/>
        <w:tblCellMar>
          <w:left w:w="0" w:type="dxa"/>
          <w:right w:w="0" w:type="dxa"/>
        </w:tblCellMar>
        <w:tblLook w:val="0000" w:firstRow="0" w:lastRow="0" w:firstColumn="0" w:lastColumn="0" w:noHBand="0" w:noVBand="0"/>
      </w:tblPr>
      <w:tblGrid>
        <w:gridCol w:w="7280"/>
        <w:gridCol w:w="540"/>
        <w:gridCol w:w="300"/>
        <w:gridCol w:w="560"/>
        <w:gridCol w:w="300"/>
        <w:gridCol w:w="540"/>
      </w:tblGrid>
      <w:tr w:rsidR="00000000">
        <w:tblPrEx>
          <w:tblCellMar>
            <w:top w:w="0" w:type="dxa"/>
            <w:left w:w="0" w:type="dxa"/>
            <w:bottom w:w="0" w:type="dxa"/>
            <w:right w:w="0" w:type="dxa"/>
          </w:tblCellMar>
        </w:tblPrEx>
        <w:trPr>
          <w:trHeight w:val="184"/>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sz w:val="16"/>
                <w:szCs w:val="16"/>
              </w:rPr>
              <w:t>2014</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2012</w:t>
            </w:r>
          </w:p>
        </w:tc>
      </w:tr>
      <w:tr w:rsidR="00000000">
        <w:tblPrEx>
          <w:tblCellMar>
            <w:top w:w="0" w:type="dxa"/>
            <w:left w:w="0" w:type="dxa"/>
            <w:bottom w:w="0" w:type="dxa"/>
            <w:right w:w="0" w:type="dxa"/>
          </w:tblCellMar>
        </w:tblPrEx>
        <w:trPr>
          <w:trHeight w:val="26"/>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Federal . . .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$6,447</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$8,155</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$5,695</w:t>
            </w:r>
          </w:p>
        </w:tc>
      </w:tr>
      <w:tr w:rsidR="00000000">
        <w:tblPrEx>
          <w:tblCellMar>
            <w:top w:w="0" w:type="dxa"/>
            <w:left w:w="0" w:type="dxa"/>
            <w:bottom w:w="0" w:type="dxa"/>
            <w:right w:w="0" w:type="dxa"/>
          </w:tblCellMar>
        </w:tblPrEx>
        <w:trPr>
          <w:trHeight w:val="240"/>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State . . . . .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560</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258</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384</w:t>
            </w:r>
          </w:p>
        </w:tc>
      </w:tr>
      <w:tr w:rsidR="00000000">
        <w:tblPrEx>
          <w:tblCellMar>
            <w:top w:w="0" w:type="dxa"/>
            <w:left w:w="0" w:type="dxa"/>
            <w:bottom w:w="0" w:type="dxa"/>
            <w:right w:w="0" w:type="dxa"/>
          </w:tblCellMar>
        </w:tblPrEx>
        <w:trPr>
          <w:trHeight w:val="240"/>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Foreign . . . . . . . . . . . . . . . . . . . . . . . . . . . . . . . . . . . . . . . . . . . . . . . . . .</w:t>
            </w:r>
            <w:r>
              <w:rPr>
                <w:rFonts w:ascii="Times" w:hAnsi="Times" w:cs="Times"/>
                <w:sz w:val="20"/>
                <w:szCs w:val="20"/>
              </w:rPr>
              <w:t xml:space="preserve">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928</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538</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845</w:t>
            </w:r>
          </w:p>
        </w:tc>
      </w:tr>
      <w:tr w:rsidR="00000000">
        <w:tblPrEx>
          <w:tblCellMar>
            <w:top w:w="0" w:type="dxa"/>
            <w:left w:w="0" w:type="dxa"/>
            <w:bottom w:w="0" w:type="dxa"/>
            <w:right w:w="0" w:type="dxa"/>
          </w:tblCellMar>
        </w:tblPrEx>
        <w:trPr>
          <w:trHeight w:val="28"/>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$7,935</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$8,951</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$6,924</w:t>
            </w:r>
          </w:p>
        </w:tc>
      </w:tr>
      <w:tr w:rsidR="00000000">
        <w:tblPrEx>
          <w:tblCellMar>
            <w:top w:w="0" w:type="dxa"/>
            <w:left w:w="0" w:type="dxa"/>
            <w:bottom w:w="0" w:type="dxa"/>
            <w:right w:w="0" w:type="dxa"/>
          </w:tblCellMar>
        </w:tblPrEx>
        <w:trPr>
          <w:trHeight w:val="28"/>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Current . . .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$3,302</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$5,168</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$4,711</w:t>
            </w:r>
          </w:p>
        </w:tc>
      </w:tr>
      <w:tr w:rsidR="00000000">
        <w:tblPrEx>
          <w:tblCellMar>
            <w:top w:w="0" w:type="dxa"/>
            <w:left w:w="0" w:type="dxa"/>
            <w:bottom w:w="0" w:type="dxa"/>
            <w:right w:w="0" w:type="dxa"/>
          </w:tblCellMar>
        </w:tblPrEx>
        <w:trPr>
          <w:trHeight w:val="240"/>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Deferred . .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4,633</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3,783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2,213</w:t>
            </w:r>
          </w:p>
        </w:tc>
      </w:tr>
      <w:tr w:rsidR="00000000">
        <w:tblPrEx>
          <w:tblCellMar>
            <w:top w:w="0" w:type="dxa"/>
            <w:left w:w="0" w:type="dxa"/>
            <w:bottom w:w="0" w:type="dxa"/>
            <w:right w:w="0" w:type="dxa"/>
          </w:tblCellMar>
        </w:tblPrEx>
        <w:trPr>
          <w:trHeight w:val="28"/>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$7,935</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$8,951</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$6,924</w:t>
            </w:r>
          </w:p>
        </w:tc>
      </w:tr>
      <w:tr w:rsidR="00000000">
        <w:tblPrEx>
          <w:tblCellMar>
            <w:top w:w="0" w:type="dxa"/>
            <w:left w:w="0" w:type="dxa"/>
            <w:bottom w:w="0" w:type="dxa"/>
            <w:right w:w="0" w:type="dxa"/>
          </w:tblCellMar>
        </w:tblPrEx>
        <w:trPr>
          <w:trHeight w:val="28"/>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72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(16) Income taxes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right="60" w:firstLine="400"/>
        <w:jc w:val="both"/>
        <w:rPr>
          <w:rFonts w:ascii="Times New Roman" w:hAnsi="Times New Roman" w:cs="Times New Roman"/>
          <w:sz w:val="24"/>
          <w:szCs w:val="24"/>
        </w:rPr>
      </w:pPr>
      <w:r>
        <w:rPr>
          <w:rFonts w:ascii="Times" w:hAnsi="Times" w:cs="Times"/>
          <w:sz w:val="20"/>
          <w:szCs w:val="20"/>
        </w:rPr>
        <w:t>Income tax expense is reconciled to hypothetical amounts computed at the U.S. federal statutory rate for each of the three years ending December 31, 2014 in the table be</w:t>
      </w:r>
      <w:r>
        <w:rPr>
          <w:rFonts w:ascii="Times" w:hAnsi="Times" w:cs="Times"/>
          <w:sz w:val="20"/>
          <w:szCs w:val="20"/>
        </w:rPr>
        <w:t>low (in millions).</w:t>
      </w: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980"/>
        <w:gridCol w:w="100"/>
        <w:gridCol w:w="540"/>
        <w:gridCol w:w="200"/>
        <w:gridCol w:w="100"/>
        <w:gridCol w:w="560"/>
        <w:gridCol w:w="200"/>
        <w:gridCol w:w="100"/>
        <w:gridCol w:w="540"/>
        <w:gridCol w:w="60"/>
      </w:tblGrid>
      <w:tr w:rsidR="00000000">
        <w:tblPrEx>
          <w:tblCellMar>
            <w:top w:w="0" w:type="dxa"/>
            <w:left w:w="0" w:type="dxa"/>
            <w:bottom w:w="0" w:type="dxa"/>
            <w:right w:w="0" w:type="dxa"/>
          </w:tblCellMar>
        </w:tblPrEx>
        <w:trPr>
          <w:trHeight w:val="184"/>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2"/>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Times" w:hAnsi="Times" w:cs="Times"/>
                <w:b/>
                <w:bCs/>
                <w:sz w:val="16"/>
                <w:szCs w:val="16"/>
              </w:rPr>
              <w:t>2012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Earnings before income taxes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28,105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28,796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22,236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8"/>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Hypothetical amounts applicable to above computed at the U.S. federal statutory rate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9,837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10,079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7,783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Dividends received deduction and tax exempt interest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(820)</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(514)</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(518)</w:t>
            </w: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State income taxes, less U.S. federal income tax benefit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Foreign tax rate differences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(252)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(256)</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(280)</w:t>
            </w: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U.S. income tax credits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(333)</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(457)</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(319)</w:t>
            </w: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Non-taxable exchange of investments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(679)</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w:t>
            </w: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differences, net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(182)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(69)</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7,935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8,951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6,924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right="60" w:firstLine="400"/>
        <w:jc w:val="both"/>
        <w:rPr>
          <w:rFonts w:ascii="Times New Roman" w:hAnsi="Times New Roman" w:cs="Times New Roman"/>
          <w:sz w:val="24"/>
          <w:szCs w:val="24"/>
        </w:rPr>
      </w:pPr>
      <w:r>
        <w:rPr>
          <w:rFonts w:ascii="Times" w:hAnsi="Times" w:cs="Times"/>
          <w:sz w:val="20"/>
          <w:szCs w:val="20"/>
        </w:rPr>
        <w:t>We file income tax returns in the United States and in state, local and foreign jurisdictions. We are under examination by the taxing authorities in many of these jurisdictions. We have settled tax return liabilities with U.S. federal taxing authorities fo</w:t>
      </w:r>
      <w:r>
        <w:rPr>
          <w:rFonts w:ascii="Times" w:hAnsi="Times" w:cs="Times"/>
          <w:sz w:val="20"/>
          <w:szCs w:val="20"/>
        </w:rPr>
        <w:t>r years before 2005. The U.S. Internal Revenue Service (“IRS”) has completed the exams of the 2005 though 2009 tax years. Berkshire and the IRS have informally resolved all proposed adjustments in connection with these years with the IRS Appeals Division a</w:t>
      </w:r>
      <w:r>
        <w:rPr>
          <w:rFonts w:ascii="Times" w:hAnsi="Times" w:cs="Times"/>
          <w:sz w:val="20"/>
          <w:szCs w:val="20"/>
        </w:rPr>
        <w:t xml:space="preserve">nd we expect formal settlements within the next twelve months. The IRS continues to audit Berkshire’s consolidated U.S. federal income tax returns for the 2010 and 2011 tax years. We are also under audit or subject to audit with respect to income taxes in </w:t>
      </w:r>
      <w:r>
        <w:rPr>
          <w:rFonts w:ascii="Times" w:hAnsi="Times" w:cs="Times"/>
          <w:sz w:val="20"/>
          <w:szCs w:val="20"/>
        </w:rPr>
        <w:t xml:space="preserve">many state and foreign jurisdictions. It is reasonably possible that certain of our income tax examinations will be settled within the next twelve months. We currently do not believe that the outcome of unresolved issues or claims is likely to be material </w:t>
      </w:r>
      <w:r>
        <w:rPr>
          <w:rFonts w:ascii="Times" w:hAnsi="Times" w:cs="Times"/>
          <w:sz w:val="20"/>
          <w:szCs w:val="20"/>
        </w:rPr>
        <w:t>to our Consolidated Financial Statements.</w:t>
      </w: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At December 31, 2014 and 2013, net unre</w:t>
      </w:r>
      <w:r>
        <w:rPr>
          <w:rFonts w:ascii="Times" w:hAnsi="Times" w:cs="Times"/>
          <w:sz w:val="20"/>
          <w:szCs w:val="20"/>
        </w:rPr>
        <w:t>cognized tax benefits were $645 million and $692 million, respectively. Included in the balance at December 31, 2014, were $505 million of tax positions that, if recognized, would impact the effective tax rate. The remaining balance in net unrecognized tax</w:t>
      </w:r>
      <w:r>
        <w:rPr>
          <w:rFonts w:ascii="Times" w:hAnsi="Times" w:cs="Times"/>
          <w:sz w:val="20"/>
          <w:szCs w:val="20"/>
        </w:rPr>
        <w:t xml:space="preserve"> benefits principally relates to tax positions where the ultimate recognition is highly certain but there is uncertainty about the timing of such recognition. Because of the impact of deferred tax accounting, the differences in recognition periods would no</w:t>
      </w:r>
      <w:r>
        <w:rPr>
          <w:rFonts w:ascii="Times" w:hAnsi="Times" w:cs="Times"/>
          <w:sz w:val="20"/>
          <w:szCs w:val="20"/>
        </w:rPr>
        <w:t>t affect the annual effective tax rate but would accelerate the payment of cash to the taxing authority to an earlier period. As of December 31, 2014, we do not expect any material changes to the estimated amount of unrecognized tax benefits in the next tw</w:t>
      </w:r>
      <w:r>
        <w:rPr>
          <w:rFonts w:ascii="Times" w:hAnsi="Times" w:cs="Times"/>
          <w:sz w:val="20"/>
          <w:szCs w:val="20"/>
        </w:rPr>
        <w:t>elve months.</w:t>
      </w:r>
    </w:p>
    <w:p w:rsidR="00000000" w:rsidRDefault="00A06965">
      <w:pPr>
        <w:pStyle w:val="DefaultParagraphFont"/>
        <w:widowControl w:val="0"/>
        <w:autoSpaceDE w:val="0"/>
        <w:autoSpaceDN w:val="0"/>
        <w:adjustRightInd w:val="0"/>
        <w:spacing w:after="0" w:line="36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(17) Dividend restrictions – Insurance subsidiaries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right="60" w:firstLine="400"/>
        <w:jc w:val="both"/>
        <w:rPr>
          <w:rFonts w:ascii="Times New Roman" w:hAnsi="Times New Roman" w:cs="Times New Roman"/>
          <w:sz w:val="24"/>
          <w:szCs w:val="24"/>
        </w:rPr>
      </w:pPr>
      <w:r>
        <w:rPr>
          <w:rFonts w:ascii="Times" w:hAnsi="Times" w:cs="Times"/>
          <w:sz w:val="20"/>
          <w:szCs w:val="20"/>
        </w:rPr>
        <w:t>Payments of dividends by our insurance subsidiaries are restricted by insurance statutes and regulations. Without prior regulatory approval, our principal insurance subsidiaries may declare</w:t>
      </w:r>
      <w:r>
        <w:rPr>
          <w:rFonts w:ascii="Times" w:hAnsi="Times" w:cs="Times"/>
          <w:sz w:val="20"/>
          <w:szCs w:val="20"/>
        </w:rPr>
        <w:t xml:space="preserve"> up to approximately $17 billion as ordinary dividends during 2015.</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Combined shareholders’ equity of U.S. based insurance subsidiaries determined pursuant to statutory accounting rules (Surplus as Regards Policyholders) was approximately $129 billion at D</w:t>
      </w:r>
      <w:r>
        <w:rPr>
          <w:rFonts w:ascii="Times" w:hAnsi="Times" w:cs="Times"/>
          <w:sz w:val="20"/>
          <w:szCs w:val="20"/>
        </w:rPr>
        <w:t>ecember 31, 2014 and 2013. Statutory surplus differs from the corresponding amount determined on the basis of GAAP due to differences in accounting for certain assets and liabilities. For instance, deferred charges reinsurance assumed, deferred policy acqu</w:t>
      </w:r>
      <w:r>
        <w:rPr>
          <w:rFonts w:ascii="Times" w:hAnsi="Times" w:cs="Times"/>
          <w:sz w:val="20"/>
          <w:szCs w:val="20"/>
        </w:rPr>
        <w:t>isition costs, certain unrealized gains and losses on investments in fixed maturity securities and related deferred income taxes are recognized for GAAP but not for statutory reporting purposes. In addition, under statutory reporting, goodwill is amortized</w:t>
      </w:r>
      <w:r>
        <w:rPr>
          <w:rFonts w:ascii="Times" w:hAnsi="Times" w:cs="Times"/>
          <w:sz w:val="20"/>
          <w:szCs w:val="20"/>
        </w:rPr>
        <w:t xml:space="preserve"> over 10 years, whereas under GAAP, goodwill is not amortized and is subject to periodic tests for impairment.</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8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73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(18) Fair value measurements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Our financial assets and liabilities are summarized below as of December 31, 2014 and December 31, 2013 with fair values shown according to the fair value hierarchy (in millions). The carrying values of cash and cash equivalents, accounts receivable and ac</w:t>
      </w:r>
      <w:r>
        <w:rPr>
          <w:rFonts w:ascii="Times" w:hAnsi="Times" w:cs="Times"/>
          <w:sz w:val="20"/>
          <w:szCs w:val="20"/>
        </w:rPr>
        <w:t>counts payable, accruals and other liabilities are considered to be reasonable estimates of their fair values.</w:t>
      </w:r>
    </w:p>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740"/>
        <w:gridCol w:w="100"/>
        <w:gridCol w:w="640"/>
        <w:gridCol w:w="160"/>
        <w:gridCol w:w="100"/>
        <w:gridCol w:w="660"/>
        <w:gridCol w:w="160"/>
        <w:gridCol w:w="100"/>
        <w:gridCol w:w="640"/>
        <w:gridCol w:w="160"/>
        <w:gridCol w:w="420"/>
        <w:gridCol w:w="860"/>
        <w:gridCol w:w="160"/>
        <w:gridCol w:w="480"/>
        <w:gridCol w:w="940"/>
        <w:gridCol w:w="20"/>
      </w:tblGrid>
      <w:tr w:rsidR="00000000">
        <w:tblPrEx>
          <w:tblCellMar>
            <w:top w:w="0" w:type="dxa"/>
            <w:left w:w="0" w:type="dxa"/>
            <w:bottom w:w="0" w:type="dxa"/>
            <w:right w:w="0" w:type="dxa"/>
          </w:tblCellMar>
        </w:tblPrEx>
        <w:trPr>
          <w:trHeight w:val="184"/>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
              <w:jc w:val="center"/>
              <w:rPr>
                <w:rFonts w:ascii="Times New Roman" w:hAnsi="Times New Roman" w:cs="Times New Roman"/>
                <w:sz w:val="24"/>
                <w:szCs w:val="24"/>
              </w:rPr>
            </w:pPr>
            <w:r>
              <w:rPr>
                <w:rFonts w:ascii="Times" w:hAnsi="Times" w:cs="Times"/>
                <w:b/>
                <w:bCs/>
                <w:w w:val="98"/>
                <w:sz w:val="16"/>
                <w:szCs w:val="16"/>
              </w:rPr>
              <w:t>Quoted</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60"/>
              <w:jc w:val="center"/>
              <w:rPr>
                <w:rFonts w:ascii="Times New Roman" w:hAnsi="Times New Roman" w:cs="Times New Roman"/>
                <w:sz w:val="24"/>
                <w:szCs w:val="24"/>
              </w:rPr>
            </w:pPr>
            <w:r>
              <w:rPr>
                <w:rFonts w:ascii="Times" w:hAnsi="Times" w:cs="Times"/>
                <w:b/>
                <w:bCs/>
                <w:sz w:val="16"/>
                <w:szCs w:val="16"/>
              </w:rPr>
              <w:t>Significant Other</w:t>
            </w:r>
          </w:p>
        </w:tc>
        <w:tc>
          <w:tcPr>
            <w:tcW w:w="14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Significant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right"/>
              <w:rPr>
                <w:rFonts w:ascii="Times New Roman" w:hAnsi="Times New Roman" w:cs="Times New Roman"/>
                <w:sz w:val="24"/>
                <w:szCs w:val="24"/>
              </w:rPr>
            </w:pPr>
            <w:r>
              <w:rPr>
                <w:rFonts w:ascii="Times" w:hAnsi="Times" w:cs="Times"/>
                <w:b/>
                <w:bCs/>
                <w:sz w:val="16"/>
                <w:szCs w:val="16"/>
              </w:rPr>
              <w:t>Carrying</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1"/>
              <w:jc w:val="center"/>
              <w:rPr>
                <w:rFonts w:ascii="Times New Roman" w:hAnsi="Times New Roman" w:cs="Times New Roman"/>
                <w:sz w:val="24"/>
                <w:szCs w:val="24"/>
              </w:rPr>
            </w:pPr>
            <w:r>
              <w:rPr>
                <w:rFonts w:ascii="Times" w:hAnsi="Times" w:cs="Times"/>
                <w:b/>
                <w:bCs/>
                <w:sz w:val="16"/>
                <w:szCs w:val="16"/>
              </w:rPr>
              <w:t>Prices</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4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160"/>
              <w:jc w:val="center"/>
              <w:rPr>
                <w:rFonts w:ascii="Times New Roman" w:hAnsi="Times New Roman" w:cs="Times New Roman"/>
                <w:sz w:val="24"/>
                <w:szCs w:val="24"/>
              </w:rPr>
            </w:pPr>
            <w:r>
              <w:rPr>
                <w:rFonts w:ascii="Times" w:hAnsi="Times" w:cs="Times"/>
                <w:b/>
                <w:bCs/>
                <w:sz w:val="16"/>
                <w:szCs w:val="16"/>
              </w:rPr>
              <w:t>Observable Inputs</w:t>
            </w:r>
          </w:p>
        </w:tc>
        <w:tc>
          <w:tcPr>
            <w:tcW w:w="14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w w:val="99"/>
                <w:sz w:val="16"/>
                <w:szCs w:val="16"/>
              </w:rPr>
              <w:t>Unobservable Inputs</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61"/>
              <w:jc w:val="right"/>
              <w:rPr>
                <w:rFonts w:ascii="Times New Roman" w:hAnsi="Times New Roman" w:cs="Times New Roman"/>
                <w:sz w:val="24"/>
                <w:szCs w:val="24"/>
              </w:rPr>
            </w:pPr>
            <w:r>
              <w:rPr>
                <w:rFonts w:ascii="Times" w:hAnsi="Times" w:cs="Times"/>
                <w:b/>
                <w:bCs/>
                <w:sz w:val="16"/>
                <w:szCs w:val="16"/>
              </w:rPr>
              <w:t>Value</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20"/>
              <w:rPr>
                <w:rFonts w:ascii="Times New Roman" w:hAnsi="Times New Roman" w:cs="Times New Roman"/>
                <w:sz w:val="24"/>
                <w:szCs w:val="24"/>
              </w:rPr>
            </w:pPr>
            <w:r>
              <w:rPr>
                <w:rFonts w:ascii="Times" w:hAnsi="Times" w:cs="Times"/>
                <w:b/>
                <w:bCs/>
                <w:w w:val="98"/>
                <w:sz w:val="16"/>
                <w:szCs w:val="16"/>
              </w:rPr>
              <w:t>Fair Value</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w w:val="99"/>
                <w:sz w:val="16"/>
                <w:szCs w:val="16"/>
              </w:rPr>
              <w:t>(Level 1)</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4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160"/>
              <w:jc w:val="center"/>
              <w:rPr>
                <w:rFonts w:ascii="Times New Roman" w:hAnsi="Times New Roman" w:cs="Times New Roman"/>
                <w:sz w:val="24"/>
                <w:szCs w:val="24"/>
              </w:rPr>
            </w:pPr>
            <w:r>
              <w:rPr>
                <w:rFonts w:ascii="Times" w:hAnsi="Times" w:cs="Times"/>
                <w:b/>
                <w:bCs/>
                <w:w w:val="99"/>
                <w:sz w:val="16"/>
                <w:szCs w:val="16"/>
              </w:rPr>
              <w:t>(Level 2)</w:t>
            </w:r>
          </w:p>
        </w:tc>
        <w:tc>
          <w:tcPr>
            <w:tcW w:w="14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w w:val="99"/>
                <w:sz w:val="16"/>
                <w:szCs w:val="16"/>
              </w:rPr>
              <w:t>(Level 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47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u w:val="single"/>
              </w:rPr>
              <w:t>December 31, 2014</w:t>
            </w: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47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Investments in fixed maturity securities: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U.S. Treasury, U.S. government corporations and</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agencies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2,930</w:t>
            </w: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60"/>
              <w:rPr>
                <w:rFonts w:ascii="Times New Roman" w:hAnsi="Times New Roman" w:cs="Times New Roman"/>
                <w:sz w:val="24"/>
                <w:szCs w:val="24"/>
              </w:rPr>
            </w:pPr>
            <w:r>
              <w:rPr>
                <w:rFonts w:ascii="Times" w:hAnsi="Times" w:cs="Times"/>
                <w:w w:val="79"/>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2,930</w:t>
            </w: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2,264</w:t>
            </w: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666</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States, municipalities and political subdivisions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1,912</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1,912</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1,912</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Foreign governments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12,270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12,270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7,981</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4,289</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Corporate bonds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8,771</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8,771</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8,763</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Mortgage-backed securities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1,753</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1,753</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1,753</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Investments in equity securities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117,470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117,470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117,424</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45</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Investment in Heinz Holding Preferred Stock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7,710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8,416</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0"/>
              <w:rPr>
                <w:rFonts w:ascii="Times New Roman" w:hAnsi="Times New Roman" w:cs="Times New Roman"/>
                <w:sz w:val="24"/>
                <w:szCs w:val="24"/>
              </w:rPr>
            </w:pPr>
            <w:r>
              <w:rPr>
                <w:rFonts w:ascii="Times" w:hAnsi="Times" w:cs="Times"/>
                <w:sz w:val="20"/>
                <w:szCs w:val="20"/>
              </w:rPr>
              <w:t>—</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8,416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w:hAnsi="Times" w:cs="Times"/>
                <w:w w:val="99"/>
                <w:sz w:val="20"/>
                <w:szCs w:val="20"/>
              </w:rPr>
              <w:t>Other investments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22,324</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22,324</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340"/>
              <w:rPr>
                <w:rFonts w:ascii="Times New Roman" w:hAnsi="Times New Roman" w:cs="Times New Roman"/>
                <w:sz w:val="24"/>
                <w:szCs w:val="24"/>
              </w:rPr>
            </w:pPr>
            <w:r>
              <w:rPr>
                <w:rFonts w:ascii="Times" w:hAnsi="Times" w:cs="Times"/>
                <w:w w:val="93"/>
                <w:sz w:val="20"/>
                <w:szCs w:val="20"/>
              </w:rPr>
              <w:t>329</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40"/>
              <w:rPr>
                <w:rFonts w:ascii="Times New Roman" w:hAnsi="Times New Roman" w:cs="Times New Roman"/>
                <w:sz w:val="24"/>
                <w:szCs w:val="24"/>
              </w:rPr>
            </w:pPr>
            <w:r>
              <w:rPr>
                <w:rFonts w:ascii="Times" w:hAnsi="Times" w:cs="Times"/>
                <w:sz w:val="20"/>
                <w:szCs w:val="20"/>
              </w:rPr>
              <w:t>—</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Times" w:hAnsi="Times" w:cs="Times"/>
                <w:w w:val="98"/>
                <w:sz w:val="20"/>
                <w:szCs w:val="20"/>
              </w:rPr>
              <w:t>21,995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Loans and finance re</w:t>
            </w:r>
            <w:r>
              <w:rPr>
                <w:rFonts w:ascii="Times" w:hAnsi="Times" w:cs="Times"/>
                <w:sz w:val="20"/>
                <w:szCs w:val="20"/>
              </w:rPr>
              <w:t>ceivables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12,566</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12,891</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33</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w w:val="98"/>
                <w:sz w:val="20"/>
                <w:szCs w:val="20"/>
              </w:rPr>
              <w:t>12,858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2"/>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w:hAnsi="Times" w:cs="Times"/>
                <w:w w:val="98"/>
                <w:sz w:val="20"/>
                <w:szCs w:val="20"/>
              </w:rPr>
              <w:t xml:space="preserve">Derivative contract assets </w:t>
            </w:r>
            <w:r>
              <w:rPr>
                <w:rFonts w:ascii="Times" w:hAnsi="Times" w:cs="Times"/>
                <w:i/>
                <w:iCs/>
                <w:w w:val="98"/>
                <w:sz w:val="26"/>
                <w:szCs w:val="26"/>
                <w:vertAlign w:val="superscript"/>
              </w:rPr>
              <w:t>(1)</w:t>
            </w:r>
            <w:r>
              <w:rPr>
                <w:rFonts w:ascii="Times" w:hAnsi="Times" w:cs="Times"/>
                <w:w w:val="98"/>
                <w:sz w:val="20"/>
                <w:szCs w:val="20"/>
              </w:rPr>
              <w:t xml:space="preserve">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108</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108</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13</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94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8"/>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Derivative contract liabilities: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59" w:lineRule="exact"/>
              <w:ind w:right="60"/>
              <w:jc w:val="right"/>
              <w:rPr>
                <w:rFonts w:ascii="Times New Roman" w:hAnsi="Times New Roman" w:cs="Times New Roman"/>
                <w:sz w:val="24"/>
                <w:szCs w:val="24"/>
              </w:rPr>
            </w:pPr>
            <w:r>
              <w:rPr>
                <w:rFonts w:ascii="Times" w:hAnsi="Times" w:cs="Times"/>
                <w:sz w:val="20"/>
                <w:szCs w:val="20"/>
              </w:rPr>
              <w:t xml:space="preserve">Railroad, utilities and energy </w:t>
            </w:r>
            <w:r>
              <w:rPr>
                <w:rFonts w:ascii="Times" w:hAnsi="Times" w:cs="Times"/>
                <w:i/>
                <w:iCs/>
                <w:sz w:val="26"/>
                <w:szCs w:val="26"/>
                <w:vertAlign w:val="superscript"/>
              </w:rPr>
              <w:t>(1)</w:t>
            </w:r>
            <w:r>
              <w:rPr>
                <w:rFonts w:ascii="Times" w:hAnsi="Times" w:cs="Times"/>
                <w:sz w:val="20"/>
                <w:szCs w:val="20"/>
              </w:rPr>
              <w:t xml:space="preserve">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169</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43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left="400"/>
              <w:rPr>
                <w:rFonts w:ascii="Times New Roman" w:hAnsi="Times New Roman" w:cs="Times New Roman"/>
                <w:sz w:val="24"/>
                <w:szCs w:val="24"/>
              </w:rPr>
            </w:pPr>
            <w:r>
              <w:rPr>
                <w:rFonts w:ascii="Times" w:hAnsi="Times" w:cs="Times"/>
                <w:sz w:val="20"/>
                <w:szCs w:val="20"/>
              </w:rPr>
              <w:t>Finance and financial products: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Equity index put options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4,560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4,560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0"/>
              <w:rPr>
                <w:rFonts w:ascii="Times New Roman" w:hAnsi="Times New Roman" w:cs="Times New Roman"/>
                <w:sz w:val="24"/>
                <w:szCs w:val="24"/>
              </w:rPr>
            </w:pPr>
            <w:r>
              <w:rPr>
                <w:rFonts w:ascii="Times" w:hAnsi="Times" w:cs="Times"/>
                <w:sz w:val="20"/>
                <w:szCs w:val="20"/>
              </w:rPr>
              <w:t>—</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4,560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 xml:space="preserve">Credit default . </w:t>
            </w:r>
            <w:r>
              <w:rPr>
                <w:rFonts w:ascii="Times" w:hAnsi="Times" w:cs="Times"/>
                <w:sz w:val="20"/>
                <w:szCs w:val="20"/>
              </w:rPr>
              <w:t>.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0"/>
              <w:rPr>
                <w:rFonts w:ascii="Times New Roman" w:hAnsi="Times New Roman" w:cs="Times New Roman"/>
                <w:sz w:val="24"/>
                <w:szCs w:val="24"/>
              </w:rPr>
            </w:pPr>
            <w:r>
              <w:rPr>
                <w:rFonts w:ascii="Times" w:hAnsi="Times" w:cs="Times"/>
                <w:sz w:val="20"/>
                <w:szCs w:val="20"/>
              </w:rPr>
              <w:t>—</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250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Notes payable and other borrowings: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Insurance and other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11,894</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12,484</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w w:val="94"/>
                <w:sz w:val="20"/>
                <w:szCs w:val="20"/>
              </w:rPr>
              <w:t>12,484</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Railroad, utilities and energy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55,579</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62,802</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w w:val="94"/>
                <w:sz w:val="20"/>
                <w:szCs w:val="20"/>
              </w:rPr>
              <w:t>62,802</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Finance and financial products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12,736</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13,417</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w w:val="94"/>
                <w:sz w:val="20"/>
                <w:szCs w:val="20"/>
              </w:rPr>
              <w:t>12,846</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571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u w:val="single"/>
              </w:rPr>
              <w:t>December 31, 2013</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Investments in fixed maturity securities: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U.S. Treasury, U.S. government corporations and</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agencies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2,658</w:t>
            </w: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60"/>
              <w:rPr>
                <w:rFonts w:ascii="Times New Roman" w:hAnsi="Times New Roman" w:cs="Times New Roman"/>
                <w:sz w:val="24"/>
                <w:szCs w:val="24"/>
              </w:rPr>
            </w:pPr>
            <w:r>
              <w:rPr>
                <w:rFonts w:ascii="Times" w:hAnsi="Times" w:cs="Times"/>
                <w:w w:val="79"/>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2,658</w:t>
            </w: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2,184</w:t>
            </w: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473</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States, municipalities and political subdivisions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2,345</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2,345</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2,345</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Foreign governments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11,073</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11,073</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7,467</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3,606</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Corporate bonds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11,237</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11,254</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w w:val="94"/>
                <w:sz w:val="20"/>
                <w:szCs w:val="20"/>
              </w:rPr>
              <w:t>10,187</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1,067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Mortgage-backed securities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2,040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2,040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2,040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w:hAnsi="Times" w:cs="Times"/>
                <w:sz w:val="20"/>
                <w:szCs w:val="20"/>
              </w:rPr>
              <w:t>Investments in equity securities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5"/>
                <w:sz w:val="20"/>
                <w:szCs w:val="20"/>
              </w:rPr>
              <w:t>117,505</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8"/>
                <w:sz w:val="20"/>
                <w:szCs w:val="20"/>
              </w:rPr>
              <w:t>117,505</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5"/>
                <w:sz w:val="20"/>
                <w:szCs w:val="20"/>
              </w:rPr>
              <w:t>117,438</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20"/>
              <w:jc w:val="right"/>
              <w:rPr>
                <w:rFonts w:ascii="Times New Roman" w:hAnsi="Times New Roman" w:cs="Times New Roman"/>
                <w:sz w:val="24"/>
                <w:szCs w:val="24"/>
              </w:rPr>
            </w:pPr>
            <w:r>
              <w:rPr>
                <w:rFonts w:ascii="Times" w:hAnsi="Times" w:cs="Times"/>
                <w:sz w:val="20"/>
                <w:szCs w:val="20"/>
              </w:rPr>
              <w:t>60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Times" w:hAnsi="Times" w:cs="Times"/>
                <w:sz w:val="20"/>
                <w:szCs w:val="20"/>
              </w:rPr>
              <w:t>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Investment in Heinz Holding Preferred Stock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7,710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7,971</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0"/>
              <w:rPr>
                <w:rFonts w:ascii="Times New Roman" w:hAnsi="Times New Roman" w:cs="Times New Roman"/>
                <w:sz w:val="24"/>
                <w:szCs w:val="24"/>
              </w:rPr>
            </w:pPr>
            <w:r>
              <w:rPr>
                <w:rFonts w:ascii="Times" w:hAnsi="Times" w:cs="Times"/>
                <w:sz w:val="20"/>
                <w:szCs w:val="20"/>
              </w:rPr>
              <w:t>—</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7,971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w w:val="99"/>
                <w:sz w:val="20"/>
                <w:szCs w:val="20"/>
              </w:rPr>
              <w:t>Other investments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17,951</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17,951</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0"/>
              <w:rPr>
                <w:rFonts w:ascii="Times New Roman" w:hAnsi="Times New Roman" w:cs="Times New Roman"/>
                <w:sz w:val="24"/>
                <w:szCs w:val="24"/>
              </w:rPr>
            </w:pPr>
            <w:r>
              <w:rPr>
                <w:rFonts w:ascii="Times" w:hAnsi="Times" w:cs="Times"/>
                <w:sz w:val="20"/>
                <w:szCs w:val="20"/>
              </w:rPr>
              <w:t>—</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w w:val="98"/>
                <w:sz w:val="20"/>
                <w:szCs w:val="20"/>
              </w:rPr>
              <w:t>17,951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Loans and finance receivables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12,826</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12,002</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454</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w w:val="98"/>
                <w:sz w:val="20"/>
                <w:szCs w:val="20"/>
              </w:rPr>
              <w:t>11,548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2"/>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98" w:lineRule="exact"/>
              <w:ind w:right="60"/>
              <w:jc w:val="right"/>
              <w:rPr>
                <w:rFonts w:ascii="Times New Roman" w:hAnsi="Times New Roman" w:cs="Times New Roman"/>
                <w:sz w:val="24"/>
                <w:szCs w:val="24"/>
              </w:rPr>
            </w:pPr>
            <w:r>
              <w:rPr>
                <w:rFonts w:ascii="Times" w:hAnsi="Times" w:cs="Times"/>
                <w:w w:val="98"/>
                <w:sz w:val="20"/>
                <w:szCs w:val="20"/>
              </w:rPr>
              <w:t xml:space="preserve">Derivative contract assets </w:t>
            </w:r>
            <w:r>
              <w:rPr>
                <w:rFonts w:ascii="Times" w:hAnsi="Times" w:cs="Times"/>
                <w:i/>
                <w:iCs/>
                <w:w w:val="98"/>
                <w:sz w:val="26"/>
                <w:szCs w:val="26"/>
                <w:vertAlign w:val="superscript"/>
              </w:rPr>
              <w:t>(1)</w:t>
            </w:r>
            <w:r>
              <w:rPr>
                <w:rFonts w:ascii="Times" w:hAnsi="Times" w:cs="Times"/>
                <w:w w:val="98"/>
                <w:sz w:val="20"/>
                <w:szCs w:val="20"/>
              </w:rPr>
              <w:t xml:space="preserve">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87</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87</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15</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69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8"/>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Derivative contract liabilities: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59" w:lineRule="exact"/>
              <w:ind w:right="60"/>
              <w:jc w:val="right"/>
              <w:rPr>
                <w:rFonts w:ascii="Times New Roman" w:hAnsi="Times New Roman" w:cs="Times New Roman"/>
                <w:sz w:val="24"/>
                <w:szCs w:val="24"/>
              </w:rPr>
            </w:pPr>
            <w:r>
              <w:rPr>
                <w:rFonts w:ascii="Times" w:hAnsi="Times" w:cs="Times"/>
                <w:sz w:val="20"/>
                <w:szCs w:val="20"/>
              </w:rPr>
              <w:t xml:space="preserve">Railroad, utilities and energy </w:t>
            </w:r>
            <w:r>
              <w:rPr>
                <w:rFonts w:ascii="Times" w:hAnsi="Times" w:cs="Times"/>
                <w:i/>
                <w:iCs/>
                <w:sz w:val="26"/>
                <w:szCs w:val="26"/>
                <w:vertAlign w:val="superscript"/>
              </w:rPr>
              <w:t>(1)</w:t>
            </w:r>
            <w:r>
              <w:rPr>
                <w:rFonts w:ascii="Times" w:hAnsi="Times" w:cs="Times"/>
                <w:sz w:val="20"/>
                <w:szCs w:val="20"/>
              </w:rPr>
              <w:t xml:space="preserve">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208</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208</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sz w:val="20"/>
                <w:szCs w:val="20"/>
              </w:rPr>
              <w:t>198</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left="400"/>
              <w:rPr>
                <w:rFonts w:ascii="Times New Roman" w:hAnsi="Times New Roman" w:cs="Times New Roman"/>
                <w:sz w:val="24"/>
                <w:szCs w:val="24"/>
              </w:rPr>
            </w:pPr>
            <w:r>
              <w:rPr>
                <w:rFonts w:ascii="Times" w:hAnsi="Times" w:cs="Times"/>
                <w:sz w:val="20"/>
                <w:szCs w:val="20"/>
              </w:rPr>
              <w:t>Finance and financial products: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Equity index put options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4,667</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4,667</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0"/>
              <w:rPr>
                <w:rFonts w:ascii="Times New Roman" w:hAnsi="Times New Roman" w:cs="Times New Roman"/>
                <w:sz w:val="24"/>
                <w:szCs w:val="24"/>
              </w:rPr>
            </w:pPr>
            <w:r>
              <w:rPr>
                <w:rFonts w:ascii="Times" w:hAnsi="Times" w:cs="Times"/>
                <w:sz w:val="20"/>
                <w:szCs w:val="20"/>
              </w:rPr>
              <w:t>—</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4,667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Credit default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648</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648</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0"/>
              <w:rPr>
                <w:rFonts w:ascii="Times New Roman" w:hAnsi="Times New Roman" w:cs="Times New Roman"/>
                <w:sz w:val="24"/>
                <w:szCs w:val="24"/>
              </w:rPr>
            </w:pPr>
            <w:r>
              <w:rPr>
                <w:rFonts w:ascii="Times" w:hAnsi="Times" w:cs="Times"/>
                <w:sz w:val="20"/>
                <w:szCs w:val="20"/>
              </w:rPr>
              <w:t>—</w:t>
            </w: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648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Notes payable and other borrowings: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Insurance and other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12,440</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12,655</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w w:val="94"/>
                <w:sz w:val="20"/>
                <w:szCs w:val="20"/>
              </w:rPr>
              <w:t>12,655</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Railroad, utilities and energy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46,655</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49,879</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w w:val="94"/>
                <w:sz w:val="20"/>
                <w:szCs w:val="20"/>
              </w:rPr>
              <w:t>49,879</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Finance and financial products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13,129</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13,505</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20"/>
              <w:jc w:val="right"/>
              <w:rPr>
                <w:rFonts w:ascii="Times New Roman" w:hAnsi="Times New Roman" w:cs="Times New Roman"/>
                <w:sz w:val="24"/>
                <w:szCs w:val="24"/>
              </w:rPr>
            </w:pPr>
            <w:r>
              <w:rPr>
                <w:rFonts w:ascii="Times" w:hAnsi="Times" w:cs="Times"/>
                <w:w w:val="94"/>
                <w:sz w:val="20"/>
                <w:szCs w:val="20"/>
              </w:rPr>
              <w:t>12,846</w:t>
            </w: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659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101" w:lineRule="exact"/>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0" allowOverlap="1">
                <wp:simplePos x="0" y="0"/>
                <wp:positionH relativeFrom="column">
                  <wp:posOffset>0</wp:posOffset>
                </wp:positionH>
                <wp:positionV relativeFrom="paragraph">
                  <wp:posOffset>71755</wp:posOffset>
                </wp:positionV>
                <wp:extent cx="2247900" cy="0"/>
                <wp:effectExtent l="0" t="0" r="0" b="0"/>
                <wp:wrapNone/>
                <wp:docPr id="39"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65pt" to="17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" o:allowincell="f" strokeweight=".5pt"/>
            </w:pict>
          </mc:Fallback>
        </mc:AlternateContent>
      </w:r>
    </w:p>
    <w:p w:rsidR="00000000" w:rsidRDefault="00A06965">
      <w:pPr>
        <w:pStyle w:val="DefaultParagraphFont"/>
        <w:widowControl w:val="0"/>
        <w:numPr>
          <w:ilvl w:val="0"/>
          <w:numId w:val="40"/>
        </w:numPr>
        <w:tabs>
          <w:tab w:val="clear" w:pos="720"/>
          <w:tab w:val="num" w:pos="400"/>
        </w:tabs>
        <w:overflowPunct w:val="0"/>
        <w:autoSpaceDE w:val="0"/>
        <w:autoSpaceDN w:val="0"/>
        <w:adjustRightInd w:val="0"/>
        <w:spacing w:after="0" w:line="240" w:lineRule="auto"/>
        <w:ind w:left="400" w:hanging="400"/>
        <w:jc w:val="both"/>
        <w:rPr>
          <w:rFonts w:ascii="Times" w:hAnsi="Times" w:cs="Times"/>
          <w:i/>
          <w:iCs/>
          <w:sz w:val="26"/>
          <w:szCs w:val="26"/>
          <w:vertAlign w:val="superscript"/>
        </w:rPr>
      </w:pPr>
      <w:r>
        <w:rPr>
          <w:rFonts w:ascii="Times" w:hAnsi="Times" w:cs="Times"/>
          <w:i/>
          <w:iCs/>
          <w:sz w:val="20"/>
          <w:szCs w:val="20"/>
        </w:rPr>
        <w:t>Assets are included in other assets and liabilities are included in accounts payable, accruals and other liabilities.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37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74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(18) Fair value measurements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right="40" w:firstLine="400"/>
        <w:jc w:val="both"/>
        <w:rPr>
          <w:rFonts w:ascii="Times New Roman" w:hAnsi="Times New Roman" w:cs="Times New Roman"/>
          <w:sz w:val="24"/>
          <w:szCs w:val="24"/>
        </w:rPr>
      </w:pPr>
      <w:r>
        <w:rPr>
          <w:rFonts w:ascii="Times" w:hAnsi="Times" w:cs="Times"/>
          <w:sz w:val="20"/>
          <w:szCs w:val="20"/>
        </w:rPr>
        <w:t>The fair values of substantially all of our financial instruments were measured using market or income approaches. Considerable judgment</w:t>
      </w:r>
      <w:r>
        <w:rPr>
          <w:rFonts w:ascii="Times" w:hAnsi="Times" w:cs="Times"/>
          <w:sz w:val="20"/>
          <w:szCs w:val="20"/>
        </w:rPr>
        <w:t xml:space="preserve"> may be required in interpreting market data used to develop the estimates of fair value. Accordingly, the fair values presented are not necessarily indicative of the amounts that could be realized in an actual current market exchange. The use of alternati</w:t>
      </w:r>
      <w:r>
        <w:rPr>
          <w:rFonts w:ascii="Times" w:hAnsi="Times" w:cs="Times"/>
          <w:sz w:val="20"/>
          <w:szCs w:val="20"/>
        </w:rPr>
        <w:t>ve market assumptions and/or estimation methodologies may have a material effect on the estimated fair value. The hierarchy for measuring fair value consists of Levels 1 through 3, which are described below.</w:t>
      </w:r>
    </w:p>
    <w:p w:rsidR="00000000" w:rsidRDefault="00A06965">
      <w:pPr>
        <w:pStyle w:val="DefaultParagraphFont"/>
        <w:widowControl w:val="0"/>
        <w:autoSpaceDE w:val="0"/>
        <w:autoSpaceDN w:val="0"/>
        <w:adjustRightInd w:val="0"/>
        <w:spacing w:after="0" w:line="12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sz w:val="20"/>
          <w:szCs w:val="20"/>
          <w:u w:val="single"/>
        </w:rPr>
        <w:t>Level 1</w:t>
      </w:r>
      <w:r>
        <w:rPr>
          <w:rFonts w:ascii="Times" w:hAnsi="Times" w:cs="Times"/>
          <w:sz w:val="20"/>
          <w:szCs w:val="20"/>
        </w:rPr>
        <w:t xml:space="preserve"> – Inputs represent unadjusted quoted pr</w:t>
      </w:r>
      <w:r>
        <w:rPr>
          <w:rFonts w:ascii="Times" w:hAnsi="Times" w:cs="Times"/>
          <w:sz w:val="20"/>
          <w:szCs w:val="20"/>
        </w:rPr>
        <w:t>ices for identical assets or liabilities exchanged in active markets.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left="400" w:right="40"/>
        <w:jc w:val="both"/>
        <w:rPr>
          <w:rFonts w:ascii="Times New Roman" w:hAnsi="Times New Roman" w:cs="Times New Roman"/>
          <w:sz w:val="24"/>
          <w:szCs w:val="24"/>
        </w:rPr>
      </w:pPr>
      <w:r>
        <w:rPr>
          <w:rFonts w:ascii="Times" w:hAnsi="Times" w:cs="Times"/>
          <w:sz w:val="20"/>
          <w:szCs w:val="20"/>
          <w:u w:val="single"/>
        </w:rPr>
        <w:t>Level 2</w:t>
      </w:r>
      <w:r>
        <w:rPr>
          <w:rFonts w:ascii="Times" w:hAnsi="Times" w:cs="Times"/>
          <w:sz w:val="20"/>
          <w:szCs w:val="20"/>
        </w:rPr>
        <w:t xml:space="preserve"> – Inputs include directly or indirectly observable inputs (other than Level 1 inputs) such as quoted prices for similar assets or liabilities exchanged in active or inactive mar</w:t>
      </w:r>
      <w:r>
        <w:rPr>
          <w:rFonts w:ascii="Times" w:hAnsi="Times" w:cs="Times"/>
          <w:sz w:val="20"/>
          <w:szCs w:val="20"/>
        </w:rPr>
        <w:t xml:space="preserve">kets; quoted prices for identical assets or liabilities exchanged in inactive markets; other inputs that may be considered in fair value determinations of the assets or liabilities, such as interest rates and yield curves, volatilities, prepayment speeds, </w:t>
      </w:r>
      <w:r>
        <w:rPr>
          <w:rFonts w:ascii="Times" w:hAnsi="Times" w:cs="Times"/>
          <w:sz w:val="20"/>
          <w:szCs w:val="20"/>
        </w:rPr>
        <w:t>loss severities, credit risks and default rates; and inputs that are derived principally from or corroborated by observable market data by correlation or other means. Pricing evaluations generally reflect discounted expected future cash flows, which incorp</w:t>
      </w:r>
      <w:r>
        <w:rPr>
          <w:rFonts w:ascii="Times" w:hAnsi="Times" w:cs="Times"/>
          <w:sz w:val="20"/>
          <w:szCs w:val="20"/>
        </w:rPr>
        <w:t>orate yield curves for instruments with similar characteristics, such as credit ratings, estimated durations and yields for other instruments of the issuer or entities in the same industry sector.</w:t>
      </w:r>
    </w:p>
    <w:p w:rsidR="00000000" w:rsidRDefault="00A06965">
      <w:pPr>
        <w:pStyle w:val="DefaultParagraphFont"/>
        <w:widowControl w:val="0"/>
        <w:autoSpaceDE w:val="0"/>
        <w:autoSpaceDN w:val="0"/>
        <w:adjustRightInd w:val="0"/>
        <w:spacing w:after="0" w:line="13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left="400" w:right="40"/>
        <w:jc w:val="both"/>
        <w:rPr>
          <w:rFonts w:ascii="Times New Roman" w:hAnsi="Times New Roman" w:cs="Times New Roman"/>
          <w:sz w:val="24"/>
          <w:szCs w:val="24"/>
        </w:rPr>
      </w:pPr>
      <w:r>
        <w:rPr>
          <w:rFonts w:ascii="Times" w:hAnsi="Times" w:cs="Times"/>
          <w:sz w:val="20"/>
          <w:szCs w:val="20"/>
          <w:u w:val="single"/>
        </w:rPr>
        <w:t>Level 3</w:t>
      </w:r>
      <w:r>
        <w:rPr>
          <w:rFonts w:ascii="Times" w:hAnsi="Times" w:cs="Times"/>
          <w:sz w:val="20"/>
          <w:szCs w:val="20"/>
        </w:rPr>
        <w:t xml:space="preserve"> –</w:t>
      </w:r>
      <w:r>
        <w:rPr>
          <w:rFonts w:ascii="Times" w:hAnsi="Times" w:cs="Times"/>
          <w:sz w:val="20"/>
          <w:szCs w:val="20"/>
        </w:rPr>
        <w:t xml:space="preserve"> Inputs include unobservable inputs used in the measurement of assets and liabilities. Management is required to use its own assumptions regarding unobservable inputs because there is little, if any, market activity in the assets or liabilities and we may </w:t>
      </w:r>
      <w:r>
        <w:rPr>
          <w:rFonts w:ascii="Times" w:hAnsi="Times" w:cs="Times"/>
          <w:sz w:val="20"/>
          <w:szCs w:val="20"/>
        </w:rPr>
        <w:t>be unable to corroborate the related observable inputs. Unobservable inputs require management to make certain projections and assumptions about the information that would be used by market participants in pricing assets or liabilities.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right="40" w:firstLine="400"/>
        <w:rPr>
          <w:rFonts w:ascii="Times New Roman" w:hAnsi="Times New Roman" w:cs="Times New Roman"/>
          <w:sz w:val="24"/>
          <w:szCs w:val="24"/>
        </w:rPr>
      </w:pPr>
      <w:r>
        <w:rPr>
          <w:rFonts w:ascii="Times" w:hAnsi="Times" w:cs="Times"/>
          <w:sz w:val="20"/>
          <w:szCs w:val="20"/>
        </w:rPr>
        <w:t>Reconciliations of</w:t>
      </w:r>
      <w:r>
        <w:rPr>
          <w:rFonts w:ascii="Times" w:hAnsi="Times" w:cs="Times"/>
          <w:sz w:val="20"/>
          <w:szCs w:val="20"/>
        </w:rPr>
        <w:t xml:space="preserve"> assets and liabilities measured and carried at fair value on a recurring basis with the use of significant unobservable inputs (Level 3) for each of three years ending December 31, 2014 follow (in millions).</w:t>
      </w:r>
    </w:p>
    <w:p w:rsidR="00000000" w:rsidRDefault="00A06965">
      <w:pPr>
        <w:pStyle w:val="DefaultParagraphFont"/>
        <w:widowControl w:val="0"/>
        <w:autoSpaceDE w:val="0"/>
        <w:autoSpaceDN w:val="0"/>
        <w:adjustRightInd w:val="0"/>
        <w:spacing w:after="0" w:line="18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580"/>
        <w:gridCol w:w="180"/>
        <w:gridCol w:w="100"/>
        <w:gridCol w:w="380"/>
        <w:gridCol w:w="180"/>
        <w:gridCol w:w="200"/>
        <w:gridCol w:w="80"/>
        <w:gridCol w:w="660"/>
        <w:gridCol w:w="80"/>
        <w:gridCol w:w="200"/>
        <w:gridCol w:w="40"/>
        <w:gridCol w:w="600"/>
        <w:gridCol w:w="40"/>
        <w:gridCol w:w="40"/>
      </w:tblGrid>
      <w:tr w:rsidR="00000000">
        <w:tblPrEx>
          <w:tblCellMar>
            <w:top w:w="0" w:type="dxa"/>
            <w:left w:w="0" w:type="dxa"/>
            <w:bottom w:w="0" w:type="dxa"/>
            <w:right w:w="0" w:type="dxa"/>
          </w:tblCellMar>
        </w:tblPrEx>
        <w:trPr>
          <w:trHeight w:val="184"/>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w w:val="99"/>
                <w:sz w:val="16"/>
                <w:szCs w:val="16"/>
              </w:rPr>
              <w:t>Investments</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16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0"/>
              <w:jc w:val="center"/>
              <w:rPr>
                <w:rFonts w:ascii="Times New Roman" w:hAnsi="Times New Roman" w:cs="Times New Roman"/>
                <w:sz w:val="24"/>
                <w:szCs w:val="24"/>
              </w:rPr>
            </w:pPr>
            <w:r>
              <w:rPr>
                <w:rFonts w:ascii="Times" w:hAnsi="Times" w:cs="Times"/>
                <w:b/>
                <w:bCs/>
                <w:sz w:val="16"/>
                <w:szCs w:val="16"/>
              </w:rPr>
              <w:t>Investments</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300"/>
              <w:jc w:val="center"/>
              <w:rPr>
                <w:rFonts w:ascii="Times New Roman" w:hAnsi="Times New Roman" w:cs="Times New Roman"/>
                <w:sz w:val="24"/>
                <w:szCs w:val="24"/>
              </w:rPr>
            </w:pPr>
            <w:r>
              <w:rPr>
                <w:rFonts w:ascii="Times" w:hAnsi="Times" w:cs="Times"/>
                <w:b/>
                <w:bCs/>
                <w:w w:val="99"/>
                <w:sz w:val="16"/>
                <w:szCs w:val="16"/>
              </w:rPr>
              <w:t>in equity</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80"/>
              <w:jc w:val="center"/>
              <w:rPr>
                <w:rFonts w:ascii="Times New Roman" w:hAnsi="Times New Roman" w:cs="Times New Roman"/>
                <w:sz w:val="24"/>
                <w:szCs w:val="24"/>
              </w:rPr>
            </w:pPr>
            <w:r>
              <w:rPr>
                <w:rFonts w:ascii="Times" w:hAnsi="Times" w:cs="Times"/>
                <w:b/>
                <w:bCs/>
                <w:w w:val="99"/>
                <w:sz w:val="16"/>
                <w:szCs w:val="16"/>
              </w:rPr>
              <w:t>Net</w:t>
            </w:r>
          </w:p>
        </w:tc>
      </w:tr>
      <w:tr w:rsidR="00000000">
        <w:tblPrEx>
          <w:tblCellMar>
            <w:top w:w="0" w:type="dxa"/>
            <w:left w:w="0" w:type="dxa"/>
            <w:bottom w:w="0" w:type="dxa"/>
            <w:right w:w="0" w:type="dxa"/>
          </w:tblCellMar>
        </w:tblPrEx>
        <w:trPr>
          <w:trHeight w:val="16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0"/>
              <w:jc w:val="center"/>
              <w:rPr>
                <w:rFonts w:ascii="Times New Roman" w:hAnsi="Times New Roman" w:cs="Times New Roman"/>
                <w:sz w:val="24"/>
                <w:szCs w:val="24"/>
              </w:rPr>
            </w:pPr>
            <w:r>
              <w:rPr>
                <w:rFonts w:ascii="Times" w:hAnsi="Times" w:cs="Times"/>
                <w:b/>
                <w:bCs/>
                <w:sz w:val="16"/>
                <w:szCs w:val="16"/>
              </w:rPr>
              <w:t>in fixed</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300"/>
              <w:jc w:val="center"/>
              <w:rPr>
                <w:rFonts w:ascii="Times New Roman" w:hAnsi="Times New Roman" w:cs="Times New Roman"/>
                <w:sz w:val="24"/>
                <w:szCs w:val="24"/>
              </w:rPr>
            </w:pPr>
            <w:r>
              <w:rPr>
                <w:rFonts w:ascii="Times" w:hAnsi="Times" w:cs="Times"/>
                <w:b/>
                <w:bCs/>
                <w:w w:val="99"/>
                <w:sz w:val="16"/>
                <w:szCs w:val="16"/>
              </w:rPr>
              <w:t>securities</w:t>
            </w:r>
          </w:p>
        </w:tc>
        <w:tc>
          <w:tcPr>
            <w:tcW w:w="7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40"/>
              <w:jc w:val="center"/>
              <w:rPr>
                <w:rFonts w:ascii="Times New Roman" w:hAnsi="Times New Roman" w:cs="Times New Roman"/>
                <w:sz w:val="24"/>
                <w:szCs w:val="24"/>
              </w:rPr>
            </w:pPr>
            <w:r>
              <w:rPr>
                <w:rFonts w:ascii="Times" w:hAnsi="Times" w:cs="Times"/>
                <w:b/>
                <w:bCs/>
                <w:w w:val="99"/>
                <w:sz w:val="16"/>
                <w:szCs w:val="16"/>
              </w:rPr>
              <w:t>derivative</w:t>
            </w:r>
          </w:p>
        </w:tc>
      </w:tr>
      <w:tr w:rsidR="00000000">
        <w:tblPrEx>
          <w:tblCellMar>
            <w:top w:w="0" w:type="dxa"/>
            <w:left w:w="0" w:type="dxa"/>
            <w:bottom w:w="0" w:type="dxa"/>
            <w:right w:w="0" w:type="dxa"/>
          </w:tblCellMar>
        </w:tblPrEx>
        <w:trPr>
          <w:trHeight w:val="16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0"/>
              <w:jc w:val="center"/>
              <w:rPr>
                <w:rFonts w:ascii="Times New Roman" w:hAnsi="Times New Roman" w:cs="Times New Roman"/>
                <w:sz w:val="24"/>
                <w:szCs w:val="24"/>
              </w:rPr>
            </w:pPr>
            <w:r>
              <w:rPr>
                <w:rFonts w:ascii="Times" w:hAnsi="Times" w:cs="Times"/>
                <w:b/>
                <w:bCs/>
                <w:w w:val="99"/>
                <w:sz w:val="16"/>
                <w:szCs w:val="16"/>
              </w:rPr>
              <w:t>maturity</w:t>
            </w:r>
          </w:p>
        </w:tc>
        <w:tc>
          <w:tcPr>
            <w:tcW w:w="10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0"/>
              <w:jc w:val="center"/>
              <w:rPr>
                <w:rFonts w:ascii="Times New Roman" w:hAnsi="Times New Roman" w:cs="Times New Roman"/>
                <w:sz w:val="24"/>
                <w:szCs w:val="24"/>
              </w:rPr>
            </w:pPr>
            <w:r>
              <w:rPr>
                <w:rFonts w:ascii="Times" w:hAnsi="Times" w:cs="Times"/>
                <w:b/>
                <w:bCs/>
                <w:w w:val="99"/>
                <w:sz w:val="16"/>
                <w:szCs w:val="16"/>
              </w:rPr>
              <w:t>and other</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80"/>
              <w:jc w:val="center"/>
              <w:rPr>
                <w:rFonts w:ascii="Times New Roman" w:hAnsi="Times New Roman" w:cs="Times New Roman"/>
                <w:sz w:val="24"/>
                <w:szCs w:val="24"/>
              </w:rPr>
            </w:pPr>
            <w:r>
              <w:rPr>
                <w:rFonts w:ascii="Times" w:hAnsi="Times" w:cs="Times"/>
                <w:b/>
                <w:bCs/>
                <w:w w:val="98"/>
                <w:sz w:val="16"/>
                <w:szCs w:val="16"/>
              </w:rPr>
              <w:t>contract</w:t>
            </w:r>
          </w:p>
        </w:tc>
      </w:tr>
      <w:tr w:rsidR="00000000">
        <w:tblPrEx>
          <w:tblCellMar>
            <w:top w:w="0" w:type="dxa"/>
            <w:left w:w="0" w:type="dxa"/>
            <w:bottom w:w="0" w:type="dxa"/>
            <w:right w:w="0" w:type="dxa"/>
          </w:tblCellMar>
        </w:tblPrEx>
        <w:trPr>
          <w:trHeight w:val="182"/>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00"/>
              <w:jc w:val="center"/>
              <w:rPr>
                <w:rFonts w:ascii="Times New Roman" w:hAnsi="Times New Roman" w:cs="Times New Roman"/>
                <w:sz w:val="24"/>
                <w:szCs w:val="24"/>
              </w:rPr>
            </w:pPr>
            <w:r>
              <w:rPr>
                <w:rFonts w:ascii="Times" w:hAnsi="Times" w:cs="Times"/>
                <w:b/>
                <w:bCs/>
                <w:w w:val="99"/>
                <w:sz w:val="16"/>
                <w:szCs w:val="16"/>
              </w:rPr>
              <w:t>securities</w:t>
            </w:r>
          </w:p>
        </w:tc>
        <w:tc>
          <w:tcPr>
            <w:tcW w:w="10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20"/>
              <w:jc w:val="center"/>
              <w:rPr>
                <w:rFonts w:ascii="Times New Roman" w:hAnsi="Times New Roman" w:cs="Times New Roman"/>
                <w:sz w:val="24"/>
                <w:szCs w:val="24"/>
              </w:rPr>
            </w:pPr>
            <w:r>
              <w:rPr>
                <w:rFonts w:ascii="Times" w:hAnsi="Times" w:cs="Times"/>
                <w:b/>
                <w:bCs/>
                <w:w w:val="98"/>
                <w:sz w:val="16"/>
                <w:szCs w:val="16"/>
              </w:rPr>
              <w:t>investments</w:t>
            </w:r>
          </w:p>
        </w:tc>
        <w:tc>
          <w:tcPr>
            <w:tcW w:w="7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40"/>
              <w:jc w:val="center"/>
              <w:rPr>
                <w:rFonts w:ascii="Times New Roman" w:hAnsi="Times New Roman" w:cs="Times New Roman"/>
                <w:sz w:val="24"/>
                <w:szCs w:val="24"/>
              </w:rPr>
            </w:pPr>
            <w:r>
              <w:rPr>
                <w:rFonts w:ascii="Times" w:hAnsi="Times" w:cs="Times"/>
                <w:b/>
                <w:bCs/>
                <w:sz w:val="16"/>
                <w:szCs w:val="16"/>
              </w:rPr>
              <w:t>liabilities</w:t>
            </w:r>
          </w:p>
        </w:tc>
      </w:tr>
      <w:tr w:rsidR="00000000">
        <w:tblPrEx>
          <w:tblCellMar>
            <w:top w:w="0" w:type="dxa"/>
            <w:left w:w="0" w:type="dxa"/>
            <w:bottom w:w="0" w:type="dxa"/>
            <w:right w:w="0" w:type="dxa"/>
          </w:tblCellMar>
        </w:tblPrEx>
        <w:trPr>
          <w:trHeight w:val="26"/>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December 31, 2011 . . . . . . . . . . . . . . . . . . . . . . . . . . . . . . . . . . . . . . . . . . . . . . . . .</w:t>
            </w: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784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$11,691</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$(9,908)</w:t>
            </w: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Gains (losses) included in:</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Earnings . . . . . . . . . . . . .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60"/>
              <w:rPr>
                <w:rFonts w:ascii="Times New Roman" w:hAnsi="Times New Roman" w:cs="Times New Roman"/>
                <w:sz w:val="24"/>
                <w:szCs w:val="24"/>
              </w:rPr>
            </w:pPr>
            <w:r>
              <w:rPr>
                <w:rFonts w:ascii="Times" w:hAnsi="Times" w:cs="Times"/>
                <w:sz w:val="20"/>
                <w:szCs w:val="20"/>
              </w:rPr>
              <w:t>—</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1,873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Other comprehensive income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4,094</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80"/>
              <w:jc w:val="right"/>
              <w:rPr>
                <w:rFonts w:ascii="Times New Roman" w:hAnsi="Times New Roman" w:cs="Times New Roman"/>
                <w:sz w:val="24"/>
                <w:szCs w:val="24"/>
              </w:rPr>
            </w:pPr>
            <w:r>
              <w:rPr>
                <w:rFonts w:ascii="Times" w:hAnsi="Times" w:cs="Times"/>
                <w:sz w:val="20"/>
                <w:szCs w:val="20"/>
              </w:rPr>
              <w:t>—</w:t>
            </w: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Regulatory assets and liabilities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60"/>
              <w:rPr>
                <w:rFonts w:ascii="Times New Roman" w:hAnsi="Times New Roman" w:cs="Times New Roman"/>
                <w:sz w:val="24"/>
                <w:szCs w:val="24"/>
              </w:rPr>
            </w:pPr>
            <w:r>
              <w:rPr>
                <w:rFonts w:ascii="Times" w:hAnsi="Times" w:cs="Times"/>
                <w:sz w:val="20"/>
                <w:szCs w:val="20"/>
              </w:rPr>
              <w:t>—</w:t>
            </w:r>
          </w:p>
        </w:tc>
        <w:tc>
          <w:tcPr>
            <w:tcW w:w="7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w:t>
            </w: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Acquisitions, dispositions and settlements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60"/>
              <w:rPr>
                <w:rFonts w:ascii="Times New Roman" w:hAnsi="Times New Roman" w:cs="Times New Roman"/>
                <w:sz w:val="24"/>
                <w:szCs w:val="24"/>
              </w:rPr>
            </w:pPr>
            <w:r>
              <w:rPr>
                <w:rFonts w:ascii="Times" w:hAnsi="Times" w:cs="Times"/>
                <w:sz w:val="20"/>
                <w:szCs w:val="20"/>
              </w:rPr>
              <w:t>—</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Transfers into (out of) Level 3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w w:val="96"/>
                <w:sz w:val="20"/>
                <w:szCs w:val="20"/>
              </w:rPr>
              <w:t>(129)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60"/>
              <w:rPr>
                <w:rFonts w:ascii="Times New Roman" w:hAnsi="Times New Roman" w:cs="Times New Roman"/>
                <w:sz w:val="24"/>
                <w:szCs w:val="24"/>
              </w:rPr>
            </w:pPr>
            <w:r>
              <w:rPr>
                <w:rFonts w:ascii="Times" w:hAnsi="Times" w:cs="Times"/>
                <w:sz w:val="20"/>
                <w:szCs w:val="20"/>
              </w:rPr>
              <w:t>—</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80"/>
              <w:jc w:val="right"/>
              <w:rPr>
                <w:rFonts w:ascii="Times New Roman" w:hAnsi="Times New Roman" w:cs="Times New Roman"/>
                <w:sz w:val="24"/>
                <w:szCs w:val="24"/>
              </w:rPr>
            </w:pPr>
            <w:r>
              <w:rPr>
                <w:rFonts w:ascii="Times" w:hAnsi="Times" w:cs="Times"/>
                <w:sz w:val="20"/>
                <w:szCs w:val="20"/>
              </w:rPr>
              <w:t>—</w:t>
            </w:r>
          </w:p>
        </w:tc>
      </w:tr>
      <w:tr w:rsidR="00000000">
        <w:tblPrEx>
          <w:tblCellMar>
            <w:top w:w="0" w:type="dxa"/>
            <w:left w:w="0" w:type="dxa"/>
            <w:bottom w:w="0" w:type="dxa"/>
            <w:right w:w="0" w:type="dxa"/>
          </w:tblCellMar>
        </w:tblPrEx>
        <w:trPr>
          <w:trHeight w:val="28"/>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w w:val="99"/>
                <w:sz w:val="20"/>
                <w:szCs w:val="20"/>
              </w:rPr>
              <w:t>Balance at December 31, 2012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652</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15,785</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(7,847)</w:t>
            </w: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Gains (losses) included in:</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w:hAnsi="Times" w:cs="Times"/>
                <w:sz w:val="20"/>
                <w:szCs w:val="20"/>
              </w:rPr>
              <w:t>Earnings . . . . . . . . . . . . .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312</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522</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2,652</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Other comprehensive income . . . . . . . . . .</w:t>
            </w:r>
            <w:r>
              <w:rPr>
                <w:rFonts w:ascii="Times" w:hAnsi="Times" w:cs="Times"/>
                <w:sz w:val="20"/>
                <w:szCs w:val="20"/>
              </w:rPr>
              <w:t xml:space="preserve">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3,177</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w:t>
            </w: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Regulatory assets and liabilities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60"/>
              <w:rPr>
                <w:rFonts w:ascii="Times New Roman" w:hAnsi="Times New Roman" w:cs="Times New Roman"/>
                <w:sz w:val="24"/>
                <w:szCs w:val="24"/>
              </w:rPr>
            </w:pPr>
            <w:r>
              <w:rPr>
                <w:rFonts w:ascii="Times" w:hAnsi="Times" w:cs="Times"/>
                <w:sz w:val="20"/>
                <w:szCs w:val="20"/>
              </w:rPr>
              <w:t>—</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Dispositions and settlements  .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w w:val="96"/>
                <w:sz w:val="20"/>
                <w:szCs w:val="20"/>
              </w:rPr>
              <w:t>(578)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w:hAnsi="Times" w:cs="Times"/>
                <w:sz w:val="20"/>
                <w:szCs w:val="20"/>
              </w:rPr>
              <w:t>(31)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w:t>
            </w: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 xml:space="preserve">Transfers </w:t>
            </w:r>
            <w:r>
              <w:rPr>
                <w:rFonts w:ascii="Times" w:hAnsi="Times" w:cs="Times"/>
                <w:sz w:val="20"/>
                <w:szCs w:val="20"/>
              </w:rPr>
              <w:t>into (out of) Level 3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w:t>
            </w: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w:hAnsi="Times" w:cs="Times"/>
                <w:sz w:val="20"/>
                <w:szCs w:val="20"/>
              </w:rPr>
              <w:t>(1,495)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80"/>
              <w:jc w:val="right"/>
              <w:rPr>
                <w:rFonts w:ascii="Times New Roman" w:hAnsi="Times New Roman" w:cs="Times New Roman"/>
                <w:sz w:val="24"/>
                <w:szCs w:val="24"/>
              </w:rPr>
            </w:pPr>
            <w:r>
              <w:rPr>
                <w:rFonts w:ascii="Times" w:hAnsi="Times" w:cs="Times"/>
                <w:sz w:val="20"/>
                <w:szCs w:val="20"/>
              </w:rPr>
              <w:t>—</w:t>
            </w:r>
          </w:p>
        </w:tc>
      </w:tr>
      <w:tr w:rsidR="00000000">
        <w:tblPrEx>
          <w:tblCellMar>
            <w:top w:w="0" w:type="dxa"/>
            <w:left w:w="0" w:type="dxa"/>
            <w:bottom w:w="0" w:type="dxa"/>
            <w:right w:w="0" w:type="dxa"/>
          </w:tblCellMar>
        </w:tblPrEx>
        <w:trPr>
          <w:trHeight w:val="28"/>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w w:val="99"/>
                <w:sz w:val="20"/>
                <w:szCs w:val="20"/>
              </w:rPr>
              <w:t>Balance at December 31, 2013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372</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17,958</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(5,255)</w:t>
            </w: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Gains (losses) included in:</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Earnings . . . . . . . . . . . . .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60"/>
              <w:rPr>
                <w:rFonts w:ascii="Times New Roman" w:hAnsi="Times New Roman" w:cs="Times New Roman"/>
                <w:sz w:val="24"/>
                <w:szCs w:val="24"/>
              </w:rPr>
            </w:pPr>
            <w:r>
              <w:rPr>
                <w:rFonts w:ascii="Times" w:hAnsi="Times" w:cs="Times"/>
                <w:sz w:val="20"/>
                <w:szCs w:val="20"/>
              </w:rPr>
              <w:t>—</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524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Other comprehensive incom</w:t>
            </w:r>
            <w:r>
              <w:rPr>
                <w:rFonts w:ascii="Times" w:hAnsi="Times" w:cs="Times"/>
                <w:sz w:val="20"/>
                <w:szCs w:val="20"/>
              </w:rPr>
              <w:t>e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1,373</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80"/>
              <w:jc w:val="right"/>
              <w:rPr>
                <w:rFonts w:ascii="Times New Roman" w:hAnsi="Times New Roman" w:cs="Times New Roman"/>
                <w:sz w:val="24"/>
                <w:szCs w:val="24"/>
              </w:rPr>
            </w:pPr>
            <w:r>
              <w:rPr>
                <w:rFonts w:ascii="Times" w:hAnsi="Times" w:cs="Times"/>
                <w:sz w:val="20"/>
                <w:szCs w:val="20"/>
              </w:rPr>
              <w:t>—</w:t>
            </w: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Regulatory assets and liabilities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rPr>
                <w:rFonts w:ascii="Times New Roman" w:hAnsi="Times New Roman" w:cs="Times New Roman"/>
                <w:sz w:val="24"/>
                <w:szCs w:val="24"/>
              </w:rPr>
            </w:pPr>
            <w:r>
              <w:rPr>
                <w:rFonts w:ascii="Times" w:hAnsi="Times" w:cs="Times"/>
                <w:sz w:val="20"/>
                <w:szCs w:val="20"/>
              </w:rPr>
              <w:t>—</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60"/>
              <w:rPr>
                <w:rFonts w:ascii="Times New Roman" w:hAnsi="Times New Roman" w:cs="Times New Roman"/>
                <w:sz w:val="24"/>
                <w:szCs w:val="24"/>
              </w:rPr>
            </w:pPr>
            <w:r>
              <w:rPr>
                <w:rFonts w:ascii="Times" w:hAnsi="Times" w:cs="Times"/>
                <w:sz w:val="20"/>
                <w:szCs w:val="20"/>
              </w:rPr>
              <w:t>—</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w:hAnsi="Times" w:cs="Times"/>
                <w:sz w:val="20"/>
                <w:szCs w:val="20"/>
              </w:rPr>
              <w:t>Acquisitions . . . . . . . . . . . . . .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Times" w:hAnsi="Times" w:cs="Times"/>
                <w:sz w:val="20"/>
                <w:szCs w:val="20"/>
              </w:rPr>
              <w:t>—</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3,000</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Dispositions and settlements  .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60"/>
              <w:rPr>
                <w:rFonts w:ascii="Times New Roman" w:hAnsi="Times New Roman" w:cs="Times New Roman"/>
                <w:sz w:val="24"/>
                <w:szCs w:val="24"/>
              </w:rPr>
            </w:pPr>
            <w:r>
              <w:rPr>
                <w:rFonts w:ascii="Times" w:hAnsi="Times" w:cs="Times"/>
                <w:sz w:val="20"/>
                <w:szCs w:val="20"/>
              </w:rPr>
              <w:t>—</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Transfers into (out of) Level 3 . . . . . . . . . . . . . . . . . . . . . . . . . . . . . . . . . . . . . . . . . . . . . . . . .</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w w:val="96"/>
                <w:sz w:val="20"/>
                <w:szCs w:val="20"/>
              </w:rPr>
              <w:t>(375)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w:hAnsi="Times" w:cs="Times"/>
                <w:sz w:val="20"/>
                <w:szCs w:val="20"/>
              </w:rPr>
              <w:t>(335)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(35)</w:t>
            </w:r>
          </w:p>
        </w:tc>
      </w:tr>
      <w:tr w:rsidR="00000000">
        <w:tblPrEx>
          <w:tblCellMar>
            <w:top w:w="0" w:type="dxa"/>
            <w:left w:w="0" w:type="dxa"/>
            <w:bottom w:w="0" w:type="dxa"/>
            <w:right w:w="0" w:type="dxa"/>
          </w:tblCellMar>
        </w:tblPrEx>
        <w:trPr>
          <w:trHeight w:val="28"/>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w w:val="99"/>
                <w:sz w:val="20"/>
                <w:szCs w:val="20"/>
              </w:rPr>
              <w:t>Balance at December 31, 2014 . . . . . . . . . . . . . . . . . . . . . . . . . . . . . . . . . . . . . . . . . . . . . . . . .</w:t>
            </w:r>
          </w:p>
        </w:tc>
        <w:tc>
          <w:tcPr>
            <w:tcW w:w="2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$21,996</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$(4,759)</w:t>
            </w:r>
          </w:p>
        </w:tc>
      </w:tr>
      <w:tr w:rsidR="00000000">
        <w:tblPrEx>
          <w:tblCellMar>
            <w:top w:w="0" w:type="dxa"/>
            <w:left w:w="0" w:type="dxa"/>
            <w:bottom w:w="0" w:type="dxa"/>
            <w:right w:w="0" w:type="dxa"/>
          </w:tblCellMar>
        </w:tblPrEx>
        <w:trPr>
          <w:trHeight w:val="28"/>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5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20" w:bottom="523" w:left="960" w:header="720" w:footer="720" w:gutter="0"/>
          <w:cols w:space="720" w:equalWidth="0">
            <w:col w:w="10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75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(18) Fair value measurements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Gains and losses included in earnings are included as components of investment gains/losses, derivative gains/losses and other revenues, as appropriate and ar</w:t>
      </w:r>
      <w:r>
        <w:rPr>
          <w:rFonts w:ascii="Times" w:hAnsi="Times" w:cs="Times"/>
          <w:sz w:val="20"/>
          <w:szCs w:val="20"/>
        </w:rPr>
        <w:t>e primarily related to changes in the values of derivative contracts and settlement transactions. Gains and losses included in other comprehensive income are included as components of the net change in unrealized appreciation of investments and the reclass</w:t>
      </w:r>
      <w:r>
        <w:rPr>
          <w:rFonts w:ascii="Times" w:hAnsi="Times" w:cs="Times"/>
          <w:sz w:val="20"/>
          <w:szCs w:val="20"/>
        </w:rPr>
        <w:t>ification of investment appreciation in earnings, as appropriate in our Consolidated Statements of Comprehensive Income. In 2013, we transferred the fair value measurements of the GS Warrants and GE Warrants out of Level 3 because we concluded that the uno</w:t>
      </w:r>
      <w:r>
        <w:rPr>
          <w:rFonts w:ascii="Times" w:hAnsi="Times" w:cs="Times"/>
          <w:sz w:val="20"/>
          <w:szCs w:val="20"/>
        </w:rPr>
        <w:t>bservable inputs were no longer significant.</w:t>
      </w:r>
    </w:p>
    <w:p w:rsidR="00000000" w:rsidRDefault="00A0696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Quantitative information as of December 31, 2014, with respect to assets and liabilities measured and carried at fair value on a recurring basis with the use of significant unobservable inputs (Level 3) follows</w:t>
      </w:r>
      <w:r>
        <w:rPr>
          <w:rFonts w:ascii="Times" w:hAnsi="Times" w:cs="Times"/>
          <w:sz w:val="20"/>
          <w:szCs w:val="20"/>
        </w:rPr>
        <w:t xml:space="preserve"> (in millions).</w:t>
      </w:r>
    </w:p>
    <w:p w:rsidR="00000000" w:rsidRDefault="00A06965">
      <w:pPr>
        <w:pStyle w:val="DefaultParagraphFont"/>
        <w:widowControl w:val="0"/>
        <w:autoSpaceDE w:val="0"/>
        <w:autoSpaceDN w:val="0"/>
        <w:adjustRightInd w:val="0"/>
        <w:spacing w:after="0" w:line="18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880"/>
        <w:gridCol w:w="640"/>
        <w:gridCol w:w="100"/>
        <w:gridCol w:w="1820"/>
        <w:gridCol w:w="100"/>
        <w:gridCol w:w="2380"/>
        <w:gridCol w:w="100"/>
        <w:gridCol w:w="1300"/>
        <w:gridCol w:w="20"/>
      </w:tblGrid>
      <w:tr w:rsidR="00000000">
        <w:tblPrEx>
          <w:tblCellMar>
            <w:top w:w="0" w:type="dxa"/>
            <w:left w:w="0" w:type="dxa"/>
            <w:bottom w:w="0" w:type="dxa"/>
            <w:right w:w="0" w:type="dxa"/>
          </w:tblCellMar>
        </w:tblPrEx>
        <w:trPr>
          <w:trHeight w:val="184"/>
        </w:trPr>
        <w:tc>
          <w:tcPr>
            <w:tcW w:w="3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7"/>
              <w:jc w:val="right"/>
              <w:rPr>
                <w:rFonts w:ascii="Times New Roman" w:hAnsi="Times New Roman" w:cs="Times New Roman"/>
                <w:sz w:val="24"/>
                <w:szCs w:val="24"/>
              </w:rPr>
            </w:pPr>
            <w:r>
              <w:rPr>
                <w:rFonts w:ascii="Times" w:hAnsi="Times" w:cs="Times"/>
                <w:b/>
                <w:bCs/>
                <w:sz w:val="16"/>
                <w:szCs w:val="16"/>
              </w:rPr>
              <w:t>Fair</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60"/>
              <w:rPr>
                <w:rFonts w:ascii="Times New Roman" w:hAnsi="Times New Roman" w:cs="Times New Roman"/>
                <w:sz w:val="24"/>
                <w:szCs w:val="24"/>
              </w:rPr>
            </w:pPr>
            <w:r>
              <w:rPr>
                <w:rFonts w:ascii="Times" w:hAnsi="Times" w:cs="Times"/>
                <w:b/>
                <w:bCs/>
                <w:sz w:val="16"/>
                <w:szCs w:val="16"/>
              </w:rPr>
              <w:t>Principal valuation</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Weighted</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3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47"/>
              <w:jc w:val="right"/>
              <w:rPr>
                <w:rFonts w:ascii="Times New Roman" w:hAnsi="Times New Roman" w:cs="Times New Roman"/>
                <w:sz w:val="24"/>
                <w:szCs w:val="24"/>
              </w:rPr>
            </w:pPr>
            <w:r>
              <w:rPr>
                <w:rFonts w:ascii="Times" w:hAnsi="Times" w:cs="Times"/>
                <w:b/>
                <w:bCs/>
                <w:sz w:val="16"/>
                <w:szCs w:val="16"/>
              </w:rPr>
              <w:t>value</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540"/>
              <w:rPr>
                <w:rFonts w:ascii="Times New Roman" w:hAnsi="Times New Roman" w:cs="Times New Roman"/>
                <w:sz w:val="24"/>
                <w:szCs w:val="24"/>
              </w:rPr>
            </w:pPr>
            <w:r>
              <w:rPr>
                <w:rFonts w:ascii="Times" w:hAnsi="Times" w:cs="Times"/>
                <w:b/>
                <w:bCs/>
                <w:sz w:val="16"/>
                <w:szCs w:val="16"/>
              </w:rPr>
              <w:t>techniques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2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480"/>
              <w:rPr>
                <w:rFonts w:ascii="Times New Roman" w:hAnsi="Times New Roman" w:cs="Times New Roman"/>
                <w:sz w:val="24"/>
                <w:szCs w:val="24"/>
              </w:rPr>
            </w:pPr>
            <w:r>
              <w:rPr>
                <w:rFonts w:ascii="Times" w:hAnsi="Times" w:cs="Times"/>
                <w:b/>
                <w:bCs/>
                <w:sz w:val="16"/>
                <w:szCs w:val="16"/>
              </w:rPr>
              <w:t>Unobservable Inputs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w w:val="98"/>
                <w:sz w:val="16"/>
                <w:szCs w:val="16"/>
              </w:rPr>
              <w:t>Average</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38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investments:</w:t>
            </w: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38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3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left="400"/>
              <w:rPr>
                <w:rFonts w:ascii="Times New Roman" w:hAnsi="Times New Roman" w:cs="Times New Roman"/>
                <w:sz w:val="24"/>
                <w:szCs w:val="24"/>
              </w:rPr>
            </w:pPr>
            <w:r>
              <w:rPr>
                <w:rFonts w:ascii="Times" w:hAnsi="Times" w:cs="Times"/>
                <w:sz w:val="20"/>
                <w:szCs w:val="20"/>
              </w:rPr>
              <w:t>Preferred stocks . . . . . . . . . . . . . . . . . . . .</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w w:val="95"/>
                <w:sz w:val="20"/>
                <w:szCs w:val="20"/>
              </w:rPr>
              <w:t>$14,819</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sz w:val="20"/>
                <w:szCs w:val="20"/>
              </w:rPr>
              <w:t>Discounted cash flow</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sz w:val="20"/>
                <w:szCs w:val="20"/>
              </w:rPr>
              <w:t>Expected duration</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sz w:val="20"/>
                <w:szCs w:val="20"/>
              </w:rPr>
              <w:t>7 years</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40"/>
        </w:trPr>
        <w:tc>
          <w:tcPr>
            <w:tcW w:w="3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Discount for transferability</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3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w w:val="99"/>
                <w:sz w:val="20"/>
                <w:szCs w:val="20"/>
              </w:rPr>
              <w:t>restrictions and subordination</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w w:val="99"/>
                <w:sz w:val="20"/>
                <w:szCs w:val="20"/>
              </w:rPr>
              <w:t>147 basis points</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40"/>
        </w:trPr>
        <w:tc>
          <w:tcPr>
            <w:tcW w:w="3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400"/>
              <w:rPr>
                <w:rFonts w:ascii="Times New Roman" w:hAnsi="Times New Roman" w:cs="Times New Roman"/>
                <w:sz w:val="24"/>
                <w:szCs w:val="24"/>
              </w:rPr>
            </w:pPr>
            <w:r>
              <w:rPr>
                <w:rFonts w:ascii="Times" w:hAnsi="Times" w:cs="Times"/>
                <w:sz w:val="20"/>
                <w:szCs w:val="20"/>
              </w:rPr>
              <w:t>Common stock warrants . . . . . . . . . . . . . .</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7,175</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w w:val="98"/>
                <w:sz w:val="20"/>
                <w:szCs w:val="20"/>
              </w:rPr>
              <w:t>Warrant pricing model</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Discount for transferability</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3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sz w:val="20"/>
                <w:szCs w:val="20"/>
              </w:rPr>
              <w:t>and hedging restrictions</w:t>
            </w:r>
          </w:p>
        </w:tc>
        <w:tc>
          <w:tcPr>
            <w:tcW w:w="1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left="100"/>
              <w:rPr>
                <w:rFonts w:ascii="Times New Roman" w:hAnsi="Times New Roman" w:cs="Times New Roman"/>
                <w:sz w:val="24"/>
                <w:szCs w:val="24"/>
              </w:rPr>
            </w:pPr>
            <w:r>
              <w:rPr>
                <w:rFonts w:ascii="Times" w:hAnsi="Times" w:cs="Times"/>
                <w:sz w:val="20"/>
                <w:szCs w:val="20"/>
              </w:rPr>
              <w:t>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3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derivative liabilities:</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3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Equity index put options  . . . . . . . . . . . . .</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4,560</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Option pricing model</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Volatility</w:t>
            </w:r>
          </w:p>
        </w:tc>
        <w:tc>
          <w:tcPr>
            <w:tcW w:w="1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00"/>
              <w:rPr>
                <w:rFonts w:ascii="Times New Roman" w:hAnsi="Times New Roman" w:cs="Times New Roman"/>
                <w:sz w:val="24"/>
                <w:szCs w:val="24"/>
              </w:rPr>
            </w:pPr>
            <w:r>
              <w:rPr>
                <w:rFonts w:ascii="Times" w:hAnsi="Times" w:cs="Times"/>
                <w:sz w:val="20"/>
                <w:szCs w:val="20"/>
              </w:rPr>
              <w:t>21%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0"/>
        </w:trPr>
        <w:tc>
          <w:tcPr>
            <w:tcW w:w="3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Credit default municipalities  . . . . . . . . . .</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250</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Discounted cash flow</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Credit spreads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36 basis points</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6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Other investments currently consist of preferred stocks and common stock warrants that we acquired in a few relatively large private placement transactions. These investments are subject to contractual restrictions on transferability and/or provisions that</w:t>
      </w:r>
      <w:r>
        <w:rPr>
          <w:rFonts w:ascii="Times" w:hAnsi="Times" w:cs="Times"/>
          <w:sz w:val="20"/>
          <w:szCs w:val="20"/>
        </w:rPr>
        <w:t xml:space="preserve"> prevent us from economically hedging our investments. In applying discounted estimated cash flow techniques in valuing the perpetual preferred stocks, we made assumptions regarding the expected durations of the investments, as the issuers may have the rig</w:t>
      </w:r>
      <w:r>
        <w:rPr>
          <w:rFonts w:ascii="Times" w:hAnsi="Times" w:cs="Times"/>
          <w:sz w:val="20"/>
          <w:szCs w:val="20"/>
        </w:rPr>
        <w:t>ht to redeem or convert these investments. We also made estimates regarding the impact of subordination, as the preferred stocks have a lower priority in liquidation than debt instruments of the issuers, which affected the discount rates used. In valuing t</w:t>
      </w:r>
      <w:r>
        <w:rPr>
          <w:rFonts w:ascii="Times" w:hAnsi="Times" w:cs="Times"/>
          <w:sz w:val="20"/>
          <w:szCs w:val="20"/>
        </w:rPr>
        <w:t>he common stock warrants, we used a warrant valuation model. While most of the inputs to the model are observable, we are subject to the aforementioned contractual restrictions and we have applied discounts with respect to such restrictions. Increases or d</w:t>
      </w:r>
      <w:r>
        <w:rPr>
          <w:rFonts w:ascii="Times" w:hAnsi="Times" w:cs="Times"/>
          <w:sz w:val="20"/>
          <w:szCs w:val="20"/>
        </w:rPr>
        <w:t>ecreases to these inputs would result in decreases or increases to the fair values of the investments.</w:t>
      </w:r>
    </w:p>
    <w:p w:rsidR="00000000" w:rsidRDefault="00A0696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 xml:space="preserve">Our equity index put option </w:t>
      </w:r>
      <w:r>
        <w:rPr>
          <w:rFonts w:ascii="Times" w:hAnsi="Times" w:cs="Times"/>
          <w:sz w:val="20"/>
          <w:szCs w:val="20"/>
        </w:rPr>
        <w:t xml:space="preserve">and credit default contracts are illiquid and contain contract terms that are not standard in derivatives markets. For example, we are not required to post collateral under most of our contracts and many contracts have relatively long durations. For these </w:t>
      </w:r>
      <w:r>
        <w:rPr>
          <w:rFonts w:ascii="Times" w:hAnsi="Times" w:cs="Times"/>
          <w:sz w:val="20"/>
          <w:szCs w:val="20"/>
        </w:rPr>
        <w:t>and other reasons, we classified these contracts as Level 3. The methods we use to value these contracts are those that we believe market participants would use in determining exchange prices with respect to our contracts.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We value equity index put option</w:t>
      </w:r>
      <w:r>
        <w:rPr>
          <w:rFonts w:ascii="Times" w:hAnsi="Times" w:cs="Times"/>
          <w:sz w:val="20"/>
          <w:szCs w:val="20"/>
        </w:rPr>
        <w:t xml:space="preserve"> contracts based on the Black-Scholes option valuation model. Inputs to this model include current index price, contract duration, dividend and interest rate inputs (including a Berkshire non-performance input) which are observable. However, we believe tha</w:t>
      </w:r>
      <w:r>
        <w:rPr>
          <w:rFonts w:ascii="Times" w:hAnsi="Times" w:cs="Times"/>
          <w:sz w:val="20"/>
          <w:szCs w:val="20"/>
        </w:rPr>
        <w:t>t the valuation of long-duration options using any model is inherently subjective and, given the lack of observable transactions and prices, acceptable values may be subject to wide ranges. Expected volatility inputs represent our expectations, which consi</w:t>
      </w:r>
      <w:r>
        <w:rPr>
          <w:rFonts w:ascii="Times" w:hAnsi="Times" w:cs="Times"/>
          <w:sz w:val="20"/>
          <w:szCs w:val="20"/>
        </w:rPr>
        <w:t>der the remaining duration of each contract and assume that the contracts will remain outstanding until the expiration dates without offsetting transactions occurring in the interim. Increases or decreases in the volatility inputs will produce increases or</w:t>
      </w:r>
      <w:r>
        <w:rPr>
          <w:rFonts w:ascii="Times" w:hAnsi="Times" w:cs="Times"/>
          <w:sz w:val="20"/>
          <w:szCs w:val="20"/>
        </w:rPr>
        <w:t xml:space="preserve"> decreases in the fair values of the liabilities.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8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76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(19) Common stock</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rPr>
          <w:rFonts w:ascii="Times New Roman" w:hAnsi="Times New Roman" w:cs="Times New Roman"/>
          <w:sz w:val="24"/>
          <w:szCs w:val="24"/>
        </w:rPr>
      </w:pPr>
      <w:r>
        <w:rPr>
          <w:rFonts w:ascii="Times" w:hAnsi="Times" w:cs="Times"/>
          <w:sz w:val="20"/>
          <w:szCs w:val="20"/>
        </w:rPr>
        <w:t>Changes in Berkshire’</w:t>
      </w:r>
      <w:r>
        <w:rPr>
          <w:rFonts w:ascii="Times" w:hAnsi="Times" w:cs="Times"/>
          <w:sz w:val="20"/>
          <w:szCs w:val="20"/>
        </w:rPr>
        <w:t>s issued, treasury and outstanding common stock during the three years ending December 31, 2014 are shown in the table below.</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7" w:lineRule="auto"/>
        <w:ind w:firstLine="255"/>
        <w:rPr>
          <w:rFonts w:ascii="Times New Roman" w:hAnsi="Times New Roman" w:cs="Times New Roman"/>
          <w:sz w:val="24"/>
          <w:szCs w:val="24"/>
        </w:rPr>
      </w:pPr>
      <w:r>
        <w:rPr>
          <w:rFonts w:ascii="Times" w:hAnsi="Times" w:cs="Times"/>
          <w:b/>
          <w:bCs/>
          <w:sz w:val="15"/>
          <w:szCs w:val="15"/>
        </w:rPr>
        <w:t>Class A, $5 Par Value (1,650,000 shares authorized)</w:t>
      </w: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r>
        <w:rPr>
          <w:noProof/>
        </w:rPr>
        <mc:AlternateContent>
          <mc:Choice Requires="wps">
            <w:drawing>
              <wp:anchor distT="0" distB="0" distL="114300" distR="114300" simplePos="0" relativeHeight="251689984" behindDoc="1" locked="0" layoutInCell="0" allowOverlap="1">
                <wp:simplePos x="0" y="0"/>
                <wp:positionH relativeFrom="column">
                  <wp:posOffset>-165100</wp:posOffset>
                </wp:positionH>
                <wp:positionV relativeFrom="paragraph">
                  <wp:posOffset>23495</wp:posOffset>
                </wp:positionV>
                <wp:extent cx="1608455" cy="0"/>
                <wp:effectExtent l="0" t="0" r="0" b="0"/>
                <wp:wrapNone/>
                <wp:docPr id="38"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845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1.85pt" to="113.6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" o:allowincell="f" strokeweight="1pt"/>
            </w:pict>
          </mc:Fallback>
        </mc:AlternateContent>
      </w:r>
      <w:r>
        <w:rPr>
          <w:rFonts w:ascii="Times New Roman" w:hAnsi="Times New Roman" w:cs="Times New Roman"/>
          <w:sz w:val="24"/>
          <w:szCs w:val="24"/>
        </w:rPr>
        <w:br w:type="column"/>
      </w:r>
    </w:p>
    <w:p w:rsidR="00000000" w:rsidRDefault="00A06965">
      <w:pPr>
        <w:pStyle w:val="DefaultParagraphFont"/>
        <w:widowControl w:val="0"/>
        <w:overflowPunct w:val="0"/>
        <w:autoSpaceDE w:val="0"/>
        <w:autoSpaceDN w:val="0"/>
        <w:adjustRightInd w:val="0"/>
        <w:spacing w:after="0" w:line="237" w:lineRule="auto"/>
        <w:ind w:firstLine="219"/>
        <w:rPr>
          <w:rFonts w:ascii="Times New Roman" w:hAnsi="Times New Roman" w:cs="Times New Roman"/>
          <w:sz w:val="24"/>
          <w:szCs w:val="24"/>
        </w:rPr>
      </w:pPr>
      <w:r>
        <w:rPr>
          <w:rFonts w:ascii="Times" w:hAnsi="Times" w:cs="Times"/>
          <w:b/>
          <w:bCs/>
          <w:sz w:val="15"/>
          <w:szCs w:val="15"/>
        </w:rPr>
        <w:t>Class B, $0.0033 Par Value (3,225,000,000 shares auth</w:t>
      </w:r>
      <w:r>
        <w:rPr>
          <w:rFonts w:ascii="Times" w:hAnsi="Times" w:cs="Times"/>
          <w:b/>
          <w:bCs/>
          <w:sz w:val="15"/>
          <w:szCs w:val="15"/>
        </w:rPr>
        <w:t>orized)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1600" w:bottom="523" w:left="5240" w:header="720" w:footer="720" w:gutter="0"/>
          <w:cols w:num="2" w:space="1120" w:equalWidth="0">
            <w:col w:w="2000" w:space="1120"/>
            <w:col w:w="2280"/>
          </w:cols>
          <w:noEndnote/>
        </w:sectPr>
      </w:pPr>
      <w:r>
        <w:rPr>
          <w:noProof/>
        </w:rPr>
        <mc:AlternateContent>
          <mc:Choice Requires="wps">
            <w:drawing>
              <wp:anchor distT="0" distB="0" distL="114300" distR="114300" simplePos="0" relativeHeight="251691008" behindDoc="1" locked="0" layoutInCell="0" allowOverlap="1">
                <wp:simplePos x="0" y="0"/>
                <wp:positionH relativeFrom="column">
                  <wp:posOffset>-410845</wp:posOffset>
                </wp:positionH>
                <wp:positionV relativeFrom="paragraph">
                  <wp:posOffset>23495</wp:posOffset>
                </wp:positionV>
                <wp:extent cx="2265045" cy="0"/>
                <wp:effectExtent l="0" t="0" r="0" b="0"/>
                <wp:wrapNone/>
                <wp:docPr id="3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504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5pt,1.85pt" to="14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" o:allowincell="f" strokeweight="1pt"/>
            </w:pict>
          </mc:Fallback>
        </mc:AlternateContent>
      </w:r>
    </w:p>
    <w:p w:rsidR="00000000" w:rsidRDefault="00A06965">
      <w:pPr>
        <w:pStyle w:val="DefaultParagraphFont"/>
        <w:widowControl w:val="0"/>
        <w:autoSpaceDE w:val="0"/>
        <w:autoSpaceDN w:val="0"/>
        <w:adjustRightInd w:val="0"/>
        <w:spacing w:after="0" w:line="5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4020"/>
        <w:gridCol w:w="660"/>
        <w:gridCol w:w="200"/>
        <w:gridCol w:w="620"/>
        <w:gridCol w:w="20"/>
        <w:gridCol w:w="180"/>
        <w:gridCol w:w="100"/>
        <w:gridCol w:w="660"/>
        <w:gridCol w:w="100"/>
        <w:gridCol w:w="200"/>
        <w:gridCol w:w="1140"/>
        <w:gridCol w:w="200"/>
        <w:gridCol w:w="880"/>
        <w:gridCol w:w="200"/>
        <w:gridCol w:w="1140"/>
        <w:gridCol w:w="60"/>
      </w:tblGrid>
      <w:tr w:rsidR="00000000">
        <w:tblPrEx>
          <w:tblCellMar>
            <w:top w:w="0" w:type="dxa"/>
            <w:left w:w="0" w:type="dxa"/>
            <w:bottom w:w="0" w:type="dxa"/>
            <w:right w:w="0" w:type="dxa"/>
          </w:tblCellMar>
        </w:tblPrEx>
        <w:trPr>
          <w:trHeight w:val="184"/>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20"/>
              <w:jc w:val="right"/>
              <w:rPr>
                <w:rFonts w:ascii="Times New Roman" w:hAnsi="Times New Roman" w:cs="Times New Roman"/>
                <w:sz w:val="24"/>
                <w:szCs w:val="24"/>
              </w:rPr>
            </w:pPr>
            <w:r>
              <w:rPr>
                <w:rFonts w:ascii="Times" w:hAnsi="Times" w:cs="Times"/>
                <w:b/>
                <w:bCs/>
                <w:sz w:val="16"/>
                <w:szCs w:val="16"/>
              </w:rPr>
              <w:t>Issued</w:t>
            </w: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w:hAnsi="Times" w:cs="Times"/>
                <w:b/>
                <w:bCs/>
                <w:w w:val="95"/>
                <w:sz w:val="16"/>
                <w:szCs w:val="16"/>
              </w:rPr>
              <w:t>Treasury</w:t>
            </w:r>
          </w:p>
        </w:tc>
        <w:tc>
          <w:tcPr>
            <w:tcW w:w="10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Outstanding</w:t>
            </w: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62"/>
              <w:jc w:val="right"/>
              <w:rPr>
                <w:rFonts w:ascii="Times New Roman" w:hAnsi="Times New Roman" w:cs="Times New Roman"/>
                <w:sz w:val="24"/>
                <w:szCs w:val="24"/>
              </w:rPr>
            </w:pPr>
            <w:r>
              <w:rPr>
                <w:rFonts w:ascii="Times" w:hAnsi="Times" w:cs="Times"/>
                <w:b/>
                <w:bCs/>
                <w:sz w:val="16"/>
                <w:szCs w:val="16"/>
              </w:rPr>
              <w:t>Issued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20"/>
              <w:jc w:val="right"/>
              <w:rPr>
                <w:rFonts w:ascii="Times New Roman" w:hAnsi="Times New Roman" w:cs="Times New Roman"/>
                <w:sz w:val="24"/>
                <w:szCs w:val="24"/>
              </w:rPr>
            </w:pPr>
            <w:r>
              <w:rPr>
                <w:rFonts w:ascii="Times" w:hAnsi="Times" w:cs="Times"/>
                <w:b/>
                <w:bCs/>
                <w:sz w:val="16"/>
                <w:szCs w:val="16"/>
              </w:rPr>
              <w:t>Treasury</w:t>
            </w:r>
          </w:p>
        </w:tc>
        <w:tc>
          <w:tcPr>
            <w:tcW w:w="1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w:hAnsi="Times" w:cs="Times"/>
                <w:b/>
                <w:bCs/>
                <w:sz w:val="16"/>
                <w:szCs w:val="16"/>
              </w:rPr>
              <w:t>Outstanding</w:t>
            </w:r>
          </w:p>
        </w:tc>
      </w:tr>
      <w:tr w:rsidR="00000000">
        <w:tblPrEx>
          <w:tblCellMar>
            <w:top w:w="0" w:type="dxa"/>
            <w:left w:w="0" w:type="dxa"/>
            <w:bottom w:w="0" w:type="dxa"/>
            <w:right w:w="0" w:type="dxa"/>
          </w:tblCellMar>
        </w:tblPrEx>
        <w:trPr>
          <w:trHeight w:val="26"/>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December 31, 2011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938,342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(98)</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938,244</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1,069,645,361</w:t>
            </w:r>
          </w:p>
        </w:tc>
        <w:tc>
          <w:tcPr>
            <w:tcW w:w="12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(801,985)</w:t>
            </w: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1,068,843,376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Conversions of Class A common stock to</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sz w:val="20"/>
                <w:szCs w:val="20"/>
              </w:rPr>
              <w:t>Class B common stock and exercises of</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sz w:val="20"/>
                <w:szCs w:val="20"/>
              </w:rPr>
              <w:t>replacement stock options issued in a</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sz w:val="20"/>
                <w:szCs w:val="20"/>
              </w:rPr>
              <w:t>business acquisition . .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(33,814)</w:t>
            </w: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sz w:val="20"/>
                <w:szCs w:val="20"/>
              </w:rPr>
              <w:t>—</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w:hAnsi="Times" w:cs="Times"/>
                <w:sz w:val="20"/>
                <w:szCs w:val="20"/>
              </w:rPr>
              <w:t>(33,814)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53,748,595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sz w:val="20"/>
                <w:szCs w:val="20"/>
              </w:rPr>
              <w:t>—</w:t>
            </w: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53,748,595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Treasury shares acquired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sz w:val="20"/>
                <w:szCs w:val="20"/>
              </w:rPr>
              <w:t>—</w:t>
            </w: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(9,475)</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w:hAnsi="Times" w:cs="Times"/>
                <w:sz w:val="20"/>
                <w:szCs w:val="20"/>
              </w:rPr>
              <w:t>(9,475)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
              <w:jc w:val="right"/>
              <w:rPr>
                <w:rFonts w:ascii="Times New Roman" w:hAnsi="Times New Roman" w:cs="Times New Roman"/>
                <w:sz w:val="24"/>
                <w:szCs w:val="24"/>
              </w:rPr>
            </w:pPr>
            <w:r>
              <w:rPr>
                <w:rFonts w:ascii="Times" w:hAnsi="Times" w:cs="Times"/>
                <w:sz w:val="20"/>
                <w:szCs w:val="20"/>
              </w:rPr>
              <w:t>—</w:t>
            </w:r>
          </w:p>
        </w:tc>
        <w:tc>
          <w:tcPr>
            <w:tcW w:w="12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(606,499)</w:t>
            </w:r>
          </w:p>
        </w:tc>
        <w:tc>
          <w:tcPr>
            <w:tcW w:w="1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(606,499)</w:t>
            </w:r>
          </w:p>
        </w:tc>
      </w:tr>
      <w:tr w:rsidR="00000000">
        <w:tblPrEx>
          <w:tblCellMar>
            <w:top w:w="0" w:type="dxa"/>
            <w:left w:w="0" w:type="dxa"/>
            <w:bottom w:w="0" w:type="dxa"/>
            <w:right w:w="0" w:type="dxa"/>
          </w:tblCellMar>
        </w:tblPrEx>
        <w:trPr>
          <w:trHeight w:val="28"/>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December 31, 2012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904,528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(9,573)</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894,955</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1,123,393,956</w:t>
            </w:r>
          </w:p>
        </w:tc>
        <w:tc>
          <w:tcPr>
            <w:tcW w:w="12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(1,408,484)</w:t>
            </w: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1,121,985,472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Conversions of Class A common stock to</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sz w:val="20"/>
                <w:szCs w:val="20"/>
              </w:rPr>
              <w:t>Class B common stock and exercises of</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sz w:val="20"/>
                <w:szCs w:val="20"/>
              </w:rPr>
              <w:t>replacement stock options issued in a</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w:hAnsi="Times" w:cs="Times"/>
                <w:sz w:val="20"/>
                <w:szCs w:val="20"/>
              </w:rPr>
              <w:t>business acquisition . .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40"/>
              <w:jc w:val="right"/>
              <w:rPr>
                <w:rFonts w:ascii="Times New Roman" w:hAnsi="Times New Roman" w:cs="Times New Roman"/>
                <w:sz w:val="24"/>
                <w:szCs w:val="24"/>
              </w:rPr>
            </w:pPr>
            <w:r>
              <w:rPr>
                <w:rFonts w:ascii="Times" w:hAnsi="Times" w:cs="Times"/>
                <w:sz w:val="20"/>
                <w:szCs w:val="20"/>
              </w:rPr>
              <w:t>(35,912)</w:t>
            </w: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w:hAnsi="Times" w:cs="Times"/>
                <w:sz w:val="20"/>
                <w:szCs w:val="20"/>
              </w:rPr>
              <w:t>—</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sz w:val="20"/>
                <w:szCs w:val="20"/>
              </w:rPr>
              <w:t>(35,912)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55,381,136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w:hAnsi="Times" w:cs="Times"/>
                <w:sz w:val="20"/>
                <w:szCs w:val="20"/>
              </w:rPr>
              <w:t>—</w:t>
            </w: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55,381,136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December 31, 2013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868,616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(9,573)</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859,043</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1,178,775,092</w:t>
            </w:r>
          </w:p>
        </w:tc>
        <w:tc>
          <w:tcPr>
            <w:tcW w:w="12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(1,408,484)</w:t>
            </w: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1,177,366,608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Conversions of Class A common stock to</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sz w:val="20"/>
                <w:szCs w:val="20"/>
              </w:rPr>
              <w:t>Class B common stock and exercises of</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sz w:val="20"/>
                <w:szCs w:val="20"/>
              </w:rPr>
              <w:t>replacement stock options issued in a</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sz w:val="20"/>
                <w:szCs w:val="20"/>
              </w:rPr>
              <w:t>business acquisition . .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(30,597)</w:t>
            </w: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sz w:val="20"/>
                <w:szCs w:val="20"/>
              </w:rPr>
              <w:t>—</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w:hAnsi="Times" w:cs="Times"/>
                <w:sz w:val="20"/>
                <w:szCs w:val="20"/>
              </w:rPr>
              <w:t>(30,597)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47,490,158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sz w:val="20"/>
                <w:szCs w:val="20"/>
              </w:rPr>
              <w:t>—</w:t>
            </w: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47,490,158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Treasury</w:t>
            </w:r>
            <w:r>
              <w:rPr>
                <w:rFonts w:ascii="Times" w:hAnsi="Times" w:cs="Times"/>
                <w:sz w:val="20"/>
                <w:szCs w:val="20"/>
              </w:rPr>
              <w:t xml:space="preserve"> shares acquired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sz w:val="20"/>
                <w:szCs w:val="20"/>
              </w:rPr>
              <w:t>—</w:t>
            </w: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(2,107)</w:t>
            </w: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w:hAnsi="Times" w:cs="Times"/>
                <w:sz w:val="20"/>
                <w:szCs w:val="20"/>
              </w:rPr>
              <w:t>(2,107)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
              <w:jc w:val="right"/>
              <w:rPr>
                <w:rFonts w:ascii="Times New Roman" w:hAnsi="Times New Roman" w:cs="Times New Roman"/>
                <w:sz w:val="24"/>
                <w:szCs w:val="24"/>
              </w:rPr>
            </w:pPr>
            <w:r>
              <w:rPr>
                <w:rFonts w:ascii="Times" w:hAnsi="Times" w:cs="Times"/>
                <w:sz w:val="20"/>
                <w:szCs w:val="20"/>
              </w:rPr>
              <w:t>—</w:t>
            </w:r>
          </w:p>
        </w:tc>
        <w:tc>
          <w:tcPr>
            <w:tcW w:w="12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(1,278)</w:t>
            </w:r>
          </w:p>
        </w:tc>
        <w:tc>
          <w:tcPr>
            <w:tcW w:w="1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(1,278)</w:t>
            </w:r>
          </w:p>
        </w:tc>
      </w:tr>
      <w:tr w:rsidR="00000000">
        <w:tblPrEx>
          <w:tblCellMar>
            <w:top w:w="0" w:type="dxa"/>
            <w:left w:w="0" w:type="dxa"/>
            <w:bottom w:w="0" w:type="dxa"/>
            <w:right w:w="0" w:type="dxa"/>
          </w:tblCellMar>
        </w:tblPrEx>
        <w:trPr>
          <w:trHeight w:val="28"/>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December 31, 2014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838,019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w w:val="96"/>
                <w:sz w:val="20"/>
                <w:szCs w:val="20"/>
              </w:rPr>
              <w:t>(11,680)</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826,339</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1,226,265,250</w:t>
            </w:r>
          </w:p>
        </w:tc>
        <w:tc>
          <w:tcPr>
            <w:tcW w:w="12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(1,409,762)</w:t>
            </w:r>
          </w:p>
        </w:tc>
        <w:tc>
          <w:tcPr>
            <w:tcW w:w="1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1,224,855,488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4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Each Class A common share is entitled to one vote per share. Class B common stock possesses dividend and distribution rights equal to one-fifteen-hundredth</w:t>
      </w:r>
      <w:r>
        <w:rPr>
          <w:rFonts w:ascii="Times" w:hAnsi="Times" w:cs="Times"/>
          <w:sz w:val="20"/>
          <w:szCs w:val="20"/>
        </w:rPr>
        <w:t xml:space="preserve"> (1/1,500) of such rights of Class A common stock. Each Class B common share possesses voting rights equivalent to one-ten-thousandth (1/10,000) of the voting rights of a Class A share. Unless otherwise required under Delaware General Corporation Law, Clas</w:t>
      </w:r>
      <w:r>
        <w:rPr>
          <w:rFonts w:ascii="Times" w:hAnsi="Times" w:cs="Times"/>
          <w:sz w:val="20"/>
          <w:szCs w:val="20"/>
        </w:rPr>
        <w:t>s A and Class B common shares vote as a single class. Each share of Class A common stock is convertible, at the option of the holder, into 1,500 shares of Class B common stock. Class B common stock is not convertible into Class A common stock. On an equiva</w:t>
      </w:r>
      <w:r>
        <w:rPr>
          <w:rFonts w:ascii="Times" w:hAnsi="Times" w:cs="Times"/>
          <w:sz w:val="20"/>
          <w:szCs w:val="20"/>
        </w:rPr>
        <w:t>lent Class A common stock basis, there were 1,642,909 shares outstanding as of December 31, 2014 and 1,643,954 shares outstanding as of December 31, 2013. In addition to our common stock, 1,000,000 shares of preferred stock are authorized, but none are iss</w:t>
      </w:r>
      <w:r>
        <w:rPr>
          <w:rFonts w:ascii="Times" w:hAnsi="Times" w:cs="Times"/>
          <w:sz w:val="20"/>
          <w:szCs w:val="20"/>
        </w:rPr>
        <w:t>ued and outstanding.</w:t>
      </w:r>
    </w:p>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right="60" w:firstLine="400"/>
        <w:jc w:val="both"/>
        <w:rPr>
          <w:rFonts w:ascii="Times New Roman" w:hAnsi="Times New Roman" w:cs="Times New Roman"/>
          <w:sz w:val="24"/>
          <w:szCs w:val="24"/>
        </w:rPr>
      </w:pPr>
      <w:r>
        <w:rPr>
          <w:rFonts w:ascii="Times" w:hAnsi="Times" w:cs="Times"/>
          <w:sz w:val="20"/>
          <w:szCs w:val="20"/>
        </w:rPr>
        <w:t xml:space="preserve">Berkshire’s Board of Directors (“Berkshire’s Board”) has approved a common stock repurchase program under which Berkshire may repurchase its Class A and Class B shares at prices no higher than a 20% premium over the book value of the </w:t>
      </w:r>
      <w:r>
        <w:rPr>
          <w:rFonts w:ascii="Times" w:hAnsi="Times" w:cs="Times"/>
          <w:sz w:val="20"/>
          <w:szCs w:val="20"/>
        </w:rPr>
        <w:t>shares. Berkshire may repurchase shares in the open market or through privately negotiated transactions. Berkshire’s Board authorization does not specify a maximum number of shares to be repurchased. However, repurchases will not be made if they would redu</w:t>
      </w:r>
      <w:r>
        <w:rPr>
          <w:rFonts w:ascii="Times" w:hAnsi="Times" w:cs="Times"/>
          <w:sz w:val="20"/>
          <w:szCs w:val="20"/>
        </w:rPr>
        <w:t>ce Berkshire’s consolidated cash and cash equivalent holdings below $20 billion. The repurchase program does not obligate Berkshire to repurchase any dollar amount or number of Class A or Class B shares and there is no expiration date to the program. There</w:t>
      </w:r>
      <w:r>
        <w:rPr>
          <w:rFonts w:ascii="Times" w:hAnsi="Times" w:cs="Times"/>
          <w:sz w:val="20"/>
          <w:szCs w:val="20"/>
        </w:rPr>
        <w:t xml:space="preserve"> were no share repurchases under the program in 2014. However, on June 30, 2014, we exchanged approximately 1.62 million shares of GHC common stock for WPLG, whose assets included 2,107 shares of Berkshire Hathaway Class A Common Stock and 1,278 shares of </w:t>
      </w:r>
      <w:r>
        <w:rPr>
          <w:rFonts w:ascii="Times" w:hAnsi="Times" w:cs="Times"/>
          <w:sz w:val="20"/>
          <w:szCs w:val="20"/>
        </w:rPr>
        <w:t>Class B Common Stock. The Berkshire shares are reflected as treasury stock in our Consolidated Financial Statements.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900" w:bottom="523" w:left="960" w:header="720" w:footer="720" w:gutter="0"/>
          <w:cols w:space="1120" w:equalWidth="0">
            <w:col w:w="10380" w:space="11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77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1120" w:equalWidth="0">
            <w:col w:w="200" w:space="112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(20) Accumulated other comprehensive income</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A summary of the net changes in after-tax accumulated other comprehensive income attributable to Berkshire Hathaway shareholders for each of the three years ending December 31, 2014 and significant amounts recla</w:t>
      </w:r>
      <w:r>
        <w:rPr>
          <w:rFonts w:ascii="Times" w:hAnsi="Times" w:cs="Times"/>
          <w:sz w:val="20"/>
          <w:szCs w:val="20"/>
        </w:rPr>
        <w:t>ssified out of accumulated other comprehensive income for each of the years ending December 31, 2014 and 2013 follows (in millions).</w:t>
      </w:r>
    </w:p>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240"/>
        <w:gridCol w:w="220"/>
        <w:gridCol w:w="640"/>
        <w:gridCol w:w="240"/>
        <w:gridCol w:w="200"/>
        <w:gridCol w:w="60"/>
        <w:gridCol w:w="100"/>
        <w:gridCol w:w="520"/>
        <w:gridCol w:w="60"/>
        <w:gridCol w:w="200"/>
        <w:gridCol w:w="200"/>
        <w:gridCol w:w="100"/>
        <w:gridCol w:w="520"/>
        <w:gridCol w:w="200"/>
        <w:gridCol w:w="200"/>
        <w:gridCol w:w="100"/>
        <w:gridCol w:w="300"/>
        <w:gridCol w:w="20"/>
        <w:gridCol w:w="180"/>
        <w:gridCol w:w="180"/>
        <w:gridCol w:w="660"/>
        <w:gridCol w:w="180"/>
        <w:gridCol w:w="20"/>
      </w:tblGrid>
      <w:tr w:rsidR="00000000">
        <w:tblPrEx>
          <w:tblCellMar>
            <w:top w:w="0" w:type="dxa"/>
            <w:left w:w="0" w:type="dxa"/>
            <w:bottom w:w="0" w:type="dxa"/>
            <w:right w:w="0" w:type="dxa"/>
          </w:tblCellMar>
        </w:tblPrEx>
        <w:trPr>
          <w:trHeight w:val="184"/>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2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20"/>
              <w:jc w:val="center"/>
              <w:rPr>
                <w:rFonts w:ascii="Times New Roman" w:hAnsi="Times New Roman" w:cs="Times New Roman"/>
                <w:sz w:val="24"/>
                <w:szCs w:val="24"/>
              </w:rPr>
            </w:pPr>
            <w:r>
              <w:rPr>
                <w:rFonts w:ascii="Times" w:hAnsi="Times" w:cs="Times"/>
                <w:b/>
                <w:bCs/>
                <w:sz w:val="16"/>
                <w:szCs w:val="16"/>
              </w:rPr>
              <w:t>Prior service</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2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20"/>
              <w:jc w:val="center"/>
              <w:rPr>
                <w:rFonts w:ascii="Times New Roman" w:hAnsi="Times New Roman" w:cs="Times New Roman"/>
                <w:sz w:val="24"/>
                <w:szCs w:val="24"/>
              </w:rPr>
            </w:pPr>
            <w:r>
              <w:rPr>
                <w:rFonts w:ascii="Times" w:hAnsi="Times" w:cs="Times"/>
                <w:b/>
                <w:bCs/>
                <w:sz w:val="16"/>
                <w:szCs w:val="16"/>
              </w:rPr>
              <w:t>and actuarial</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w w:val="99"/>
                <w:sz w:val="16"/>
                <w:szCs w:val="16"/>
              </w:rPr>
              <w:t>Accumulated</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3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20"/>
              <w:jc w:val="center"/>
              <w:rPr>
                <w:rFonts w:ascii="Times New Roman" w:hAnsi="Times New Roman" w:cs="Times New Roman"/>
                <w:sz w:val="24"/>
                <w:szCs w:val="24"/>
              </w:rPr>
            </w:pPr>
            <w:r>
              <w:rPr>
                <w:rFonts w:ascii="Times" w:hAnsi="Times" w:cs="Times"/>
                <w:b/>
                <w:bCs/>
                <w:sz w:val="16"/>
                <w:szCs w:val="16"/>
              </w:rPr>
              <w:t>Unrealized</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8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80"/>
              <w:jc w:val="center"/>
              <w:rPr>
                <w:rFonts w:ascii="Times New Roman" w:hAnsi="Times New Roman" w:cs="Times New Roman"/>
                <w:sz w:val="24"/>
                <w:szCs w:val="24"/>
              </w:rPr>
            </w:pPr>
            <w:r>
              <w:rPr>
                <w:rFonts w:ascii="Times" w:hAnsi="Times" w:cs="Times"/>
                <w:b/>
                <w:bCs/>
                <w:w w:val="97"/>
                <w:sz w:val="16"/>
                <w:szCs w:val="16"/>
              </w:rPr>
              <w:t>Foreign</w:t>
            </w:r>
          </w:p>
        </w:tc>
        <w:tc>
          <w:tcPr>
            <w:tcW w:w="122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20"/>
              <w:jc w:val="center"/>
              <w:rPr>
                <w:rFonts w:ascii="Times New Roman" w:hAnsi="Times New Roman" w:cs="Times New Roman"/>
                <w:sz w:val="24"/>
                <w:szCs w:val="24"/>
              </w:rPr>
            </w:pPr>
            <w:r>
              <w:rPr>
                <w:rFonts w:ascii="Times" w:hAnsi="Times" w:cs="Times"/>
                <w:b/>
                <w:bCs/>
                <w:sz w:val="16"/>
                <w:szCs w:val="16"/>
              </w:rPr>
              <w:t>gains/losses of</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180"/>
              <w:jc w:val="center"/>
              <w:rPr>
                <w:rFonts w:ascii="Times New Roman" w:hAnsi="Times New Roman" w:cs="Times New Roman"/>
                <w:sz w:val="24"/>
                <w:szCs w:val="24"/>
              </w:rPr>
            </w:pPr>
            <w:r>
              <w:rPr>
                <w:rFonts w:ascii="Times" w:hAnsi="Times" w:cs="Times"/>
                <w:b/>
                <w:bCs/>
                <w:sz w:val="16"/>
                <w:szCs w:val="16"/>
              </w:rPr>
              <w:t>other</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3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20"/>
              <w:jc w:val="center"/>
              <w:rPr>
                <w:rFonts w:ascii="Times New Roman" w:hAnsi="Times New Roman" w:cs="Times New Roman"/>
                <w:sz w:val="24"/>
                <w:szCs w:val="24"/>
              </w:rPr>
            </w:pPr>
            <w:r>
              <w:rPr>
                <w:rFonts w:ascii="Times" w:hAnsi="Times" w:cs="Times"/>
                <w:b/>
                <w:bCs/>
                <w:sz w:val="16"/>
                <w:szCs w:val="16"/>
              </w:rPr>
              <w:t>appreciation of</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8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rPr>
                <w:rFonts w:ascii="Times New Roman" w:hAnsi="Times New Roman" w:cs="Times New Roman"/>
                <w:sz w:val="24"/>
                <w:szCs w:val="24"/>
              </w:rPr>
            </w:pPr>
            <w:r>
              <w:rPr>
                <w:rFonts w:ascii="Times" w:hAnsi="Times" w:cs="Times"/>
                <w:b/>
                <w:bCs/>
                <w:sz w:val="16"/>
                <w:szCs w:val="16"/>
              </w:rPr>
              <w:t>currency</w:t>
            </w:r>
          </w:p>
        </w:tc>
        <w:tc>
          <w:tcPr>
            <w:tcW w:w="122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0"/>
              <w:jc w:val="center"/>
              <w:rPr>
                <w:rFonts w:ascii="Times New Roman" w:hAnsi="Times New Roman" w:cs="Times New Roman"/>
                <w:sz w:val="24"/>
                <w:szCs w:val="24"/>
              </w:rPr>
            </w:pPr>
            <w:r>
              <w:rPr>
                <w:rFonts w:ascii="Times" w:hAnsi="Times" w:cs="Times"/>
                <w:b/>
                <w:bCs/>
                <w:sz w:val="16"/>
                <w:szCs w:val="16"/>
              </w:rPr>
              <w:t>defined benefit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w w:val="99"/>
                <w:sz w:val="16"/>
                <w:szCs w:val="16"/>
              </w:rPr>
              <w:t>comprehensive</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3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00"/>
              <w:jc w:val="center"/>
              <w:rPr>
                <w:rFonts w:ascii="Times New Roman" w:hAnsi="Times New Roman" w:cs="Times New Roman"/>
                <w:sz w:val="24"/>
                <w:szCs w:val="24"/>
              </w:rPr>
            </w:pPr>
            <w:r>
              <w:rPr>
                <w:rFonts w:ascii="Times" w:hAnsi="Times" w:cs="Times"/>
                <w:b/>
                <w:bCs/>
                <w:w w:val="99"/>
                <w:sz w:val="16"/>
                <w:szCs w:val="16"/>
              </w:rPr>
              <w:t>investments, net</w:t>
            </w:r>
          </w:p>
        </w:tc>
        <w:tc>
          <w:tcPr>
            <w:tcW w:w="9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00"/>
              <w:jc w:val="center"/>
              <w:rPr>
                <w:rFonts w:ascii="Times New Roman" w:hAnsi="Times New Roman" w:cs="Times New Roman"/>
                <w:sz w:val="24"/>
                <w:szCs w:val="24"/>
              </w:rPr>
            </w:pPr>
            <w:r>
              <w:rPr>
                <w:rFonts w:ascii="Times" w:hAnsi="Times" w:cs="Times"/>
                <w:b/>
                <w:bCs/>
                <w:w w:val="99"/>
                <w:sz w:val="16"/>
                <w:szCs w:val="16"/>
              </w:rPr>
              <w:t>translation</w:t>
            </w:r>
          </w:p>
        </w:tc>
        <w:tc>
          <w:tcPr>
            <w:tcW w:w="122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20"/>
              <w:jc w:val="center"/>
              <w:rPr>
                <w:rFonts w:ascii="Times New Roman" w:hAnsi="Times New Roman" w:cs="Times New Roman"/>
                <w:sz w:val="24"/>
                <w:szCs w:val="24"/>
              </w:rPr>
            </w:pPr>
            <w:r>
              <w:rPr>
                <w:rFonts w:ascii="Times" w:hAnsi="Times" w:cs="Times"/>
                <w:b/>
                <w:bCs/>
                <w:w w:val="98"/>
                <w:sz w:val="16"/>
                <w:szCs w:val="16"/>
              </w:rPr>
              <w:t>pension plans</w:t>
            </w:r>
          </w:p>
        </w:tc>
        <w:tc>
          <w:tcPr>
            <w:tcW w:w="6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r>
              <w:rPr>
                <w:rFonts w:ascii="Times" w:hAnsi="Times" w:cs="Times"/>
                <w:b/>
                <w:bCs/>
                <w:sz w:val="16"/>
                <w:szCs w:val="16"/>
              </w:rPr>
              <w:t>Other</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180"/>
              <w:jc w:val="center"/>
              <w:rPr>
                <w:rFonts w:ascii="Times New Roman" w:hAnsi="Times New Roman" w:cs="Times New Roman"/>
                <w:sz w:val="24"/>
                <w:szCs w:val="24"/>
              </w:rPr>
            </w:pPr>
            <w:r>
              <w:rPr>
                <w:rFonts w:ascii="Times" w:hAnsi="Times" w:cs="Times"/>
                <w:b/>
                <w:bCs/>
                <w:sz w:val="16"/>
                <w:szCs w:val="16"/>
              </w:rPr>
              <w:t>income</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December 31, 2011 . . . . . . .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$19,626</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60"/>
              <w:rPr>
                <w:rFonts w:ascii="Times New Roman" w:hAnsi="Times New Roman" w:cs="Times New Roman"/>
                <w:sz w:val="24"/>
                <w:szCs w:val="24"/>
              </w:rPr>
            </w:pPr>
            <w:r>
              <w:rPr>
                <w:rFonts w:ascii="Times" w:hAnsi="Times" w:cs="Times"/>
                <w:w w:val="79"/>
                <w:sz w:val="20"/>
                <w:szCs w:val="20"/>
              </w:rPr>
              <w:t>$</w:t>
            </w: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(383)</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w w:val="95"/>
                <w:sz w:val="20"/>
                <w:szCs w:val="20"/>
              </w:rPr>
              <w:t>(1,589)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w w:val="89"/>
                <w:sz w:val="20"/>
                <w:szCs w:val="20"/>
              </w:rPr>
              <w:t>—</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$17,654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comprehensive income, net . . . . .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9,647</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(47)</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9,846</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Transactions with noncontrolling interests . . . . . . . . . . . . . . . .</w:t>
            </w: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(19)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9,628</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9,846</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Balance at December 31, 2012 . . . . . . .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29,254</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(120)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w w:val="95"/>
                <w:sz w:val="20"/>
                <w:szCs w:val="20"/>
              </w:rPr>
              <w:t>(1,601)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27,500</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comprehensive income, net before reclassifications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16,379</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1,534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106</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18,044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Reclassifications from accumulated other comprehensive</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w:hAnsi="Times" w:cs="Times"/>
                <w:sz w:val="20"/>
                <w:szCs w:val="20"/>
              </w:rPr>
              <w:t>income . . . . . . . . . . . . . . . . . . . . . . . . . . . . . . . . . . . . . . . . . .</w:t>
            </w: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w:hAnsi="Times" w:cs="Times"/>
                <w:sz w:val="20"/>
                <w:szCs w:val="20"/>
              </w:rPr>
              <w:t>(1,591)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w:hAnsi="Times" w:cs="Times"/>
                <w:sz w:val="20"/>
                <w:szCs w:val="20"/>
              </w:rPr>
              <w:t>(31)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10</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sz w:val="20"/>
                <w:szCs w:val="20"/>
              </w:rPr>
              <w:t>(1,498)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Transactions with noncontrolling interests . . . . . . . . . . . . . . . .</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(20)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w w:val="89"/>
                <w:sz w:val="20"/>
                <w:szCs w:val="20"/>
              </w:rPr>
              <w:t>—</w:t>
            </w: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(21)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14,788</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(26)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1,647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116</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16,525</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Balance at December 31, 2013 . . . . . . .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44,042</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(146)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83</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44,025</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Other comprehensive income, net before reclassifications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3,778</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w w:val="95"/>
                <w:sz w:val="20"/>
                <w:szCs w:val="20"/>
              </w:rPr>
              <w:t>(1,877)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w w:val="95"/>
                <w:sz w:val="20"/>
                <w:szCs w:val="20"/>
              </w:rPr>
              <w:t>(1,130)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802</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Reclassifications from accumulated other comprehensive</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income . . . . . . . . . . . . . . . . . . . . . . . . . . . . . . . . . . . . . . . . . .</w:t>
            </w: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(2,184)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(22)</w:t>
            </w: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(2,095)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1,594</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w w:val="95"/>
                <w:sz w:val="20"/>
                <w:szCs w:val="20"/>
              </w:rPr>
              <w:t>(1,811)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w w:val="95"/>
                <w:sz w:val="20"/>
                <w:szCs w:val="20"/>
              </w:rPr>
              <w:t>(1,085)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(1,293)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Balance at December 31, 2014 . . . . . . . . . . . . . . . . . . . . . . . . .</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$45,636</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60"/>
              <w:rPr>
                <w:rFonts w:ascii="Times New Roman" w:hAnsi="Times New Roman" w:cs="Times New Roman"/>
                <w:sz w:val="24"/>
                <w:szCs w:val="24"/>
              </w:rPr>
            </w:pPr>
            <w:r>
              <w:rPr>
                <w:rFonts w:ascii="Times" w:hAnsi="Times" w:cs="Times"/>
                <w:w w:val="79"/>
                <w:sz w:val="20"/>
                <w:szCs w:val="20"/>
              </w:rPr>
              <w:t>$</w:t>
            </w: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w w:val="95"/>
                <w:sz w:val="20"/>
                <w:szCs w:val="20"/>
              </w:rPr>
              <w:t>(1,957)</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w w:val="95"/>
                <w:sz w:val="20"/>
                <w:szCs w:val="20"/>
              </w:rPr>
              <w:t>(1,039)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92</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$42,732</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Reclassifications from other comprehensive income into net</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2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960"/>
              <w:jc w:val="right"/>
              <w:rPr>
                <w:rFonts w:ascii="Times New Roman" w:hAnsi="Times New Roman" w:cs="Times New Roman"/>
                <w:sz w:val="24"/>
                <w:szCs w:val="24"/>
              </w:rPr>
            </w:pPr>
            <w:r>
              <w:rPr>
                <w:rFonts w:ascii="Times" w:hAnsi="Times" w:cs="Times"/>
                <w:sz w:val="20"/>
                <w:szCs w:val="20"/>
              </w:rPr>
              <w:t>earnings are included on the following line items:</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80"/>
              <w:jc w:val="right"/>
              <w:rPr>
                <w:rFonts w:ascii="Times New Roman" w:hAnsi="Times New Roman" w:cs="Times New Roman"/>
                <w:sz w:val="24"/>
                <w:szCs w:val="24"/>
              </w:rPr>
            </w:pPr>
            <w:r>
              <w:rPr>
                <w:rFonts w:ascii="Times" w:hAnsi="Times" w:cs="Times"/>
                <w:sz w:val="20"/>
                <w:szCs w:val="20"/>
              </w:rPr>
              <w:t>Year ending December 31, 2013:</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380"/>
              <w:jc w:val="right"/>
              <w:rPr>
                <w:rFonts w:ascii="Times New Roman" w:hAnsi="Times New Roman" w:cs="Times New Roman"/>
                <w:sz w:val="24"/>
                <w:szCs w:val="24"/>
              </w:rPr>
            </w:pPr>
            <w:r>
              <w:rPr>
                <w:rFonts w:ascii="Times" w:hAnsi="Times" w:cs="Times"/>
                <w:sz w:val="20"/>
                <w:szCs w:val="20"/>
              </w:rPr>
              <w:t>Investment gains/losses:</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Insurance and other . . . . . . . . . . . . . . . . . . . . . .</w:t>
            </w: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 (2,382)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60"/>
              <w:rPr>
                <w:rFonts w:ascii="Times New Roman" w:hAnsi="Times New Roman" w:cs="Times New Roman"/>
                <w:sz w:val="24"/>
                <w:szCs w:val="24"/>
              </w:rPr>
            </w:pPr>
            <w:r>
              <w:rPr>
                <w:rFonts w:ascii="Times" w:hAnsi="Times" w:cs="Times"/>
                <w:w w:val="79"/>
                <w:sz w:val="20"/>
                <w:szCs w:val="20"/>
              </w:rPr>
              <w:t>$</w:t>
            </w: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20"/>
              <w:rPr>
                <w:rFonts w:ascii="Times New Roman" w:hAnsi="Times New Roman" w:cs="Times New Roman"/>
                <w:sz w:val="24"/>
                <w:szCs w:val="24"/>
              </w:rPr>
            </w:pPr>
            <w:r>
              <w:rPr>
                <w:rFonts w:ascii="Times" w:hAnsi="Times" w:cs="Times"/>
                <w:sz w:val="20"/>
                <w:szCs w:val="20"/>
              </w:rPr>
              <w:t>—</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9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20"/>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w w:val="89"/>
                <w:sz w:val="20"/>
                <w:szCs w:val="20"/>
              </w:rPr>
              <w:t>—</w:t>
            </w: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 (2,382)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Finance and financial products . . . . . . . . . . . . .</w:t>
            </w: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(65)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20"/>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20"/>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w w:val="89"/>
                <w:sz w:val="20"/>
                <w:szCs w:val="20"/>
              </w:rPr>
              <w:t>—</w:t>
            </w: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(65)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Other . . . . . . . . . . . . . . . . . . . . . . . . . . . . . . . . . . . . .</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(31)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153</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Reclassifications before income taxes . . . . . . . . . . . .</w:t>
            </w: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(2,447)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(31)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(2,294)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Applicable income taxes . . . . . . . . . . . . . . . . . . . . . .</w:t>
            </w: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(856)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20"/>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(796)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 (1,591)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60"/>
              <w:rPr>
                <w:rFonts w:ascii="Times New Roman" w:hAnsi="Times New Roman" w:cs="Times New Roman"/>
                <w:sz w:val="24"/>
                <w:szCs w:val="24"/>
              </w:rPr>
            </w:pPr>
            <w:r>
              <w:rPr>
                <w:rFonts w:ascii="Times" w:hAnsi="Times" w:cs="Times"/>
                <w:w w:val="79"/>
                <w:sz w:val="20"/>
                <w:szCs w:val="20"/>
              </w:rPr>
              <w:t>$</w:t>
            </w: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0"/>
              <w:jc w:val="right"/>
              <w:rPr>
                <w:rFonts w:ascii="Times New Roman" w:hAnsi="Times New Roman" w:cs="Times New Roman"/>
                <w:sz w:val="24"/>
                <w:szCs w:val="24"/>
              </w:rPr>
            </w:pPr>
            <w:r>
              <w:rPr>
                <w:rFonts w:ascii="Times" w:hAnsi="Times" w:cs="Times"/>
                <w:sz w:val="20"/>
                <w:szCs w:val="20"/>
              </w:rPr>
              <w:t>(31)</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 (1,498)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80"/>
              <w:jc w:val="right"/>
              <w:rPr>
                <w:rFonts w:ascii="Times New Roman" w:hAnsi="Times New Roman" w:cs="Times New Roman"/>
                <w:sz w:val="24"/>
                <w:szCs w:val="24"/>
              </w:rPr>
            </w:pPr>
            <w:r>
              <w:rPr>
                <w:rFonts w:ascii="Times" w:hAnsi="Times" w:cs="Times"/>
                <w:sz w:val="20"/>
                <w:szCs w:val="20"/>
              </w:rPr>
              <w:t>Year ending December 31, 2014:</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2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380"/>
              <w:jc w:val="right"/>
              <w:rPr>
                <w:rFonts w:ascii="Times New Roman" w:hAnsi="Times New Roman" w:cs="Times New Roman"/>
                <w:sz w:val="24"/>
                <w:szCs w:val="24"/>
              </w:rPr>
            </w:pPr>
            <w:r>
              <w:rPr>
                <w:rFonts w:ascii="Times" w:hAnsi="Times" w:cs="Times"/>
                <w:sz w:val="20"/>
                <w:szCs w:val="20"/>
              </w:rPr>
              <w:t>Investment gains/losses:</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Insurance and other . . . . . . . . . . . . . . . . . . . . . .</w:t>
            </w: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 (3,288)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60"/>
              <w:rPr>
                <w:rFonts w:ascii="Times New Roman" w:hAnsi="Times New Roman" w:cs="Times New Roman"/>
                <w:sz w:val="24"/>
                <w:szCs w:val="24"/>
              </w:rPr>
            </w:pPr>
            <w:r>
              <w:rPr>
                <w:rFonts w:ascii="Times" w:hAnsi="Times" w:cs="Times"/>
                <w:w w:val="79"/>
                <w:sz w:val="20"/>
                <w:szCs w:val="20"/>
              </w:rPr>
              <w:t>$</w:t>
            </w: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20"/>
              <w:rPr>
                <w:rFonts w:ascii="Times New Roman" w:hAnsi="Times New Roman" w:cs="Times New Roman"/>
                <w:sz w:val="24"/>
                <w:szCs w:val="24"/>
              </w:rPr>
            </w:pPr>
            <w:r>
              <w:rPr>
                <w:rFonts w:ascii="Times" w:hAnsi="Times" w:cs="Times"/>
                <w:sz w:val="20"/>
                <w:szCs w:val="20"/>
              </w:rPr>
              <w:t>—</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9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20"/>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w w:val="89"/>
                <w:sz w:val="20"/>
                <w:szCs w:val="20"/>
              </w:rPr>
              <w:t>—</w:t>
            </w: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 (3,288)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Finance and financial products . . . . . . . . . . . . .</w:t>
            </w: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(72)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20"/>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20"/>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w w:val="89"/>
                <w:sz w:val="20"/>
                <w:szCs w:val="20"/>
              </w:rPr>
              <w:t>—</w:t>
            </w: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(72)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Other . . . . . . . . . . . . . . . . . . . . . . . . . . . . . . . . . . . . .</w:t>
            </w: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40"/>
              <w:rPr>
                <w:rFonts w:ascii="Times New Roman" w:hAnsi="Times New Roman" w:cs="Times New Roman"/>
                <w:sz w:val="24"/>
                <w:szCs w:val="24"/>
              </w:rPr>
            </w:pPr>
            <w:r>
              <w:rPr>
                <w:rFonts w:ascii="Times" w:hAnsi="Times" w:cs="Times"/>
                <w:sz w:val="20"/>
                <w:szCs w:val="20"/>
              </w:rPr>
              <w:t>—</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(39)</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94</w:t>
            </w: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Reclassifications before income taxes . . . . . . . . . . . .</w:t>
            </w: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(3,360)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(39)</w:t>
            </w: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(3,266)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Applicable income taxes . . . . . . . . . . . . . . . . . . . . . .</w:t>
            </w: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(1,176)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(17)</w:t>
            </w: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(1,171)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1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 (2,184)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60"/>
              <w:rPr>
                <w:rFonts w:ascii="Times New Roman" w:hAnsi="Times New Roman" w:cs="Times New Roman"/>
                <w:sz w:val="24"/>
                <w:szCs w:val="24"/>
              </w:rPr>
            </w:pPr>
            <w:r>
              <w:rPr>
                <w:rFonts w:ascii="Times" w:hAnsi="Times" w:cs="Times"/>
                <w:w w:val="79"/>
                <w:sz w:val="20"/>
                <w:szCs w:val="20"/>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(22)</w:t>
            </w:r>
          </w:p>
        </w:tc>
        <w:tc>
          <w:tcPr>
            <w:tcW w:w="10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 (2,095)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78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(21) Pension plans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right="60" w:firstLine="400"/>
        <w:jc w:val="both"/>
        <w:rPr>
          <w:rFonts w:ascii="Times New Roman" w:hAnsi="Times New Roman" w:cs="Times New Roman"/>
          <w:sz w:val="24"/>
          <w:szCs w:val="24"/>
        </w:rPr>
      </w:pPr>
      <w:r>
        <w:rPr>
          <w:rFonts w:ascii="Times" w:hAnsi="Times" w:cs="Times"/>
          <w:sz w:val="20"/>
          <w:szCs w:val="20"/>
        </w:rPr>
        <w:t>Several of our subsidiaries individually sponsor defined benefit pension plans covering certain employees. Benefits under the plans are generally based on years of service and compensation, although benefits under certain plans are based on years of servic</w:t>
      </w:r>
      <w:r>
        <w:rPr>
          <w:rFonts w:ascii="Times" w:hAnsi="Times" w:cs="Times"/>
          <w:sz w:val="20"/>
          <w:szCs w:val="20"/>
        </w:rPr>
        <w:t>e and fixed benefit rates. Our subsidiaries may make contributions to the plans to meet regulatory requirements and may also make discretionary contributions.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right="60" w:firstLine="400"/>
        <w:jc w:val="both"/>
        <w:rPr>
          <w:rFonts w:ascii="Times New Roman" w:hAnsi="Times New Roman" w:cs="Times New Roman"/>
          <w:sz w:val="24"/>
          <w:szCs w:val="24"/>
        </w:rPr>
      </w:pPr>
      <w:r>
        <w:rPr>
          <w:rFonts w:ascii="Times" w:hAnsi="Times" w:cs="Times"/>
          <w:sz w:val="20"/>
          <w:szCs w:val="20"/>
        </w:rPr>
        <w:t>The components of net periodic pension expense for each of the three years ending December 31, 2</w:t>
      </w:r>
      <w:r>
        <w:rPr>
          <w:rFonts w:ascii="Times" w:hAnsi="Times" w:cs="Times"/>
          <w:sz w:val="20"/>
          <w:szCs w:val="20"/>
        </w:rPr>
        <w:t>014 are as follows (in millions).</w:t>
      </w: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520"/>
        <w:gridCol w:w="460"/>
        <w:gridCol w:w="200"/>
        <w:gridCol w:w="480"/>
        <w:gridCol w:w="200"/>
        <w:gridCol w:w="460"/>
        <w:gridCol w:w="60"/>
      </w:tblGrid>
      <w:tr w:rsidR="00000000">
        <w:tblPrEx>
          <w:tblCellMar>
            <w:top w:w="0" w:type="dxa"/>
            <w:left w:w="0" w:type="dxa"/>
            <w:bottom w:w="0" w:type="dxa"/>
            <w:right w:w="0" w:type="dxa"/>
          </w:tblCellMar>
        </w:tblPrEx>
        <w:trPr>
          <w:trHeight w:val="184"/>
        </w:trPr>
        <w:tc>
          <w:tcPr>
            <w:tcW w:w="8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b/>
                <w:bCs/>
                <w:sz w:val="16"/>
                <w:szCs w:val="16"/>
              </w:rPr>
              <w:t>2012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8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Service cost . . . . . . . . . . . . . . . . . . . . . . . . . . . . . . . . . . . . . . . . . . . . . . . . . . . . . . . . . . . . . . . . . . . . . . . . .</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$ 230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$ 254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$ 247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8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Interest cost . . . . . . . . . . . . . . . . . . . . . . . . . . . . . . . . . . . . . . . . . . . . . . . . . . . . . . . . . . . . . . . . . . . . . . . . .</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547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583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8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Expected return on plan assets  . . . . . . . . . . . . . . . . . . . . . . . . . . . . . . . . . . . . . . . . . . . . . . . . . . . . . . . . . .</w:t>
            </w: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(772)</w:t>
            </w: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(634)</w:t>
            </w: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(610)</w:t>
            </w:r>
          </w:p>
        </w:tc>
      </w:tr>
      <w:tr w:rsidR="00000000">
        <w:tblPrEx>
          <w:tblCellMar>
            <w:top w:w="0" w:type="dxa"/>
            <w:left w:w="0" w:type="dxa"/>
            <w:bottom w:w="0" w:type="dxa"/>
            <w:right w:w="0" w:type="dxa"/>
          </w:tblCellMar>
        </w:tblPrEx>
        <w:trPr>
          <w:trHeight w:val="240"/>
        </w:trPr>
        <w:tc>
          <w:tcPr>
            <w:tcW w:w="8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Amortization of actuarial losses and other . . . . . . . . . . . . . . . . . . . . . . . . . . . . . . . . . . . . . . . . . . . . . . . . .</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
        </w:trPr>
        <w:tc>
          <w:tcPr>
            <w:tcW w:w="8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periodic pension expense . . . . . . . . . . . . . . . . . . . . . . . . . . . . . . . . . . . . . . . . . . . . . . . . . . . . . . . . . . .</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$ 189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$ 392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$ 440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8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The accumulated benefit obligation is the actuarial present value of benefits earned based on service and compensation prior to the valuation date. The projected benefit obligation (“PBO”) is the actuarial present value of benefits earned based upon servic</w:t>
      </w:r>
      <w:r>
        <w:rPr>
          <w:rFonts w:ascii="Times" w:hAnsi="Times" w:cs="Times"/>
          <w:sz w:val="20"/>
          <w:szCs w:val="20"/>
        </w:rPr>
        <w:t>e and compensation prior to the valuation date and, if applicable, includes assumptions regarding future compensation levels. Benefit obligations under qualified U.S. defined benefit pension plans are funded through assets held in trusts. Pension obligatio</w:t>
      </w:r>
      <w:r>
        <w:rPr>
          <w:rFonts w:ascii="Times" w:hAnsi="Times" w:cs="Times"/>
          <w:sz w:val="20"/>
          <w:szCs w:val="20"/>
        </w:rPr>
        <w:t>ns under certain non-U.S. plans and non-qualified U.S. plans are unfunded. The aggregate PBO of non-qualified U.S. plans and non-U.S. plans which are not funded by assets held in trusts was approximately $1.2 billion and $1.0 billion as of December 31, 201</w:t>
      </w:r>
      <w:r>
        <w:rPr>
          <w:rFonts w:ascii="Times" w:hAnsi="Times" w:cs="Times"/>
          <w:sz w:val="20"/>
          <w:szCs w:val="20"/>
        </w:rPr>
        <w:t>4 and 2013, respectively.</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right="60" w:firstLine="400"/>
        <w:jc w:val="both"/>
        <w:rPr>
          <w:rFonts w:ascii="Times New Roman" w:hAnsi="Times New Roman" w:cs="Times New Roman"/>
          <w:sz w:val="24"/>
          <w:szCs w:val="24"/>
        </w:rPr>
      </w:pPr>
      <w:r>
        <w:rPr>
          <w:rFonts w:ascii="Times" w:hAnsi="Times" w:cs="Times"/>
          <w:sz w:val="20"/>
          <w:szCs w:val="20"/>
        </w:rPr>
        <w:t>Reconciliations of the changes in plan assets and PBOs related to BHE’s pension plans and all other pension plans for each of the two years ending December 31, 2014 are in the following tables (in millions). BHE’s pension plans c</w:t>
      </w:r>
      <w:r>
        <w:rPr>
          <w:rFonts w:ascii="Times" w:hAnsi="Times" w:cs="Times"/>
          <w:sz w:val="20"/>
          <w:szCs w:val="20"/>
        </w:rPr>
        <w:t>over employees of its various regulated subsidiaries. The costs associated with these regulated operations are generally recoverable through the regulated rate making process.</w:t>
      </w:r>
    </w:p>
    <w:p w:rsidR="00000000" w:rsidRDefault="00A06965">
      <w:pPr>
        <w:pStyle w:val="DefaultParagraphFont"/>
        <w:widowControl w:val="0"/>
        <w:autoSpaceDE w:val="0"/>
        <w:autoSpaceDN w:val="0"/>
        <w:adjustRightInd w:val="0"/>
        <w:spacing w:after="0" w:line="20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160"/>
        <w:gridCol w:w="100"/>
        <w:gridCol w:w="460"/>
        <w:gridCol w:w="200"/>
        <w:gridCol w:w="100"/>
        <w:gridCol w:w="540"/>
        <w:gridCol w:w="200"/>
        <w:gridCol w:w="140"/>
        <w:gridCol w:w="100"/>
        <w:gridCol w:w="540"/>
        <w:gridCol w:w="120"/>
        <w:gridCol w:w="200"/>
        <w:gridCol w:w="100"/>
        <w:gridCol w:w="460"/>
        <w:gridCol w:w="200"/>
        <w:gridCol w:w="20"/>
        <w:gridCol w:w="100"/>
        <w:gridCol w:w="460"/>
        <w:gridCol w:w="20"/>
        <w:gridCol w:w="200"/>
        <w:gridCol w:w="120"/>
        <w:gridCol w:w="100"/>
        <w:gridCol w:w="560"/>
        <w:gridCol w:w="120"/>
        <w:gridCol w:w="20"/>
      </w:tblGrid>
      <w:tr w:rsidR="00000000">
        <w:tblPrEx>
          <w:tblCellMar>
            <w:top w:w="0" w:type="dxa"/>
            <w:left w:w="0" w:type="dxa"/>
            <w:bottom w:w="0" w:type="dxa"/>
            <w:right w:w="0" w:type="dxa"/>
          </w:tblCellMar>
        </w:tblPrEx>
        <w:trPr>
          <w:trHeight w:val="184"/>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80"/>
              <w:jc w:val="right"/>
              <w:rPr>
                <w:rFonts w:ascii="Times New Roman" w:hAnsi="Times New Roman" w:cs="Times New Roman"/>
                <w:sz w:val="24"/>
                <w:szCs w:val="24"/>
              </w:rPr>
            </w:pPr>
            <w:r>
              <w:rPr>
                <w:rFonts w:ascii="Times" w:hAnsi="Times" w:cs="Times"/>
                <w:b/>
                <w:bCs/>
                <w:sz w:val="16"/>
                <w:szCs w:val="16"/>
              </w:rPr>
              <w:t>2014</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w:hAnsi="Times" w:cs="Times"/>
                <w:b/>
                <w:bCs/>
                <w:sz w:val="16"/>
                <w:szCs w:val="16"/>
              </w:rPr>
              <w:t>2013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w:hAnsi="Times" w:cs="Times"/>
                <w:b/>
                <w:bCs/>
                <w:sz w:val="16"/>
                <w:szCs w:val="16"/>
              </w:rPr>
              <w:t>BHE</w:t>
            </w:r>
          </w:p>
        </w:tc>
        <w:tc>
          <w:tcPr>
            <w:tcW w:w="8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w:hAnsi="Times" w:cs="Times"/>
                <w:b/>
                <w:bCs/>
                <w:sz w:val="16"/>
                <w:szCs w:val="16"/>
              </w:rPr>
              <w:t>All other</w:t>
            </w:r>
          </w:p>
        </w:tc>
        <w:tc>
          <w:tcPr>
            <w:tcW w:w="110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Consolidated</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20"/>
              <w:jc w:val="right"/>
              <w:rPr>
                <w:rFonts w:ascii="Times New Roman" w:hAnsi="Times New Roman" w:cs="Times New Roman"/>
                <w:sz w:val="24"/>
                <w:szCs w:val="24"/>
              </w:rPr>
            </w:pPr>
            <w:r>
              <w:rPr>
                <w:rFonts w:ascii="Times" w:hAnsi="Times" w:cs="Times"/>
                <w:b/>
                <w:bCs/>
                <w:w w:val="94"/>
                <w:sz w:val="16"/>
                <w:szCs w:val="16"/>
              </w:rPr>
              <w:t>BHE</w:t>
            </w:r>
          </w:p>
        </w:tc>
        <w:tc>
          <w:tcPr>
            <w:tcW w:w="80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All other</w:t>
            </w:r>
          </w:p>
        </w:tc>
        <w:tc>
          <w:tcPr>
            <w:tcW w:w="9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b/>
                <w:bCs/>
                <w:w w:val="97"/>
                <w:sz w:val="16"/>
                <w:szCs w:val="16"/>
              </w:rPr>
              <w:t>Consolidated</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1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u w:val="single"/>
              </w:rPr>
              <w:t>Benefit obligations</w:t>
            </w: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1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Accumulated benefit obligation at end of year  .</w:t>
            </w:r>
            <w:r>
              <w:rPr>
                <w:rFonts w:ascii="Times" w:hAnsi="Times" w:cs="Times"/>
                <w:sz w:val="20"/>
                <w:szCs w:val="20"/>
              </w:rPr>
              <w:t xml:space="preserve">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5,105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9,522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14,627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4,664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8,101</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12,765</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w w:val="99"/>
                <w:sz w:val="20"/>
                <w:szCs w:val="20"/>
              </w:rPr>
              <w:t>PBO at beginning of year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5,006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8,892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13,898</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4,284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9,789</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14,073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Service cost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208</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Interest cost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629</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375</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547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Benefits paid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(310)</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(524)</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(834)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(275)</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(505)</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(780)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w:hAnsi="Times" w:cs="Times"/>
                <w:sz w:val="20"/>
                <w:szCs w:val="20"/>
              </w:rPr>
              <w:t>Business acquisitions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00"/>
              <w:jc w:val="right"/>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823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20"/>
              <w:jc w:val="right"/>
              <w:rPr>
                <w:rFonts w:ascii="Times New Roman" w:hAnsi="Times New Roman" w:cs="Times New Roman"/>
                <w:sz w:val="24"/>
                <w:szCs w:val="24"/>
              </w:rPr>
            </w:pPr>
            <w:r>
              <w:rPr>
                <w:rFonts w:ascii="Times" w:hAnsi="Times" w:cs="Times"/>
                <w:sz w:val="20"/>
                <w:szCs w:val="20"/>
              </w:rPr>
              <w:t>—</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823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Actuarial (gains) or losses and other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416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1,953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(44)</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(975)</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(1,019)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 xml:space="preserve">PBO at end of year . . . . . . . . . . . . . . . . . . . . . . . . . . . . . . . . </w:t>
            </w:r>
            <w:r>
              <w:rPr>
                <w:rFonts w:ascii="Times" w:hAnsi="Times" w:cs="Times"/>
                <w:sz w:val="20"/>
                <w:szCs w:val="20"/>
              </w:rPr>
              <w:t>.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5,398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10,489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15,887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5,006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8,892</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13,898</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u w:val="single"/>
              </w:rPr>
              <w:t>Plan assets</w:t>
            </w: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1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12"/>
        </w:trPr>
        <w:tc>
          <w:tcPr>
            <w:tcW w:w="51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Plan assets at beginning of year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4,888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8,389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13,277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3,651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6,785</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10,436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Employer contributions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248</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274</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Benefits paid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(310)</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0"/>
              <w:jc w:val="right"/>
              <w:rPr>
                <w:rFonts w:ascii="Times New Roman" w:hAnsi="Times New Roman" w:cs="Times New Roman"/>
                <w:sz w:val="24"/>
                <w:szCs w:val="24"/>
              </w:rPr>
            </w:pPr>
            <w:r>
              <w:rPr>
                <w:rFonts w:ascii="Times" w:hAnsi="Times" w:cs="Times"/>
                <w:sz w:val="20"/>
                <w:szCs w:val="20"/>
              </w:rPr>
              <w:t>(524)</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(834)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(275)</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60"/>
              <w:jc w:val="right"/>
              <w:rPr>
                <w:rFonts w:ascii="Times New Roman" w:hAnsi="Times New Roman" w:cs="Times New Roman"/>
                <w:sz w:val="24"/>
                <w:szCs w:val="24"/>
              </w:rPr>
            </w:pPr>
            <w:r>
              <w:rPr>
                <w:rFonts w:ascii="Times" w:hAnsi="Times" w:cs="Times"/>
                <w:sz w:val="20"/>
                <w:szCs w:val="20"/>
              </w:rPr>
              <w:t>(505)</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(780)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Actual return on plan assets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525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863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497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1,849</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2,346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Business acquisitions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818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20"/>
              <w:jc w:val="right"/>
              <w:rPr>
                <w:rFonts w:ascii="Times New Roman" w:hAnsi="Times New Roman" w:cs="Times New Roman"/>
                <w:sz w:val="24"/>
                <w:szCs w:val="24"/>
              </w:rPr>
            </w:pPr>
            <w:r>
              <w:rPr>
                <w:rFonts w:ascii="Times" w:hAnsi="Times" w:cs="Times"/>
                <w:sz w:val="20"/>
                <w:szCs w:val="20"/>
              </w:rPr>
              <w:t>—</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818</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w:hAnsi="Times" w:cs="Times"/>
                <w:sz w:val="20"/>
                <w:szCs w:val="20"/>
              </w:rPr>
              <w:t>Other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40"/>
              <w:jc w:val="right"/>
              <w:rPr>
                <w:rFonts w:ascii="Times New Roman" w:hAnsi="Times New Roman" w:cs="Times New Roman"/>
                <w:sz w:val="24"/>
                <w:szCs w:val="24"/>
              </w:rPr>
            </w:pPr>
            <w:r>
              <w:rPr>
                <w:rFonts w:ascii="Times" w:hAnsi="Times" w:cs="Times"/>
                <w:sz w:val="20"/>
                <w:szCs w:val="20"/>
              </w:rPr>
              <w:t>(143)</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sz w:val="20"/>
                <w:szCs w:val="20"/>
              </w:rPr>
              <w:t>(46)</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w:hAnsi="Times" w:cs="Times"/>
                <w:sz w:val="20"/>
                <w:szCs w:val="20"/>
              </w:rPr>
              <w:t>(189)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47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w:hAnsi="Times" w:cs="Times"/>
                <w:sz w:val="20"/>
                <w:szCs w:val="20"/>
              </w:rPr>
              <w:t>(14)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33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Plan assets at end of year . . . . . . . . . . . . . . . . . . . . . . . . . . . .</w:t>
            </w:r>
            <w:r>
              <w:rPr>
                <w:rFonts w:ascii="Times" w:hAnsi="Times" w:cs="Times"/>
                <w:sz w:val="20"/>
                <w:szCs w:val="20"/>
              </w:rPr>
              <w:t xml:space="preserve">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5,086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8,280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13,366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4,888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8,389</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13,277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Net funded status – net liability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2,209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2,521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
              <w:rPr>
                <w:rFonts w:ascii="Times New Roman" w:hAnsi="Times New Roman" w:cs="Times New Roman"/>
                <w:sz w:val="24"/>
                <w:szCs w:val="24"/>
              </w:rPr>
            </w:pPr>
            <w:r>
              <w:rPr>
                <w:rFonts w:ascii="Times" w:hAnsi="Times" w:cs="Times"/>
                <w:w w:val="7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503</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79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(21) Pension plans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right="140" w:firstLine="400"/>
        <w:jc w:val="both"/>
        <w:rPr>
          <w:rFonts w:ascii="Times New Roman" w:hAnsi="Times New Roman" w:cs="Times New Roman"/>
          <w:sz w:val="24"/>
          <w:szCs w:val="24"/>
        </w:rPr>
      </w:pPr>
      <w:r>
        <w:rPr>
          <w:rFonts w:ascii="Times" w:hAnsi="Times" w:cs="Times"/>
          <w:sz w:val="20"/>
          <w:szCs w:val="20"/>
        </w:rPr>
        <w:t>Weighted average interest rate assumptions used in determining projected benefit obligations and net periodic pension expense were as follows.</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9480"/>
        <w:gridCol w:w="320"/>
        <w:gridCol w:w="200"/>
        <w:gridCol w:w="320"/>
        <w:gridCol w:w="140"/>
        <w:gridCol w:w="20"/>
      </w:tblGrid>
      <w:tr w:rsidR="00000000">
        <w:tblPrEx>
          <w:tblCellMar>
            <w:top w:w="0" w:type="dxa"/>
            <w:left w:w="0" w:type="dxa"/>
            <w:bottom w:w="0" w:type="dxa"/>
            <w:right w:w="0" w:type="dxa"/>
          </w:tblCellMar>
        </w:tblPrEx>
        <w:trPr>
          <w:trHeight w:val="184"/>
        </w:trPr>
        <w:tc>
          <w:tcPr>
            <w:tcW w:w="9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w w:val="93"/>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w w:val="93"/>
                <w:sz w:val="16"/>
                <w:szCs w:val="16"/>
              </w:rPr>
              <w:t>2013</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94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20"/>
              <w:jc w:val="right"/>
              <w:rPr>
                <w:rFonts w:ascii="Times New Roman" w:hAnsi="Times New Roman" w:cs="Times New Roman"/>
                <w:sz w:val="24"/>
                <w:szCs w:val="24"/>
              </w:rPr>
            </w:pPr>
            <w:r>
              <w:rPr>
                <w:rFonts w:ascii="Times" w:hAnsi="Times" w:cs="Times"/>
                <w:w w:val="99"/>
                <w:sz w:val="20"/>
                <w:szCs w:val="20"/>
              </w:rPr>
              <w:t>Applicable to pension benefit obligations:</w:t>
            </w:r>
          </w:p>
        </w:tc>
        <w:tc>
          <w:tcPr>
            <w:tcW w:w="3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94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9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Discount rate . . . . . . . . . . . . . . . . . . . . . . . . . . . . . . . . . . . . . . . . . . . . . . . . . . . . . . . . . . . . . . . . . . . . . . . . . . . . . .</w:t>
            </w: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w:hAnsi="Times" w:cs="Times"/>
                <w:sz w:val="20"/>
                <w:szCs w:val="20"/>
              </w:rPr>
              <w:t>3.8%</w:t>
            </w:r>
          </w:p>
        </w:tc>
        <w:tc>
          <w:tcPr>
            <w:tcW w:w="4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w:hAnsi="Times" w:cs="Times"/>
                <w:w w:val="95"/>
                <w:sz w:val="20"/>
                <w:szCs w:val="20"/>
              </w:rPr>
              <w:t>4.6%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9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 xml:space="preserve">Expected long-term rate of return on plan assets </w:t>
            </w:r>
            <w:r>
              <w:rPr>
                <w:rFonts w:ascii="Times" w:hAnsi="Times" w:cs="Times"/>
                <w:sz w:val="20"/>
                <w:szCs w:val="20"/>
              </w:rPr>
              <w:t>. . . . . . . . . . . . . . . . . . . . . . . . . . . . . . . . . . . . . . . . . . . . . . . . . .</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w:hAnsi="Times" w:cs="Times"/>
                <w:sz w:val="20"/>
                <w:szCs w:val="20"/>
              </w:rPr>
              <w:t>6.7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w:hAnsi="Times" w:cs="Times"/>
                <w:sz w:val="20"/>
                <w:szCs w:val="20"/>
              </w:rPr>
              <w:t>6.7</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9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Rate of compensation increase . . . . . . . . . . . . . . . . . . . . . . . . . . . . . . . . . . . . . . . . . . . . . . . . . . . . . . . . . . . . . . . .</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w:hAnsi="Times" w:cs="Times"/>
                <w:sz w:val="20"/>
                <w:szCs w:val="20"/>
              </w:rPr>
              <w:t>3.4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w:hAnsi="Times" w:cs="Times"/>
                <w:sz w:val="20"/>
                <w:szCs w:val="20"/>
              </w:rPr>
              <w:t>3.5</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94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Discount rate applicable to net periodic pension expense . . . . . . . . . . . . . . .</w:t>
            </w:r>
            <w:r>
              <w:rPr>
                <w:rFonts w:ascii="Times" w:hAnsi="Times" w:cs="Times"/>
                <w:sz w:val="20"/>
                <w:szCs w:val="20"/>
              </w:rPr>
              <w:t xml:space="preserve"> . . . . . . . . . . . . . . . . . . . . . . . . . . . . . . . .</w:t>
            </w: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w:hAnsi="Times" w:cs="Times"/>
                <w:sz w:val="20"/>
                <w:szCs w:val="20"/>
              </w:rPr>
              <w:t>4.6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w:hAnsi="Times" w:cs="Times"/>
                <w:sz w:val="20"/>
                <w:szCs w:val="20"/>
              </w:rPr>
              <w:t>4.1</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right="140" w:firstLine="400"/>
        <w:jc w:val="both"/>
        <w:rPr>
          <w:rFonts w:ascii="Times New Roman" w:hAnsi="Times New Roman" w:cs="Times New Roman"/>
          <w:sz w:val="24"/>
          <w:szCs w:val="24"/>
        </w:rPr>
      </w:pPr>
      <w:r>
        <w:rPr>
          <w:rFonts w:ascii="Times" w:hAnsi="Times" w:cs="Times"/>
          <w:sz w:val="20"/>
          <w:szCs w:val="20"/>
        </w:rPr>
        <w:t>Benefits payments expected over the next ten years are as follows (in millions): 2015 – $840; 2016 – $847; 2017 – $861; 2018 – $868; 2019 – $889; and 2020 to 2024 –</w:t>
      </w:r>
      <w:r>
        <w:rPr>
          <w:rFonts w:ascii="Times" w:hAnsi="Times" w:cs="Times"/>
          <w:sz w:val="20"/>
          <w:szCs w:val="20"/>
        </w:rPr>
        <w:t xml:space="preserve"> $4,511. Sponsoring subsidiaries expect to contribute $211 million to defined benefit pension plans in 2015.</w:t>
      </w:r>
    </w:p>
    <w:p w:rsidR="00000000" w:rsidRDefault="00A06965">
      <w:pPr>
        <w:pStyle w:val="DefaultParagraphFont"/>
        <w:widowControl w:val="0"/>
        <w:autoSpaceDE w:val="0"/>
        <w:autoSpaceDN w:val="0"/>
        <w:adjustRightInd w:val="0"/>
        <w:spacing w:after="0" w:line="24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sz w:val="20"/>
          <w:szCs w:val="20"/>
        </w:rPr>
        <w:t>The net funded status is recognized in our Consolidated Balance Sheets as follows (in millions).</w:t>
      </w:r>
    </w:p>
    <w:p w:rsidR="00000000" w:rsidRDefault="00A0696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ind w:left="9200"/>
        <w:rPr>
          <w:rFonts w:ascii="Times New Roman" w:hAnsi="Times New Roman" w:cs="Times New Roman"/>
          <w:sz w:val="24"/>
          <w:szCs w:val="24"/>
        </w:rPr>
      </w:pPr>
      <w:r>
        <w:rPr>
          <w:rFonts w:ascii="Times" w:hAnsi="Times" w:cs="Times"/>
          <w:b/>
          <w:bCs/>
          <w:sz w:val="16"/>
          <w:szCs w:val="16"/>
        </w:rPr>
        <w:t>December 31,</w:t>
      </w:r>
    </w:p>
    <w:p w:rsidR="00000000" w:rsidRDefault="00A06965">
      <w:pPr>
        <w:pStyle w:val="DefaultParagraphFont"/>
        <w:widowControl w:val="0"/>
        <w:autoSpaceDE w:val="0"/>
        <w:autoSpaceDN w:val="0"/>
        <w:adjustRightInd w:val="0"/>
        <w:spacing w:after="0" w:line="56" w:lineRule="exact"/>
        <w:rPr>
          <w:rFonts w:ascii="Times New Roman" w:hAnsi="Times New Roman" w:cs="Times New Roman"/>
          <w:sz w:val="24"/>
          <w:szCs w:val="24"/>
        </w:rPr>
      </w:pPr>
      <w:r>
        <w:rPr>
          <w:noProof/>
        </w:rPr>
        <mc:AlternateContent>
          <mc:Choice Requires="wps">
            <w:drawing>
              <wp:anchor distT="0" distB="0" distL="114300" distR="114300" simplePos="0" relativeHeight="251692032" behindDoc="1" locked="0" layoutInCell="0" allowOverlap="1">
                <wp:simplePos x="0" y="0"/>
                <wp:positionH relativeFrom="column">
                  <wp:posOffset>5727700</wp:posOffset>
                </wp:positionH>
                <wp:positionV relativeFrom="paragraph">
                  <wp:posOffset>22860</wp:posOffset>
                </wp:positionV>
                <wp:extent cx="825500" cy="0"/>
                <wp:effectExtent l="0" t="0" r="0" b="0"/>
                <wp:wrapNone/>
                <wp:docPr id="36"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pt,1.8pt" to="51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" o:allowincell="f" strokeweight="1pt"/>
            </w:pict>
          </mc:Fallback>
        </mc:AlternateContent>
      </w:r>
    </w:p>
    <w:p w:rsidR="00000000" w:rsidRDefault="00A06965">
      <w:pPr>
        <w:pStyle w:val="DefaultParagraphFont"/>
        <w:widowControl w:val="0"/>
        <w:tabs>
          <w:tab w:val="left" w:pos="9860"/>
        </w:tabs>
        <w:autoSpaceDE w:val="0"/>
        <w:autoSpaceDN w:val="0"/>
        <w:adjustRightInd w:val="0"/>
        <w:spacing w:after="0" w:line="240" w:lineRule="auto"/>
        <w:ind w:left="9140"/>
        <w:rPr>
          <w:rFonts w:ascii="Times New Roman" w:hAnsi="Times New Roman" w:cs="Times New Roman"/>
          <w:sz w:val="24"/>
          <w:szCs w:val="24"/>
        </w:rPr>
      </w:pPr>
      <w:r>
        <w:rPr>
          <w:rFonts w:ascii="Times" w:hAnsi="Times" w:cs="Times"/>
          <w:b/>
          <w:bCs/>
          <w:sz w:val="16"/>
          <w:szCs w:val="16"/>
        </w:rPr>
        <w:t>2014</w:t>
      </w:r>
      <w:r>
        <w:rPr>
          <w:rFonts w:ascii="Times New Roman" w:hAnsi="Times New Roman" w:cs="Times New Roman"/>
          <w:sz w:val="24"/>
          <w:szCs w:val="24"/>
        </w:rPr>
        <w:tab/>
      </w:r>
      <w:r>
        <w:rPr>
          <w:rFonts w:ascii="Times" w:hAnsi="Times" w:cs="Times"/>
          <w:b/>
          <w:bCs/>
          <w:sz w:val="16"/>
          <w:szCs w:val="16"/>
        </w:rPr>
        <w:t>2013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820" w:bottom="523" w:left="960" w:header="720" w:footer="720" w:gutter="0"/>
          <w:cols w:space="720" w:equalWidth="0">
            <w:col w:w="10460"/>
          </w:cols>
          <w:noEndnote/>
        </w:sectPr>
      </w:pPr>
      <w:r>
        <w:rPr>
          <w:noProof/>
        </w:rPr>
        <mc:AlternateContent>
          <mc:Choice Requires="wps">
            <w:drawing>
              <wp:anchor distT="0" distB="0" distL="114300" distR="114300" simplePos="0" relativeHeight="251693056" behindDoc="1" locked="0" layoutInCell="0" allowOverlap="1">
                <wp:simplePos x="0" y="0"/>
                <wp:positionH relativeFrom="column">
                  <wp:posOffset>5727700</wp:posOffset>
                </wp:positionH>
                <wp:positionV relativeFrom="paragraph">
                  <wp:posOffset>22225</wp:posOffset>
                </wp:positionV>
                <wp:extent cx="349250" cy="0"/>
                <wp:effectExtent l="0" t="0" r="0" b="0"/>
                <wp:wrapNone/>
                <wp:docPr id="35"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pt,1.75pt" to="47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" o:allowincell="f" strokeweight="1pt"/>
            </w:pict>
          </mc:Fallback>
        </mc:AlternateContent>
      </w:r>
      <w:r>
        <w:rPr>
          <w:noProof/>
        </w:rPr>
        <mc:AlternateContent>
          <mc:Choice Requires="wps">
            <w:drawing>
              <wp:anchor distT="0" distB="0" distL="114300" distR="114300" simplePos="0" relativeHeight="251694080" behindDoc="1" locked="0" layoutInCell="0" allowOverlap="1">
                <wp:simplePos x="0" y="0"/>
                <wp:positionH relativeFrom="column">
                  <wp:posOffset>6203950</wp:posOffset>
                </wp:positionH>
                <wp:positionV relativeFrom="paragraph">
                  <wp:posOffset>22225</wp:posOffset>
                </wp:positionV>
                <wp:extent cx="349250" cy="0"/>
                <wp:effectExtent l="0" t="0" r="0" b="0"/>
                <wp:wrapNone/>
                <wp:docPr id="34"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5pt,1.75pt" to="5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" o:allowincell="f" strokeweight="1pt"/>
            </w:pict>
          </mc:Fallback>
        </mc:AlternateContent>
      </w:r>
    </w:p>
    <w:p w:rsidR="00000000" w:rsidRDefault="00A06965">
      <w:pPr>
        <w:pStyle w:val="DefaultParagraphFont"/>
        <w:widowControl w:val="0"/>
        <w:autoSpaceDE w:val="0"/>
        <w:autoSpaceDN w:val="0"/>
        <w:adjustRightInd w:val="0"/>
        <w:spacing w:after="0" w:line="9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Accounts payable, accruals and other liabilities . . . . . . . . . . . . . . . . . . . . . . . . . . . . . . . . . . . . . . . . . . . . . . . . . .  $2,550</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tabs>
          <w:tab w:val="left" w:pos="9260"/>
        </w:tabs>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Losses and loss adjustment expenses . . . . . . . . . . . . . . . . . . . . . . . . . . . . . . .</w:t>
      </w:r>
      <w:r>
        <w:rPr>
          <w:rFonts w:ascii="Times" w:hAnsi="Times" w:cs="Times"/>
          <w:sz w:val="20"/>
          <w:szCs w:val="20"/>
        </w:rPr>
        <w:t xml:space="preserve"> . . . . . . . . . . . . . . . . . . . . . . . . . . .</w:t>
      </w:r>
      <w:r>
        <w:rPr>
          <w:rFonts w:ascii="Times New Roman" w:hAnsi="Times New Roman" w:cs="Times New Roman"/>
          <w:sz w:val="24"/>
          <w:szCs w:val="24"/>
        </w:rPr>
        <w:tab/>
      </w:r>
      <w:r>
        <w:rPr>
          <w:rFonts w:ascii="Times" w:hAnsi="Times" w:cs="Times"/>
          <w:sz w:val="20"/>
          <w:szCs w:val="20"/>
        </w:rPr>
        <w:t>332</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tabs>
          <w:tab w:val="left" w:pos="9180"/>
        </w:tabs>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Other assets . . . . . . . . . . . . . . . . . . . . . . . . . . . . . . . . . . . . . . . . . . . . . . . . . . . . . . . . . . . . . . . . . . . . . . . . . . . . . .</w:t>
      </w:r>
      <w:r>
        <w:rPr>
          <w:rFonts w:ascii="Times New Roman" w:hAnsi="Times New Roman" w:cs="Times New Roman"/>
          <w:sz w:val="24"/>
          <w:szCs w:val="24"/>
        </w:rPr>
        <w:tab/>
      </w:r>
      <w:r>
        <w:rPr>
          <w:rFonts w:ascii="Times" w:hAnsi="Times" w:cs="Times"/>
          <w:sz w:val="20"/>
          <w:szCs w:val="20"/>
        </w:rPr>
        <w:t>(361)</w:t>
      </w:r>
    </w:p>
    <w:p w:rsidR="00000000" w:rsidRDefault="00A06965">
      <w:pPr>
        <w:pStyle w:val="DefaultParagraphFont"/>
        <w:widowControl w:val="0"/>
        <w:autoSpaceDE w:val="0"/>
        <w:autoSpaceDN w:val="0"/>
        <w:adjustRightInd w:val="0"/>
        <w:spacing w:after="0" w:line="91" w:lineRule="exact"/>
        <w:rPr>
          <w:rFonts w:ascii="Times New Roman" w:hAnsi="Times New Roman" w:cs="Times New Roman"/>
          <w:sz w:val="24"/>
          <w:szCs w:val="24"/>
        </w:rPr>
      </w:pPr>
      <w:r>
        <w:rPr>
          <w:noProof/>
        </w:rPr>
        <mc:AlternateContent>
          <mc:Choice Requires="wps">
            <w:drawing>
              <wp:anchor distT="0" distB="0" distL="114300" distR="114300" simplePos="0" relativeHeight="251695104" behindDoc="1" locked="0" layoutInCell="0" allowOverlap="1">
                <wp:simplePos x="0" y="0"/>
                <wp:positionH relativeFrom="column">
                  <wp:posOffset>5727700</wp:posOffset>
                </wp:positionH>
                <wp:positionV relativeFrom="paragraph">
                  <wp:posOffset>20955</wp:posOffset>
                </wp:positionV>
                <wp:extent cx="349250" cy="0"/>
                <wp:effectExtent l="0" t="0" r="0" b="0"/>
                <wp:wrapNone/>
                <wp:docPr id="3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pt,1.65pt" to="47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" o:allowincell="f" strokeweight=".5pt"/>
            </w:pict>
          </mc:Fallback>
        </mc:AlternateContent>
      </w:r>
    </w:p>
    <w:p w:rsidR="00000000" w:rsidRDefault="00A06965">
      <w:pPr>
        <w:pStyle w:val="DefaultParagraphFont"/>
        <w:widowControl w:val="0"/>
        <w:autoSpaceDE w:val="0"/>
        <w:autoSpaceDN w:val="0"/>
        <w:adjustRightInd w:val="0"/>
        <w:spacing w:after="0" w:line="239" w:lineRule="auto"/>
        <w:ind w:left="9020"/>
        <w:rPr>
          <w:rFonts w:ascii="Times New Roman" w:hAnsi="Times New Roman" w:cs="Times New Roman"/>
          <w:sz w:val="24"/>
          <w:szCs w:val="24"/>
        </w:rPr>
      </w:pPr>
      <w:r>
        <w:rPr>
          <w:rFonts w:ascii="Times" w:hAnsi="Times" w:cs="Times"/>
          <w:sz w:val="20"/>
          <w:szCs w:val="20"/>
        </w:rPr>
        <w:t>$2,521</w:t>
      </w:r>
    </w:p>
    <w:p w:rsidR="00000000" w:rsidRDefault="00A06965">
      <w:pPr>
        <w:pStyle w:val="DefaultParagraphFont"/>
        <w:widowControl w:val="0"/>
        <w:autoSpaceDE w:val="0"/>
        <w:autoSpaceDN w:val="0"/>
        <w:adjustRightInd w:val="0"/>
        <w:spacing w:after="0" w:line="108" w:lineRule="exact"/>
        <w:rPr>
          <w:rFonts w:ascii="Times New Roman" w:hAnsi="Times New Roman" w:cs="Times New Roman"/>
          <w:sz w:val="24"/>
          <w:szCs w:val="24"/>
        </w:rPr>
      </w:pPr>
      <w:r>
        <w:rPr>
          <w:noProof/>
        </w:rPr>
        <mc:AlternateContent>
          <mc:Choice Requires="wps">
            <w:drawing>
              <wp:anchor distT="0" distB="0" distL="114300" distR="114300" simplePos="0" relativeHeight="251696128" behindDoc="1" locked="0" layoutInCell="0" allowOverlap="1">
                <wp:simplePos x="0" y="0"/>
                <wp:positionH relativeFrom="column">
                  <wp:posOffset>5727700</wp:posOffset>
                </wp:positionH>
                <wp:positionV relativeFrom="paragraph">
                  <wp:posOffset>20955</wp:posOffset>
                </wp:positionV>
                <wp:extent cx="349250" cy="0"/>
                <wp:effectExtent l="0" t="0" r="0" b="0"/>
                <wp:wrapNone/>
                <wp:docPr id="3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pt,1.65pt" to="47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" o:allowincell="f" strokeweight=".5pt"/>
            </w:pict>
          </mc:Fallback>
        </mc:AlternateContent>
      </w:r>
      <w:r>
        <w:rPr>
          <w:noProof/>
        </w:rPr>
        <mc:AlternateContent>
          <mc:Choice Requires="wps">
            <w:drawing>
              <wp:anchor distT="0" distB="0" distL="114300" distR="114300" simplePos="0" relativeHeight="251697152" behindDoc="1" locked="0" layoutInCell="0" allowOverlap="1">
                <wp:simplePos x="0" y="0"/>
                <wp:positionH relativeFrom="column">
                  <wp:posOffset>5727700</wp:posOffset>
                </wp:positionH>
                <wp:positionV relativeFrom="paragraph">
                  <wp:posOffset>46355</wp:posOffset>
                </wp:positionV>
                <wp:extent cx="349250" cy="0"/>
                <wp:effectExtent l="0" t="0" r="0" b="0"/>
                <wp:wrapNone/>
                <wp:docPr id="3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pt,3.65pt" to="478.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" o:allowincell="f" strokeweight=".5pt"/>
            </w:pict>
          </mc:Fallback>
        </mc:AlternateContent>
      </w:r>
      <w:r>
        <w:rPr>
          <w:rFonts w:ascii="Times New Roman" w:hAnsi="Times New Roman" w:cs="Times New Roman"/>
          <w:sz w:val="24"/>
          <w:szCs w:val="24"/>
        </w:rPr>
        <w:br w:type="column"/>
      </w:r>
    </w:p>
    <w:p w:rsidR="00000000" w:rsidRDefault="00A06965">
      <w:pPr>
        <w:pStyle w:val="DefaultParagraphFont"/>
        <w:widowControl w:val="0"/>
        <w:overflowPunct w:val="0"/>
        <w:autoSpaceDE w:val="0"/>
        <w:autoSpaceDN w:val="0"/>
        <w:adjustRightInd w:val="0"/>
        <w:spacing w:after="0" w:line="264" w:lineRule="auto"/>
        <w:ind w:left="180" w:hanging="183"/>
        <w:jc w:val="both"/>
        <w:rPr>
          <w:rFonts w:ascii="Times New Roman" w:hAnsi="Times New Roman" w:cs="Times New Roman"/>
          <w:sz w:val="24"/>
          <w:szCs w:val="24"/>
        </w:rPr>
      </w:pPr>
      <w:r>
        <w:rPr>
          <w:rFonts w:ascii="Times" w:hAnsi="Times" w:cs="Times"/>
          <w:sz w:val="19"/>
          <w:szCs w:val="19"/>
        </w:rPr>
        <w:t>$1,287 309 (975)</w:t>
      </w:r>
    </w:p>
    <w:p w:rsidR="00000000" w:rsidRDefault="00A06965">
      <w:pPr>
        <w:pStyle w:val="DefaultParagraphFont"/>
        <w:widowControl w:val="0"/>
        <w:autoSpaceDE w:val="0"/>
        <w:autoSpaceDN w:val="0"/>
        <w:adjustRightInd w:val="0"/>
        <w:spacing w:after="0" w:line="69" w:lineRule="exact"/>
        <w:rPr>
          <w:rFonts w:ascii="Times New Roman" w:hAnsi="Times New Roman" w:cs="Times New Roman"/>
          <w:sz w:val="24"/>
          <w:szCs w:val="24"/>
        </w:rPr>
      </w:pPr>
      <w:r>
        <w:rPr>
          <w:noProof/>
        </w:rPr>
        <mc:AlternateContent>
          <mc:Choice Requires="wps">
            <w:drawing>
              <wp:anchor distT="0" distB="0" distL="114300" distR="114300" simplePos="0" relativeHeight="251698176" behindDoc="1" locked="0" layoutInCell="0" allowOverlap="1">
                <wp:simplePos x="0" y="0"/>
                <wp:positionH relativeFrom="column">
                  <wp:posOffset>-6350</wp:posOffset>
                </wp:positionH>
                <wp:positionV relativeFrom="paragraph">
                  <wp:posOffset>6985</wp:posOffset>
                </wp:positionV>
                <wp:extent cx="349250" cy="0"/>
                <wp:effectExtent l="0" t="0" r="0" b="0"/>
                <wp:wrapNone/>
                <wp:docPr id="3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55pt" to="2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" o:allowincell="f" strokeweight=".5pt"/>
            </w:pict>
          </mc:Fallback>
        </mc:AlternateContent>
      </w: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  621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900" w:bottom="523" w:left="960" w:header="720" w:footer="720" w:gutter="0"/>
          <w:cols w:num="2" w:space="140" w:equalWidth="0">
            <w:col w:w="9640" w:space="140"/>
            <w:col w:w="600"/>
          </w:cols>
          <w:noEndnote/>
        </w:sectPr>
      </w:pPr>
      <w:r>
        <w:rPr>
          <w:noProof/>
        </w:rPr>
        <mc:AlternateContent>
          <mc:Choice Requires="wps">
            <w:drawing>
              <wp:anchor distT="0" distB="0" distL="114300" distR="114300" simplePos="0" relativeHeight="251699200" behindDoc="1" locked="0" layoutInCell="0" allowOverlap="1">
                <wp:simplePos x="0" y="0"/>
                <wp:positionH relativeFrom="column">
                  <wp:posOffset>-6350</wp:posOffset>
                </wp:positionH>
                <wp:positionV relativeFrom="paragraph">
                  <wp:posOffset>20955</wp:posOffset>
                </wp:positionV>
                <wp:extent cx="349250" cy="0"/>
                <wp:effectExtent l="0" t="0" r="0" b="0"/>
                <wp:wrapNone/>
                <wp:docPr id="2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65pt" to="27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" o:allowincell="f" strokeweight=".5pt"/>
            </w:pict>
          </mc:Fallback>
        </mc:AlternateContent>
      </w:r>
      <w:r>
        <w:rPr>
          <w:noProof/>
        </w:rPr>
        <mc:AlternateContent>
          <mc:Choice Requires="wps">
            <w:drawing>
              <wp:anchor distT="0" distB="0" distL="114300" distR="114300" simplePos="0" relativeHeight="251700224" behindDoc="1" locked="0" layoutInCell="0" allowOverlap="1">
                <wp:simplePos x="0" y="0"/>
                <wp:positionH relativeFrom="column">
                  <wp:posOffset>-6350</wp:posOffset>
                </wp:positionH>
                <wp:positionV relativeFrom="paragraph">
                  <wp:posOffset>46355</wp:posOffset>
                </wp:positionV>
                <wp:extent cx="349250" cy="0"/>
                <wp:effectExtent l="0" t="0" r="0" b="0"/>
                <wp:wrapNone/>
                <wp:docPr id="28"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65pt" to="27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" o:allowincell="f" strokeweight=".5pt"/>
            </w:pict>
          </mc:Fallback>
        </mc:AlternateContent>
      </w:r>
    </w:p>
    <w:p w:rsidR="00000000" w:rsidRDefault="00A06965">
      <w:pPr>
        <w:pStyle w:val="DefaultParagraphFont"/>
        <w:widowControl w:val="0"/>
        <w:autoSpaceDE w:val="0"/>
        <w:autoSpaceDN w:val="0"/>
        <w:adjustRightInd w:val="0"/>
        <w:spacing w:after="0" w:line="36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sz w:val="20"/>
          <w:szCs w:val="20"/>
        </w:rPr>
        <w:t>Fair value measurements of plan assets as of December 31, 2014 and 2013 follow (in millions).</w:t>
      </w:r>
    </w:p>
    <w:p w:rsidR="00000000" w:rsidRDefault="00A06965">
      <w:pPr>
        <w:pStyle w:val="DefaultParagraphFont"/>
        <w:widowControl w:val="0"/>
        <w:autoSpaceDE w:val="0"/>
        <w:autoSpaceDN w:val="0"/>
        <w:adjustRightInd w:val="0"/>
        <w:spacing w:after="0" w:line="181"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6300"/>
        <w:gridCol w:w="40"/>
        <w:gridCol w:w="100"/>
        <w:gridCol w:w="560"/>
        <w:gridCol w:w="40"/>
        <w:gridCol w:w="200"/>
        <w:gridCol w:w="200"/>
        <w:gridCol w:w="100"/>
        <w:gridCol w:w="460"/>
        <w:gridCol w:w="200"/>
        <w:gridCol w:w="200"/>
        <w:gridCol w:w="120"/>
        <w:gridCol w:w="100"/>
        <w:gridCol w:w="440"/>
        <w:gridCol w:w="120"/>
        <w:gridCol w:w="200"/>
        <w:gridCol w:w="260"/>
        <w:gridCol w:w="400"/>
        <w:gridCol w:w="280"/>
        <w:gridCol w:w="20"/>
      </w:tblGrid>
      <w:tr w:rsidR="00000000">
        <w:tblPrEx>
          <w:tblCellMar>
            <w:top w:w="0" w:type="dxa"/>
            <w:left w:w="0" w:type="dxa"/>
            <w:bottom w:w="0" w:type="dxa"/>
            <w:right w:w="0" w:type="dxa"/>
          </w:tblCellMar>
        </w:tblPrEx>
        <w:trPr>
          <w:trHeight w:val="184"/>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8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center"/>
              <w:rPr>
                <w:rFonts w:ascii="Times New Roman" w:hAnsi="Times New Roman" w:cs="Times New Roman"/>
                <w:sz w:val="24"/>
                <w:szCs w:val="24"/>
              </w:rPr>
            </w:pPr>
            <w:r>
              <w:rPr>
                <w:rFonts w:ascii="Times" w:hAnsi="Times" w:cs="Times"/>
                <w:b/>
                <w:bCs/>
                <w:sz w:val="16"/>
                <w:szCs w:val="16"/>
              </w:rPr>
              <w:t>Significant</w:t>
            </w: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320"/>
              <w:jc w:val="center"/>
              <w:rPr>
                <w:rFonts w:ascii="Times New Roman" w:hAnsi="Times New Roman" w:cs="Times New Roman"/>
                <w:sz w:val="24"/>
                <w:szCs w:val="24"/>
              </w:rPr>
            </w:pPr>
            <w:r>
              <w:rPr>
                <w:rFonts w:ascii="Times" w:hAnsi="Times" w:cs="Times"/>
                <w:b/>
                <w:bCs/>
                <w:sz w:val="16"/>
                <w:szCs w:val="16"/>
              </w:rPr>
              <w:t>Other</w:t>
            </w: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sz w:val="16"/>
                <w:szCs w:val="16"/>
              </w:rPr>
              <w:t>Significant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8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0"/>
              <w:jc w:val="center"/>
              <w:rPr>
                <w:rFonts w:ascii="Times New Roman" w:hAnsi="Times New Roman" w:cs="Times New Roman"/>
                <w:sz w:val="24"/>
                <w:szCs w:val="24"/>
              </w:rPr>
            </w:pPr>
            <w:r>
              <w:rPr>
                <w:rFonts w:ascii="Times" w:hAnsi="Times" w:cs="Times"/>
                <w:b/>
                <w:bCs/>
                <w:w w:val="99"/>
                <w:sz w:val="16"/>
                <w:szCs w:val="16"/>
              </w:rPr>
              <w:t>Observable</w:t>
            </w: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w w:val="99"/>
                <w:sz w:val="16"/>
                <w:szCs w:val="16"/>
              </w:rPr>
              <w:t>Unobservable</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160"/>
              <w:jc w:val="center"/>
              <w:rPr>
                <w:rFonts w:ascii="Times New Roman" w:hAnsi="Times New Roman" w:cs="Times New Roman"/>
                <w:sz w:val="24"/>
                <w:szCs w:val="24"/>
              </w:rPr>
            </w:pPr>
            <w:r>
              <w:rPr>
                <w:rFonts w:ascii="Times" w:hAnsi="Times" w:cs="Times"/>
                <w:b/>
                <w:bCs/>
                <w:w w:val="98"/>
                <w:sz w:val="16"/>
                <w:szCs w:val="16"/>
              </w:rPr>
              <w:t>Total</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6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0"/>
              <w:jc w:val="center"/>
              <w:rPr>
                <w:rFonts w:ascii="Times New Roman" w:hAnsi="Times New Roman" w:cs="Times New Roman"/>
                <w:sz w:val="24"/>
                <w:szCs w:val="24"/>
              </w:rPr>
            </w:pPr>
            <w:r>
              <w:rPr>
                <w:rFonts w:ascii="Times" w:hAnsi="Times" w:cs="Times"/>
                <w:b/>
                <w:bCs/>
                <w:w w:val="99"/>
                <w:sz w:val="16"/>
                <w:szCs w:val="16"/>
              </w:rPr>
              <w:t>Quoted Prices</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340"/>
              <w:jc w:val="center"/>
              <w:rPr>
                <w:rFonts w:ascii="Times New Roman" w:hAnsi="Times New Roman" w:cs="Times New Roman"/>
                <w:sz w:val="24"/>
                <w:szCs w:val="24"/>
              </w:rPr>
            </w:pPr>
            <w:r>
              <w:rPr>
                <w:rFonts w:ascii="Times" w:hAnsi="Times" w:cs="Times"/>
                <w:b/>
                <w:bCs/>
                <w:w w:val="98"/>
                <w:sz w:val="16"/>
                <w:szCs w:val="16"/>
              </w:rPr>
              <w:t>Inputs</w:t>
            </w: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sz w:val="16"/>
                <w:szCs w:val="16"/>
              </w:rPr>
              <w:t>Inputs</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sz w:val="16"/>
                <w:szCs w:val="16"/>
              </w:rPr>
              <w:t>Fair Value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16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00"/>
              <w:jc w:val="center"/>
              <w:rPr>
                <w:rFonts w:ascii="Times New Roman" w:hAnsi="Times New Roman" w:cs="Times New Roman"/>
                <w:sz w:val="24"/>
                <w:szCs w:val="24"/>
              </w:rPr>
            </w:pPr>
            <w:r>
              <w:rPr>
                <w:rFonts w:ascii="Times" w:hAnsi="Times" w:cs="Times"/>
                <w:b/>
                <w:bCs/>
                <w:w w:val="99"/>
                <w:sz w:val="16"/>
                <w:szCs w:val="16"/>
              </w:rPr>
              <w:t>(Level 1)</w:t>
            </w:r>
          </w:p>
        </w:tc>
        <w:tc>
          <w:tcPr>
            <w:tcW w:w="98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20"/>
              <w:jc w:val="center"/>
              <w:rPr>
                <w:rFonts w:ascii="Times New Roman" w:hAnsi="Times New Roman" w:cs="Times New Roman"/>
                <w:sz w:val="24"/>
                <w:szCs w:val="24"/>
              </w:rPr>
            </w:pPr>
            <w:r>
              <w:rPr>
                <w:rFonts w:ascii="Times" w:hAnsi="Times" w:cs="Times"/>
                <w:b/>
                <w:bCs/>
                <w:w w:val="99"/>
                <w:sz w:val="16"/>
                <w:szCs w:val="16"/>
              </w:rPr>
              <w:t>(Level 2)</w:t>
            </w: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0"/>
              <w:jc w:val="center"/>
              <w:rPr>
                <w:rFonts w:ascii="Times New Roman" w:hAnsi="Times New Roman" w:cs="Times New Roman"/>
                <w:sz w:val="24"/>
                <w:szCs w:val="24"/>
              </w:rPr>
            </w:pPr>
            <w:r>
              <w:rPr>
                <w:rFonts w:ascii="Times" w:hAnsi="Times" w:cs="Times"/>
                <w:b/>
                <w:bCs/>
                <w:w w:val="99"/>
                <w:sz w:val="16"/>
                <w:szCs w:val="16"/>
              </w:rPr>
              <w:t>(Level 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30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December 31, 2014</w:t>
            </w: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3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Cash and equivalents  . . . . . . . . . . . . . . . . . . . . . . . . . . . . . . . . . . . . . . .</w:t>
            </w:r>
          </w:p>
        </w:tc>
        <w:tc>
          <w:tcPr>
            <w:tcW w:w="1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482</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232</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w w:val="93"/>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Equity securities . . . . . . . .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7,950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7,739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Government obligations . .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811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701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Other fixed maturity securities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908</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841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Investment funds and other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3,215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2,287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333</w:t>
            </w: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13,366</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9,352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3,681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$333</w:t>
            </w: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30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December 31, 2013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3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3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Cash and equivalents  . . . . . . . . . . . . . . . . . . . . . . . . . . . . . . . . . . . . . . .</w:t>
            </w:r>
          </w:p>
        </w:tc>
        <w:tc>
          <w:tcPr>
            <w:tcW w:w="1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355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w w:val="93"/>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Equity securities . . . . . . . .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7,844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7,684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Government obligations . .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891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Other fixed maturity securities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901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820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80"/>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Investment funds and other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3,046</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577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2,156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313</w:t>
            </w: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13,277</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9,304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3,660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$313</w:t>
            </w: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9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Refer to Note 18 for a discussion of the three levels in the hierarchy of fair values. Plan assets measured at fair value with significant unobservable inputs (Level 3) for the years ending December 31, 2014 and</w:t>
      </w:r>
      <w:r>
        <w:rPr>
          <w:rFonts w:ascii="Times" w:hAnsi="Times" w:cs="Times"/>
          <w:sz w:val="20"/>
          <w:szCs w:val="20"/>
        </w:rPr>
        <w:t xml:space="preserve"> 2013 consisted primarily of real estate and limited partnership interests. Plan assets are generally invested with the long-term objective of earning amounts sufficient to cover expected benefit obligations, while assuming a prudent level of risk. Allocat</w:t>
      </w:r>
      <w:r>
        <w:rPr>
          <w:rFonts w:ascii="Times" w:hAnsi="Times" w:cs="Times"/>
          <w:sz w:val="20"/>
          <w:szCs w:val="20"/>
        </w:rPr>
        <w:t>ions may change as a result of changing market conditions and investment opportunities. The expected rates of return on plan assets reflect subjective assessments of expected invested asset returns over a period of several years. Generally, past investment</w:t>
      </w:r>
      <w:r>
        <w:rPr>
          <w:rFonts w:ascii="Times" w:hAnsi="Times" w:cs="Times"/>
          <w:sz w:val="20"/>
          <w:szCs w:val="20"/>
        </w:rPr>
        <w:t xml:space="preserve"> returns are not given significant consideration when establishing assumptions for expected long-term rates of return on plan assets. Actual experience will differ from the assumed rates.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960" w:bottom="523" w:left="960" w:header="720" w:footer="720" w:gutter="0"/>
          <w:cols w:space="140" w:equalWidth="0">
            <w:col w:w="10320" w:space="140"/>
          </w:cols>
          <w:noEndnote/>
        </w:sectPr>
      </w:pP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80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140" w:equalWidth="0">
            <w:col w:w="200" w:space="14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w:t>
      </w:r>
      <w:r>
        <w:rPr>
          <w:rFonts w:ascii="Times" w:hAnsi="Times" w:cs="Times"/>
          <w:b/>
          <w:bCs/>
          <w:sz w:val="20"/>
          <w:szCs w:val="20"/>
        </w:rPr>
        <w:t xml:space="preserve">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(21) Pension plans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rPr>
          <w:rFonts w:ascii="Times New Roman" w:hAnsi="Times New Roman" w:cs="Times New Roman"/>
          <w:sz w:val="24"/>
          <w:szCs w:val="24"/>
        </w:rPr>
      </w:pPr>
      <w:r>
        <w:rPr>
          <w:rFonts w:ascii="Times" w:hAnsi="Times" w:cs="Times"/>
          <w:sz w:val="20"/>
          <w:szCs w:val="20"/>
        </w:rPr>
        <w:t>A reconciliation of the pre-tax accumulated ot</w:t>
      </w:r>
      <w:r>
        <w:rPr>
          <w:rFonts w:ascii="Times" w:hAnsi="Times" w:cs="Times"/>
          <w:sz w:val="20"/>
          <w:szCs w:val="20"/>
        </w:rPr>
        <w:t>her comprehensive income (loss) related to defined benefit pension plans for each of the two years ending December 31, 2014 follows (in millions).</w:t>
      </w:r>
    </w:p>
    <w:p w:rsidR="00000000" w:rsidRDefault="00A06965">
      <w:pPr>
        <w:pStyle w:val="DefaultParagraphFont"/>
        <w:widowControl w:val="0"/>
        <w:autoSpaceDE w:val="0"/>
        <w:autoSpaceDN w:val="0"/>
        <w:adjustRightInd w:val="0"/>
        <w:spacing w:after="0" w:line="77" w:lineRule="exact"/>
        <w:rPr>
          <w:rFonts w:ascii="Times New Roman" w:hAnsi="Times New Roman" w:cs="Times New Roman"/>
          <w:sz w:val="24"/>
          <w:szCs w:val="24"/>
        </w:rPr>
      </w:pPr>
    </w:p>
    <w:p w:rsidR="00000000" w:rsidRDefault="00A06965">
      <w:pPr>
        <w:pStyle w:val="DefaultParagraphFont"/>
        <w:widowControl w:val="0"/>
        <w:tabs>
          <w:tab w:val="left" w:pos="9840"/>
        </w:tabs>
        <w:autoSpaceDE w:val="0"/>
        <w:autoSpaceDN w:val="0"/>
        <w:adjustRightInd w:val="0"/>
        <w:spacing w:after="0" w:line="240" w:lineRule="auto"/>
        <w:ind w:left="9040"/>
        <w:rPr>
          <w:rFonts w:ascii="Times New Roman" w:hAnsi="Times New Roman" w:cs="Times New Roman"/>
          <w:sz w:val="24"/>
          <w:szCs w:val="24"/>
        </w:rPr>
      </w:pPr>
      <w:r>
        <w:rPr>
          <w:rFonts w:ascii="Times" w:hAnsi="Times" w:cs="Times"/>
          <w:b/>
          <w:bCs/>
          <w:sz w:val="16"/>
          <w:szCs w:val="16"/>
        </w:rPr>
        <w:t>2014</w:t>
      </w:r>
      <w:r>
        <w:rPr>
          <w:rFonts w:ascii="Times New Roman" w:hAnsi="Times New Roman" w:cs="Times New Roman"/>
          <w:sz w:val="24"/>
          <w:szCs w:val="24"/>
        </w:rPr>
        <w:tab/>
      </w:r>
      <w:r>
        <w:rPr>
          <w:rFonts w:ascii="Times" w:hAnsi="Times" w:cs="Times"/>
          <w:b/>
          <w:bCs/>
          <w:sz w:val="16"/>
          <w:szCs w:val="16"/>
        </w:rPr>
        <w:t>2013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r>
        <w:rPr>
          <w:noProof/>
        </w:rPr>
        <mc:AlternateContent>
          <mc:Choice Requires="wps">
            <w:drawing>
              <wp:anchor distT="0" distB="0" distL="114300" distR="114300" simplePos="0" relativeHeight="251701248" behindDoc="1" locked="0" layoutInCell="0" allowOverlap="1">
                <wp:simplePos x="0" y="0"/>
                <wp:positionH relativeFrom="column">
                  <wp:posOffset>5642610</wp:posOffset>
                </wp:positionH>
                <wp:positionV relativeFrom="paragraph">
                  <wp:posOffset>22225</wp:posOffset>
                </wp:positionV>
                <wp:extent cx="391795" cy="0"/>
                <wp:effectExtent l="0" t="0" r="0" b="0"/>
                <wp:wrapNone/>
                <wp:docPr id="27"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9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3pt,1.75pt" to="475.1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" o:allowincell="f" strokeweight="1pt"/>
            </w:pict>
          </mc:Fallback>
        </mc:AlternateContent>
      </w:r>
      <w:r>
        <w:rPr>
          <w:noProof/>
        </w:rPr>
        <mc:AlternateContent>
          <mc:Choice Requires="wps">
            <w:drawing>
              <wp:anchor distT="0" distB="0" distL="114300" distR="114300" simplePos="0" relativeHeight="251702272" behindDoc="1" locked="0" layoutInCell="0" allowOverlap="1">
                <wp:simplePos x="0" y="0"/>
                <wp:positionH relativeFrom="column">
                  <wp:posOffset>6161405</wp:posOffset>
                </wp:positionH>
                <wp:positionV relativeFrom="paragraph">
                  <wp:posOffset>22225</wp:posOffset>
                </wp:positionV>
                <wp:extent cx="391795" cy="0"/>
                <wp:effectExtent l="0" t="0" r="0" b="0"/>
                <wp:wrapNone/>
                <wp:docPr id="2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95"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5.15pt,1.75pt" to="5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" o:allowincell="f" strokeweight="1pt"/>
            </w:pict>
          </mc:Fallback>
        </mc:AlternateContent>
      </w:r>
    </w:p>
    <w:p w:rsidR="00000000" w:rsidRDefault="00A06965">
      <w:pPr>
        <w:pStyle w:val="DefaultParagraphFont"/>
        <w:widowControl w:val="0"/>
        <w:autoSpaceDE w:val="0"/>
        <w:autoSpaceDN w:val="0"/>
        <w:adjustRightInd w:val="0"/>
        <w:spacing w:after="0" w:line="8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880"/>
        <w:gridCol w:w="100"/>
        <w:gridCol w:w="520"/>
        <w:gridCol w:w="60"/>
      </w:tblGrid>
      <w:tr w:rsidR="00000000">
        <w:tblPrEx>
          <w:tblCellMar>
            <w:top w:w="0" w:type="dxa"/>
            <w:left w:w="0" w:type="dxa"/>
            <w:bottom w:w="0" w:type="dxa"/>
            <w:right w:w="0" w:type="dxa"/>
          </w:tblCellMar>
        </w:tblPrEx>
        <w:trPr>
          <w:trHeight w:val="230"/>
        </w:trPr>
        <w:tc>
          <w:tcPr>
            <w:tcW w:w="8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 xml:space="preserve">Balance at beginning of year  . . . . . . . . . . . . . . . . . . . . . . </w:t>
            </w:r>
            <w:r>
              <w:rPr>
                <w:rFonts w:ascii="Times" w:hAnsi="Times" w:cs="Times"/>
                <w:sz w:val="20"/>
                <w:szCs w:val="20"/>
              </w:rPr>
              <w:t>.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28"/>
        </w:trPr>
        <w:tc>
          <w:tcPr>
            <w:tcW w:w="8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ind w:right="100"/>
              <w:jc w:val="right"/>
              <w:rPr>
                <w:rFonts w:ascii="Times New Roman" w:hAnsi="Times New Roman" w:cs="Times New Roman"/>
                <w:sz w:val="24"/>
                <w:szCs w:val="24"/>
              </w:rPr>
            </w:pPr>
            <w:r>
              <w:rPr>
                <w:rFonts w:ascii="Times" w:hAnsi="Times" w:cs="Times"/>
                <w:sz w:val="20"/>
                <w:szCs w:val="20"/>
              </w:rPr>
              <w:t>Amount included in net periodic pension expense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w:hAnsi="Times" w:cs="Times"/>
                <w:sz w:val="20"/>
                <w:szCs w:val="20"/>
              </w:rPr>
              <w:t>55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228"/>
        </w:trPr>
        <w:tc>
          <w:tcPr>
            <w:tcW w:w="8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ind w:right="100"/>
              <w:jc w:val="right"/>
              <w:rPr>
                <w:rFonts w:ascii="Times New Roman" w:hAnsi="Times New Roman" w:cs="Times New Roman"/>
                <w:sz w:val="24"/>
                <w:szCs w:val="24"/>
              </w:rPr>
            </w:pPr>
            <w:r>
              <w:rPr>
                <w:rFonts w:ascii="Times" w:hAnsi="Times" w:cs="Times"/>
                <w:sz w:val="20"/>
                <w:szCs w:val="20"/>
              </w:rPr>
              <w:t>Gains (losses) current period and other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w:hAnsi="Times" w:cs="Times"/>
                <w:w w:val="95"/>
                <w:sz w:val="20"/>
                <w:szCs w:val="20"/>
              </w:rPr>
              <w:t>(1,755)</w:t>
            </w:r>
          </w:p>
        </w:tc>
      </w:tr>
      <w:tr w:rsidR="00000000">
        <w:tblPrEx>
          <w:tblCellMar>
            <w:top w:w="0" w:type="dxa"/>
            <w:left w:w="0" w:type="dxa"/>
            <w:bottom w:w="0" w:type="dxa"/>
            <w:right w:w="0" w:type="dxa"/>
          </w:tblCellMar>
        </w:tblPrEx>
        <w:trPr>
          <w:trHeight w:val="28"/>
        </w:trPr>
        <w:tc>
          <w:tcPr>
            <w:tcW w:w="8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8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Balance at end of year  . . . .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(1,614)</w:t>
            </w:r>
          </w:p>
        </w:tc>
      </w:tr>
      <w:tr w:rsidR="00000000">
        <w:tblPrEx>
          <w:tblCellMar>
            <w:top w:w="0" w:type="dxa"/>
            <w:left w:w="0" w:type="dxa"/>
            <w:bottom w:w="0" w:type="dxa"/>
            <w:right w:w="0" w:type="dxa"/>
          </w:tblCellMar>
        </w:tblPrEx>
        <w:trPr>
          <w:trHeight w:val="28"/>
        </w:trPr>
        <w:tc>
          <w:tcPr>
            <w:tcW w:w="8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96"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A06965">
      <w:pPr>
        <w:pStyle w:val="DefaultParagraphFont"/>
        <w:widowControl w:val="0"/>
        <w:overflowPunct w:val="0"/>
        <w:autoSpaceDE w:val="0"/>
        <w:autoSpaceDN w:val="0"/>
        <w:adjustRightInd w:val="0"/>
        <w:spacing w:after="0" w:line="251" w:lineRule="auto"/>
        <w:jc w:val="right"/>
        <w:rPr>
          <w:rFonts w:ascii="Times New Roman" w:hAnsi="Times New Roman" w:cs="Times New Roman"/>
          <w:sz w:val="24"/>
          <w:szCs w:val="24"/>
        </w:rPr>
      </w:pPr>
      <w:r>
        <w:rPr>
          <w:rFonts w:ascii="Times" w:hAnsi="Times" w:cs="Times"/>
          <w:sz w:val="19"/>
          <w:szCs w:val="19"/>
        </w:rPr>
        <w:t>$(2,516) 167 2,435</w:t>
      </w:r>
    </w:p>
    <w:p w:rsidR="00000000" w:rsidRDefault="00A06965">
      <w:pPr>
        <w:pStyle w:val="DefaultParagraphFont"/>
        <w:widowControl w:val="0"/>
        <w:autoSpaceDE w:val="0"/>
        <w:autoSpaceDN w:val="0"/>
        <w:adjustRightInd w:val="0"/>
        <w:spacing w:after="0" w:line="68" w:lineRule="exact"/>
        <w:rPr>
          <w:rFonts w:ascii="Times New Roman" w:hAnsi="Times New Roman" w:cs="Times New Roman"/>
          <w:sz w:val="24"/>
          <w:szCs w:val="24"/>
        </w:rPr>
      </w:pPr>
      <w:r>
        <w:rPr>
          <w:noProof/>
        </w:rPr>
        <mc:AlternateContent>
          <mc:Choice Requires="wps">
            <w:drawing>
              <wp:anchor distT="0" distB="0" distL="114300" distR="114300" simplePos="0" relativeHeight="251703296" behindDoc="1" locked="0" layoutInCell="0" allowOverlap="1">
                <wp:simplePos x="0" y="0"/>
                <wp:positionH relativeFrom="column">
                  <wp:posOffset>1905</wp:posOffset>
                </wp:positionH>
                <wp:positionV relativeFrom="paragraph">
                  <wp:posOffset>14605</wp:posOffset>
                </wp:positionV>
                <wp:extent cx="391795" cy="0"/>
                <wp:effectExtent l="0" t="0" r="0" b="0"/>
                <wp:wrapNone/>
                <wp:docPr id="2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15pt" to="3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xztHQIAAEI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" o:allowincell="f" strokeweight=".5pt"/>
            </w:pict>
          </mc:Fallback>
        </mc:AlternateContent>
      </w:r>
    </w:p>
    <w:p w:rsidR="00000000" w:rsidRDefault="00A06965">
      <w:pPr>
        <w:pStyle w:val="DefaultParagraphFont"/>
        <w:widowControl w:val="0"/>
        <w:numPr>
          <w:ilvl w:val="0"/>
          <w:numId w:val="41"/>
        </w:numPr>
        <w:tabs>
          <w:tab w:val="clear" w:pos="720"/>
          <w:tab w:val="num" w:pos="420"/>
        </w:tabs>
        <w:overflowPunct w:val="0"/>
        <w:autoSpaceDE w:val="0"/>
        <w:autoSpaceDN w:val="0"/>
        <w:adjustRightInd w:val="0"/>
        <w:spacing w:after="0" w:line="239" w:lineRule="auto"/>
        <w:ind w:left="420" w:hanging="417"/>
        <w:jc w:val="both"/>
        <w:rPr>
          <w:rFonts w:ascii="Times" w:hAnsi="Times" w:cs="Times"/>
          <w:sz w:val="20"/>
          <w:szCs w:val="20"/>
        </w:rPr>
      </w:pPr>
      <w:r>
        <w:rPr>
          <w:rFonts w:ascii="Times" w:hAnsi="Times" w:cs="Times"/>
          <w:sz w:val="20"/>
          <w:szCs w:val="20"/>
        </w:rPr>
        <w:t>86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900" w:bottom="523" w:left="960" w:header="720" w:footer="720" w:gutter="0"/>
          <w:cols w:num="2" w:space="140" w:equalWidth="0">
            <w:col w:w="9560" w:space="140"/>
            <w:col w:w="680"/>
          </w:cols>
          <w:noEndnote/>
        </w:sectPr>
      </w:pPr>
      <w:r>
        <w:rPr>
          <w:noProof/>
        </w:rPr>
        <mc:AlternateContent>
          <mc:Choice Requires="wps">
            <w:drawing>
              <wp:anchor distT="0" distB="0" distL="114300" distR="114300" simplePos="0" relativeHeight="251704320" behindDoc="1" locked="0" layoutInCell="0" allowOverlap="1">
                <wp:simplePos x="0" y="0"/>
                <wp:positionH relativeFrom="column">
                  <wp:posOffset>1905</wp:posOffset>
                </wp:positionH>
                <wp:positionV relativeFrom="paragraph">
                  <wp:posOffset>20955</wp:posOffset>
                </wp:positionV>
                <wp:extent cx="391795" cy="0"/>
                <wp:effectExtent l="0" t="0" r="0" b="0"/>
                <wp:wrapNone/>
                <wp:docPr id="24"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65pt" to="3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8YdHgIAAEI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" o:allowincell="f" strokeweight=".5pt"/>
            </w:pict>
          </mc:Fallback>
        </mc:AlternateContent>
      </w:r>
      <w:r>
        <w:rPr>
          <w:noProof/>
        </w:rPr>
        <mc:AlternateContent>
          <mc:Choice Requires="wps">
            <w:drawing>
              <wp:anchor distT="0" distB="0" distL="114300" distR="114300" simplePos="0" relativeHeight="251705344" behindDoc="1" locked="0" layoutInCell="0" allowOverlap="1">
                <wp:simplePos x="0" y="0"/>
                <wp:positionH relativeFrom="column">
                  <wp:posOffset>1905</wp:posOffset>
                </wp:positionH>
                <wp:positionV relativeFrom="paragraph">
                  <wp:posOffset>46355</wp:posOffset>
                </wp:positionV>
                <wp:extent cx="391795" cy="0"/>
                <wp:effectExtent l="0" t="0" r="0" b="0"/>
                <wp:wrapNone/>
                <wp:docPr id="2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79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65pt" to="3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" o:allowincell="f" strokeweight=".5pt"/>
            </w:pict>
          </mc:Fallback>
        </mc:AlternateContent>
      </w:r>
    </w:p>
    <w:p w:rsidR="00000000" w:rsidRDefault="00A06965">
      <w:pPr>
        <w:pStyle w:val="DefaultParagraphFont"/>
        <w:widowControl w:val="0"/>
        <w:autoSpaceDE w:val="0"/>
        <w:autoSpaceDN w:val="0"/>
        <w:adjustRightInd w:val="0"/>
        <w:spacing w:after="0" w:line="16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Several of our subsidiaries also sponsor defined contribution retirement plans, such as 401(k) or profit sharing plans. Employee contributions to the plans are subject to regulatory limitations and the specific plan provisions. Several of the plans provide</w:t>
      </w:r>
      <w:r>
        <w:rPr>
          <w:rFonts w:ascii="Times" w:hAnsi="Times" w:cs="Times"/>
          <w:sz w:val="20"/>
          <w:szCs w:val="20"/>
        </w:rPr>
        <w:t xml:space="preserve"> that the subsidiary match these contributions up to levels specified in the plans and provide for additional discretionary contributions as determined by management. Employer contributions expensed with respect to these plans were $737 million, $690 milli</w:t>
      </w:r>
      <w:r>
        <w:rPr>
          <w:rFonts w:ascii="Times" w:hAnsi="Times" w:cs="Times"/>
          <w:sz w:val="20"/>
          <w:szCs w:val="20"/>
        </w:rPr>
        <w:t>on and $637 million for the years ending December 31, 2014, 2013 and 2012, respectively.</w:t>
      </w:r>
    </w:p>
    <w:p w:rsidR="00000000" w:rsidRDefault="00A06965">
      <w:pPr>
        <w:pStyle w:val="DefaultParagraphFont"/>
        <w:widowControl w:val="0"/>
        <w:autoSpaceDE w:val="0"/>
        <w:autoSpaceDN w:val="0"/>
        <w:adjustRightInd w:val="0"/>
        <w:spacing w:after="0" w:line="16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(22) Contingencies and Commitments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We are parties in a variety of legal actions arising out of the normal course of business. In particular, such legal actions affec</w:t>
      </w:r>
      <w:r>
        <w:rPr>
          <w:rFonts w:ascii="Times" w:hAnsi="Times" w:cs="Times"/>
          <w:sz w:val="20"/>
          <w:szCs w:val="20"/>
        </w:rPr>
        <w:t>t our insurance and reinsurance businesses. Such litigation generally seeks to establish liability directly through insurance contracts or indirectly through reinsurance contracts issued by Berkshire subsidiaries. Plaintiffs occasionally seek punitive or e</w:t>
      </w:r>
      <w:r>
        <w:rPr>
          <w:rFonts w:ascii="Times" w:hAnsi="Times" w:cs="Times"/>
          <w:sz w:val="20"/>
          <w:szCs w:val="20"/>
        </w:rPr>
        <w:t>xemplary damages. We do not believe that such normal and routine litigation will have a material effect on our financial condition or results of operations. Berkshire and certain of its subsidiaries are also involved in other kinds of legal actions, some o</w:t>
      </w:r>
      <w:r>
        <w:rPr>
          <w:rFonts w:ascii="Times" w:hAnsi="Times" w:cs="Times"/>
          <w:sz w:val="20"/>
          <w:szCs w:val="20"/>
        </w:rPr>
        <w:t>f which assert or may assert claims or seek to impose fines and penalties. We believe that any liability that may arise as a result of other pending legal actions will not have a material effect on our consolidated financial condition or results of operati</w:t>
      </w:r>
      <w:r>
        <w:rPr>
          <w:rFonts w:ascii="Times" w:hAnsi="Times" w:cs="Times"/>
          <w:sz w:val="20"/>
          <w:szCs w:val="20"/>
        </w:rPr>
        <w:t>ons.</w:t>
      </w:r>
    </w:p>
    <w:p w:rsidR="00000000" w:rsidRDefault="00A06965">
      <w:pPr>
        <w:pStyle w:val="DefaultParagraphFont"/>
        <w:widowControl w:val="0"/>
        <w:autoSpaceDE w:val="0"/>
        <w:autoSpaceDN w:val="0"/>
        <w:adjustRightInd w:val="0"/>
        <w:spacing w:after="0" w:line="12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 xml:space="preserve">We lease certain manufacturing, warehouse, retail and office facilities as well as certain equipment. Rent expense for all operating leases was $1,484 million in 2014, $1,396 million in 2013 and $1,401 million in 2012. Future minimum rental payments </w:t>
      </w:r>
      <w:r>
        <w:rPr>
          <w:rFonts w:ascii="Times" w:hAnsi="Times" w:cs="Times"/>
          <w:sz w:val="20"/>
          <w:szCs w:val="20"/>
        </w:rPr>
        <w:t>or operating leases having initial or remaining non-cancellable terms in excess of one year are as follows. Amounts are in millions.</w:t>
      </w:r>
    </w:p>
    <w:p w:rsidR="00000000" w:rsidRDefault="00A06965">
      <w:pPr>
        <w:pStyle w:val="DefaultParagraphFont"/>
        <w:widowControl w:val="0"/>
        <w:autoSpaceDE w:val="0"/>
        <w:autoSpaceDN w:val="0"/>
        <w:adjustRightInd w:val="0"/>
        <w:spacing w:after="0" w:line="50" w:lineRule="exact"/>
        <w:rPr>
          <w:rFonts w:ascii="Times New Roman" w:hAnsi="Times New Roman" w:cs="Times New Roman"/>
          <w:sz w:val="24"/>
          <w:szCs w:val="24"/>
        </w:rPr>
      </w:pPr>
    </w:p>
    <w:tbl>
      <w:tblPr>
        <w:tblW w:w="0" w:type="auto"/>
        <w:tblInd w:w="820" w:type="dxa"/>
        <w:tblLayout w:type="fixed"/>
        <w:tblCellMar>
          <w:left w:w="0" w:type="dxa"/>
          <w:right w:w="0" w:type="dxa"/>
        </w:tblCellMar>
        <w:tblLook w:val="0000" w:firstRow="0" w:lastRow="0" w:firstColumn="0" w:lastColumn="0" w:noHBand="0" w:noVBand="0"/>
      </w:tblPr>
      <w:tblGrid>
        <w:gridCol w:w="680"/>
        <w:gridCol w:w="840"/>
        <w:gridCol w:w="540"/>
        <w:gridCol w:w="840"/>
        <w:gridCol w:w="540"/>
        <w:gridCol w:w="840"/>
        <w:gridCol w:w="400"/>
        <w:gridCol w:w="840"/>
        <w:gridCol w:w="400"/>
        <w:gridCol w:w="820"/>
        <w:gridCol w:w="560"/>
        <w:gridCol w:w="840"/>
        <w:gridCol w:w="540"/>
      </w:tblGrid>
      <w:tr w:rsidR="00000000">
        <w:tblPrEx>
          <w:tblCellMar>
            <w:top w:w="0" w:type="dxa"/>
            <w:left w:w="0" w:type="dxa"/>
            <w:bottom w:w="0" w:type="dxa"/>
            <w:right w:w="0" w:type="dxa"/>
          </w:tblCellMar>
        </w:tblPrEx>
        <w:trPr>
          <w:trHeight w:val="184"/>
        </w:trPr>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w:hAnsi="Times" w:cs="Times"/>
                <w:b/>
                <w:bCs/>
                <w:sz w:val="16"/>
                <w:szCs w:val="16"/>
              </w:rPr>
              <w:t>After</w:t>
            </w:r>
          </w:p>
        </w:tc>
        <w:tc>
          <w:tcPr>
            <w:tcW w:w="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182"/>
        </w:trPr>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90"/>
              <w:jc w:val="right"/>
              <w:rPr>
                <w:rFonts w:ascii="Times New Roman" w:hAnsi="Times New Roman" w:cs="Times New Roman"/>
                <w:sz w:val="24"/>
                <w:szCs w:val="24"/>
              </w:rPr>
            </w:pPr>
            <w:r>
              <w:rPr>
                <w:rFonts w:ascii="Times" w:hAnsi="Times" w:cs="Times"/>
                <w:b/>
                <w:bCs/>
                <w:sz w:val="16"/>
                <w:szCs w:val="16"/>
              </w:rPr>
              <w:t>2015</w:t>
            </w:r>
          </w:p>
        </w:tc>
        <w:tc>
          <w:tcPr>
            <w:tcW w:w="1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120"/>
              <w:jc w:val="right"/>
              <w:rPr>
                <w:rFonts w:ascii="Times New Roman" w:hAnsi="Times New Roman" w:cs="Times New Roman"/>
                <w:sz w:val="24"/>
                <w:szCs w:val="24"/>
              </w:rPr>
            </w:pPr>
            <w:r>
              <w:rPr>
                <w:rFonts w:ascii="Times" w:hAnsi="Times" w:cs="Times"/>
                <w:b/>
                <w:bCs/>
                <w:sz w:val="16"/>
                <w:szCs w:val="16"/>
              </w:rPr>
              <w:t>2016</w:t>
            </w:r>
          </w:p>
        </w:tc>
        <w:tc>
          <w:tcPr>
            <w:tcW w:w="1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100"/>
              <w:jc w:val="right"/>
              <w:rPr>
                <w:rFonts w:ascii="Times New Roman" w:hAnsi="Times New Roman" w:cs="Times New Roman"/>
                <w:sz w:val="24"/>
                <w:szCs w:val="24"/>
              </w:rPr>
            </w:pPr>
            <w:r>
              <w:rPr>
                <w:rFonts w:ascii="Times" w:hAnsi="Times" w:cs="Times"/>
                <w:b/>
                <w:bCs/>
                <w:sz w:val="16"/>
                <w:szCs w:val="16"/>
              </w:rPr>
              <w:t>2017</w:t>
            </w:r>
          </w:p>
        </w:tc>
        <w:tc>
          <w:tcPr>
            <w:tcW w:w="1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40"/>
              <w:jc w:val="right"/>
              <w:rPr>
                <w:rFonts w:ascii="Times New Roman" w:hAnsi="Times New Roman" w:cs="Times New Roman"/>
                <w:sz w:val="24"/>
                <w:szCs w:val="24"/>
              </w:rPr>
            </w:pPr>
            <w:r>
              <w:rPr>
                <w:rFonts w:ascii="Times" w:hAnsi="Times" w:cs="Times"/>
                <w:b/>
                <w:bCs/>
                <w:sz w:val="16"/>
                <w:szCs w:val="16"/>
              </w:rPr>
              <w:t>2018</w:t>
            </w:r>
          </w:p>
        </w:tc>
        <w:tc>
          <w:tcPr>
            <w:tcW w:w="1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40"/>
              <w:jc w:val="right"/>
              <w:rPr>
                <w:rFonts w:ascii="Times New Roman" w:hAnsi="Times New Roman" w:cs="Times New Roman"/>
                <w:sz w:val="24"/>
                <w:szCs w:val="24"/>
              </w:rPr>
            </w:pPr>
            <w:r>
              <w:rPr>
                <w:rFonts w:ascii="Times" w:hAnsi="Times" w:cs="Times"/>
                <w:b/>
                <w:bCs/>
                <w:sz w:val="16"/>
                <w:szCs w:val="16"/>
              </w:rPr>
              <w:t>2019</w:t>
            </w:r>
          </w:p>
        </w:tc>
        <w:tc>
          <w:tcPr>
            <w:tcW w:w="1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40"/>
              <w:jc w:val="right"/>
              <w:rPr>
                <w:rFonts w:ascii="Times New Roman" w:hAnsi="Times New Roman" w:cs="Times New Roman"/>
                <w:sz w:val="24"/>
                <w:szCs w:val="24"/>
              </w:rPr>
            </w:pPr>
            <w:r>
              <w:rPr>
                <w:rFonts w:ascii="Times" w:hAnsi="Times" w:cs="Times"/>
                <w:b/>
                <w:bCs/>
                <w:sz w:val="16"/>
                <w:szCs w:val="16"/>
              </w:rPr>
              <w:t>2019</w:t>
            </w:r>
          </w:p>
        </w:tc>
        <w:tc>
          <w:tcPr>
            <w:tcW w:w="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w w:val="98"/>
                <w:sz w:val="16"/>
                <w:szCs w:val="16"/>
              </w:rPr>
              <w:t>Total</w:t>
            </w:r>
          </w:p>
        </w:tc>
      </w:tr>
      <w:tr w:rsidR="00000000">
        <w:tblPrEx>
          <w:tblCellMar>
            <w:top w:w="0" w:type="dxa"/>
            <w:left w:w="0" w:type="dxa"/>
            <w:bottom w:w="0" w:type="dxa"/>
            <w:right w:w="0" w:type="dxa"/>
          </w:tblCellMar>
        </w:tblPrEx>
        <w:trPr>
          <w:trHeight w:val="26"/>
        </w:trPr>
        <w:tc>
          <w:tcPr>
            <w:tcW w:w="6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0"/>
        </w:trPr>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$1,279</w:t>
            </w:r>
          </w:p>
        </w:tc>
        <w:tc>
          <w:tcPr>
            <w:tcW w:w="1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$1,159</w:t>
            </w:r>
          </w:p>
        </w:tc>
        <w:tc>
          <w:tcPr>
            <w:tcW w:w="1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$1,001</w:t>
            </w:r>
          </w:p>
        </w:tc>
        <w:tc>
          <w:tcPr>
            <w:tcW w:w="1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$847</w:t>
            </w:r>
          </w:p>
        </w:tc>
        <w:tc>
          <w:tcPr>
            <w:tcW w:w="1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$751</w:t>
            </w:r>
          </w:p>
        </w:tc>
        <w:tc>
          <w:tcPr>
            <w:tcW w:w="1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$3,605</w:t>
            </w:r>
          </w:p>
        </w:tc>
        <w:tc>
          <w:tcPr>
            <w:tcW w:w="1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$8,642</w:t>
            </w:r>
          </w:p>
        </w:tc>
      </w:tr>
    </w:tbl>
    <w:p w:rsidR="00000000" w:rsidRDefault="00A06965">
      <w:pPr>
        <w:pStyle w:val="DefaultParagraphFont"/>
        <w:widowControl w:val="0"/>
        <w:autoSpaceDE w:val="0"/>
        <w:autoSpaceDN w:val="0"/>
        <w:adjustRightInd w:val="0"/>
        <w:spacing w:after="0" w:line="12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Our subsidiaries regularly make commitments in the ordina</w:t>
      </w:r>
      <w:r>
        <w:rPr>
          <w:rFonts w:ascii="Times" w:hAnsi="Times" w:cs="Times"/>
          <w:sz w:val="20"/>
          <w:szCs w:val="20"/>
        </w:rPr>
        <w:t>ry course of business to purchase goods and services used in their businesses. The most significant of these commitments relate to our railroad, utilities and energy and fractional aircraft ownership businesses. As of December 31, 2014, future purchase com</w:t>
      </w:r>
      <w:r>
        <w:rPr>
          <w:rFonts w:ascii="Times" w:hAnsi="Times" w:cs="Times"/>
          <w:sz w:val="20"/>
          <w:szCs w:val="20"/>
        </w:rPr>
        <w:t>mitments under such arrangements are expected to be paid as follows: $14.6 billion in 2015, $4.9 billion in 2016, $4.2 billion in 2017, $3.6 billion in 2018, $3.0 billion in 2019 and $13.7 billion after 2019.</w:t>
      </w:r>
    </w:p>
    <w:p w:rsidR="00000000" w:rsidRDefault="00A06965">
      <w:pPr>
        <w:pStyle w:val="DefaultParagraphFont"/>
        <w:widowControl w:val="0"/>
        <w:autoSpaceDE w:val="0"/>
        <w:autoSpaceDN w:val="0"/>
        <w:adjustRightInd w:val="0"/>
        <w:spacing w:after="0" w:line="12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Pursuant to the terms of shareholder agreement</w:t>
      </w:r>
      <w:r>
        <w:rPr>
          <w:rFonts w:ascii="Times" w:hAnsi="Times" w:cs="Times"/>
          <w:sz w:val="20"/>
          <w:szCs w:val="20"/>
        </w:rPr>
        <w:t xml:space="preserve">s with noncontrolling shareholders in our less than wholly-owned subsidiaries, we may be obligated to acquire their equity ownership interests. If we had acquired all outstanding noncontrolling interests as of December 31, 2014, we estimate the cost would </w:t>
      </w:r>
      <w:r>
        <w:rPr>
          <w:rFonts w:ascii="Times" w:hAnsi="Times" w:cs="Times"/>
          <w:sz w:val="20"/>
          <w:szCs w:val="20"/>
        </w:rPr>
        <w:t>have been approximately $4.2 billion. However, the timing and the amount of any such future payments that might be required are contingent on future actions of the noncontrolling owners.</w:t>
      </w:r>
    </w:p>
    <w:p w:rsidR="00000000" w:rsidRDefault="00A06965">
      <w:pPr>
        <w:pStyle w:val="DefaultParagraphFont"/>
        <w:widowControl w:val="0"/>
        <w:autoSpaceDE w:val="0"/>
        <w:autoSpaceDN w:val="0"/>
        <w:adjustRightInd w:val="0"/>
        <w:spacing w:after="0" w:line="12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During 2012 and 2013, we acquired substantially all of the outstandi</w:t>
      </w:r>
      <w:r>
        <w:rPr>
          <w:rFonts w:ascii="Times" w:hAnsi="Times" w:cs="Times"/>
          <w:sz w:val="20"/>
          <w:szCs w:val="20"/>
        </w:rPr>
        <w:t>ng common stock of Marmon that was held by noncontrolling shareholders for aggregate consideration of approximately $1.4 billion in 2012 and approximately $1.47 billion in 2013, of which $1.2 billion was paid in March 2014. On April 29, 2013, we acquired a</w:t>
      </w:r>
      <w:r>
        <w:rPr>
          <w:rFonts w:ascii="Times" w:hAnsi="Times" w:cs="Times"/>
          <w:sz w:val="20"/>
          <w:szCs w:val="20"/>
        </w:rPr>
        <w:t xml:space="preserve">ll of the common stock of IMC International Metalworking Companies B.V. held by the noncontrolling shareholders for $2.05 billion. These transactions were accounted for as acquisitions of noncontrolling interests. The differences between the consideration </w:t>
      </w:r>
      <w:r>
        <w:rPr>
          <w:rFonts w:ascii="Times" w:hAnsi="Times" w:cs="Times"/>
          <w:sz w:val="20"/>
          <w:szCs w:val="20"/>
        </w:rPr>
        <w:t>paid and the carrying amounts of these noncontrolling interests were recorded as reductions in Berkshire’s shareholders’ equity and aggregated approximately $1.8 billion in 2013 and $700 million in 2012.</w:t>
      </w:r>
    </w:p>
    <w:p w:rsidR="00000000" w:rsidRDefault="00A06965">
      <w:pPr>
        <w:pStyle w:val="DefaultParagraphFont"/>
        <w:widowControl w:val="0"/>
        <w:autoSpaceDE w:val="0"/>
        <w:autoSpaceDN w:val="0"/>
        <w:adjustRightInd w:val="0"/>
        <w:spacing w:after="0" w:line="12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On October 1, 2014, Berkshire and Van Tuyl Group en</w:t>
      </w:r>
      <w:r>
        <w:rPr>
          <w:rFonts w:ascii="Times" w:hAnsi="Times" w:cs="Times"/>
          <w:sz w:val="20"/>
          <w:szCs w:val="20"/>
        </w:rPr>
        <w:t xml:space="preserve">tered into a definitive agreement pursuant to which Berkshire will acquire a controlling interest in the Van Tuyl Group, the nation’s largest privately-owned auto dealership group and fifth largest among all U.S. auto dealership groups, as well as 100% of </w:t>
      </w:r>
      <w:r>
        <w:rPr>
          <w:rFonts w:ascii="Times" w:hAnsi="Times" w:cs="Times"/>
          <w:sz w:val="20"/>
          <w:szCs w:val="20"/>
        </w:rPr>
        <w:t xml:space="preserve">related insurance and real estate businesses. The auto dealership group consists of 78 dealers, with locations in 10 states. The transaction is expected to be completed in the first quarter of 2015 and is subject to obtaining approvals from the major auto </w:t>
      </w:r>
      <w:r>
        <w:rPr>
          <w:rFonts w:ascii="Times" w:hAnsi="Times" w:cs="Times"/>
          <w:sz w:val="20"/>
          <w:szCs w:val="20"/>
        </w:rPr>
        <w:t>manufacturers as well as certain customary closing conditions, including various regulatory approvals.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960" w:bottom="523" w:left="960" w:header="720" w:footer="720" w:gutter="0"/>
          <w:cols w:space="140" w:equalWidth="0">
            <w:col w:w="10320" w:space="140"/>
          </w:cols>
          <w:noEndnote/>
        </w:sectPr>
      </w:pPr>
    </w:p>
    <w:p w:rsidR="00000000" w:rsidRDefault="00A06965">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81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140" w:equalWidth="0">
            <w:col w:w="200" w:space="14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(22) Contingencies and Commitments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On November 13, 2014 Berkshire entered into a definitive agreement with Procter &amp; Gamble Company (“P&amp;G”) whereby it will acquire the Duracell battery business from P&amp;G. Pursuant to the agreement, in exchange for a recapitalized Duracell Compan</w:t>
      </w:r>
      <w:r>
        <w:rPr>
          <w:rFonts w:ascii="Times" w:hAnsi="Times" w:cs="Times"/>
          <w:sz w:val="20"/>
          <w:szCs w:val="20"/>
        </w:rPr>
        <w:t>y, which will include approximately $1.7 billion in cash at closing, P&amp;G will receive shares of its common stock currently held by Berkshire subsidiaries having a fair value at December 31, 2014 of approximately $4.8 billion. The transaction is expected to</w:t>
      </w:r>
      <w:r>
        <w:rPr>
          <w:rFonts w:ascii="Times" w:hAnsi="Times" w:cs="Times"/>
          <w:sz w:val="20"/>
          <w:szCs w:val="20"/>
        </w:rPr>
        <w:t xml:space="preserve"> close in the second half of 2015 and is subject to obtaining various regulatory approvals as well as certain other customary closing conditions.</w:t>
      </w:r>
    </w:p>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We own a 50% interest in a joint venture, Berkadia Commercial Mortgage LLC (“Berkadia”), with Leucadia Nation</w:t>
      </w:r>
      <w:r>
        <w:rPr>
          <w:rFonts w:ascii="Times" w:hAnsi="Times" w:cs="Times"/>
          <w:sz w:val="20"/>
          <w:szCs w:val="20"/>
        </w:rPr>
        <w:t>al Corporation (“Leucadia”) owning the other 50% interest. Berkadia is a servicer of commercial real estate loans in the U.S., performing primary, master and special servicing functions for U.S. government agency programs, commercial mortgage-backed securi</w:t>
      </w:r>
      <w:r>
        <w:rPr>
          <w:rFonts w:ascii="Times" w:hAnsi="Times" w:cs="Times"/>
          <w:sz w:val="20"/>
          <w:szCs w:val="20"/>
        </w:rPr>
        <w:t>ties transactions, banks, insurance companies and other financial institutions. A significant source of funding for Berkadia’s operations is through the issuance of commercial paper. Repayment of the commercial paper is supported by a $2.5 billion surety p</w:t>
      </w:r>
      <w:r>
        <w:rPr>
          <w:rFonts w:ascii="Times" w:hAnsi="Times" w:cs="Times"/>
          <w:sz w:val="20"/>
          <w:szCs w:val="20"/>
        </w:rPr>
        <w:t>olicy issued by a Berkshire insurance subsidiary. Leucadia has agreed to indemnify us for one-half of any losses incurred under the policy. As of December 31, 2014, the aggregate amount of Berkadia commercial paper outstanding was $2.47 billion.</w:t>
      </w: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20"/>
          <w:szCs w:val="20"/>
        </w:rPr>
        <w:t>(23) Busi</w:t>
      </w:r>
      <w:r>
        <w:rPr>
          <w:rFonts w:ascii="Times" w:hAnsi="Times" w:cs="Times"/>
          <w:b/>
          <w:bCs/>
          <w:sz w:val="20"/>
          <w:szCs w:val="20"/>
        </w:rPr>
        <w:t>ness segment data</w:t>
      </w:r>
    </w:p>
    <w:p w:rsidR="00000000" w:rsidRDefault="00A06965">
      <w:pPr>
        <w:pStyle w:val="DefaultParagraphFont"/>
        <w:widowControl w:val="0"/>
        <w:autoSpaceDE w:val="0"/>
        <w:autoSpaceDN w:val="0"/>
        <w:adjustRightInd w:val="0"/>
        <w:spacing w:after="0" w:line="14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64" w:lineRule="auto"/>
        <w:ind w:firstLine="400"/>
        <w:jc w:val="both"/>
        <w:rPr>
          <w:rFonts w:ascii="Times New Roman" w:hAnsi="Times New Roman" w:cs="Times New Roman"/>
          <w:sz w:val="24"/>
          <w:szCs w:val="24"/>
        </w:rPr>
      </w:pPr>
      <w:r>
        <w:rPr>
          <w:rFonts w:ascii="Times" w:hAnsi="Times" w:cs="Times"/>
          <w:sz w:val="19"/>
          <w:szCs w:val="19"/>
        </w:rPr>
        <w:t>Our operating businesses include a large and diverse group of insurance, finance, manufacturing, service and retailing businesses. Our reportable business segments are organized in a manner that reflects how management views those busine</w:t>
      </w:r>
      <w:r>
        <w:rPr>
          <w:rFonts w:ascii="Times" w:hAnsi="Times" w:cs="Times"/>
          <w:sz w:val="19"/>
          <w:szCs w:val="19"/>
        </w:rPr>
        <w:t>ss activities. Certain businesses have been grouped together for segment reporting based upon similar products or product lines, marketing, selling and distribution characteristics, even though those business units are operated under separate local managem</w:t>
      </w:r>
      <w:r>
        <w:rPr>
          <w:rFonts w:ascii="Times" w:hAnsi="Times" w:cs="Times"/>
          <w:sz w:val="19"/>
          <w:szCs w:val="19"/>
        </w:rPr>
        <w:t>ent.</w:t>
      </w:r>
    </w:p>
    <w:p w:rsidR="00000000" w:rsidRDefault="00A06965">
      <w:pPr>
        <w:pStyle w:val="DefaultParagraphFont"/>
        <w:widowControl w:val="0"/>
        <w:autoSpaceDE w:val="0"/>
        <w:autoSpaceDN w:val="0"/>
        <w:adjustRightInd w:val="0"/>
        <w:spacing w:after="0" w:line="16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The tabular information that follows shows data of reportable segments reconciled to amounts reflected in our Consolidated Financial Statements. Intersegment transactions are not eliminated when management considers those transactions in assessing th</w:t>
      </w:r>
      <w:r>
        <w:rPr>
          <w:rFonts w:ascii="Times" w:hAnsi="Times" w:cs="Times"/>
          <w:sz w:val="20"/>
          <w:szCs w:val="20"/>
        </w:rPr>
        <w:t>e results of the respective segments. Furthermore, our management does not consider investment and derivative gains/losses or amortization of purchase accounting adjustments related to Berkshire’s acquisition in assessing the performance of reporting units</w:t>
      </w:r>
      <w:r>
        <w:rPr>
          <w:rFonts w:ascii="Times" w:hAnsi="Times" w:cs="Times"/>
          <w:sz w:val="20"/>
          <w:szCs w:val="20"/>
        </w:rPr>
        <w:t>. Collectively, these items are included in reconciliations of segment amounts to consolidated amounts.</w:t>
      </w:r>
    </w:p>
    <w:p w:rsidR="00000000" w:rsidRDefault="00A06965">
      <w:pPr>
        <w:pStyle w:val="DefaultParagraphFont"/>
        <w:widowControl w:val="0"/>
        <w:autoSpaceDE w:val="0"/>
        <w:autoSpaceDN w:val="0"/>
        <w:adjustRightInd w:val="0"/>
        <w:spacing w:after="0" w:line="13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160"/>
        <w:gridCol w:w="4240"/>
        <w:gridCol w:w="1160"/>
        <w:gridCol w:w="3760"/>
      </w:tblGrid>
      <w:tr w:rsidR="00000000">
        <w:tblPrEx>
          <w:tblCellMar>
            <w:top w:w="0" w:type="dxa"/>
            <w:left w:w="0" w:type="dxa"/>
            <w:bottom w:w="0" w:type="dxa"/>
            <w:right w:w="0" w:type="dxa"/>
          </w:tblCellMar>
        </w:tblPrEx>
        <w:trPr>
          <w:trHeight w:val="184"/>
        </w:trPr>
        <w:tc>
          <w:tcPr>
            <w:tcW w:w="5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Business Identity</w:t>
            </w: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Business Activity</w:t>
            </w:r>
          </w:p>
        </w:tc>
      </w:tr>
      <w:tr w:rsidR="00000000">
        <w:tblPrEx>
          <w:tblCellMar>
            <w:top w:w="0" w:type="dxa"/>
            <w:left w:w="0" w:type="dxa"/>
            <w:bottom w:w="0" w:type="dxa"/>
            <w:right w:w="0" w:type="dxa"/>
          </w:tblCellMar>
        </w:tblPrEx>
        <w:trPr>
          <w:trHeight w:val="26"/>
        </w:trPr>
        <w:tc>
          <w:tcPr>
            <w:tcW w:w="1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2"/>
        </w:trPr>
        <w:tc>
          <w:tcPr>
            <w:tcW w:w="5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GEICO</w:t>
            </w: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Underwriting private passenger automobile insurance mainly</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by direct response methods</w:t>
            </w:r>
          </w:p>
        </w:tc>
      </w:tr>
      <w:tr w:rsidR="00000000">
        <w:tblPrEx>
          <w:tblCellMar>
            <w:top w:w="0" w:type="dxa"/>
            <w:left w:w="0" w:type="dxa"/>
            <w:bottom w:w="0" w:type="dxa"/>
            <w:right w:w="0" w:type="dxa"/>
          </w:tblCellMar>
        </w:tblPrEx>
        <w:trPr>
          <w:trHeight w:val="320"/>
        </w:trPr>
        <w:tc>
          <w:tcPr>
            <w:tcW w:w="5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General Re</w:t>
            </w: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Underwriting excess-of-loss, quota-share and facultative</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reinsurance worldwide</w:t>
            </w:r>
          </w:p>
        </w:tc>
      </w:tr>
      <w:tr w:rsidR="00000000">
        <w:tblPrEx>
          <w:tblCellMar>
            <w:top w:w="0" w:type="dxa"/>
            <w:left w:w="0" w:type="dxa"/>
            <w:bottom w:w="0" w:type="dxa"/>
            <w:right w:w="0" w:type="dxa"/>
          </w:tblCellMar>
        </w:tblPrEx>
        <w:trPr>
          <w:trHeight w:val="320"/>
        </w:trPr>
        <w:tc>
          <w:tcPr>
            <w:tcW w:w="5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Berkshire Hathaway Reinsurance Group</w:t>
            </w: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Underwriting excess-of-loss and quota-share reinsurance for</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insurers and reinsurers</w:t>
            </w:r>
          </w:p>
        </w:tc>
      </w:tr>
      <w:tr w:rsidR="00000000">
        <w:tblPrEx>
          <w:tblCellMar>
            <w:top w:w="0" w:type="dxa"/>
            <w:left w:w="0" w:type="dxa"/>
            <w:bottom w:w="0" w:type="dxa"/>
            <w:right w:w="0" w:type="dxa"/>
          </w:tblCellMar>
        </w:tblPrEx>
        <w:trPr>
          <w:trHeight w:val="320"/>
        </w:trPr>
        <w:tc>
          <w:tcPr>
            <w:tcW w:w="5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Berkshire Hathaway Primary Group</w:t>
            </w: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Underwriting multiple lines of property and casualty</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insurance policies for primarily commercial accounts</w:t>
            </w:r>
          </w:p>
        </w:tc>
      </w:tr>
      <w:tr w:rsidR="00000000">
        <w:tblPrEx>
          <w:tblCellMar>
            <w:top w:w="0" w:type="dxa"/>
            <w:left w:w="0" w:type="dxa"/>
            <w:bottom w:w="0" w:type="dxa"/>
            <w:right w:w="0" w:type="dxa"/>
          </w:tblCellMar>
        </w:tblPrEx>
        <w:trPr>
          <w:trHeight w:val="320"/>
        </w:trPr>
        <w:tc>
          <w:tcPr>
            <w:tcW w:w="5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BNSF</w:t>
            </w: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Operates one of the largest railroad systems in North</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America</w:t>
            </w:r>
          </w:p>
        </w:tc>
      </w:tr>
      <w:tr w:rsidR="00000000">
        <w:tblPrEx>
          <w:tblCellMar>
            <w:top w:w="0" w:type="dxa"/>
            <w:left w:w="0" w:type="dxa"/>
            <w:bottom w:w="0" w:type="dxa"/>
            <w:right w:w="0" w:type="dxa"/>
          </w:tblCellMar>
        </w:tblPrEx>
        <w:trPr>
          <w:trHeight w:val="320"/>
        </w:trPr>
        <w:tc>
          <w:tcPr>
            <w:tcW w:w="5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Berkshire Hathaway Energy</w:t>
            </w: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Regulated electric and gas utility, including power</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generation and distribution activities, and domestic real</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estate brokerage and brokerage franchisor</w:t>
            </w:r>
          </w:p>
        </w:tc>
      </w:tr>
      <w:tr w:rsidR="00000000">
        <w:tblPrEx>
          <w:tblCellMar>
            <w:top w:w="0" w:type="dxa"/>
            <w:left w:w="0" w:type="dxa"/>
            <w:bottom w:w="0" w:type="dxa"/>
            <w:right w:w="0" w:type="dxa"/>
          </w:tblCellMar>
        </w:tblPrEx>
        <w:trPr>
          <w:trHeight w:val="320"/>
        </w:trPr>
        <w:tc>
          <w:tcPr>
            <w:tcW w:w="5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McLane Company</w:t>
            </w: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Wholesale distribution of groceries and non-food items</w:t>
            </w:r>
          </w:p>
        </w:tc>
      </w:tr>
      <w:tr w:rsidR="00000000">
        <w:tblPrEx>
          <w:tblCellMar>
            <w:top w:w="0" w:type="dxa"/>
            <w:left w:w="0" w:type="dxa"/>
            <w:bottom w:w="0" w:type="dxa"/>
            <w:right w:w="0" w:type="dxa"/>
          </w:tblCellMar>
        </w:tblPrEx>
        <w:trPr>
          <w:trHeight w:val="320"/>
        </w:trPr>
        <w:tc>
          <w:tcPr>
            <w:tcW w:w="5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Manufacturing</w:t>
            </w: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99"/>
                <w:sz w:val="20"/>
                <w:szCs w:val="20"/>
              </w:rPr>
              <w:t>Manufacturers of numerous products including industrial and</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end-user products, building products and apparel</w:t>
            </w:r>
          </w:p>
        </w:tc>
      </w:tr>
      <w:tr w:rsidR="00000000">
        <w:tblPrEx>
          <w:tblCellMar>
            <w:top w:w="0" w:type="dxa"/>
            <w:left w:w="0" w:type="dxa"/>
            <w:bottom w:w="0" w:type="dxa"/>
            <w:right w:w="0" w:type="dxa"/>
          </w:tblCellMar>
        </w:tblPrEx>
        <w:trPr>
          <w:trHeight w:val="320"/>
        </w:trPr>
        <w:tc>
          <w:tcPr>
            <w:tcW w:w="5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Service and retailing</w:t>
            </w: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Providers of numerous services including fractional aircraft</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ownership programs, aviation pilot training, electronic</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components distribution and retailing</w:t>
            </w:r>
          </w:p>
        </w:tc>
      </w:tr>
      <w:tr w:rsidR="00000000">
        <w:tblPrEx>
          <w:tblCellMar>
            <w:top w:w="0" w:type="dxa"/>
            <w:left w:w="0" w:type="dxa"/>
            <w:bottom w:w="0" w:type="dxa"/>
            <w:right w:w="0" w:type="dxa"/>
          </w:tblCellMar>
        </w:tblPrEx>
        <w:trPr>
          <w:trHeight w:val="320"/>
        </w:trPr>
        <w:tc>
          <w:tcPr>
            <w:tcW w:w="54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Finance and financial products</w:t>
            </w: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Manufactured housing and related consumer financing;</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transportation equipment, manufacturing and leasing; and</w:t>
            </w:r>
          </w:p>
        </w:tc>
      </w:tr>
      <w:tr w:rsidR="00000000">
        <w:tblPrEx>
          <w:tblCellMar>
            <w:top w:w="0" w:type="dxa"/>
            <w:left w:w="0" w:type="dxa"/>
            <w:bottom w:w="0" w:type="dxa"/>
            <w:right w:w="0" w:type="dxa"/>
          </w:tblCellMar>
        </w:tblPrEx>
        <w:trPr>
          <w:trHeight w:val="240"/>
        </w:trPr>
        <w:tc>
          <w:tcPr>
            <w:tcW w:w="1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furniture leasing</w:t>
            </w: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82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(23) Business segment data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right="60" w:firstLine="400"/>
        <w:rPr>
          <w:rFonts w:ascii="Times New Roman" w:hAnsi="Times New Roman" w:cs="Times New Roman"/>
          <w:sz w:val="24"/>
          <w:szCs w:val="24"/>
        </w:rPr>
      </w:pPr>
      <w:r>
        <w:rPr>
          <w:rFonts w:ascii="Times" w:hAnsi="Times" w:cs="Times"/>
          <w:sz w:val="20"/>
          <w:szCs w:val="20"/>
        </w:rPr>
        <w:t>A disaggregation of our consolidated data for each of the three most recent years is presented in the tables which follow (in millions).</w:t>
      </w: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120"/>
        <w:gridCol w:w="60"/>
        <w:gridCol w:w="120"/>
        <w:gridCol w:w="520"/>
        <w:gridCol w:w="60"/>
        <w:gridCol w:w="200"/>
        <w:gridCol w:w="40"/>
        <w:gridCol w:w="120"/>
        <w:gridCol w:w="540"/>
        <w:gridCol w:w="40"/>
        <w:gridCol w:w="200"/>
        <w:gridCol w:w="100"/>
        <w:gridCol w:w="560"/>
        <w:gridCol w:w="100"/>
        <w:gridCol w:w="200"/>
        <w:gridCol w:w="40"/>
        <w:gridCol w:w="560"/>
        <w:gridCol w:w="40"/>
        <w:gridCol w:w="200"/>
        <w:gridCol w:w="60"/>
        <w:gridCol w:w="540"/>
        <w:gridCol w:w="60"/>
        <w:gridCol w:w="200"/>
        <w:gridCol w:w="40"/>
        <w:gridCol w:w="100"/>
        <w:gridCol w:w="460"/>
        <w:gridCol w:w="40"/>
        <w:gridCol w:w="60"/>
        <w:gridCol w:w="20"/>
      </w:tblGrid>
      <w:tr w:rsidR="00000000">
        <w:tblPrEx>
          <w:tblCellMar>
            <w:top w:w="0" w:type="dxa"/>
            <w:left w:w="0" w:type="dxa"/>
            <w:bottom w:w="0" w:type="dxa"/>
            <w:right w:w="0" w:type="dxa"/>
          </w:tblCellMar>
        </w:tblPrEx>
        <w:trPr>
          <w:trHeight w:val="184"/>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60"/>
              <w:jc w:val="center"/>
              <w:rPr>
                <w:rFonts w:ascii="Times New Roman" w:hAnsi="Times New Roman" w:cs="Times New Roman"/>
                <w:sz w:val="24"/>
                <w:szCs w:val="24"/>
              </w:rPr>
            </w:pPr>
            <w:r>
              <w:rPr>
                <w:rFonts w:ascii="Times" w:hAnsi="Times" w:cs="Times"/>
                <w:b/>
                <w:bCs/>
                <w:w w:val="98"/>
                <w:sz w:val="16"/>
                <w:szCs w:val="16"/>
              </w:rPr>
              <w:t>Revenues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360" w:type="dxa"/>
            <w:gridSpan w:val="1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center"/>
              <w:rPr>
                <w:rFonts w:ascii="Times New Roman" w:hAnsi="Times New Roman" w:cs="Times New Roman"/>
                <w:sz w:val="24"/>
                <w:szCs w:val="24"/>
              </w:rPr>
            </w:pPr>
            <w:r>
              <w:rPr>
                <w:rFonts w:ascii="Times" w:hAnsi="Times" w:cs="Times"/>
                <w:b/>
                <w:bCs/>
                <w:sz w:val="16"/>
                <w:szCs w:val="16"/>
              </w:rPr>
              <w:t>Earnings before income taxes</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3"/>
              <w:jc w:val="right"/>
              <w:rPr>
                <w:rFonts w:ascii="Times New Roman" w:hAnsi="Times New Roman" w:cs="Times New Roman"/>
                <w:sz w:val="24"/>
                <w:szCs w:val="24"/>
              </w:rPr>
            </w:pPr>
            <w:r>
              <w:rPr>
                <w:rFonts w:ascii="Times" w:hAnsi="Times" w:cs="Times"/>
                <w:b/>
                <w:bCs/>
                <w:sz w:val="16"/>
                <w:szCs w:val="16"/>
              </w:rPr>
              <w:t>2014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2"/>
              <w:jc w:val="center"/>
              <w:rPr>
                <w:rFonts w:ascii="Times New Roman" w:hAnsi="Times New Roman" w:cs="Times New Roman"/>
                <w:sz w:val="24"/>
                <w:szCs w:val="24"/>
              </w:rPr>
            </w:pPr>
            <w:r>
              <w:rPr>
                <w:rFonts w:ascii="Times" w:hAnsi="Times" w:cs="Times"/>
                <w:b/>
                <w:bCs/>
                <w:w w:val="99"/>
                <w:sz w:val="16"/>
                <w:szCs w:val="16"/>
              </w:rPr>
              <w:t>2013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w:hAnsi="Times" w:cs="Times"/>
                <w:b/>
                <w:bCs/>
                <w:sz w:val="16"/>
                <w:szCs w:val="16"/>
              </w:rPr>
              <w:t>2012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b/>
                <w:bCs/>
                <w:sz w:val="16"/>
                <w:szCs w:val="16"/>
              </w:rPr>
              <w:t>2014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w w:val="99"/>
                <w:sz w:val="16"/>
                <w:szCs w:val="16"/>
              </w:rPr>
              <w:t>2013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Times" w:hAnsi="Times" w:cs="Times"/>
                <w:b/>
                <w:bCs/>
                <w:w w:val="99"/>
                <w:sz w:val="16"/>
                <w:szCs w:val="16"/>
              </w:rPr>
              <w:t>2012</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1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Operating Businesses:</w:t>
            </w: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1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Insurance group:</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480"/>
              <w:jc w:val="right"/>
              <w:rPr>
                <w:rFonts w:ascii="Times New Roman" w:hAnsi="Times New Roman" w:cs="Times New Roman"/>
                <w:sz w:val="24"/>
                <w:szCs w:val="24"/>
              </w:rPr>
            </w:pPr>
            <w:r>
              <w:rPr>
                <w:rFonts w:ascii="Times" w:hAnsi="Times" w:cs="Times"/>
                <w:sz w:val="20"/>
                <w:szCs w:val="20"/>
              </w:rPr>
              <w:t>Underwriting:</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GEICO . . . . . . . . . . . . . . . . . . . . . . . . . . . . . . . . . . .</w:t>
            </w:r>
          </w:p>
        </w:tc>
        <w:tc>
          <w:tcPr>
            <w:tcW w:w="7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$ 20,496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$ 18,572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$ 16,740</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$ 1,159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$ 1,127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w:hAnsi="Times" w:cs="Times"/>
                <w:w w:val="79"/>
                <w:sz w:val="20"/>
                <w:szCs w:val="20"/>
              </w:rPr>
              <w:t>$</w:t>
            </w: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680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General Re . . . . . .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6,264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5,984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5,870</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355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Berkshire Hathaway Reinsurance Group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10,116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8,786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9,672</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1,294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Berkshire Hathaway Primary Group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4,377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3,342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2,263</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Investment income  . . .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4,370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4,735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4,474</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4,357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4,454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Total insurance group . . . . . . . . . . . . . . . . . . . . . .</w:t>
            </w:r>
            <w:r>
              <w:rPr>
                <w:rFonts w:ascii="Times" w:hAnsi="Times" w:cs="Times"/>
                <w:sz w:val="20"/>
                <w:szCs w:val="20"/>
              </w:rPr>
              <w:t xml:space="preserve">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45,623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41,419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39,019</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7,025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7,802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6,079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w w:val="99"/>
                <w:sz w:val="20"/>
                <w:szCs w:val="20"/>
              </w:rPr>
              <w:t>BNSF . . . . . . . . . . . . . . . . . .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23,239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20,835</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6,169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5,928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5,377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w:hAnsi="Times" w:cs="Times"/>
                <w:sz w:val="20"/>
                <w:szCs w:val="20"/>
              </w:rPr>
              <w:t>Berkshire Hathaway Energy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17,614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12,743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11,747</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2,711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1,806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1,644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McLane Company . . . . . . . .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46,640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45,930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37,437</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435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Manufacturing . . . . . . . . . . .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36,773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34,258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32,105</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4,811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4,205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3,911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Service and retailing . . . . . .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14,276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13,284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11,890</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1,546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1,469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1,272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Finance and financial products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6,526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6,110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5,933</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1,564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1,393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190,691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175,758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158,966</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24,536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23,260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20,079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R</w:t>
            </w:r>
            <w:r>
              <w:rPr>
                <w:rFonts w:ascii="Times" w:hAnsi="Times" w:cs="Times"/>
                <w:b/>
                <w:bCs/>
                <w:sz w:val="20"/>
                <w:szCs w:val="20"/>
              </w:rPr>
              <w:t>econciliation of segments to consolidated amount:</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Investment and derivative gains/losses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4,081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6,673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3,425</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4,081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6,673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3,425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Interest expense, not allocated to segments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sz w:val="20"/>
                <w:szCs w:val="20"/>
              </w:rPr>
              <w:t>—</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w:t>
            </w:r>
          </w:p>
        </w:tc>
        <w:tc>
          <w:tcPr>
            <w:tcW w:w="10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(313)</w:t>
            </w:r>
          </w:p>
        </w:tc>
        <w:tc>
          <w:tcPr>
            <w:tcW w:w="8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(303)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Eliminations and other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(99)</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(281)</w:t>
            </w: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72</w:t>
            </w:r>
          </w:p>
        </w:tc>
        <w:tc>
          <w:tcPr>
            <w:tcW w:w="10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(199)</w:t>
            </w:r>
          </w:p>
        </w:tc>
        <w:tc>
          <w:tcPr>
            <w:tcW w:w="8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(834)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(997)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$194,673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$182,150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$162,463</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$28,105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$28,796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$22,236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4"/>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80" w:type="dxa"/>
            <w:gridSpan w:val="11"/>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80"/>
              <w:jc w:val="center"/>
              <w:rPr>
                <w:rFonts w:ascii="Times New Roman" w:hAnsi="Times New Roman" w:cs="Times New Roman"/>
                <w:sz w:val="24"/>
                <w:szCs w:val="24"/>
              </w:rPr>
            </w:pPr>
            <w:r>
              <w:rPr>
                <w:rFonts w:ascii="Times" w:hAnsi="Times" w:cs="Times"/>
                <w:b/>
                <w:bCs/>
                <w:w w:val="99"/>
                <w:sz w:val="16"/>
                <w:szCs w:val="16"/>
              </w:rPr>
              <w:t>Capital expenditures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60" w:type="dxa"/>
            <w:gridSpan w:val="1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center"/>
              <w:rPr>
                <w:rFonts w:ascii="Times New Roman" w:hAnsi="Times New Roman" w:cs="Times New Roman"/>
                <w:sz w:val="24"/>
                <w:szCs w:val="24"/>
              </w:rPr>
            </w:pPr>
            <w:r>
              <w:rPr>
                <w:rFonts w:ascii="Times" w:hAnsi="Times" w:cs="Times"/>
                <w:b/>
                <w:bCs/>
                <w:sz w:val="16"/>
                <w:szCs w:val="16"/>
              </w:rPr>
              <w:t>Depreciation of tangible assets</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3"/>
              <w:jc w:val="right"/>
              <w:rPr>
                <w:rFonts w:ascii="Times New Roman" w:hAnsi="Times New Roman" w:cs="Times New Roman"/>
                <w:sz w:val="24"/>
                <w:szCs w:val="24"/>
              </w:rPr>
            </w:pPr>
            <w:r>
              <w:rPr>
                <w:rFonts w:ascii="Times" w:hAnsi="Times" w:cs="Times"/>
                <w:b/>
                <w:bCs/>
                <w:sz w:val="16"/>
                <w:szCs w:val="16"/>
              </w:rPr>
              <w:t>2014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2"/>
              <w:jc w:val="center"/>
              <w:rPr>
                <w:rFonts w:ascii="Times New Roman" w:hAnsi="Times New Roman" w:cs="Times New Roman"/>
                <w:sz w:val="24"/>
                <w:szCs w:val="24"/>
              </w:rPr>
            </w:pPr>
            <w:r>
              <w:rPr>
                <w:rFonts w:ascii="Times" w:hAnsi="Times" w:cs="Times"/>
                <w:b/>
                <w:bCs/>
                <w:w w:val="99"/>
                <w:sz w:val="16"/>
                <w:szCs w:val="16"/>
              </w:rPr>
              <w:t>2013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
              <w:jc w:val="right"/>
              <w:rPr>
                <w:rFonts w:ascii="Times New Roman" w:hAnsi="Times New Roman" w:cs="Times New Roman"/>
                <w:sz w:val="24"/>
                <w:szCs w:val="24"/>
              </w:rPr>
            </w:pPr>
            <w:r>
              <w:rPr>
                <w:rFonts w:ascii="Times" w:hAnsi="Times" w:cs="Times"/>
                <w:b/>
                <w:bCs/>
                <w:sz w:val="16"/>
                <w:szCs w:val="16"/>
              </w:rPr>
              <w:t>2012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b/>
                <w:bCs/>
                <w:sz w:val="16"/>
                <w:szCs w:val="16"/>
              </w:rPr>
              <w:t>2014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w w:val="99"/>
                <w:sz w:val="16"/>
                <w:szCs w:val="16"/>
              </w:rPr>
              <w:t>2013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Times" w:hAnsi="Times" w:cs="Times"/>
                <w:b/>
                <w:bCs/>
                <w:w w:val="99"/>
                <w:sz w:val="16"/>
                <w:szCs w:val="16"/>
              </w:rPr>
              <w:t>2012</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1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Operating Businesses:</w:t>
            </w: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1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Insurance group</w:t>
            </w:r>
            <w:r>
              <w:rPr>
                <w:rFonts w:ascii="Times" w:hAnsi="Times" w:cs="Times"/>
                <w:sz w:val="20"/>
                <w:szCs w:val="20"/>
              </w:rPr>
              <w:t xml:space="preserve"> . . . . . . . . . . . . . . . . . . . . . . . . . . . . . . . . . . . .</w:t>
            </w:r>
          </w:p>
        </w:tc>
        <w:tc>
          <w:tcPr>
            <w:tcW w:w="1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w:hAnsi="Times" w:cs="Times"/>
                <w:sz w:val="20"/>
                <w:szCs w:val="20"/>
              </w:rPr>
              <w:t>$</w:t>
            </w: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89</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61</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69</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58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57</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w w:val="99"/>
                <w:sz w:val="20"/>
                <w:szCs w:val="20"/>
              </w:rPr>
              <w:t>BNSF . . . . . . . . . . . . . . . . . .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5,243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3,918</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3,548</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1,804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1,655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1,573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Berkshire Hathaway Energy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6,555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4,307</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3,380</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2,177</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1,577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1,440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McLane Company . . . . . . . .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225</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159</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149</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Manufacturing . . . . . . . . . . .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1,324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1,037</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1,062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943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1,061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1,068</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Service and retailing . . . . . . . .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488</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381</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413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379</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Finance and financial products . . . . . . . . . . . . . . . . . . . . . . . .</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1,137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1,023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1,118</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602</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495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$15,185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$11,087</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$9,775</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$6,215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$5,418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$5,146</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83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(23) Business segment data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6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980"/>
        <w:gridCol w:w="100"/>
        <w:gridCol w:w="540"/>
        <w:gridCol w:w="200"/>
        <w:gridCol w:w="100"/>
        <w:gridCol w:w="560"/>
        <w:gridCol w:w="200"/>
        <w:gridCol w:w="100"/>
        <w:gridCol w:w="640"/>
        <w:gridCol w:w="200"/>
        <w:gridCol w:w="100"/>
        <w:gridCol w:w="660"/>
        <w:gridCol w:w="200"/>
        <w:gridCol w:w="100"/>
        <w:gridCol w:w="640"/>
        <w:gridCol w:w="20"/>
      </w:tblGrid>
      <w:tr w:rsidR="00000000">
        <w:tblPrEx>
          <w:tblCellMar>
            <w:top w:w="0" w:type="dxa"/>
            <w:left w:w="0" w:type="dxa"/>
            <w:bottom w:w="0" w:type="dxa"/>
            <w:right w:w="0" w:type="dxa"/>
          </w:tblCellMar>
        </w:tblPrEx>
        <w:trPr>
          <w:trHeight w:val="184"/>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42"/>
              <w:jc w:val="right"/>
              <w:rPr>
                <w:rFonts w:ascii="Times New Roman" w:hAnsi="Times New Roman" w:cs="Times New Roman"/>
                <w:sz w:val="24"/>
                <w:szCs w:val="24"/>
              </w:rPr>
            </w:pPr>
            <w:r>
              <w:rPr>
                <w:rFonts w:ascii="Times" w:hAnsi="Times" w:cs="Times"/>
                <w:b/>
                <w:bCs/>
                <w:sz w:val="16"/>
                <w:szCs w:val="16"/>
              </w:rPr>
              <w:t>Goodwill</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90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b/>
                <w:bCs/>
                <w:sz w:val="16"/>
                <w:szCs w:val="16"/>
              </w:rPr>
              <w:t>Identifiable assets</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4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82"/>
              <w:jc w:val="right"/>
              <w:rPr>
                <w:rFonts w:ascii="Times New Roman" w:hAnsi="Times New Roman" w:cs="Times New Roman"/>
                <w:sz w:val="24"/>
                <w:szCs w:val="24"/>
              </w:rPr>
            </w:pPr>
            <w:r>
              <w:rPr>
                <w:rFonts w:ascii="Times" w:hAnsi="Times" w:cs="Times"/>
                <w:b/>
                <w:bCs/>
                <w:sz w:val="16"/>
                <w:szCs w:val="16"/>
              </w:rPr>
              <w:t>at year-end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1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180"/>
              <w:rPr>
                <w:rFonts w:ascii="Times New Roman" w:hAnsi="Times New Roman" w:cs="Times New Roman"/>
                <w:sz w:val="24"/>
                <w:szCs w:val="24"/>
              </w:rPr>
            </w:pPr>
            <w:r>
              <w:rPr>
                <w:rFonts w:ascii="Times" w:hAnsi="Times" w:cs="Times"/>
                <w:b/>
                <w:bCs/>
                <w:sz w:val="16"/>
                <w:szCs w:val="16"/>
              </w:rPr>
              <w:t>at year-end</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4"/>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2"/>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3"/>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1"/>
              <w:jc w:val="right"/>
              <w:rPr>
                <w:rFonts w:ascii="Times New Roman" w:hAnsi="Times New Roman" w:cs="Times New Roman"/>
                <w:sz w:val="24"/>
                <w:szCs w:val="24"/>
              </w:rPr>
            </w:pPr>
            <w:r>
              <w:rPr>
                <w:rFonts w:ascii="Times" w:hAnsi="Times" w:cs="Times"/>
                <w:b/>
                <w:bCs/>
                <w:sz w:val="16"/>
                <w:szCs w:val="16"/>
              </w:rPr>
              <w:t>2012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9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Operating Businesses:</w:t>
            </w: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9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Insurance group:</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GEICO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1,370</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1,372</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45,439</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w w:val="79"/>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39,568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30,986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General Re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13,527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13,532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28,692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29,956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30,477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Berkshire Hathaway Reinsurance and Primary Groups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650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151,301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138,480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118,819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Total insurance group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15,547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15,511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225,432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208,004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180,282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BNSF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14,819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14,819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62,916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59,842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56,839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w w:val="99"/>
                <w:sz w:val="20"/>
                <w:szCs w:val="20"/>
              </w:rPr>
              <w:t>Berkshire Hathaway Energy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9,599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7,784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71,482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62,189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46,856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McLane Company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657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701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5,419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5,209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5,090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Manufacturing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14,818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13,341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34,509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34,100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32,097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Service and retailing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3,514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11,303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10,051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9,566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w w:val="99"/>
                <w:sz w:val="20"/>
                <w:szCs w:val="20"/>
              </w:rPr>
              <w:t>Finance and financial products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1,341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32,164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31,886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30,854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4"/>
                <w:sz w:val="20"/>
                <w:szCs w:val="20"/>
              </w:rPr>
              <w:t>60,714</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8"/>
                <w:sz w:val="20"/>
                <w:szCs w:val="20"/>
              </w:rPr>
              <w:t>57,011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5"/>
                <w:sz w:val="20"/>
                <w:szCs w:val="20"/>
              </w:rPr>
              <w:t>443,225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8"/>
                <w:sz w:val="20"/>
                <w:szCs w:val="20"/>
              </w:rPr>
              <w:t>411,281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5"/>
                <w:sz w:val="20"/>
                <w:szCs w:val="20"/>
              </w:rPr>
              <w:t>361,584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9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Reconciliation of segments to consolidated amount:</w:t>
            </w: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9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9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Corporate and other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22,247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16,639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11,345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Goodwill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60,714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57,011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54,523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526,186</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w w:val="79"/>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484,931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427,452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Insurance premiums written by geographic region (based upon the domicile of the insured or reinsured) are summarized below. Dollars are in millions.</w:t>
      </w: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720"/>
        <w:gridCol w:w="660"/>
        <w:gridCol w:w="200"/>
        <w:gridCol w:w="640"/>
        <w:gridCol w:w="200"/>
        <w:gridCol w:w="660"/>
        <w:gridCol w:w="200"/>
        <w:gridCol w:w="540"/>
        <w:gridCol w:w="200"/>
        <w:gridCol w:w="560"/>
        <w:gridCol w:w="200"/>
        <w:gridCol w:w="540"/>
      </w:tblGrid>
      <w:tr w:rsidR="00000000">
        <w:tblPrEx>
          <w:tblCellMar>
            <w:top w:w="0" w:type="dxa"/>
            <w:left w:w="0" w:type="dxa"/>
            <w:bottom w:w="0" w:type="dxa"/>
            <w:right w:w="0" w:type="dxa"/>
          </w:tblCellMar>
        </w:tblPrEx>
        <w:trPr>
          <w:trHeight w:val="184"/>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36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560"/>
              <w:jc w:val="right"/>
              <w:rPr>
                <w:rFonts w:ascii="Times New Roman" w:hAnsi="Times New Roman" w:cs="Times New Roman"/>
                <w:sz w:val="24"/>
                <w:szCs w:val="24"/>
              </w:rPr>
            </w:pPr>
            <w:r>
              <w:rPr>
                <w:rFonts w:ascii="Times" w:hAnsi="Times" w:cs="Times"/>
                <w:b/>
                <w:bCs/>
                <w:sz w:val="16"/>
                <w:szCs w:val="16"/>
              </w:rPr>
              <w:t>Property/Casualty</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Times" w:hAnsi="Times" w:cs="Times"/>
                <w:b/>
                <w:bCs/>
                <w:sz w:val="16"/>
                <w:szCs w:val="16"/>
              </w:rPr>
              <w:t>Life/Health</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7"/>
              <w:jc w:val="right"/>
              <w:rPr>
                <w:rFonts w:ascii="Times New Roman" w:hAnsi="Times New Roman" w:cs="Times New Roman"/>
                <w:sz w:val="24"/>
                <w:szCs w:val="24"/>
              </w:rPr>
            </w:pPr>
            <w:r>
              <w:rPr>
                <w:rFonts w:ascii="Times" w:hAnsi="Times" w:cs="Times"/>
                <w:b/>
                <w:bCs/>
                <w:sz w:val="16"/>
                <w:szCs w:val="16"/>
              </w:rPr>
              <w:t>2014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w:hAnsi="Times" w:cs="Times"/>
                <w:b/>
                <w:bCs/>
                <w:sz w:val="16"/>
                <w:szCs w:val="16"/>
              </w:rPr>
              <w:t>2013</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80"/>
              <w:jc w:val="right"/>
              <w:rPr>
                <w:rFonts w:ascii="Times New Roman" w:hAnsi="Times New Roman" w:cs="Times New Roman"/>
                <w:sz w:val="24"/>
                <w:szCs w:val="24"/>
              </w:rPr>
            </w:pPr>
            <w:r>
              <w:rPr>
                <w:rFonts w:ascii="Times" w:hAnsi="Times" w:cs="Times"/>
                <w:b/>
                <w:bCs/>
                <w:sz w:val="16"/>
                <w:szCs w:val="16"/>
              </w:rPr>
              <w:t>2012</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4"/>
              <w:jc w:val="right"/>
              <w:rPr>
                <w:rFonts w:ascii="Times New Roman" w:hAnsi="Times New Roman" w:cs="Times New Roman"/>
                <w:sz w:val="24"/>
                <w:szCs w:val="24"/>
              </w:rPr>
            </w:pPr>
            <w:r>
              <w:rPr>
                <w:rFonts w:ascii="Times" w:hAnsi="Times" w:cs="Times"/>
                <w:b/>
                <w:bCs/>
                <w:sz w:val="16"/>
                <w:szCs w:val="16"/>
              </w:rPr>
              <w:t>2012</w:t>
            </w:r>
          </w:p>
        </w:tc>
      </w:tr>
      <w:tr w:rsidR="00000000">
        <w:tblPrEx>
          <w:tblCellMar>
            <w:top w:w="0" w:type="dxa"/>
            <w:left w:w="0" w:type="dxa"/>
            <w:bottom w:w="0" w:type="dxa"/>
            <w:right w:w="0" w:type="dxa"/>
          </w:tblCellMar>
        </w:tblPrEx>
        <w:trPr>
          <w:trHeight w:val="26"/>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United States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$31,362</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$25,704</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$23,186</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$3,402</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$3,934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$3,504</w:t>
            </w: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Western Europe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2,424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2,234</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4,387</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1,135</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1,114</w:t>
            </w: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All other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2,805</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2,973</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2,319</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1,305</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1,026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1,217</w:t>
            </w: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$36,591</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$30,911</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$29,892</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$5,842</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$6,299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$5,835</w:t>
            </w: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In 2014 and 2013, premiums written and earned attributable to Western Europe were primarily in the United Kingdom and Germany. In 2012, premiums written and earned also included meaningful amounts attributable to Switzerland and Luxembourg. Life/health ins</w:t>
      </w:r>
      <w:r>
        <w:rPr>
          <w:rFonts w:ascii="Times" w:hAnsi="Times" w:cs="Times"/>
          <w:sz w:val="20"/>
          <w:szCs w:val="20"/>
        </w:rPr>
        <w:t>urance premiums written and earned in the United States included approximately $1.5 billion in 2012 from a single contract with Swiss Re Life &amp; Health America Inc., an affiliate of Swiss Reinsurance Company Ltd. This contract was amended in 2013 which resu</w:t>
      </w:r>
      <w:r>
        <w:rPr>
          <w:rFonts w:ascii="Times" w:hAnsi="Times" w:cs="Times"/>
          <w:sz w:val="20"/>
          <w:szCs w:val="20"/>
        </w:rPr>
        <w:t>lted in a significant return of premiums.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Consolidated sales and service revenues in 2014, 2013 and 2012 were $102.2 billion, $97.6 billion and $85.8 billion, respectively. In each year, approximately 85% of such revenues were attributable to the United S</w:t>
      </w:r>
      <w:r>
        <w:rPr>
          <w:rFonts w:ascii="Times" w:hAnsi="Times" w:cs="Times"/>
          <w:sz w:val="20"/>
          <w:szCs w:val="20"/>
        </w:rPr>
        <w:t>tates. The remainder of sales and service revenues were primarily in the Europe, Canada and Asia-Pacific regions. In each of the three years ending December 31, 2014, consolidated sales and service revenues included sales of approximately $13 billion in 20</w:t>
      </w:r>
      <w:r>
        <w:rPr>
          <w:rFonts w:ascii="Times" w:hAnsi="Times" w:cs="Times"/>
          <w:sz w:val="20"/>
          <w:szCs w:val="20"/>
        </w:rPr>
        <w:t>14 and 2013 and $12 billion in 2012 to Wal-Mart Stores, Inc.</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Approximately 96% of our revenues in 2014, 2013 and 2012 from railroad, utilities and energy businesses were in the United States. At December 31, 2014, 88% of our consolidated net property, pla</w:t>
      </w:r>
      <w:r>
        <w:rPr>
          <w:rFonts w:ascii="Times" w:hAnsi="Times" w:cs="Times"/>
          <w:sz w:val="20"/>
          <w:szCs w:val="20"/>
        </w:rPr>
        <w:t>nt and equipment was located in the United States with the remainder primarily in Europe and Canada.</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8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84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tbl>
      <w:tblPr>
        <w:tblW w:w="0" w:type="auto"/>
        <w:tblLayout w:type="fixed"/>
        <w:tblCellMar>
          <w:left w:w="0" w:type="dxa"/>
          <w:right w:w="0" w:type="dxa"/>
        </w:tblCellMar>
        <w:tblLook w:val="0000" w:firstRow="0" w:lastRow="0" w:firstColumn="0" w:lastColumn="0" w:noHBand="0" w:noVBand="0"/>
      </w:tblPr>
      <w:tblGrid>
        <w:gridCol w:w="5720"/>
        <w:gridCol w:w="660"/>
        <w:gridCol w:w="120"/>
        <w:gridCol w:w="80"/>
        <w:gridCol w:w="640"/>
        <w:gridCol w:w="200"/>
        <w:gridCol w:w="660"/>
        <w:gridCol w:w="200"/>
        <w:gridCol w:w="100"/>
        <w:gridCol w:w="440"/>
        <w:gridCol w:w="80"/>
        <w:gridCol w:w="120"/>
        <w:gridCol w:w="100"/>
        <w:gridCol w:w="460"/>
        <w:gridCol w:w="200"/>
        <w:gridCol w:w="100"/>
        <w:gridCol w:w="440"/>
        <w:gridCol w:w="60"/>
        <w:gridCol w:w="20"/>
      </w:tblGrid>
      <w:tr w:rsidR="00000000">
        <w:tblPrEx>
          <w:tblCellMar>
            <w:top w:w="0" w:type="dxa"/>
            <w:left w:w="0" w:type="dxa"/>
            <w:bottom w:w="0" w:type="dxa"/>
            <w:right w:w="0" w:type="dxa"/>
          </w:tblCellMar>
        </w:tblPrEx>
        <w:trPr>
          <w:trHeight w:val="23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 xml:space="preserve">Notes to Consolidated Financial Statements </w:t>
            </w:r>
            <w:r>
              <w:rPr>
                <w:rFonts w:ascii="Times" w:hAnsi="Times" w:cs="Times"/>
                <w:i/>
                <w:iCs/>
                <w:sz w:val="20"/>
                <w:szCs w:val="20"/>
              </w:rPr>
              <w:t>(Continued)</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 xml:space="preserve">(23) Business segment data </w:t>
            </w:r>
            <w:r>
              <w:rPr>
                <w:rFonts w:ascii="Times" w:hAnsi="Times" w:cs="Times"/>
                <w:i/>
                <w:iCs/>
                <w:sz w:val="20"/>
                <w:szCs w:val="20"/>
              </w:rPr>
              <w:t>(Continued)</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0"/>
        </w:trPr>
        <w:tc>
          <w:tcPr>
            <w:tcW w:w="6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Premiums written and earned by the property/casualty and life/health</w:t>
            </w:r>
          </w:p>
        </w:tc>
        <w:tc>
          <w:tcPr>
            <w:tcW w:w="9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insurance</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businesses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40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center"/>
              <w:rPr>
                <w:rFonts w:ascii="Times New Roman" w:hAnsi="Times New Roman" w:cs="Times New Roman"/>
                <w:sz w:val="24"/>
                <w:szCs w:val="24"/>
              </w:rPr>
            </w:pPr>
            <w:r>
              <w:rPr>
                <w:rFonts w:ascii="Times" w:hAnsi="Times" w:cs="Times"/>
                <w:sz w:val="20"/>
                <w:szCs w:val="20"/>
              </w:rPr>
              <w:t>are summarized</w:t>
            </w:r>
          </w:p>
        </w:tc>
        <w:tc>
          <w:tcPr>
            <w:tcW w:w="6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below</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 millions).</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9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560" w:type="dxa"/>
            <w:gridSpan w:val="7"/>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760"/>
              <w:jc w:val="right"/>
              <w:rPr>
                <w:rFonts w:ascii="Times New Roman" w:hAnsi="Times New Roman" w:cs="Times New Roman"/>
                <w:sz w:val="24"/>
                <w:szCs w:val="24"/>
              </w:rPr>
            </w:pPr>
            <w:r>
              <w:rPr>
                <w:rFonts w:ascii="Times" w:hAnsi="Times" w:cs="Times"/>
                <w:b/>
                <w:bCs/>
                <w:sz w:val="16"/>
                <w:szCs w:val="16"/>
              </w:rPr>
              <w:t>Property/Casualty</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8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w:hAnsi="Times" w:cs="Times"/>
                <w:b/>
                <w:bCs/>
                <w:w w:val="97"/>
                <w:sz w:val="16"/>
                <w:szCs w:val="16"/>
              </w:rPr>
              <w:t>Life/Health</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4"/>
              <w:jc w:val="right"/>
              <w:rPr>
                <w:rFonts w:ascii="Times New Roman" w:hAnsi="Times New Roman" w:cs="Times New Roman"/>
                <w:sz w:val="24"/>
                <w:szCs w:val="24"/>
              </w:rPr>
            </w:pPr>
            <w:r>
              <w:rPr>
                <w:rFonts w:ascii="Times" w:hAnsi="Times" w:cs="Times"/>
                <w:b/>
                <w:bCs/>
                <w:sz w:val="16"/>
                <w:szCs w:val="16"/>
              </w:rPr>
              <w:t>2014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60"/>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2"/>
              <w:jc w:val="right"/>
              <w:rPr>
                <w:rFonts w:ascii="Times New Roman" w:hAnsi="Times New Roman" w:cs="Times New Roman"/>
                <w:sz w:val="24"/>
                <w:szCs w:val="24"/>
              </w:rPr>
            </w:pPr>
            <w:r>
              <w:rPr>
                <w:rFonts w:ascii="Times" w:hAnsi="Times" w:cs="Times"/>
                <w:b/>
                <w:bCs/>
                <w:sz w:val="16"/>
                <w:szCs w:val="16"/>
              </w:rPr>
              <w:t>2012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Times" w:hAnsi="Times" w:cs="Times"/>
                <w:b/>
                <w:bCs/>
                <w:w w:val="93"/>
                <w:sz w:val="16"/>
                <w:szCs w:val="16"/>
              </w:rPr>
              <w:t>2014</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Times" w:hAnsi="Times" w:cs="Times"/>
                <w:b/>
                <w:bCs/>
                <w:w w:val="99"/>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Times" w:hAnsi="Times" w:cs="Times"/>
                <w:b/>
                <w:bCs/>
                <w:w w:val="93"/>
                <w:sz w:val="16"/>
                <w:szCs w:val="16"/>
              </w:rPr>
              <w:t>2012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7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Premiums Written:</w:t>
            </w: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Direct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$27,541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$24,292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$20,796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879</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
              <w:jc w:val="center"/>
              <w:rPr>
                <w:rFonts w:ascii="Times New Roman" w:hAnsi="Times New Roman" w:cs="Times New Roman"/>
                <w:sz w:val="24"/>
                <w:szCs w:val="24"/>
              </w:rPr>
            </w:pPr>
            <w:r>
              <w:rPr>
                <w:rFonts w:ascii="Times" w:hAnsi="Times" w:cs="Times"/>
                <w:w w:val="9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931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554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Assumed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9,889</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7,339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9,668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5,030</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5,437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5,391</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Ceded . . . . . . . . . . . . . . . . . . . . . . . . . . . . . . . . . . . . . . . . . . . . . .</w:t>
            </w:r>
          </w:p>
        </w:tc>
        <w:tc>
          <w:tcPr>
            <w:tcW w:w="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(839)</w:t>
            </w:r>
          </w:p>
        </w:tc>
        <w:tc>
          <w:tcPr>
            <w:tcW w:w="9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(720)</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(572)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w:hAnsi="Times" w:cs="Times"/>
                <w:sz w:val="20"/>
                <w:szCs w:val="20"/>
              </w:rPr>
              <w:t>(67)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(69)</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$36,591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$30,911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$29,892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5,842</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
              <w:jc w:val="center"/>
              <w:rPr>
                <w:rFonts w:ascii="Times New Roman" w:hAnsi="Times New Roman" w:cs="Times New Roman"/>
                <w:sz w:val="24"/>
                <w:szCs w:val="24"/>
              </w:rPr>
            </w:pPr>
            <w:r>
              <w:rPr>
                <w:rFonts w:ascii="Times" w:hAnsi="Times" w:cs="Times"/>
                <w:w w:val="9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6,299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5,835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Premiums Earned:</w:t>
            </w: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Direct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$26,389</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$23,267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$20,204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879</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
              <w:jc w:val="center"/>
              <w:rPr>
                <w:rFonts w:ascii="Times New Roman" w:hAnsi="Times New Roman" w:cs="Times New Roman"/>
                <w:sz w:val="24"/>
                <w:szCs w:val="24"/>
              </w:rPr>
            </w:pPr>
            <w:r>
              <w:rPr>
                <w:rFonts w:ascii="Times" w:hAnsi="Times" w:cs="Times"/>
                <w:w w:val="9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931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554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Assumed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9,872</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7,928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9,142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5,030</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5,425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5,356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Ceded . . . . . . . . . . . . . . . . . . . . . . . . . . . . . . . . . . . . . . . . . . . . . .</w:t>
            </w:r>
          </w:p>
        </w:tc>
        <w:tc>
          <w:tcPr>
            <w:tcW w:w="7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(850)</w:t>
            </w:r>
          </w:p>
        </w:tc>
        <w:tc>
          <w:tcPr>
            <w:tcW w:w="9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(797)</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(600)</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w:hAnsi="Times" w:cs="Times"/>
                <w:sz w:val="20"/>
                <w:szCs w:val="20"/>
              </w:rPr>
              <w:t>(67)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(70)</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$35,411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$30,398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$28,746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5,842</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
              <w:jc w:val="center"/>
              <w:rPr>
                <w:rFonts w:ascii="Times New Roman" w:hAnsi="Times New Roman" w:cs="Times New Roman"/>
                <w:sz w:val="24"/>
                <w:szCs w:val="24"/>
              </w:rPr>
            </w:pPr>
            <w:r>
              <w:rPr>
                <w:rFonts w:ascii="Times" w:hAnsi="Times" w:cs="Times"/>
                <w:w w:val="99"/>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6,286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5,799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(24) Quarterly data</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right="60" w:firstLine="400"/>
        <w:rPr>
          <w:rFonts w:ascii="Times New Roman" w:hAnsi="Times New Roman" w:cs="Times New Roman"/>
          <w:sz w:val="24"/>
          <w:szCs w:val="24"/>
        </w:rPr>
      </w:pPr>
      <w:r>
        <w:rPr>
          <w:rFonts w:ascii="Times" w:hAnsi="Times" w:cs="Times"/>
          <w:sz w:val="20"/>
          <w:szCs w:val="20"/>
        </w:rPr>
        <w:t>A summary of revenues and earnings by quarter for each of the last two years is presented in the following table</w:t>
      </w:r>
      <w:r>
        <w:rPr>
          <w:rFonts w:ascii="Times" w:hAnsi="Times" w:cs="Times"/>
          <w:sz w:val="20"/>
          <w:szCs w:val="20"/>
        </w:rPr>
        <w:t>. This information is unaudited. Dollars are in millions, except per share amounts.</w:t>
      </w:r>
    </w:p>
    <w:p w:rsidR="00000000" w:rsidRDefault="00A06965">
      <w:pPr>
        <w:pStyle w:val="DefaultParagraphFont"/>
        <w:widowControl w:val="0"/>
        <w:autoSpaceDE w:val="0"/>
        <w:autoSpaceDN w:val="0"/>
        <w:adjustRightInd w:val="0"/>
        <w:spacing w:after="0" w:line="24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120"/>
        <w:gridCol w:w="660"/>
        <w:gridCol w:w="200"/>
        <w:gridCol w:w="640"/>
        <w:gridCol w:w="200"/>
        <w:gridCol w:w="660"/>
        <w:gridCol w:w="200"/>
        <w:gridCol w:w="640"/>
        <w:gridCol w:w="20"/>
      </w:tblGrid>
      <w:tr w:rsidR="00000000">
        <w:tblPrEx>
          <w:tblCellMar>
            <w:top w:w="0" w:type="dxa"/>
            <w:left w:w="0" w:type="dxa"/>
            <w:bottom w:w="0" w:type="dxa"/>
            <w:right w:w="0" w:type="dxa"/>
          </w:tblCellMar>
        </w:tblPrEx>
        <w:trPr>
          <w:trHeight w:val="368"/>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69"/>
              <w:jc w:val="right"/>
              <w:rPr>
                <w:rFonts w:ascii="Times New Roman" w:hAnsi="Times New Roman" w:cs="Times New Roman"/>
                <w:sz w:val="24"/>
                <w:szCs w:val="24"/>
              </w:rPr>
            </w:pPr>
            <w:r>
              <w:rPr>
                <w:rFonts w:ascii="Times" w:hAnsi="Times" w:cs="Times"/>
                <w:b/>
                <w:bCs/>
                <w:sz w:val="32"/>
                <w:szCs w:val="32"/>
                <w:vertAlign w:val="subscript"/>
              </w:rPr>
              <w:t>1</w:t>
            </w:r>
            <w:r>
              <w:rPr>
                <w:rFonts w:ascii="Times" w:hAnsi="Times" w:cs="Times"/>
                <w:b/>
                <w:bCs/>
                <w:sz w:val="10"/>
                <w:szCs w:val="10"/>
              </w:rPr>
              <w:t>st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54"/>
              <w:jc w:val="right"/>
              <w:rPr>
                <w:rFonts w:ascii="Times New Roman" w:hAnsi="Times New Roman" w:cs="Times New Roman"/>
                <w:sz w:val="24"/>
                <w:szCs w:val="24"/>
              </w:rPr>
            </w:pPr>
            <w:r>
              <w:rPr>
                <w:rFonts w:ascii="Times" w:hAnsi="Times" w:cs="Times"/>
                <w:b/>
                <w:bCs/>
                <w:sz w:val="32"/>
                <w:szCs w:val="32"/>
                <w:vertAlign w:val="subscript"/>
              </w:rPr>
              <w:t>2</w:t>
            </w:r>
            <w:r>
              <w:rPr>
                <w:rFonts w:ascii="Times" w:hAnsi="Times" w:cs="Times"/>
                <w:b/>
                <w:bCs/>
                <w:sz w:val="10"/>
                <w:szCs w:val="10"/>
              </w:rPr>
              <w:t>nd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74"/>
              <w:jc w:val="right"/>
              <w:rPr>
                <w:rFonts w:ascii="Times New Roman" w:hAnsi="Times New Roman" w:cs="Times New Roman"/>
                <w:sz w:val="24"/>
                <w:szCs w:val="24"/>
              </w:rPr>
            </w:pPr>
            <w:r>
              <w:rPr>
                <w:rFonts w:ascii="Times" w:hAnsi="Times" w:cs="Times"/>
                <w:b/>
                <w:bCs/>
                <w:sz w:val="32"/>
                <w:szCs w:val="32"/>
                <w:vertAlign w:val="subscript"/>
              </w:rPr>
              <w:t>3</w:t>
            </w:r>
            <w:r>
              <w:rPr>
                <w:rFonts w:ascii="Times" w:hAnsi="Times" w:cs="Times"/>
                <w:b/>
                <w:bCs/>
                <w:sz w:val="10"/>
                <w:szCs w:val="10"/>
              </w:rPr>
              <w:t>rd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74"/>
              <w:jc w:val="right"/>
              <w:rPr>
                <w:rFonts w:ascii="Times New Roman" w:hAnsi="Times New Roman" w:cs="Times New Roman"/>
                <w:sz w:val="24"/>
                <w:szCs w:val="24"/>
              </w:rPr>
            </w:pPr>
            <w:r>
              <w:rPr>
                <w:rFonts w:ascii="Times" w:hAnsi="Times" w:cs="Times"/>
                <w:b/>
                <w:bCs/>
                <w:sz w:val="32"/>
                <w:szCs w:val="32"/>
                <w:vertAlign w:val="subscript"/>
              </w:rPr>
              <w:t>4</w:t>
            </w:r>
            <w:r>
              <w:rPr>
                <w:rFonts w:ascii="Times" w:hAnsi="Times" w:cs="Times"/>
                <w:b/>
                <w:bCs/>
                <w:sz w:val="10"/>
                <w:szCs w:val="10"/>
              </w:rPr>
              <w:t>th</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sz w:val="16"/>
                <w:szCs w:val="16"/>
              </w:rPr>
              <w:t>Quarter</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sz w:val="16"/>
                <w:szCs w:val="16"/>
              </w:rPr>
              <w:t>Quarter</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sz w:val="16"/>
                <w:szCs w:val="16"/>
              </w:rPr>
              <w:t>Quarter</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sz w:val="16"/>
                <w:szCs w:val="16"/>
              </w:rPr>
              <w:t>Quarter</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1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0"/>
              <w:rPr>
                <w:rFonts w:ascii="Times New Roman" w:hAnsi="Times New Roman" w:cs="Times New Roman"/>
                <w:sz w:val="24"/>
                <w:szCs w:val="24"/>
              </w:rPr>
            </w:pPr>
            <w:r>
              <w:rPr>
                <w:rFonts w:ascii="Times" w:hAnsi="Times" w:cs="Times"/>
                <w:i/>
                <w:iCs/>
                <w:sz w:val="20"/>
                <w:szCs w:val="20"/>
              </w:rPr>
              <w:t>2014</w:t>
            </w: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1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 xml:space="preserve">Revenues . . . . . . . . . . . . . . . . . . . . . . . </w:t>
            </w:r>
            <w:r>
              <w:rPr>
                <w:rFonts w:ascii="Times" w:hAnsi="Times" w:cs="Times"/>
                <w:sz w:val="20"/>
                <w:szCs w:val="20"/>
              </w:rPr>
              <w:t>.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$45,453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$49,762</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$51,199</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$48,259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earnings attributable to Berkshire shareholders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4,705</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6,395</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4,617</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4,155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earnings attributable to Berkshire shareholders per equivalent Class A common</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sz w:val="20"/>
                <w:szCs w:val="20"/>
              </w:rPr>
              <w:t>share  . . . . . . . . . . . . .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2,862</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3,889</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2,811</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2,529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0"/>
              <w:rPr>
                <w:rFonts w:ascii="Times New Roman" w:hAnsi="Times New Roman" w:cs="Times New Roman"/>
                <w:sz w:val="24"/>
                <w:szCs w:val="24"/>
              </w:rPr>
            </w:pPr>
            <w:r>
              <w:rPr>
                <w:rFonts w:ascii="Times" w:hAnsi="Times" w:cs="Times"/>
                <w:i/>
                <w:iCs/>
                <w:sz w:val="20"/>
                <w:szCs w:val="20"/>
              </w:rPr>
              <w:t>2013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Revenues . . . . . . . . . . . .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$43,867</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$44,693</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$46,541</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$47,049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earnings attributable to Ber</w:t>
            </w:r>
            <w:r>
              <w:rPr>
                <w:rFonts w:ascii="Times" w:hAnsi="Times" w:cs="Times"/>
                <w:sz w:val="20"/>
                <w:szCs w:val="20"/>
              </w:rPr>
              <w:t>kshire shareholders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4,892</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4,541</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5,053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4,990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earnings attributable to Berkshire shareholders per equivalent Class A common</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sz w:val="20"/>
                <w:szCs w:val="20"/>
              </w:rPr>
              <w:t>share  . . . . . . . . . . . . .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2,977</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2,763</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3,074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3,035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r>
        <w:rPr>
          <w:noProof/>
        </w:rPr>
        <mc:AlternateContent>
          <mc:Choice Requires="wps">
            <w:drawing>
              <wp:anchor distT="0" distB="0" distL="114300" distR="114300" simplePos="0" relativeHeight="251706368" behindDoc="1" locked="0" layoutInCell="0" allowOverlap="1">
                <wp:simplePos x="0" y="0"/>
                <wp:positionH relativeFrom="column">
                  <wp:posOffset>0</wp:posOffset>
                </wp:positionH>
                <wp:positionV relativeFrom="paragraph">
                  <wp:posOffset>71120</wp:posOffset>
                </wp:positionV>
                <wp:extent cx="2247900" cy="0"/>
                <wp:effectExtent l="0" t="0" r="0" b="0"/>
                <wp:wrapNone/>
                <wp:docPr id="22"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6pt" to="17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" o:allowincell="f" strokeweight=".5pt"/>
            </w:pict>
          </mc:Fallback>
        </mc:AlternateContent>
      </w:r>
    </w:p>
    <w:p w:rsidR="00000000" w:rsidRDefault="00A06965">
      <w:pPr>
        <w:pStyle w:val="DefaultParagraphFont"/>
        <w:widowControl w:val="0"/>
        <w:numPr>
          <w:ilvl w:val="0"/>
          <w:numId w:val="42"/>
        </w:numPr>
        <w:tabs>
          <w:tab w:val="clear" w:pos="720"/>
          <w:tab w:val="num" w:pos="200"/>
        </w:tabs>
        <w:overflowPunct w:val="0"/>
        <w:autoSpaceDE w:val="0"/>
        <w:autoSpaceDN w:val="0"/>
        <w:adjustRightInd w:val="0"/>
        <w:spacing w:after="0" w:line="246" w:lineRule="auto"/>
        <w:ind w:left="200" w:right="60" w:hanging="200"/>
        <w:jc w:val="both"/>
        <w:rPr>
          <w:rFonts w:ascii="Times" w:hAnsi="Times" w:cs="Times"/>
          <w:sz w:val="20"/>
          <w:szCs w:val="20"/>
        </w:rPr>
      </w:pPr>
      <w:r>
        <w:rPr>
          <w:rFonts w:ascii="Times" w:hAnsi="Times" w:cs="Times"/>
          <w:i/>
          <w:iCs/>
          <w:sz w:val="20"/>
          <w:szCs w:val="20"/>
        </w:rPr>
        <w:t xml:space="preserve">Includes realized investment gains/losses, other-than-temporary impairment losses on investments and derivative gains/ losses. Derivative gains/losses include significant amounts related to non-cash changes in the fair value of long-term contracts arising </w:t>
      </w:r>
      <w:r>
        <w:rPr>
          <w:rFonts w:ascii="Times" w:hAnsi="Times" w:cs="Times"/>
          <w:i/>
          <w:iCs/>
          <w:sz w:val="20"/>
          <w:szCs w:val="20"/>
        </w:rPr>
        <w:t>from short-term changes in equity prices, interest rates and foreign currency rates, among other factors. After-tax investment and derivative gains/losses for the periods presented above are as follows (in millions):</w:t>
      </w:r>
    </w:p>
    <w:tbl>
      <w:tblPr>
        <w:tblW w:w="0" w:type="auto"/>
        <w:tblLayout w:type="fixed"/>
        <w:tblCellMar>
          <w:left w:w="0" w:type="dxa"/>
          <w:right w:w="0" w:type="dxa"/>
        </w:tblCellMar>
        <w:tblLook w:val="0000" w:firstRow="0" w:lastRow="0" w:firstColumn="0" w:lastColumn="0" w:noHBand="0" w:noVBand="0"/>
      </w:tblPr>
      <w:tblGrid>
        <w:gridCol w:w="7120"/>
        <w:gridCol w:w="660"/>
        <w:gridCol w:w="200"/>
        <w:gridCol w:w="640"/>
        <w:gridCol w:w="200"/>
        <w:gridCol w:w="660"/>
        <w:gridCol w:w="200"/>
        <w:gridCol w:w="640"/>
      </w:tblGrid>
      <w:tr w:rsidR="00000000">
        <w:tblPrEx>
          <w:tblCellMar>
            <w:top w:w="0" w:type="dxa"/>
            <w:left w:w="0" w:type="dxa"/>
            <w:bottom w:w="0" w:type="dxa"/>
            <w:right w:w="0" w:type="dxa"/>
          </w:tblCellMar>
        </w:tblPrEx>
        <w:trPr>
          <w:trHeight w:val="365"/>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365" w:lineRule="exact"/>
              <w:ind w:right="177"/>
              <w:jc w:val="right"/>
              <w:rPr>
                <w:rFonts w:ascii="Times New Roman" w:hAnsi="Times New Roman" w:cs="Times New Roman"/>
                <w:sz w:val="24"/>
                <w:szCs w:val="24"/>
              </w:rPr>
            </w:pPr>
            <w:r>
              <w:rPr>
                <w:rFonts w:ascii="Times" w:hAnsi="Times" w:cs="Times"/>
                <w:b/>
                <w:bCs/>
                <w:sz w:val="32"/>
                <w:szCs w:val="32"/>
                <w:vertAlign w:val="subscript"/>
              </w:rPr>
              <w:t>1</w:t>
            </w:r>
            <w:r>
              <w:rPr>
                <w:rFonts w:ascii="Times" w:hAnsi="Times" w:cs="Times"/>
                <w:b/>
                <w:bCs/>
                <w:sz w:val="10"/>
                <w:szCs w:val="10"/>
              </w:rPr>
              <w:t>st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365" w:lineRule="exact"/>
              <w:ind w:right="154"/>
              <w:jc w:val="right"/>
              <w:rPr>
                <w:rFonts w:ascii="Times New Roman" w:hAnsi="Times New Roman" w:cs="Times New Roman"/>
                <w:sz w:val="24"/>
                <w:szCs w:val="24"/>
              </w:rPr>
            </w:pPr>
            <w:r>
              <w:rPr>
                <w:rFonts w:ascii="Times" w:hAnsi="Times" w:cs="Times"/>
                <w:b/>
                <w:bCs/>
                <w:sz w:val="32"/>
                <w:szCs w:val="32"/>
                <w:vertAlign w:val="subscript"/>
              </w:rPr>
              <w:t>2</w:t>
            </w:r>
            <w:r>
              <w:rPr>
                <w:rFonts w:ascii="Times" w:hAnsi="Times" w:cs="Times"/>
                <w:b/>
                <w:bCs/>
                <w:sz w:val="10"/>
                <w:szCs w:val="10"/>
              </w:rPr>
              <w:t>nd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365" w:lineRule="exact"/>
              <w:ind w:right="440"/>
              <w:jc w:val="right"/>
              <w:rPr>
                <w:rFonts w:ascii="Times New Roman" w:hAnsi="Times New Roman" w:cs="Times New Roman"/>
                <w:sz w:val="24"/>
                <w:szCs w:val="24"/>
              </w:rPr>
            </w:pPr>
            <w:r>
              <w:rPr>
                <w:rFonts w:ascii="Times" w:hAnsi="Times" w:cs="Times"/>
                <w:b/>
                <w:bCs/>
                <w:sz w:val="32"/>
                <w:szCs w:val="32"/>
                <w:vertAlign w:val="subscript"/>
              </w:rPr>
              <w:t>3</w:t>
            </w:r>
            <w:r>
              <w:rPr>
                <w:rFonts w:ascii="Times" w:hAnsi="Times" w:cs="Times"/>
                <w:b/>
                <w:bCs/>
                <w:sz w:val="10"/>
                <w:szCs w:val="10"/>
              </w:rPr>
              <w:t>rd</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365" w:lineRule="exact"/>
              <w:ind w:right="157"/>
              <w:jc w:val="right"/>
              <w:rPr>
                <w:rFonts w:ascii="Times New Roman" w:hAnsi="Times New Roman" w:cs="Times New Roman"/>
                <w:sz w:val="24"/>
                <w:szCs w:val="24"/>
              </w:rPr>
            </w:pPr>
            <w:r>
              <w:rPr>
                <w:rFonts w:ascii="Times" w:hAnsi="Times" w:cs="Times"/>
                <w:b/>
                <w:bCs/>
                <w:sz w:val="32"/>
                <w:szCs w:val="32"/>
                <w:vertAlign w:val="subscript"/>
              </w:rPr>
              <w:t>4</w:t>
            </w:r>
            <w:r>
              <w:rPr>
                <w:rFonts w:ascii="Times" w:hAnsi="Times" w:cs="Times"/>
                <w:b/>
                <w:bCs/>
                <w:sz w:val="10"/>
                <w:szCs w:val="10"/>
              </w:rPr>
              <w:t>th</w:t>
            </w:r>
          </w:p>
        </w:tc>
      </w:tr>
      <w:tr w:rsidR="00000000">
        <w:tblPrEx>
          <w:tblCellMar>
            <w:top w:w="0" w:type="dxa"/>
            <w:left w:w="0" w:type="dxa"/>
            <w:bottom w:w="0" w:type="dxa"/>
            <w:right w:w="0" w:type="dxa"/>
          </w:tblCellMar>
        </w:tblPrEx>
        <w:trPr>
          <w:trHeight w:val="182"/>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sz w:val="16"/>
                <w:szCs w:val="16"/>
              </w:rPr>
              <w:t>Quarter</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sz w:val="16"/>
                <w:szCs w:val="16"/>
              </w:rPr>
              <w:t>Quarter</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260"/>
              <w:jc w:val="right"/>
              <w:rPr>
                <w:rFonts w:ascii="Times New Roman" w:hAnsi="Times New Roman" w:cs="Times New Roman"/>
                <w:sz w:val="24"/>
                <w:szCs w:val="24"/>
              </w:rPr>
            </w:pPr>
            <w:r>
              <w:rPr>
                <w:rFonts w:ascii="Times" w:hAnsi="Times" w:cs="Times"/>
                <w:b/>
                <w:bCs/>
                <w:sz w:val="16"/>
                <w:szCs w:val="16"/>
              </w:rPr>
              <w:t>Quarter</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sz w:val="16"/>
                <w:szCs w:val="16"/>
              </w:rPr>
              <w:t>Quarter</w:t>
            </w:r>
          </w:p>
        </w:tc>
      </w:tr>
      <w:tr w:rsidR="00000000">
        <w:tblPrEx>
          <w:tblCellMar>
            <w:top w:w="0" w:type="dxa"/>
            <w:left w:w="0" w:type="dxa"/>
            <w:bottom w:w="0" w:type="dxa"/>
            <w:right w:w="0" w:type="dxa"/>
          </w:tblCellMar>
        </w:tblPrEx>
        <w:trPr>
          <w:trHeight w:val="26"/>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 xml:space="preserve">Investment and derivative gains/losses – 2014 </w:t>
            </w:r>
            <w:r>
              <w:rPr>
                <w:rFonts w:ascii="Times" w:hAnsi="Times" w:cs="Times"/>
                <w:sz w:val="20"/>
                <w:szCs w:val="20"/>
              </w:rPr>
              <w:t>.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$ 1,172</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$ 2,064</w:t>
            </w:r>
          </w:p>
        </w:tc>
        <w:tc>
          <w:tcPr>
            <w:tcW w:w="10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  (107)</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192</w:t>
            </w:r>
          </w:p>
        </w:tc>
      </w:tr>
      <w:tr w:rsidR="00000000">
        <w:tblPrEx>
          <w:tblCellMar>
            <w:top w:w="0" w:type="dxa"/>
            <w:left w:w="0" w:type="dxa"/>
            <w:bottom w:w="0" w:type="dxa"/>
            <w:right w:w="0" w:type="dxa"/>
          </w:tblCellMar>
        </w:tblPrEx>
        <w:trPr>
          <w:trHeight w:val="240"/>
        </w:trPr>
        <w:tc>
          <w:tcPr>
            <w:tcW w:w="7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 xml:space="preserve">Investment and derivative gains/losses – 2013 </w:t>
            </w:r>
            <w:r>
              <w:rPr>
                <w:rFonts w:ascii="Times" w:hAnsi="Times" w:cs="Times"/>
                <w:sz w:val="20"/>
                <w:szCs w:val="20"/>
              </w:rPr>
              <w:t>. . . . . . . . . . . . .</w:t>
            </w:r>
            <w:r>
              <w:rPr>
                <w:rFonts w:ascii="Times" w:hAnsi="Times" w:cs="Times"/>
                <w:sz w:val="20"/>
                <w:szCs w:val="20"/>
              </w:rPr>
              <w:t xml:space="preserve">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1,110</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622</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1,391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1,214</w:t>
            </w: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85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ind w:left="3700"/>
        <w:rPr>
          <w:rFonts w:ascii="Times New Roman" w:hAnsi="Times New Roman" w:cs="Times New Roman"/>
          <w:sz w:val="24"/>
          <w:szCs w:val="24"/>
        </w:rPr>
      </w:pPr>
      <w:r>
        <w:rPr>
          <w:rFonts w:ascii="Times" w:hAnsi="Times" w:cs="Times"/>
          <w:b/>
          <w:bC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460"/>
        <w:rPr>
          <w:rFonts w:ascii="Times New Roman" w:hAnsi="Times New Roman" w:cs="Times New Roman"/>
          <w:sz w:val="24"/>
          <w:szCs w:val="24"/>
        </w:rPr>
      </w:pPr>
      <w:r>
        <w:rPr>
          <w:rFonts w:ascii="Times" w:hAnsi="Times" w:cs="Times"/>
          <w:b/>
          <w:bCs/>
          <w:sz w:val="20"/>
          <w:szCs w:val="20"/>
        </w:rPr>
        <w:t>and Subsidiaries</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360"/>
        <w:rPr>
          <w:rFonts w:ascii="Times New Roman" w:hAnsi="Times New Roman" w:cs="Times New Roman"/>
          <w:sz w:val="24"/>
          <w:szCs w:val="24"/>
        </w:rPr>
      </w:pPr>
      <w:r>
        <w:rPr>
          <w:rFonts w:ascii="Times" w:hAnsi="Times" w:cs="Times"/>
          <w:b/>
          <w:bCs/>
          <w:sz w:val="20"/>
          <w:szCs w:val="20"/>
        </w:rPr>
        <w:t>Management’s Discussion and Analysis of</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180"/>
        <w:rPr>
          <w:rFonts w:ascii="Times New Roman" w:hAnsi="Times New Roman" w:cs="Times New Roman"/>
          <w:sz w:val="24"/>
          <w:szCs w:val="24"/>
        </w:rPr>
      </w:pPr>
      <w:r>
        <w:rPr>
          <w:rFonts w:ascii="Times" w:hAnsi="Times" w:cs="Times"/>
          <w:b/>
          <w:bCs/>
          <w:sz w:val="20"/>
          <w:szCs w:val="20"/>
        </w:rPr>
        <w:t>Financial Condition and Results of Operations</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Results of Operations</w:t>
      </w:r>
    </w:p>
    <w:p w:rsidR="00000000" w:rsidRDefault="00A06965">
      <w:pPr>
        <w:pStyle w:val="DefaultParagraphFont"/>
        <w:widowControl w:val="0"/>
        <w:autoSpaceDE w:val="0"/>
        <w:autoSpaceDN w:val="0"/>
        <w:adjustRightInd w:val="0"/>
        <w:spacing w:after="0" w:line="11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right="60" w:firstLine="400"/>
        <w:jc w:val="both"/>
        <w:rPr>
          <w:rFonts w:ascii="Times New Roman" w:hAnsi="Times New Roman" w:cs="Times New Roman"/>
          <w:sz w:val="24"/>
          <w:szCs w:val="24"/>
        </w:rPr>
      </w:pPr>
      <w:r>
        <w:rPr>
          <w:rFonts w:ascii="Times" w:hAnsi="Times" w:cs="Times"/>
          <w:sz w:val="20"/>
          <w:szCs w:val="20"/>
        </w:rPr>
        <w:t>Net earnings attributable to Berkshire Hathaway shareholders for each of the past three years are disaggregated in the table that follows. Amounts are after deducting income taxes and exclude earnings attributable to noncontrolling i</w:t>
      </w:r>
      <w:r>
        <w:rPr>
          <w:rFonts w:ascii="Times" w:hAnsi="Times" w:cs="Times"/>
          <w:sz w:val="20"/>
          <w:szCs w:val="20"/>
        </w:rPr>
        <w:t>nterests. Amounts are in millions.</w:t>
      </w:r>
    </w:p>
    <w:p w:rsidR="00000000" w:rsidRDefault="00A06965">
      <w:pPr>
        <w:pStyle w:val="DefaultParagraphFont"/>
        <w:widowControl w:val="0"/>
        <w:autoSpaceDE w:val="0"/>
        <w:autoSpaceDN w:val="0"/>
        <w:adjustRightInd w:val="0"/>
        <w:spacing w:after="0" w:line="15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980"/>
        <w:gridCol w:w="100"/>
        <w:gridCol w:w="540"/>
        <w:gridCol w:w="200"/>
        <w:gridCol w:w="100"/>
        <w:gridCol w:w="560"/>
        <w:gridCol w:w="200"/>
        <w:gridCol w:w="100"/>
        <w:gridCol w:w="540"/>
        <w:gridCol w:w="60"/>
      </w:tblGrid>
      <w:tr w:rsidR="00000000">
        <w:tblPrEx>
          <w:tblCellMar>
            <w:top w:w="0" w:type="dxa"/>
            <w:left w:w="0" w:type="dxa"/>
            <w:bottom w:w="0" w:type="dxa"/>
            <w:right w:w="0" w:type="dxa"/>
          </w:tblCellMar>
        </w:tblPrEx>
        <w:trPr>
          <w:trHeight w:val="184"/>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2"/>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Times" w:hAnsi="Times" w:cs="Times"/>
                <w:b/>
                <w:bCs/>
                <w:sz w:val="16"/>
                <w:szCs w:val="16"/>
              </w:rPr>
              <w:t>2012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Insurance – underwriting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1,995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1,046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Insurance –</w:t>
            </w:r>
            <w:r>
              <w:rPr>
                <w:rFonts w:ascii="Times" w:hAnsi="Times" w:cs="Times"/>
                <w:sz w:val="20"/>
                <w:szCs w:val="20"/>
              </w:rPr>
              <w:t xml:space="preserve"> investment income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3,542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3,708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3,397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Railroad  . . . . . . . . . . . . . . . . . . . . . . . . . . . . . . . . . . .</w:t>
            </w:r>
            <w:r>
              <w:rPr>
                <w:rFonts w:ascii="Times" w:hAnsi="Times" w:cs="Times"/>
                <w:sz w:val="20"/>
                <w:szCs w:val="20"/>
              </w:rPr>
              <w:t xml:space="preserve">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3,869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3,793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3,372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Utilities and energy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1,882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1,470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1,323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Manufacturing, service and retailing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4,468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3,877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3,357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w w:val="99"/>
                <w:sz w:val="20"/>
                <w:szCs w:val="20"/>
              </w:rPr>
              <w:t>Finance and financial products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1,243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1,008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899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Investment and derivative gains/losses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3,321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4,337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2,227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Other . . . . . . . . . . . . . . . . . . . . . . . . . . . . . . . . . . . .</w:t>
            </w:r>
            <w:r>
              <w:rPr>
                <w:rFonts w:ascii="Times" w:hAnsi="Times" w:cs="Times"/>
                <w:sz w:val="20"/>
                <w:szCs w:val="20"/>
              </w:rPr>
              <w:t xml:space="preserve">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(145)</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(712)</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(797)</w:t>
            </w:r>
          </w:p>
        </w:tc>
      </w:tr>
      <w:tr w:rsidR="00000000">
        <w:tblPrEx>
          <w:tblCellMar>
            <w:top w:w="0" w:type="dxa"/>
            <w:left w:w="0" w:type="dxa"/>
            <w:bottom w:w="0" w:type="dxa"/>
            <w:right w:w="0" w:type="dxa"/>
          </w:tblCellMar>
        </w:tblPrEx>
        <w:trPr>
          <w:trHeight w:val="28"/>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w:hAnsi="Times" w:cs="Times"/>
                <w:sz w:val="20"/>
                <w:szCs w:val="20"/>
              </w:rPr>
              <w:t>Net earnings attributable to Berkshire Hathaway shareholders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4"/>
                <w:sz w:val="20"/>
                <w:szCs w:val="20"/>
              </w:rPr>
              <w:t>19,872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8"/>
                <w:sz w:val="20"/>
                <w:szCs w:val="20"/>
              </w:rPr>
              <w:t>19,476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4"/>
                <w:sz w:val="20"/>
                <w:szCs w:val="20"/>
              </w:rPr>
              <w:t>14,824</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right="60" w:firstLine="400"/>
        <w:jc w:val="both"/>
        <w:rPr>
          <w:rFonts w:ascii="Times New Roman" w:hAnsi="Times New Roman" w:cs="Times New Roman"/>
          <w:sz w:val="24"/>
          <w:szCs w:val="24"/>
        </w:rPr>
      </w:pPr>
      <w:r>
        <w:rPr>
          <w:rFonts w:ascii="Times" w:hAnsi="Times" w:cs="Times"/>
          <w:sz w:val="20"/>
          <w:szCs w:val="20"/>
        </w:rPr>
        <w:t>Through our subsidiaries, we engage in a number of diverse business activities. Our operating businesses are managed on an unusually decentralized basis. There are essentially no centralized or integrated business functions (such as sales, marketing, purch</w:t>
      </w:r>
      <w:r>
        <w:rPr>
          <w:rFonts w:ascii="Times" w:hAnsi="Times" w:cs="Times"/>
          <w:sz w:val="20"/>
          <w:szCs w:val="20"/>
        </w:rPr>
        <w:t>asing, legal or human resources) and there is minimal involvement by our corporate headquarters in the day-to-day business activities of the operating businesses. Our senior corporate management team participates in and is ultimately responsible for signif</w:t>
      </w:r>
      <w:r>
        <w:rPr>
          <w:rFonts w:ascii="Times" w:hAnsi="Times" w:cs="Times"/>
          <w:sz w:val="20"/>
          <w:szCs w:val="20"/>
        </w:rPr>
        <w:t>icant capital allocation decisions, investment activities and the selection of the Chief Executive to head each of the operating businesses. It also is responsible for establishing and monitoring Berkshire’s corporate governance practices, including, but n</w:t>
      </w:r>
      <w:r>
        <w:rPr>
          <w:rFonts w:ascii="Times" w:hAnsi="Times" w:cs="Times"/>
          <w:sz w:val="20"/>
          <w:szCs w:val="20"/>
        </w:rPr>
        <w:t>ot limited to, communicating the appropriate “tone at the top” messages to its employees and associates, monitoring governance efforts, including those at the operating businesses, and participating in the resolution of governance-related issues as needed.</w:t>
      </w:r>
      <w:r>
        <w:rPr>
          <w:rFonts w:ascii="Times" w:hAnsi="Times" w:cs="Times"/>
          <w:sz w:val="20"/>
          <w:szCs w:val="20"/>
        </w:rPr>
        <w:t xml:space="preserve"> The business segment data (Note 23 to the accompanying Consolidated Financial Statements) should be read in conjunction with this discussion.</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right="60" w:firstLine="400"/>
        <w:jc w:val="both"/>
        <w:rPr>
          <w:rFonts w:ascii="Times New Roman" w:hAnsi="Times New Roman" w:cs="Times New Roman"/>
          <w:sz w:val="24"/>
          <w:szCs w:val="24"/>
        </w:rPr>
      </w:pPr>
      <w:r>
        <w:rPr>
          <w:rFonts w:ascii="Times" w:hAnsi="Times" w:cs="Times"/>
          <w:sz w:val="20"/>
          <w:szCs w:val="20"/>
        </w:rPr>
        <w:t>Our insurance businesses generated after-tax earnings from underwriting in each of the last three years, including $1.7 billion in 2014. Periodic earnings from insurance underwriting are significantly impacted by the magnitude of catastrophe loss events oc</w:t>
      </w:r>
      <w:r>
        <w:rPr>
          <w:rFonts w:ascii="Times" w:hAnsi="Times" w:cs="Times"/>
          <w:sz w:val="20"/>
          <w:szCs w:val="20"/>
        </w:rPr>
        <w:t>curring during the period. In 2014, we did not incur any losses from significant catastrophe events, compared to after-tax losses of approximately $285 million in 2013 and $725 million in 2012.</w:t>
      </w:r>
    </w:p>
    <w:p w:rsidR="00000000" w:rsidRDefault="00A06965">
      <w:pPr>
        <w:pStyle w:val="DefaultParagraphFont"/>
        <w:widowControl w:val="0"/>
        <w:autoSpaceDE w:val="0"/>
        <w:autoSpaceDN w:val="0"/>
        <w:adjustRightInd w:val="0"/>
        <w:spacing w:after="0" w:line="20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right="60" w:firstLine="400"/>
        <w:jc w:val="both"/>
        <w:rPr>
          <w:rFonts w:ascii="Times New Roman" w:hAnsi="Times New Roman" w:cs="Times New Roman"/>
          <w:sz w:val="24"/>
          <w:szCs w:val="24"/>
        </w:rPr>
      </w:pPr>
      <w:r>
        <w:rPr>
          <w:rFonts w:ascii="Times" w:hAnsi="Times" w:cs="Times"/>
          <w:sz w:val="20"/>
          <w:szCs w:val="20"/>
        </w:rPr>
        <w:t>Our railroad business earnings increased 2.0% in 2014, althou</w:t>
      </w:r>
      <w:r>
        <w:rPr>
          <w:rFonts w:ascii="Times" w:hAnsi="Times" w:cs="Times"/>
          <w:sz w:val="20"/>
          <w:szCs w:val="20"/>
        </w:rPr>
        <w:t>gh earnings were negatively impacted by various service-related challenges during the year. Earnings from our railroad business in 2013 exceeded 2012 by 12.5% driven by increased volume over the network. Earnings of our utilities and energy businesses in 2</w:t>
      </w:r>
      <w:r>
        <w:rPr>
          <w:rFonts w:ascii="Times" w:hAnsi="Times" w:cs="Times"/>
          <w:sz w:val="20"/>
          <w:szCs w:val="20"/>
        </w:rPr>
        <w:t>014 exceeded 2013 by 28.0%, due to the acquisition of NV Energy in December 2013 and higher earnings from several of our other energy businesses. Earnings from utility and energy businesses in 2013 exceeded 2012 by 11.1%. Earnings from our manufacturing, s</w:t>
      </w:r>
      <w:r>
        <w:rPr>
          <w:rFonts w:ascii="Times" w:hAnsi="Times" w:cs="Times"/>
          <w:sz w:val="20"/>
          <w:szCs w:val="20"/>
        </w:rPr>
        <w:t>ervice and retailing businesses in 2014 increased 15.2% over 2013, which increased 15.5% over 2012. These increases reflected the impact of bolt-on business acquisitions, earnings growth in certain operations and reductions in earnings attributable to nonc</w:t>
      </w:r>
      <w:r>
        <w:rPr>
          <w:rFonts w:ascii="Times" w:hAnsi="Times" w:cs="Times"/>
          <w:sz w:val="20"/>
          <w:szCs w:val="20"/>
        </w:rPr>
        <w:t>ontrolling interests. “Other” in the preceding table includes after-tax earnings from our investments in Heinz Holdings of $652 million in 2014 and $95 million in 2013.</w:t>
      </w:r>
    </w:p>
    <w:p w:rsidR="00000000" w:rsidRDefault="00A0696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right="60" w:firstLine="400"/>
        <w:jc w:val="both"/>
        <w:rPr>
          <w:rFonts w:ascii="Times New Roman" w:hAnsi="Times New Roman" w:cs="Times New Roman"/>
          <w:sz w:val="24"/>
          <w:szCs w:val="24"/>
        </w:rPr>
      </w:pPr>
      <w:r>
        <w:rPr>
          <w:rFonts w:ascii="Times" w:hAnsi="Times" w:cs="Times"/>
          <w:sz w:val="20"/>
          <w:szCs w:val="20"/>
        </w:rPr>
        <w:t>After-tax investment and derivative gains were approximately $3.3 billion in 2014, $4.</w:t>
      </w:r>
      <w:r>
        <w:rPr>
          <w:rFonts w:ascii="Times" w:hAnsi="Times" w:cs="Times"/>
          <w:sz w:val="20"/>
          <w:szCs w:val="20"/>
        </w:rPr>
        <w:t>3 billion in 2013 and $2.2 billion in 2012. In each year, after-tax gains included gains from the reductions in estimated liabilities under equity index put option contracts and dispositions of investments, partially offset by other-than-temporary impairme</w:t>
      </w:r>
      <w:r>
        <w:rPr>
          <w:rFonts w:ascii="Times" w:hAnsi="Times" w:cs="Times"/>
          <w:sz w:val="20"/>
          <w:szCs w:val="20"/>
        </w:rPr>
        <w:t>nt charges. In 2014, after-tax gains included approximately $2.0 billion related to the exchanges of Phillips 66 (in the first quarter) and Graham Holdings Company (in the second quarter) common stocks for a specified subsidiary of each of those companies.</w:t>
      </w:r>
      <w:r>
        <w:rPr>
          <w:rFonts w:ascii="Times" w:hAnsi="Times" w:cs="Times"/>
          <w:sz w:val="20"/>
          <w:szCs w:val="20"/>
        </w:rPr>
        <w:t xml:space="preserve"> After-tax investment gains in 2013 included gains associated with the fair value increases of certain investment securities where unrealized gains or losses were reflected in periodic earnings. In 2012, after-tax investment and derivative gains also inclu</w:t>
      </w:r>
      <w:r>
        <w:rPr>
          <w:rFonts w:ascii="Times" w:hAnsi="Times" w:cs="Times"/>
          <w:sz w:val="20"/>
          <w:szCs w:val="20"/>
        </w:rPr>
        <w:t>ded gains from settlements and expirations of credit default contracts. We believe that investment and derivatives gains/losses are often meaningless in terms of understanding our reported results or evaluating our economic performance. These gains and los</w:t>
      </w:r>
      <w:r>
        <w:rPr>
          <w:rFonts w:ascii="Times" w:hAnsi="Times" w:cs="Times"/>
          <w:sz w:val="20"/>
          <w:szCs w:val="20"/>
        </w:rPr>
        <w:t>ses have caused and will likely continue to cause significant volatility in our periodic earnings.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86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Insurance—Underwriting</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We engage in both primary insurance and reinsurance of property/casualty, life and health risks. In primary insurance activities, we assume defined portions of the risks of loss from persons or organizations that are directly subject to the risks. In reins</w:t>
      </w:r>
      <w:r>
        <w:rPr>
          <w:rFonts w:ascii="Times" w:hAnsi="Times" w:cs="Times"/>
          <w:sz w:val="20"/>
          <w:szCs w:val="20"/>
        </w:rPr>
        <w:t>urance activities, we assume defined portions of similar or dissimilar risks that other insurers or reinsurers have subjected themselves to in their own insuring activities. Our insurance and reinsurance businesses are: (1) GEICO, (2) General Re,</w:t>
      </w:r>
    </w:p>
    <w:p w:rsidR="00000000" w:rsidRDefault="00A06965">
      <w:pPr>
        <w:pStyle w:val="DefaultParagraphFont"/>
        <w:widowControl w:val="0"/>
        <w:autoSpaceDE w:val="0"/>
        <w:autoSpaceDN w:val="0"/>
        <w:adjustRightInd w:val="0"/>
        <w:spacing w:after="0" w:line="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(3) Berk</w:t>
      </w:r>
      <w:r>
        <w:rPr>
          <w:rFonts w:ascii="Times" w:hAnsi="Times" w:cs="Times"/>
          <w:sz w:val="20"/>
          <w:szCs w:val="20"/>
        </w:rPr>
        <w:t>shire Hathaway Reinsurance Group (“BHRG”) and (4) Berkshire Hathaway Primary Group.</w:t>
      </w:r>
    </w:p>
    <w:p w:rsidR="00000000" w:rsidRDefault="00A06965">
      <w:pPr>
        <w:pStyle w:val="DefaultParagraphFont"/>
        <w:widowControl w:val="0"/>
        <w:autoSpaceDE w:val="0"/>
        <w:autoSpaceDN w:val="0"/>
        <w:adjustRightInd w:val="0"/>
        <w:spacing w:after="0" w:line="26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Our management views insurance businesses as possessing two distinct operations – underwriting and investing. Underwriting decisions are the responsibility of the unit man</w:t>
      </w:r>
      <w:r>
        <w:rPr>
          <w:rFonts w:ascii="Times" w:hAnsi="Times" w:cs="Times"/>
          <w:sz w:val="20"/>
          <w:szCs w:val="20"/>
        </w:rPr>
        <w:t>agers; investing decisions, with limited exceptions, are the responsibility of Berkshire’s Chairman and CEO, Warren E. Buffett. Accordingly, we evaluate performance of underwriting operations without any allocation of investment income or investment gains.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The timing and amount of catastrophe losses can produce significant volatility in our periodic underwriting results, particularly with respect to BHRG and General Re. For the purpose of this discussion, we consider catastrophe losses significant if the p</w:t>
      </w:r>
      <w:r>
        <w:rPr>
          <w:rFonts w:ascii="Times" w:hAnsi="Times" w:cs="Times"/>
          <w:sz w:val="20"/>
          <w:szCs w:val="20"/>
        </w:rPr>
        <w:t>re-tax losses incurred from a single event (or series of related events such as tornadoes) exceed $100 million on a consolidated basis. In 2014, we did not incur any significant catastrophe losses. In 2013, we incurred pre-tax losses of $436 million relate</w:t>
      </w:r>
      <w:r>
        <w:rPr>
          <w:rFonts w:ascii="Times" w:hAnsi="Times" w:cs="Times"/>
          <w:sz w:val="20"/>
          <w:szCs w:val="20"/>
        </w:rPr>
        <w:t>d to two catastrophe events in Europe. In 2012, we incurred pre-tax losses of approximately $1.1 billion attributable to Hurricane Sandy. Our periodic underwriting results may be affected significantly by changes in estimates for unpaid losses and loss adj</w:t>
      </w:r>
      <w:r>
        <w:rPr>
          <w:rFonts w:ascii="Times" w:hAnsi="Times" w:cs="Times"/>
          <w:sz w:val="20"/>
          <w:szCs w:val="20"/>
        </w:rPr>
        <w:t>ustment expenses, including amounts established for occurrences in prior years. Actual claim settlements and revised loss estimates will develop over time, which will likely differ from the liability estimates recorded as of year-end (approximately $71.5 b</w:t>
      </w:r>
      <w:r>
        <w:rPr>
          <w:rFonts w:ascii="Times" w:hAnsi="Times" w:cs="Times"/>
          <w:sz w:val="20"/>
          <w:szCs w:val="20"/>
        </w:rPr>
        <w:t>illion). Accordingly, the unpaid loss estimates recorded as of December 31, 2014 may develop upward or downward in future periods, producing a corresponding decrease or increase to pre-tax earnings.</w:t>
      </w:r>
    </w:p>
    <w:p w:rsidR="00000000" w:rsidRDefault="00A0696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Our periodic underwriting results may also include signi</w:t>
      </w:r>
      <w:r>
        <w:rPr>
          <w:rFonts w:ascii="Times" w:hAnsi="Times" w:cs="Times"/>
          <w:sz w:val="20"/>
          <w:szCs w:val="20"/>
        </w:rPr>
        <w:t>ficant foreign currency transaction gains and losses arising from the changes in the valuation of non-U.S. Dollar denominated reinsurance liabilities of our U.S. based insurance subsidiaries as a result of foreign currency exchange rate fluctuations. Forei</w:t>
      </w:r>
      <w:r>
        <w:rPr>
          <w:rFonts w:ascii="Times" w:hAnsi="Times" w:cs="Times"/>
          <w:sz w:val="20"/>
          <w:szCs w:val="20"/>
        </w:rPr>
        <w:t>gn currency exchange rate changes produced pre-tax gains in 2014 and losses in 2013 and 2012. Historically, currency exchange rates have been volatile and the resulting impact on our underwriting earnings has been relatively significant. These gains and lo</w:t>
      </w:r>
      <w:r>
        <w:rPr>
          <w:rFonts w:ascii="Times" w:hAnsi="Times" w:cs="Times"/>
          <w:sz w:val="20"/>
          <w:szCs w:val="20"/>
        </w:rPr>
        <w:t>sses are included in underwriting expenses.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A key marketing strategy of our insurance businesses is the maintenance of extraordinary capital strength. A measure of capital strength is combined shareholders’</w:t>
      </w:r>
      <w:r>
        <w:rPr>
          <w:rFonts w:ascii="Times" w:hAnsi="Times" w:cs="Times"/>
          <w:sz w:val="20"/>
          <w:szCs w:val="20"/>
        </w:rPr>
        <w:t xml:space="preserve"> equity determined pursuant to statutory accounting rules (“Statutory Surplus”). Statutory Surplus of our insurance businesses was approximately $129 billion at December 31, 2014. This superior capital strength creates opportunities, especially with respec</w:t>
      </w:r>
      <w:r>
        <w:rPr>
          <w:rFonts w:ascii="Times" w:hAnsi="Times" w:cs="Times"/>
          <w:sz w:val="20"/>
          <w:szCs w:val="20"/>
        </w:rPr>
        <w:t>t to reinsurance activities, to negotiate and enter into insurance and reinsurance contracts specially designed to meet the unique needs of insurance and reinsurance buyers. Underwriting results from our insurance businesses are summarized below. Amounts a</w:t>
      </w:r>
      <w:r>
        <w:rPr>
          <w:rFonts w:ascii="Times" w:hAnsi="Times" w:cs="Times"/>
          <w:sz w:val="20"/>
          <w:szCs w:val="20"/>
        </w:rPr>
        <w:t>re in millions.</w:t>
      </w:r>
    </w:p>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280"/>
        <w:gridCol w:w="540"/>
        <w:gridCol w:w="200"/>
        <w:gridCol w:w="560"/>
        <w:gridCol w:w="200"/>
        <w:gridCol w:w="100"/>
        <w:gridCol w:w="440"/>
        <w:gridCol w:w="20"/>
      </w:tblGrid>
      <w:tr w:rsidR="00000000">
        <w:tblPrEx>
          <w:tblCellMar>
            <w:top w:w="0" w:type="dxa"/>
            <w:left w:w="0" w:type="dxa"/>
            <w:bottom w:w="0" w:type="dxa"/>
            <w:right w:w="0" w:type="dxa"/>
          </w:tblCellMar>
        </w:tblPrEx>
        <w:trPr>
          <w:trHeight w:val="184"/>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sz w:val="16"/>
                <w:szCs w:val="16"/>
              </w:rPr>
              <w:t>2014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w w:val="93"/>
                <w:sz w:val="16"/>
                <w:szCs w:val="16"/>
              </w:rPr>
              <w:t>2012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82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5480"/>
              <w:jc w:val="right"/>
              <w:rPr>
                <w:rFonts w:ascii="Times New Roman" w:hAnsi="Times New Roman" w:cs="Times New Roman"/>
                <w:sz w:val="24"/>
                <w:szCs w:val="24"/>
              </w:rPr>
            </w:pPr>
            <w:r>
              <w:rPr>
                <w:rFonts w:ascii="Times" w:hAnsi="Times" w:cs="Times"/>
                <w:w w:val="99"/>
                <w:sz w:val="20"/>
                <w:szCs w:val="20"/>
              </w:rPr>
              <w:t>Underwriting gain attributable to:</w:t>
            </w: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2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GEICO . . . . . . . . . .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$1,159</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$1,127</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680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General Re . . . . . . .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277</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355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Berkshire Hathaway Reinsurance Group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606</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1,294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 xml:space="preserve">Berkshire Hathaway Primary Group . . . . . . . . . . . . . . . . . . . . . . . . . . . . . . . . . . . . . . . . </w:t>
            </w:r>
            <w:r>
              <w:rPr>
                <w:rFonts w:ascii="Times" w:hAnsi="Times" w:cs="Times"/>
                <w:sz w:val="20"/>
                <w:szCs w:val="20"/>
              </w:rPr>
              <w:t>.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626</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Pre-tax underwriting gain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2,668</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3,089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1,625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Income taxes and noncontrolling interests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976</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1,094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579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Net underwriting gain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$1,692</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$1,995</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1,046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87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Insurance—Underwriting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GEICO</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Through GEICO, we primarily write private passenger automobile insurance, offering coverages to insureds in all 50 states and the District of Columbia. GEICO’</w:t>
      </w:r>
      <w:r>
        <w:rPr>
          <w:rFonts w:ascii="Times" w:hAnsi="Times" w:cs="Times"/>
          <w:sz w:val="20"/>
          <w:szCs w:val="20"/>
        </w:rPr>
        <w:t>s policies are marketed mainly by direct response methods in which customers apply for coverage directly to the company via the Internet or over the telephone. This is a significant element in our strategy to be a low-cost auto insurer. In addition, we str</w:t>
      </w:r>
      <w:r>
        <w:rPr>
          <w:rFonts w:ascii="Times" w:hAnsi="Times" w:cs="Times"/>
          <w:sz w:val="20"/>
          <w:szCs w:val="20"/>
        </w:rPr>
        <w:t>ive to provide excellent service to customers, with the goal of establishing long-term customer relationships. GEICO’s underwriting results are summarized below. Dollars are in millions.</w:t>
      </w:r>
    </w:p>
    <w:p w:rsidR="00000000" w:rsidRDefault="00A06965">
      <w:pPr>
        <w:pStyle w:val="DefaultParagraphFont"/>
        <w:widowControl w:val="0"/>
        <w:autoSpaceDE w:val="0"/>
        <w:autoSpaceDN w:val="0"/>
        <w:adjustRightInd w:val="0"/>
        <w:spacing w:after="0" w:line="11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6020"/>
        <w:gridCol w:w="100"/>
        <w:gridCol w:w="560"/>
        <w:gridCol w:w="200"/>
        <w:gridCol w:w="440"/>
        <w:gridCol w:w="200"/>
        <w:gridCol w:w="100"/>
        <w:gridCol w:w="560"/>
        <w:gridCol w:w="200"/>
        <w:gridCol w:w="440"/>
        <w:gridCol w:w="200"/>
        <w:gridCol w:w="100"/>
        <w:gridCol w:w="560"/>
        <w:gridCol w:w="200"/>
        <w:gridCol w:w="440"/>
        <w:gridCol w:w="20"/>
      </w:tblGrid>
      <w:tr w:rsidR="00000000">
        <w:tblPrEx>
          <w:tblCellMar>
            <w:top w:w="0" w:type="dxa"/>
            <w:left w:w="0" w:type="dxa"/>
            <w:bottom w:w="0" w:type="dxa"/>
            <w:right w:w="0" w:type="dxa"/>
          </w:tblCellMar>
        </w:tblPrEx>
        <w:trPr>
          <w:trHeight w:val="184"/>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b/>
                <w:bCs/>
                <w:sz w:val="16"/>
                <w:szCs w:val="16"/>
              </w:rPr>
              <w:t>2014</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b/>
                <w:bCs/>
                <w:sz w:val="16"/>
                <w:szCs w:val="16"/>
              </w:rPr>
              <w:t>2013</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b/>
                <w:bCs/>
                <w:sz w:val="16"/>
                <w:szCs w:val="16"/>
              </w:rPr>
              <w:t>2012</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60"/>
              <w:jc w:val="right"/>
              <w:rPr>
                <w:rFonts w:ascii="Times New Roman" w:hAnsi="Times New Roman" w:cs="Times New Roman"/>
                <w:sz w:val="24"/>
                <w:szCs w:val="24"/>
              </w:rPr>
            </w:pPr>
            <w:r>
              <w:rPr>
                <w:rFonts w:ascii="Times" w:hAnsi="Times" w:cs="Times"/>
                <w:b/>
                <w:bCs/>
                <w:sz w:val="16"/>
                <w:szCs w:val="16"/>
              </w:rPr>
              <w:t>Amount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4"/>
              <w:jc w:val="right"/>
              <w:rPr>
                <w:rFonts w:ascii="Times New Roman" w:hAnsi="Times New Roman" w:cs="Times New Roman"/>
                <w:sz w:val="24"/>
                <w:szCs w:val="24"/>
              </w:rPr>
            </w:pPr>
            <w:r>
              <w:rPr>
                <w:rFonts w:ascii="Times" w:hAnsi="Times" w:cs="Times"/>
                <w:b/>
                <w:bCs/>
                <w:sz w:val="16"/>
                <w:szCs w:val="16"/>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60"/>
              <w:jc w:val="right"/>
              <w:rPr>
                <w:rFonts w:ascii="Times New Roman" w:hAnsi="Times New Roman" w:cs="Times New Roman"/>
                <w:sz w:val="24"/>
                <w:szCs w:val="24"/>
              </w:rPr>
            </w:pPr>
            <w:r>
              <w:rPr>
                <w:rFonts w:ascii="Times" w:hAnsi="Times" w:cs="Times"/>
                <w:b/>
                <w:bCs/>
                <w:sz w:val="16"/>
                <w:szCs w:val="16"/>
              </w:rPr>
              <w:t>Amount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4"/>
              <w:jc w:val="right"/>
              <w:rPr>
                <w:rFonts w:ascii="Times New Roman" w:hAnsi="Times New Roman" w:cs="Times New Roman"/>
                <w:sz w:val="24"/>
                <w:szCs w:val="24"/>
              </w:rPr>
            </w:pPr>
            <w:r>
              <w:rPr>
                <w:rFonts w:ascii="Times" w:hAnsi="Times" w:cs="Times"/>
                <w:b/>
                <w:bCs/>
                <w:sz w:val="16"/>
                <w:szCs w:val="16"/>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60"/>
              <w:jc w:val="right"/>
              <w:rPr>
                <w:rFonts w:ascii="Times New Roman" w:hAnsi="Times New Roman" w:cs="Times New Roman"/>
                <w:sz w:val="24"/>
                <w:szCs w:val="24"/>
              </w:rPr>
            </w:pPr>
            <w:r>
              <w:rPr>
                <w:rFonts w:ascii="Times" w:hAnsi="Times" w:cs="Times"/>
                <w:b/>
                <w:bCs/>
                <w:sz w:val="16"/>
                <w:szCs w:val="16"/>
              </w:rPr>
              <w:t>Amount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4"/>
              <w:jc w:val="right"/>
              <w:rPr>
                <w:rFonts w:ascii="Times New Roman" w:hAnsi="Times New Roman" w:cs="Times New Roman"/>
                <w:sz w:val="24"/>
                <w:szCs w:val="24"/>
              </w:rPr>
            </w:pPr>
            <w:r>
              <w:rPr>
                <w:rFonts w:ascii="Times" w:hAnsi="Times" w:cs="Times"/>
                <w:b/>
                <w:bCs/>
                <w:sz w:val="16"/>
                <w:szCs w:val="16"/>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Premiums written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20,962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19,083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17,129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Premiums earned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20,496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100.0</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18,572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100.0</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16,740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100.0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Losses and loss adjustment expenses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15,924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77.7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14,255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76.7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12,700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75.9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Underwriting expenses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3,190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Total losses and expenses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19,337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94.3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17,445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16,060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95.9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0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Pre-tax underwriting gain</w:t>
            </w:r>
          </w:p>
        </w:tc>
        <w:tc>
          <w:tcPr>
            <w:tcW w:w="10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79"/>
                <w:sz w:val="20"/>
                <w:szCs w:val="20"/>
              </w:rPr>
              <w:t>$</w:t>
            </w:r>
          </w:p>
        </w:tc>
        <w:tc>
          <w:tcPr>
            <w:tcW w:w="5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1,159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w:t>
            </w:r>
          </w:p>
        </w:tc>
        <w:tc>
          <w:tcPr>
            <w:tcW w:w="5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1,127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w:t>
            </w:r>
          </w:p>
        </w:tc>
        <w:tc>
          <w:tcPr>
            <w:tcW w:w="5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680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0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180"/>
              <w:rPr>
                <w:rFonts w:ascii="Times New Roman" w:hAnsi="Times New Roman" w:cs="Times New Roman"/>
                <w:sz w:val="24"/>
                <w:szCs w:val="24"/>
              </w:rPr>
            </w:pPr>
            <w:r>
              <w:rPr>
                <w:rFonts w:ascii="Times" w:hAnsi="Times" w:cs="Times"/>
                <w:sz w:val="20"/>
                <w:szCs w:val="20"/>
              </w:rPr>
              <w:t>. . . . . . . . . . . . . . . . . . . . . . . . . . . . . . . . . . . . .</w:t>
            </w:r>
          </w:p>
        </w:tc>
        <w:tc>
          <w:tcPr>
            <w:tcW w:w="1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Premiums written and earned in 2014 were approximately $21.0 billion and $20.5 billion, respectively, which represented increases of 9.8% and 10.4%, respectively compared to premiums written and earned in 2013. These increases were attributable to an incre</w:t>
      </w:r>
      <w:r>
        <w:rPr>
          <w:rFonts w:ascii="Times" w:hAnsi="Times" w:cs="Times"/>
          <w:sz w:val="20"/>
          <w:szCs w:val="20"/>
        </w:rPr>
        <w:t>ase in voluntary auto policies-in-force of 6.6% during the past twelve months and increased average premium per policy. Voluntary auto new business sales increased about 1.8% in 2014 as compared to 2013. Voluntary auto policies-in-force at December 31, 201</w:t>
      </w:r>
      <w:r>
        <w:rPr>
          <w:rFonts w:ascii="Times" w:hAnsi="Times" w:cs="Times"/>
          <w:sz w:val="20"/>
          <w:szCs w:val="20"/>
        </w:rPr>
        <w:t>4 were approximately 821,000 higher than at December 31, 2013.</w:t>
      </w:r>
    </w:p>
    <w:p w:rsidR="00000000" w:rsidRDefault="00A06965">
      <w:pPr>
        <w:pStyle w:val="DefaultParagraphFont"/>
        <w:widowControl w:val="0"/>
        <w:autoSpaceDE w:val="0"/>
        <w:autoSpaceDN w:val="0"/>
        <w:adjustRightInd w:val="0"/>
        <w:spacing w:after="0" w:line="16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Losses and loss adjustment expenses incurred in 2014 increased $1.7 billion (11.7%) to $15.9 billion. The ratio of losses and loss adjustment expenses incurred to premiums earned (the “loss ra</w:t>
      </w:r>
      <w:r>
        <w:rPr>
          <w:rFonts w:ascii="Times" w:hAnsi="Times" w:cs="Times"/>
          <w:sz w:val="20"/>
          <w:szCs w:val="20"/>
        </w:rPr>
        <w:t>tio”) was 77.7% in 2014 compared to 76.7% in 2013. In 2014, claims frequencies for property damage and collision coverages increased in the three to four percent range over 2013, partially due to more severe winter weather in the first quarter of 2014. Cla</w:t>
      </w:r>
      <w:r>
        <w:rPr>
          <w:rFonts w:ascii="Times" w:hAnsi="Times" w:cs="Times"/>
          <w:sz w:val="20"/>
          <w:szCs w:val="20"/>
        </w:rPr>
        <w:t>ims frequencies for bodily injury coverage increased about one percent, while frequencies for personal injury protection decreased three to four percent. Physical damage severities increased one to two percent in 2014 and bodily injury severities decreased</w:t>
      </w:r>
      <w:r>
        <w:rPr>
          <w:rFonts w:ascii="Times" w:hAnsi="Times" w:cs="Times"/>
          <w:sz w:val="20"/>
          <w:szCs w:val="20"/>
        </w:rPr>
        <w:t xml:space="preserve"> in the one to two percent range from severities in 2013. Overall, personal injury protection severities were relatively flat although we experienced relatively large, but offsetting, changes by jurisdiction. In both 2014 and 2013, losses and loss adjustme</w:t>
      </w:r>
      <w:r>
        <w:rPr>
          <w:rFonts w:ascii="Times" w:hAnsi="Times" w:cs="Times"/>
          <w:sz w:val="20"/>
          <w:szCs w:val="20"/>
        </w:rPr>
        <w:t>nt expenses incurred were favorably impacted by reductions of estimates for prior years’ losses.</w:t>
      </w:r>
    </w:p>
    <w:p w:rsidR="00000000" w:rsidRDefault="00A06965">
      <w:pPr>
        <w:pStyle w:val="DefaultParagraphFont"/>
        <w:widowControl w:val="0"/>
        <w:autoSpaceDE w:val="0"/>
        <w:autoSpaceDN w:val="0"/>
        <w:adjustRightInd w:val="0"/>
        <w:spacing w:after="0" w:line="16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Underwriting expenses in 2014 increased $223 million (7.0%) to $3.4 billion. The increase reflected the increased policy acquisition costs to generate the gro</w:t>
      </w:r>
      <w:r>
        <w:rPr>
          <w:rFonts w:ascii="Times" w:hAnsi="Times" w:cs="Times"/>
          <w:sz w:val="20"/>
          <w:szCs w:val="20"/>
        </w:rPr>
        <w:t>wth in policies-in-force and increased other operating expenses. The ratio of underwriting expenses to premiums earned (the “expense ratio”) was 16.6% in 2014 and 17.2% in 2013.</w:t>
      </w:r>
    </w:p>
    <w:p w:rsidR="00000000" w:rsidRDefault="00A06965">
      <w:pPr>
        <w:pStyle w:val="DefaultParagraphFont"/>
        <w:widowControl w:val="0"/>
        <w:autoSpaceDE w:val="0"/>
        <w:autoSpaceDN w:val="0"/>
        <w:adjustRightInd w:val="0"/>
        <w:spacing w:after="0" w:line="16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 xml:space="preserve">Premiums written in 2013 were $19.1 billion, an increase of 11.4% over premiums written in 2012. Premiums earned in 2013 increased approximately $1.8 billion (10.9%) to approximately $18.6 billion. The growth in premiums reflected an increase in voluntary </w:t>
      </w:r>
      <w:r>
        <w:rPr>
          <w:rFonts w:ascii="Times" w:hAnsi="Times" w:cs="Times"/>
          <w:sz w:val="20"/>
          <w:szCs w:val="20"/>
        </w:rPr>
        <w:t>auto policies-in-force of 7.8% and to a lesser degree, higher average premiums per policy. The increase in policies-in-force reflected a 12.1% increase in voluntary auto new business sales. Voluntary auto policies-in-force at December 31, 2013 were approxi</w:t>
      </w:r>
      <w:r>
        <w:rPr>
          <w:rFonts w:ascii="Times" w:hAnsi="Times" w:cs="Times"/>
          <w:sz w:val="20"/>
          <w:szCs w:val="20"/>
        </w:rPr>
        <w:t>mately 898,000 greater than at December 31, 2012.</w:t>
      </w:r>
    </w:p>
    <w:p w:rsidR="00000000" w:rsidRDefault="00A06965">
      <w:pPr>
        <w:pStyle w:val="DefaultParagraphFont"/>
        <w:widowControl w:val="0"/>
        <w:autoSpaceDE w:val="0"/>
        <w:autoSpaceDN w:val="0"/>
        <w:adjustRightInd w:val="0"/>
        <w:spacing w:after="0" w:line="16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Losses and loss adjustment expenses incurred in 2013 increased $1.6 billion (12.2%) to $14.3 billion. The loss ratio was 76.7% in 2013 compared to 75.9% in 2012. In 2013, claims frequencies for property da</w:t>
      </w:r>
      <w:r>
        <w:rPr>
          <w:rFonts w:ascii="Times" w:hAnsi="Times" w:cs="Times"/>
          <w:sz w:val="20"/>
          <w:szCs w:val="20"/>
        </w:rPr>
        <w:t>mage and collision coverages generally increased in the two to four percent range and physical damage claims severities increased in the three to four percent range as compared to 2012. In addition, average bodily injury claims frequencies increased in the</w:t>
      </w:r>
      <w:r>
        <w:rPr>
          <w:rFonts w:ascii="Times" w:hAnsi="Times" w:cs="Times"/>
          <w:sz w:val="20"/>
          <w:szCs w:val="20"/>
        </w:rPr>
        <w:t xml:space="preserve"> one to two percent range. Bodily injury claims severities increased in the one to three percent range, although severities for personal injury protection coverage declined, primarily in Florida. In 2012, we incurred losses of approximately $490 million re</w:t>
      </w:r>
      <w:r>
        <w:rPr>
          <w:rFonts w:ascii="Times" w:hAnsi="Times" w:cs="Times"/>
          <w:sz w:val="20"/>
          <w:szCs w:val="20"/>
        </w:rPr>
        <w:t>lated to Hurricane Sandy. In both 2013 and 2012, losses and loss adjustment expenses incurred were favorably impacted by reductions of estimates for prior years’ losses.</w:t>
      </w:r>
    </w:p>
    <w:p w:rsidR="00000000" w:rsidRDefault="00A06965">
      <w:pPr>
        <w:pStyle w:val="DefaultParagraphFont"/>
        <w:widowControl w:val="0"/>
        <w:autoSpaceDE w:val="0"/>
        <w:autoSpaceDN w:val="0"/>
        <w:adjustRightInd w:val="0"/>
        <w:spacing w:after="0" w:line="39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 xml:space="preserve">Underwriting expenses incurred in 2013 declined $170 million (5.1%) to $3.2 billion. </w:t>
      </w:r>
      <w:r>
        <w:rPr>
          <w:rFonts w:ascii="Times" w:hAnsi="Times" w:cs="Times"/>
          <w:sz w:val="20"/>
          <w:szCs w:val="20"/>
        </w:rPr>
        <w:t>Underwriting expenses in 2012 were impacted by a change in U.S. GAAP concerning deferred policy acquisition costs. Excluding the effects of the accounting change, the expense ratio in 2013 declined by approximately 0.4 percentage points from 2012.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88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Insurance—Underwriting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General Re</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Through General Re, we conduct a reinsurance business offering property and casualty and life and health coverages to clients worldwide. We write property and casualty reinsurance in North America on a direct basis through General Reinsurance Corporation a</w:t>
      </w:r>
      <w:r>
        <w:rPr>
          <w:rFonts w:ascii="Times" w:hAnsi="Times" w:cs="Times"/>
          <w:sz w:val="20"/>
          <w:szCs w:val="20"/>
        </w:rPr>
        <w:t>nd internationally through Germany-based General Reinsurance AG and other wholly-owned affiliates. Property and casualty reinsurance is also written in broker markets through Faraday in London. Life and health reinsurance is written in North America throug</w:t>
      </w:r>
      <w:r>
        <w:rPr>
          <w:rFonts w:ascii="Times" w:hAnsi="Times" w:cs="Times"/>
          <w:sz w:val="20"/>
          <w:szCs w:val="20"/>
        </w:rPr>
        <w:t>h General Re Life Corporation and internationally through General Reinsurance AG. General Re strives to generate underwriting profits in essentially all of its product lines. Our management does not evaluate underwriting performance based upon market share</w:t>
      </w:r>
      <w:r>
        <w:rPr>
          <w:rFonts w:ascii="Times" w:hAnsi="Times" w:cs="Times"/>
          <w:sz w:val="20"/>
          <w:szCs w:val="20"/>
        </w:rPr>
        <w:t xml:space="preserve"> and our underwriters are instructed to reject inadequately priced risks. General Re’s underwriting results are summarized in the following table. Amounts are in millions.</w:t>
      </w:r>
    </w:p>
    <w:p w:rsidR="00000000" w:rsidRDefault="00A06965">
      <w:pPr>
        <w:pStyle w:val="DefaultParagraphFont"/>
        <w:widowControl w:val="0"/>
        <w:autoSpaceDE w:val="0"/>
        <w:autoSpaceDN w:val="0"/>
        <w:adjustRightInd w:val="0"/>
        <w:spacing w:after="0" w:line="6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00"/>
        <w:gridCol w:w="560"/>
        <w:gridCol w:w="200"/>
        <w:gridCol w:w="540"/>
        <w:gridCol w:w="200"/>
        <w:gridCol w:w="560"/>
        <w:gridCol w:w="200"/>
        <w:gridCol w:w="540"/>
        <w:gridCol w:w="200"/>
        <w:gridCol w:w="560"/>
        <w:gridCol w:w="200"/>
        <w:gridCol w:w="540"/>
        <w:gridCol w:w="200"/>
        <w:gridCol w:w="120"/>
        <w:gridCol w:w="400"/>
        <w:gridCol w:w="120"/>
        <w:gridCol w:w="200"/>
        <w:gridCol w:w="120"/>
        <w:gridCol w:w="400"/>
        <w:gridCol w:w="120"/>
        <w:gridCol w:w="200"/>
        <w:gridCol w:w="120"/>
        <w:gridCol w:w="400"/>
        <w:gridCol w:w="120"/>
      </w:tblGrid>
      <w:tr w:rsidR="00000000">
        <w:tblPrEx>
          <w:tblCellMar>
            <w:top w:w="0" w:type="dxa"/>
            <w:left w:w="0" w:type="dxa"/>
            <w:bottom w:w="0" w:type="dxa"/>
            <w:right w:w="0" w:type="dxa"/>
          </w:tblCellMar>
        </w:tblPrEx>
        <w:trPr>
          <w:trHeight w:val="184"/>
        </w:trPr>
        <w:tc>
          <w:tcPr>
            <w:tcW w:w="3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6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20"/>
              <w:jc w:val="right"/>
              <w:rPr>
                <w:rFonts w:ascii="Times New Roman" w:hAnsi="Times New Roman" w:cs="Times New Roman"/>
                <w:sz w:val="24"/>
                <w:szCs w:val="24"/>
              </w:rPr>
            </w:pPr>
            <w:r>
              <w:rPr>
                <w:rFonts w:ascii="Times" w:hAnsi="Times" w:cs="Times"/>
                <w:b/>
                <w:bCs/>
                <w:sz w:val="16"/>
                <w:szCs w:val="16"/>
              </w:rPr>
              <w:t>Premiums written</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20"/>
              <w:jc w:val="right"/>
              <w:rPr>
                <w:rFonts w:ascii="Times New Roman" w:hAnsi="Times New Roman" w:cs="Times New Roman"/>
                <w:sz w:val="24"/>
                <w:szCs w:val="24"/>
              </w:rPr>
            </w:pPr>
            <w:r>
              <w:rPr>
                <w:rFonts w:ascii="Times" w:hAnsi="Times" w:cs="Times"/>
                <w:b/>
                <w:bCs/>
                <w:sz w:val="16"/>
                <w:szCs w:val="16"/>
              </w:rPr>
              <w:t>Premiums earned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320" w:type="dxa"/>
            <w:gridSpan w:val="11"/>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w:hAnsi="Times" w:cs="Times"/>
                <w:b/>
                <w:bCs/>
                <w:sz w:val="16"/>
                <w:szCs w:val="16"/>
              </w:rPr>
              <w:t>Pre-tax underwriting gain (loss)</w:t>
            </w:r>
          </w:p>
        </w:tc>
      </w:tr>
      <w:tr w:rsidR="00000000">
        <w:tblPrEx>
          <w:tblCellMar>
            <w:top w:w="0" w:type="dxa"/>
            <w:left w:w="0" w:type="dxa"/>
            <w:bottom w:w="0" w:type="dxa"/>
            <w:right w:w="0" w:type="dxa"/>
          </w:tblCellMar>
        </w:tblPrEx>
        <w:trPr>
          <w:trHeight w:val="26"/>
        </w:trPr>
        <w:tc>
          <w:tcPr>
            <w:tcW w:w="3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3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8"/>
              <w:jc w:val="right"/>
              <w:rPr>
                <w:rFonts w:ascii="Times New Roman" w:hAnsi="Times New Roman" w:cs="Times New Roman"/>
                <w:sz w:val="24"/>
                <w:szCs w:val="24"/>
              </w:rPr>
            </w:pPr>
            <w:r>
              <w:rPr>
                <w:rFonts w:ascii="Times" w:hAnsi="Times" w:cs="Times"/>
                <w:b/>
                <w:bCs/>
                <w:sz w:val="16"/>
                <w:szCs w:val="16"/>
              </w:rPr>
              <w:t>2014</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2013</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2012</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b/>
                <w:bCs/>
                <w:sz w:val="16"/>
                <w:szCs w:val="16"/>
              </w:rPr>
              <w:t>2014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2012</w:t>
            </w: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b/>
                <w:bCs/>
                <w:sz w:val="16"/>
                <w:szCs w:val="16"/>
              </w:rPr>
              <w:t>2014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b/>
                <w:bCs/>
                <w:sz w:val="16"/>
                <w:szCs w:val="16"/>
              </w:rPr>
              <w:t>2013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b/>
                <w:bCs/>
                <w:sz w:val="16"/>
                <w:szCs w:val="16"/>
              </w:rPr>
              <w:t>2012</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3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3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Property/casualt</w:t>
            </w:r>
            <w:r>
              <w:rPr>
                <w:rFonts w:ascii="Times" w:hAnsi="Times" w:cs="Times"/>
                <w:sz w:val="20"/>
                <w:szCs w:val="20"/>
              </w:rPr>
              <w:t>y  . . . . . . . . . . . . . . . . . .</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$3,257</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$2,972</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$2,982</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$3,103</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$3,007</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$2,904</w:t>
            </w: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$148</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$399</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3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Life/health . . . . . . . . . . . . . . . . . . . . . . . .</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3,161</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2,991</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3,002</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3,161</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2,977</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2,966</w:t>
            </w: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135</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0"/>
              <w:jc w:val="right"/>
              <w:rPr>
                <w:rFonts w:ascii="Times New Roman" w:hAnsi="Times New Roman" w:cs="Times New Roman"/>
                <w:sz w:val="24"/>
                <w:szCs w:val="24"/>
              </w:rPr>
            </w:pPr>
            <w:r>
              <w:rPr>
                <w:rFonts w:ascii="Times" w:hAnsi="Times" w:cs="Times"/>
                <w:sz w:val="20"/>
                <w:szCs w:val="20"/>
              </w:rPr>
              <w:t>(44)</w:t>
            </w:r>
          </w:p>
        </w:tc>
      </w:tr>
      <w:tr w:rsidR="00000000">
        <w:tblPrEx>
          <w:tblCellMar>
            <w:top w:w="0" w:type="dxa"/>
            <w:left w:w="0" w:type="dxa"/>
            <w:bottom w:w="0" w:type="dxa"/>
            <w:right w:w="0" w:type="dxa"/>
          </w:tblCellMar>
        </w:tblPrEx>
        <w:trPr>
          <w:trHeight w:val="28"/>
        </w:trPr>
        <w:tc>
          <w:tcPr>
            <w:tcW w:w="3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3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$6,418</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$5,963</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r>
              <w:rPr>
                <w:rFonts w:ascii="Times" w:hAnsi="Times" w:cs="Times"/>
                <w:sz w:val="20"/>
                <w:szCs w:val="20"/>
              </w:rPr>
              <w:t>5,984</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$6,264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$5,984</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$5,870</w:t>
            </w: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$283</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$355</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3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Property/casualty</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Property/casualty premiums written and earned in 2014 increased $285 million (9.6%) and $96 million (3.2%), respectively, compared to 2013. Adjusting for changes in foreign currency exchange rate</w:t>
      </w:r>
      <w:r>
        <w:rPr>
          <w:rFonts w:ascii="Times" w:hAnsi="Times" w:cs="Times"/>
          <w:sz w:val="20"/>
          <w:szCs w:val="20"/>
        </w:rPr>
        <w:t>s, the increases in premiums written and earned in 2014 were $246 million (8.3%) and $100 million (3.3%), respectively. The increases were primarily due to treaty participations as well as growth in our facultative and primary casualty businesses. Our unde</w:t>
      </w:r>
      <w:r>
        <w:rPr>
          <w:rFonts w:ascii="Times" w:hAnsi="Times" w:cs="Times"/>
          <w:sz w:val="20"/>
          <w:szCs w:val="20"/>
        </w:rPr>
        <w:t>rwriters continue to exercise discipline by declining business where prices are deemed inadequate and remain prepared to increase premium volume when appropriate prices are attained relative to the risks assumed.</w:t>
      </w:r>
    </w:p>
    <w:p w:rsidR="00000000" w:rsidRDefault="00A06965">
      <w:pPr>
        <w:pStyle w:val="DefaultParagraphFont"/>
        <w:widowControl w:val="0"/>
        <w:autoSpaceDE w:val="0"/>
        <w:autoSpaceDN w:val="0"/>
        <w:adjustRightInd w:val="0"/>
        <w:spacing w:after="0" w:line="1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Our combined property/casualty business pr</w:t>
      </w:r>
      <w:r>
        <w:rPr>
          <w:rFonts w:ascii="Times" w:hAnsi="Times" w:cs="Times"/>
          <w:sz w:val="20"/>
          <w:szCs w:val="20"/>
        </w:rPr>
        <w:t xml:space="preserve">oduced pre-tax underwriting gains in 2014 of $170 million compared to $148 million in 2013. In 2014 and 2013, our property business generated pre-tax underwriting gains of $466 million and $153 million, respectively. Underwriting results in 2014 reflected </w:t>
      </w:r>
      <w:r>
        <w:rPr>
          <w:rFonts w:ascii="Times" w:hAnsi="Times" w:cs="Times"/>
          <w:sz w:val="20"/>
          <w:szCs w:val="20"/>
        </w:rPr>
        <w:t>no significant catastrophe events as compared to 2013 which included $400 million of catastrophe losses primarily attributable to a hailstorm ($280 million) and floods ($120 million) in Europe. The timing and magnitude of catastrophe and large individual l</w:t>
      </w:r>
      <w:r>
        <w:rPr>
          <w:rFonts w:ascii="Times" w:hAnsi="Times" w:cs="Times"/>
          <w:sz w:val="20"/>
          <w:szCs w:val="20"/>
        </w:rPr>
        <w:t>osses has produced and is expected to continue to produce significant volatility in periodic underwriting results. In both periods, property results also benefitted from reductions of estimated ultimate losses for prior years’ exposures. The favorable deve</w:t>
      </w:r>
      <w:r>
        <w:rPr>
          <w:rFonts w:ascii="Times" w:hAnsi="Times" w:cs="Times"/>
          <w:sz w:val="20"/>
          <w:szCs w:val="20"/>
        </w:rPr>
        <w:t>lopment in each period was primarily attributable to lower than expected losses reported from ceding companies.</w:t>
      </w:r>
    </w:p>
    <w:p w:rsidR="00000000" w:rsidRDefault="00A06965">
      <w:pPr>
        <w:pStyle w:val="DefaultParagraphFont"/>
        <w:widowControl w:val="0"/>
        <w:autoSpaceDE w:val="0"/>
        <w:autoSpaceDN w:val="0"/>
        <w:adjustRightInd w:val="0"/>
        <w:spacing w:after="0" w:line="12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Our casualty/workers’</w:t>
      </w:r>
      <w:r>
        <w:rPr>
          <w:rFonts w:ascii="Times" w:hAnsi="Times" w:cs="Times"/>
          <w:sz w:val="20"/>
          <w:szCs w:val="20"/>
        </w:rPr>
        <w:t xml:space="preserve"> compensation business produced pre-tax underwriting losses of $296 million in 2014 as compared to $5 million in 2013. Casualty/workers’ compensation underwriting results included gains from reductions of estimated ultimate losses on prior years’ business </w:t>
      </w:r>
      <w:r>
        <w:rPr>
          <w:rFonts w:ascii="Times" w:hAnsi="Times" w:cs="Times"/>
          <w:sz w:val="20"/>
          <w:szCs w:val="20"/>
        </w:rPr>
        <w:t xml:space="preserve">of $123 million in 2014 and $354 million in 2013. Casualty losses tend to be long-tail and it should not be assumed that favorable loss experience in a given period means that the ultimate liability estimates currently established will continue to develop </w:t>
      </w:r>
      <w:r>
        <w:rPr>
          <w:rFonts w:ascii="Times" w:hAnsi="Times" w:cs="Times"/>
          <w:sz w:val="20"/>
          <w:szCs w:val="20"/>
        </w:rPr>
        <w:t xml:space="preserve">favorably. The pre-tax underwriting losses in each year also reflected recurring charges related to discount accretion on workers’ compensation liabilities and amortization of deferred charges pertaining to retroactive reinsurance contracts. These charges </w:t>
      </w:r>
      <w:r>
        <w:rPr>
          <w:rFonts w:ascii="Times" w:hAnsi="Times" w:cs="Times"/>
          <w:sz w:val="20"/>
          <w:szCs w:val="20"/>
        </w:rPr>
        <w:t>aggregated $138 million in 2014 and $141 million in 2013.</w:t>
      </w:r>
    </w:p>
    <w:p w:rsidR="00000000" w:rsidRDefault="00A06965">
      <w:pPr>
        <w:pStyle w:val="DefaultParagraphFont"/>
        <w:widowControl w:val="0"/>
        <w:autoSpaceDE w:val="0"/>
        <w:autoSpaceDN w:val="0"/>
        <w:adjustRightInd w:val="0"/>
        <w:spacing w:after="0" w:line="11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Property/casualty premiums written in 2013 were relatively unchanged while premiums earned increased $103 million (3.5%) when compared to 2012. Excluding the effects of foreign currency exchange ra</w:t>
      </w:r>
      <w:r>
        <w:rPr>
          <w:rFonts w:ascii="Times" w:hAnsi="Times" w:cs="Times"/>
          <w:sz w:val="20"/>
          <w:szCs w:val="20"/>
        </w:rPr>
        <w:t>te changes, premiums written and earned in 2013 increased $8 million (0.3%) and $83 million (2.9%), respectively, versus 2012. This was primarily due to increases in European treaty business.</w:t>
      </w:r>
    </w:p>
    <w:p w:rsidR="00000000" w:rsidRDefault="00A06965">
      <w:pPr>
        <w:pStyle w:val="DefaultParagraphFont"/>
        <w:widowControl w:val="0"/>
        <w:autoSpaceDE w:val="0"/>
        <w:autoSpaceDN w:val="0"/>
        <w:adjustRightInd w:val="0"/>
        <w:spacing w:after="0" w:line="11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Our combined property/casualty operations generated pre-tax und</w:t>
      </w:r>
      <w:r>
        <w:rPr>
          <w:rFonts w:ascii="Times" w:hAnsi="Times" w:cs="Times"/>
          <w:sz w:val="20"/>
          <w:szCs w:val="20"/>
        </w:rPr>
        <w:t>erwriting gains of $148 million in 2013 and $399 million in 2012. Property underwriting gains in 2013 were $153 million, a decline of $199 million from 2012. Property results in 2013 included $400 million of catastrophe losses primarily from a storm and fl</w:t>
      </w:r>
      <w:r>
        <w:rPr>
          <w:rFonts w:ascii="Times" w:hAnsi="Times" w:cs="Times"/>
          <w:sz w:val="20"/>
          <w:szCs w:val="20"/>
        </w:rPr>
        <w:t>oods in Europe while results in 2012 included $266 million of catastrophe losses, which were primarily attributable to Hurricane Sandy ($226 million). In each year, property results also benefitted from reductions of estimated ultimate losses for prior yea</w:t>
      </w:r>
      <w:r>
        <w:rPr>
          <w:rFonts w:ascii="Times" w:hAnsi="Times" w:cs="Times"/>
          <w:sz w:val="20"/>
          <w:szCs w:val="20"/>
        </w:rPr>
        <w:t>rs’ business.</w:t>
      </w:r>
    </w:p>
    <w:p w:rsidR="00000000" w:rsidRDefault="00A06965">
      <w:pPr>
        <w:pStyle w:val="DefaultParagraphFont"/>
        <w:widowControl w:val="0"/>
        <w:autoSpaceDE w:val="0"/>
        <w:autoSpaceDN w:val="0"/>
        <w:adjustRightInd w:val="0"/>
        <w:spacing w:after="0" w:line="11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In 2013, casualty/workers’ compensation business generated an underwriting loss of $5 million compared to an underwriting gain of $47 million in 2012. In each year, results benefitted from lower than expected losses from prior years’ casualt</w:t>
      </w:r>
      <w:r>
        <w:rPr>
          <w:rFonts w:ascii="Times" w:hAnsi="Times" w:cs="Times"/>
          <w:sz w:val="20"/>
          <w:szCs w:val="20"/>
        </w:rPr>
        <w:t>y business. Underwriting results also included charges for discount accretion on workers’ compensation liabilities and deferred charge amortization of $141 million in 2013 and $158 million in 2012.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89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Management’</w:t>
      </w:r>
      <w:r>
        <w:rPr>
          <w:rFonts w:ascii="Times" w:hAnsi="Times" w:cs="Times"/>
          <w:b/>
          <w:bCs/>
          <w:sz w:val="20"/>
          <w:szCs w:val="20"/>
        </w:rPr>
        <w:t xml:space="preserve">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Insurance—Underwriting (Continued)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General Re (Continued)</w:t>
      </w:r>
    </w:p>
    <w:p w:rsidR="00000000" w:rsidRDefault="00A06965">
      <w:pPr>
        <w:pStyle w:val="DefaultParagraphFont"/>
        <w:widowControl w:val="0"/>
        <w:autoSpaceDE w:val="0"/>
        <w:autoSpaceDN w:val="0"/>
        <w:adjustRightInd w:val="0"/>
        <w:spacing w:after="0" w:line="1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Life/health</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Premiums written and earned in 2014 increased $170 million (5.7%) and $184 million (6.2%), respectively, compared to 2013. Adjusting for changes in foreign currency exchange rates, premiums written in 2014 increased $217 million (7.3%) over 2013 and premiu</w:t>
      </w:r>
      <w:r>
        <w:rPr>
          <w:rFonts w:ascii="Times" w:hAnsi="Times" w:cs="Times"/>
          <w:sz w:val="20"/>
          <w:szCs w:val="20"/>
        </w:rPr>
        <w:t>ms earned were $234 million (7.9%) higher than 2013. These increases primarily derived from life business across a number of non-U.S. markets. Premiums written in 2013 decreased $11 million (0.4%), while premiums earned increased $11 million (0.4%) compare</w:t>
      </w:r>
      <w:r>
        <w:rPr>
          <w:rFonts w:ascii="Times" w:hAnsi="Times" w:cs="Times"/>
          <w:sz w:val="20"/>
          <w:szCs w:val="20"/>
        </w:rPr>
        <w:t>d with 2012. Adjusting for the effects of currency exchange rate changes, premiums written in 2013 increased $9 million (0.3%) over 2012 and premiums earned in 2013 were $32 million (1.1%) greater than 2012. The increases were primarily attributable to inc</w:t>
      </w:r>
      <w:r>
        <w:rPr>
          <w:rFonts w:ascii="Times" w:hAnsi="Times" w:cs="Times"/>
          <w:sz w:val="20"/>
          <w:szCs w:val="20"/>
        </w:rPr>
        <w:t>reased non-U.S. life business.</w:t>
      </w:r>
    </w:p>
    <w:p w:rsidR="00000000" w:rsidRDefault="00A0696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64" w:lineRule="auto"/>
        <w:ind w:firstLine="400"/>
        <w:jc w:val="both"/>
        <w:rPr>
          <w:rFonts w:ascii="Times New Roman" w:hAnsi="Times New Roman" w:cs="Times New Roman"/>
          <w:sz w:val="24"/>
          <w:szCs w:val="24"/>
        </w:rPr>
      </w:pPr>
      <w:r>
        <w:rPr>
          <w:rFonts w:ascii="Times" w:hAnsi="Times" w:cs="Times"/>
          <w:sz w:val="19"/>
          <w:szCs w:val="19"/>
        </w:rPr>
        <w:t xml:space="preserve">Our life/health operations produced pre-tax underwriting gains of $107 million in 2014 compared to $135 million in 2013. In 2014, we increased reserves by approximately $50 million as a result of reducing discount rates for </w:t>
      </w:r>
      <w:r>
        <w:rPr>
          <w:rFonts w:ascii="Times" w:hAnsi="Times" w:cs="Times"/>
          <w:sz w:val="19"/>
          <w:szCs w:val="19"/>
        </w:rPr>
        <w:t>certain European long-term care and disability business. In 2014, we also experienced increased frequency and severity of claims in Australian disability business.</w:t>
      </w:r>
    </w:p>
    <w:p w:rsidR="00000000" w:rsidRDefault="00A06965">
      <w:pPr>
        <w:pStyle w:val="DefaultParagraphFont"/>
        <w:widowControl w:val="0"/>
        <w:autoSpaceDE w:val="0"/>
        <w:autoSpaceDN w:val="0"/>
        <w:adjustRightInd w:val="0"/>
        <w:spacing w:after="0" w:line="18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Life/health pre-tax underwriting gains in 2013 were driven by lower than expected mortality</w:t>
      </w:r>
      <w:r>
        <w:rPr>
          <w:rFonts w:ascii="Times" w:hAnsi="Times" w:cs="Times"/>
          <w:sz w:val="20"/>
          <w:szCs w:val="20"/>
        </w:rPr>
        <w:t>. Underwriting results for 2012 were negatively impacted by a premium deficiency reserve that was established on the run-off of the U.S. long-term care business as well as greater than expected claims on Australian disability business. Underwriting results</w:t>
      </w:r>
      <w:r>
        <w:rPr>
          <w:rFonts w:ascii="Times" w:hAnsi="Times" w:cs="Times"/>
          <w:sz w:val="20"/>
          <w:szCs w:val="20"/>
        </w:rPr>
        <w:t xml:space="preserve"> in all three years also reflected charges attributable to the periodic discount accretion on U.S. long-term care liabilities.</w:t>
      </w:r>
    </w:p>
    <w:p w:rsidR="00000000" w:rsidRDefault="00A06965">
      <w:pPr>
        <w:pStyle w:val="DefaultParagraphFont"/>
        <w:widowControl w:val="0"/>
        <w:autoSpaceDE w:val="0"/>
        <w:autoSpaceDN w:val="0"/>
        <w:adjustRightInd w:val="0"/>
        <w:spacing w:after="0" w:line="28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Berkshire Hathaway Reinsurance Group</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 xml:space="preserve">Through BHRG, we underwrite excess-of-loss reinsurance and quota-share coverages on property and casualty risks for insurers and reinsurers worldwide, including property catastrophe insurance and reinsurance. The timing and magnitude of catastrophe losses </w:t>
      </w:r>
      <w:r>
        <w:rPr>
          <w:rFonts w:ascii="Times" w:hAnsi="Times" w:cs="Times"/>
          <w:sz w:val="20"/>
          <w:szCs w:val="20"/>
        </w:rPr>
        <w:t>can produce extraordinary volatility in the periodic underwriting results. BHRG also writes retroactive reinsurance, which provides indemnification of losses and loss adjustment expenses with respect to past loss events arising under property/casualty cove</w:t>
      </w:r>
      <w:r>
        <w:rPr>
          <w:rFonts w:ascii="Times" w:hAnsi="Times" w:cs="Times"/>
          <w:sz w:val="20"/>
          <w:szCs w:val="20"/>
        </w:rPr>
        <w:t>rages. BHRG’s underwriting activities also include life reinsurance and annuity businesses. BHRG’s underwriting results are summarized in the table below. Amounts are in millions.</w:t>
      </w:r>
    </w:p>
    <w:p w:rsidR="00000000" w:rsidRDefault="00A06965">
      <w:pPr>
        <w:pStyle w:val="DefaultParagraphFont"/>
        <w:widowControl w:val="0"/>
        <w:autoSpaceDE w:val="0"/>
        <w:autoSpaceDN w:val="0"/>
        <w:adjustRightInd w:val="0"/>
        <w:spacing w:after="0" w:line="149"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660"/>
        <w:gridCol w:w="100"/>
        <w:gridCol w:w="540"/>
        <w:gridCol w:w="200"/>
        <w:gridCol w:w="560"/>
        <w:gridCol w:w="200"/>
        <w:gridCol w:w="540"/>
        <w:gridCol w:w="200"/>
        <w:gridCol w:w="40"/>
        <w:gridCol w:w="100"/>
        <w:gridCol w:w="460"/>
        <w:gridCol w:w="40"/>
        <w:gridCol w:w="200"/>
        <w:gridCol w:w="40"/>
        <w:gridCol w:w="560"/>
        <w:gridCol w:w="40"/>
        <w:gridCol w:w="200"/>
        <w:gridCol w:w="80"/>
        <w:gridCol w:w="480"/>
        <w:gridCol w:w="80"/>
      </w:tblGrid>
      <w:tr w:rsidR="00000000">
        <w:tblPrEx>
          <w:tblCellMar>
            <w:top w:w="0" w:type="dxa"/>
            <w:left w:w="0" w:type="dxa"/>
            <w:bottom w:w="0" w:type="dxa"/>
            <w:right w:w="0" w:type="dxa"/>
          </w:tblCellMar>
        </w:tblPrEx>
        <w:trPr>
          <w:trHeight w:val="184"/>
        </w:trPr>
        <w:tc>
          <w:tcPr>
            <w:tcW w:w="5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60"/>
              <w:jc w:val="right"/>
              <w:rPr>
                <w:rFonts w:ascii="Times New Roman" w:hAnsi="Times New Roman" w:cs="Times New Roman"/>
                <w:sz w:val="24"/>
                <w:szCs w:val="24"/>
              </w:rPr>
            </w:pPr>
            <w:r>
              <w:rPr>
                <w:rFonts w:ascii="Times" w:hAnsi="Times" w:cs="Times"/>
                <w:b/>
                <w:bCs/>
                <w:sz w:val="16"/>
                <w:szCs w:val="16"/>
              </w:rPr>
              <w:t>Premiums earned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280" w:type="dxa"/>
            <w:gridSpan w:val="11"/>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Pre-tax underwriting gain/loss</w:t>
            </w:r>
          </w:p>
        </w:tc>
      </w:tr>
      <w:tr w:rsidR="00000000">
        <w:tblPrEx>
          <w:tblCellMar>
            <w:top w:w="0" w:type="dxa"/>
            <w:left w:w="0" w:type="dxa"/>
            <w:bottom w:w="0" w:type="dxa"/>
            <w:right w:w="0" w:type="dxa"/>
          </w:tblCellMar>
        </w:tblPrEx>
        <w:trPr>
          <w:trHeight w:val="26"/>
        </w:trPr>
        <w:tc>
          <w:tcPr>
            <w:tcW w:w="5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5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7"/>
              <w:jc w:val="right"/>
              <w:rPr>
                <w:rFonts w:ascii="Times New Roman" w:hAnsi="Times New Roman" w:cs="Times New Roman"/>
                <w:sz w:val="24"/>
                <w:szCs w:val="24"/>
              </w:rPr>
            </w:pPr>
            <w:r>
              <w:rPr>
                <w:rFonts w:ascii="Times" w:hAnsi="Times" w:cs="Times"/>
                <w:b/>
                <w:bCs/>
                <w:sz w:val="16"/>
                <w:szCs w:val="16"/>
              </w:rPr>
              <w:t>2014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4"/>
              <w:jc w:val="right"/>
              <w:rPr>
                <w:rFonts w:ascii="Times New Roman" w:hAnsi="Times New Roman" w:cs="Times New Roman"/>
                <w:sz w:val="24"/>
                <w:szCs w:val="24"/>
              </w:rPr>
            </w:pPr>
            <w:r>
              <w:rPr>
                <w:rFonts w:ascii="Times" w:hAnsi="Times" w:cs="Times"/>
                <w:b/>
                <w:bCs/>
                <w:w w:val="99"/>
                <w:sz w:val="16"/>
                <w:szCs w:val="16"/>
              </w:rPr>
              <w:t>2014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2013</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w:hAnsi="Times" w:cs="Times"/>
                <w:b/>
                <w:bCs/>
                <w:sz w:val="16"/>
                <w:szCs w:val="16"/>
              </w:rPr>
              <w:t>2012</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5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0"/>
        </w:trPr>
        <w:tc>
          <w:tcPr>
            <w:tcW w:w="5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Property/casualty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4,064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$5,149</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$6,122</w:t>
            </w:r>
          </w:p>
        </w:tc>
        <w:tc>
          <w:tcPr>
            <w:tcW w:w="3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1,684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$1,236</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$ 695</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28"/>
        </w:trPr>
        <w:tc>
          <w:tcPr>
            <w:tcW w:w="5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rPr>
                <w:rFonts w:ascii="Times New Roman" w:hAnsi="Times New Roman" w:cs="Times New Roman"/>
                <w:sz w:val="24"/>
                <w:szCs w:val="24"/>
              </w:rPr>
            </w:pPr>
            <w:r>
              <w:rPr>
                <w:rFonts w:ascii="Times" w:hAnsi="Times" w:cs="Times"/>
                <w:sz w:val="20"/>
                <w:szCs w:val="20"/>
              </w:rPr>
              <w:t>Retroactive reinsurance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w:hAnsi="Times" w:cs="Times"/>
                <w:sz w:val="20"/>
                <w:szCs w:val="20"/>
              </w:rPr>
              <w:t>3,371</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w:hAnsi="Times" w:cs="Times"/>
                <w:sz w:val="20"/>
                <w:szCs w:val="20"/>
              </w:rPr>
              <w:t>328</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w:hAnsi="Times" w:cs="Times"/>
                <w:sz w:val="20"/>
                <w:szCs w:val="20"/>
              </w:rPr>
              <w:t>717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ind w:right="180"/>
              <w:jc w:val="right"/>
              <w:rPr>
                <w:rFonts w:ascii="Times New Roman" w:hAnsi="Times New Roman" w:cs="Times New Roman"/>
                <w:sz w:val="24"/>
                <w:szCs w:val="24"/>
              </w:rPr>
            </w:pPr>
            <w:r>
              <w:rPr>
                <w:rFonts w:ascii="Times" w:hAnsi="Times" w:cs="Times"/>
                <w:sz w:val="20"/>
                <w:szCs w:val="20"/>
              </w:rPr>
              <w:t>(905)</w:t>
            </w:r>
          </w:p>
        </w:tc>
        <w:tc>
          <w:tcPr>
            <w:tcW w:w="8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ind w:right="180"/>
              <w:jc w:val="right"/>
              <w:rPr>
                <w:rFonts w:ascii="Times New Roman" w:hAnsi="Times New Roman" w:cs="Times New Roman"/>
                <w:sz w:val="24"/>
                <w:szCs w:val="24"/>
              </w:rPr>
            </w:pPr>
            <w:r>
              <w:rPr>
                <w:rFonts w:ascii="Times" w:hAnsi="Times" w:cs="Times"/>
                <w:sz w:val="20"/>
                <w:szCs w:val="20"/>
              </w:rPr>
              <w:t>(321)</w:t>
            </w: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ind w:right="20"/>
              <w:jc w:val="right"/>
              <w:rPr>
                <w:rFonts w:ascii="Times New Roman" w:hAnsi="Times New Roman" w:cs="Times New Roman"/>
                <w:sz w:val="24"/>
                <w:szCs w:val="24"/>
              </w:rPr>
            </w:pPr>
            <w:r>
              <w:rPr>
                <w:rFonts w:ascii="Times" w:hAnsi="Times" w:cs="Times"/>
                <w:sz w:val="20"/>
                <w:szCs w:val="20"/>
              </w:rPr>
              <w:t>(201)</w:t>
            </w:r>
          </w:p>
        </w:tc>
      </w:tr>
      <w:tr w:rsidR="00000000">
        <w:tblPrEx>
          <w:tblCellMar>
            <w:top w:w="0" w:type="dxa"/>
            <w:left w:w="0" w:type="dxa"/>
            <w:bottom w:w="0" w:type="dxa"/>
            <w:right w:w="0" w:type="dxa"/>
          </w:tblCellMar>
        </w:tblPrEx>
        <w:trPr>
          <w:trHeight w:val="228"/>
        </w:trPr>
        <w:tc>
          <w:tcPr>
            <w:tcW w:w="5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rPr>
                <w:rFonts w:ascii="Times New Roman" w:hAnsi="Times New Roman" w:cs="Times New Roman"/>
                <w:sz w:val="24"/>
                <w:szCs w:val="24"/>
              </w:rPr>
            </w:pPr>
            <w:r>
              <w:rPr>
                <w:rFonts w:ascii="Times" w:hAnsi="Times" w:cs="Times"/>
                <w:sz w:val="20"/>
                <w:szCs w:val="20"/>
              </w:rPr>
              <w:t>Life and annuity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w:hAnsi="Times" w:cs="Times"/>
                <w:sz w:val="20"/>
                <w:szCs w:val="20"/>
              </w:rPr>
              <w:t>2,681</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w:hAnsi="Times" w:cs="Times"/>
                <w:sz w:val="20"/>
                <w:szCs w:val="20"/>
              </w:rPr>
              <w:t>3,309</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w:hAnsi="Times" w:cs="Times"/>
                <w:sz w:val="20"/>
                <w:szCs w:val="20"/>
              </w:rPr>
              <w:t>2,833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ind w:right="180"/>
              <w:jc w:val="right"/>
              <w:rPr>
                <w:rFonts w:ascii="Times New Roman" w:hAnsi="Times New Roman" w:cs="Times New Roman"/>
                <w:sz w:val="24"/>
                <w:szCs w:val="24"/>
              </w:rPr>
            </w:pPr>
            <w:r>
              <w:rPr>
                <w:rFonts w:ascii="Times" w:hAnsi="Times" w:cs="Times"/>
                <w:sz w:val="20"/>
                <w:szCs w:val="20"/>
              </w:rPr>
              <w:t>(173)</w:t>
            </w: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jc w:val="right"/>
              <w:rPr>
                <w:rFonts w:ascii="Times New Roman" w:hAnsi="Times New Roman" w:cs="Times New Roman"/>
                <w:sz w:val="24"/>
                <w:szCs w:val="24"/>
              </w:rPr>
            </w:pPr>
            <w:r>
              <w:rPr>
                <w:rFonts w:ascii="Times" w:hAnsi="Times" w:cs="Times"/>
                <w:sz w:val="20"/>
                <w:szCs w:val="20"/>
              </w:rPr>
              <w:t>379</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7" w:lineRule="exact"/>
              <w:ind w:right="20"/>
              <w:jc w:val="right"/>
              <w:rPr>
                <w:rFonts w:ascii="Times New Roman" w:hAnsi="Times New Roman" w:cs="Times New Roman"/>
                <w:sz w:val="24"/>
                <w:szCs w:val="24"/>
              </w:rPr>
            </w:pPr>
            <w:r>
              <w:rPr>
                <w:rFonts w:ascii="Times" w:hAnsi="Times" w:cs="Times"/>
                <w:sz w:val="20"/>
                <w:szCs w:val="20"/>
              </w:rPr>
              <w:t>(190)</w:t>
            </w:r>
          </w:p>
        </w:tc>
      </w:tr>
      <w:tr w:rsidR="00000000">
        <w:tblPrEx>
          <w:tblCellMar>
            <w:top w:w="0" w:type="dxa"/>
            <w:left w:w="0" w:type="dxa"/>
            <w:bottom w:w="0" w:type="dxa"/>
            <w:right w:w="0" w:type="dxa"/>
          </w:tblCellMar>
        </w:tblPrEx>
        <w:trPr>
          <w:trHeight w:val="28"/>
        </w:trPr>
        <w:tc>
          <w:tcPr>
            <w:tcW w:w="5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0"/>
        </w:trPr>
        <w:tc>
          <w:tcPr>
            <w:tcW w:w="5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10,116</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$8,786</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$9,672</w:t>
            </w:r>
          </w:p>
        </w:tc>
        <w:tc>
          <w:tcPr>
            <w:tcW w:w="3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606</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$1,294</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$ 304</w:t>
            </w: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r>
      <w:tr w:rsidR="00000000">
        <w:tblPrEx>
          <w:tblCellMar>
            <w:top w:w="0" w:type="dxa"/>
            <w:left w:w="0" w:type="dxa"/>
            <w:bottom w:w="0" w:type="dxa"/>
            <w:right w:w="0" w:type="dxa"/>
          </w:tblCellMar>
        </w:tblPrEx>
        <w:trPr>
          <w:trHeight w:val="28"/>
        </w:trPr>
        <w:tc>
          <w:tcPr>
            <w:tcW w:w="5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3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Property/casualty</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Premiums earned in 2014 were $4,064 million, a decline of $1,085 million (21%) compared to 2013. Premiums ea</w:t>
      </w:r>
      <w:r>
        <w:rPr>
          <w:rFonts w:ascii="Times" w:hAnsi="Times" w:cs="Times"/>
          <w:sz w:val="20"/>
          <w:szCs w:val="20"/>
        </w:rPr>
        <w:t>rned in 2014 with respect to a 20% quota-share contract with Swiss Reinsurance Company Ltd. (“Swiss Re”) declined $1.3 billion from premiums earned in 2013. This contract expired at the end of 2012 and is in run-off. Property catastrophe premiums earned in</w:t>
      </w:r>
      <w:r>
        <w:rPr>
          <w:rFonts w:ascii="Times" w:hAnsi="Times" w:cs="Times"/>
          <w:sz w:val="20"/>
          <w:szCs w:val="20"/>
        </w:rPr>
        <w:t xml:space="preserve"> 2014 were $688 million, a decline of $113 million (14%) as compared to 2013. Our volume with respect to these coverages continues to be constrained, as rates, in our view, are inadequate. However, we have the capacity and desire to write substantially mor</w:t>
      </w:r>
      <w:r>
        <w:rPr>
          <w:rFonts w:ascii="Times" w:hAnsi="Times" w:cs="Times"/>
          <w:sz w:val="20"/>
          <w:szCs w:val="20"/>
        </w:rPr>
        <w:t>e business when appropriate pricing can be obtained. These declines were partially offset by increased premiums earned from property quota-share contracts.</w:t>
      </w:r>
    </w:p>
    <w:p w:rsidR="00000000" w:rsidRDefault="00A06965">
      <w:pPr>
        <w:pStyle w:val="DefaultParagraphFont"/>
        <w:widowControl w:val="0"/>
        <w:autoSpaceDE w:val="0"/>
        <w:autoSpaceDN w:val="0"/>
        <w:adjustRightInd w:val="0"/>
        <w:spacing w:after="0" w:line="20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The property/casualty business generated pre-tax underwriting gains of $1.7 billion in 2014 compare</w:t>
      </w:r>
      <w:r>
        <w:rPr>
          <w:rFonts w:ascii="Times" w:hAnsi="Times" w:cs="Times"/>
          <w:sz w:val="20"/>
          <w:szCs w:val="20"/>
        </w:rPr>
        <w:t>d to $1.2 billion in 2013. There were no losses from significant catastrophe events during 2014. Our property business, including property catastrophe business, generated pre-tax underwriting gains of approximately $700 million in 2014 compared to underwri</w:t>
      </w:r>
      <w:r>
        <w:rPr>
          <w:rFonts w:ascii="Times" w:hAnsi="Times" w:cs="Times"/>
          <w:sz w:val="20"/>
          <w:szCs w:val="20"/>
        </w:rPr>
        <w:t>ting gains of about $800 million in 2013. The Swiss Re quota-share contract produced pre-tax underwriting gains of $283 million in 2014 and $351 million in 2013, primarily attributable to reductions in estimates of ultimate liabilities for prior years’ los</w:t>
      </w:r>
      <w:r>
        <w:rPr>
          <w:rFonts w:ascii="Times" w:hAnsi="Times" w:cs="Times"/>
          <w:sz w:val="20"/>
          <w:szCs w:val="20"/>
        </w:rPr>
        <w:t>ses. BHRG’s underwriting results can be significantly impacted by foreign currency transaction gains or losses associated with certain reinsurance liabilities of U.S.-based subsidiaries (primarily arising under retroactive reinsurance contracts), which are</w:t>
      </w:r>
      <w:r>
        <w:rPr>
          <w:rFonts w:ascii="Times" w:hAnsi="Times" w:cs="Times"/>
          <w:sz w:val="20"/>
          <w:szCs w:val="20"/>
        </w:rPr>
        <w:t xml:space="preserve"> denominated in foreign currencies. Underwriting results included foreign currency exchange rate gains of $315 million in 2014 compared to losses of $28 million in 2013.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90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Insurance—Underwriting (Continued)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Berkshire Hathaway Reinsurance Group (Continued)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Property/casualty (Continued)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Premiums earned from property/casualty business in 2013 declined $973 million (16%) compared to 2012. Premiums earned in 2013 from the Swiss Re quota-share contract were approximately $1.5 billion in 2013 compared to $3.4 billion in 2012. Property catastro</w:t>
      </w:r>
      <w:r>
        <w:rPr>
          <w:rFonts w:ascii="Times" w:hAnsi="Times" w:cs="Times"/>
          <w:sz w:val="20"/>
          <w:szCs w:val="20"/>
        </w:rPr>
        <w:t>phe premiums earned in 2013 aggregated $801 million, a decline of 2% versus 2012. Premiums earned in 2013 from other property/casualty business, increased $981 million (52%) over 2012, which was primarily attributable to increased property quota-share busi</w:t>
      </w:r>
      <w:r>
        <w:rPr>
          <w:rFonts w:ascii="Times" w:hAnsi="Times" w:cs="Times"/>
          <w:sz w:val="20"/>
          <w:szCs w:val="20"/>
        </w:rPr>
        <w:t>ness.</w:t>
      </w:r>
    </w:p>
    <w:p w:rsidR="00000000" w:rsidRDefault="00A0696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BHRG’s property/casualty business generated a pre-tax underwriting gain of $695 million in 2012. Underwriting results in 2012 included losses incurred of $364 million attributable to Hurricane Sandy. Underwriting results in 2012 also included foreig</w:t>
      </w:r>
      <w:r>
        <w:rPr>
          <w:rFonts w:ascii="Times" w:hAnsi="Times" w:cs="Times"/>
          <w:sz w:val="20"/>
          <w:szCs w:val="20"/>
        </w:rPr>
        <w:t>n currency transaction losses of $123 million.</w:t>
      </w:r>
    </w:p>
    <w:p w:rsidR="00000000" w:rsidRDefault="00A06965">
      <w:pPr>
        <w:pStyle w:val="DefaultParagraphFont"/>
        <w:widowControl w:val="0"/>
        <w:autoSpaceDE w:val="0"/>
        <w:autoSpaceDN w:val="0"/>
        <w:adjustRightInd w:val="0"/>
        <w:spacing w:after="0" w:line="31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Retroactive reinsurance</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Retroactive reinsurance policies provide indemnification of losses and loss adjustment expenses with respect to past loss events, and relat</w:t>
      </w:r>
      <w:r>
        <w:rPr>
          <w:rFonts w:ascii="Times" w:hAnsi="Times" w:cs="Times"/>
          <w:sz w:val="20"/>
          <w:szCs w:val="20"/>
        </w:rPr>
        <w:t>ed claims are generally expected to be paid over long periods of time. Premiums and limits of indemnification are often very large in amount. At the inception of a contract, deferred charge assets are recorded for the excess, if any, of the estimated ultim</w:t>
      </w:r>
      <w:r>
        <w:rPr>
          <w:rFonts w:ascii="Times" w:hAnsi="Times" w:cs="Times"/>
          <w:sz w:val="20"/>
          <w:szCs w:val="20"/>
        </w:rPr>
        <w:t>ate losses payable over the premiums earned. Deferred charges are subsequently amortized over the estimated claims payment period using the interest method, which reflects estimates of the timing and amount of loss payments. The original estimates of the t</w:t>
      </w:r>
      <w:r>
        <w:rPr>
          <w:rFonts w:ascii="Times" w:hAnsi="Times" w:cs="Times"/>
          <w:sz w:val="20"/>
          <w:szCs w:val="20"/>
        </w:rPr>
        <w:t>iming and amount of loss payments are periodically analyzed against actual experience and revised based on an actuarial evaluation of the expected remaining losses. Amortization charges and deferred charge adjustments resulting from changes to the estimate</w:t>
      </w:r>
      <w:r>
        <w:rPr>
          <w:rFonts w:ascii="Times" w:hAnsi="Times" w:cs="Times"/>
          <w:sz w:val="20"/>
          <w:szCs w:val="20"/>
        </w:rPr>
        <w:t>d timing and amount of future loss payments are included in periodic earnings.</w:t>
      </w:r>
    </w:p>
    <w:p w:rsidR="00000000" w:rsidRDefault="00A0696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63" w:lineRule="auto"/>
        <w:ind w:firstLine="400"/>
        <w:jc w:val="both"/>
        <w:rPr>
          <w:rFonts w:ascii="Times New Roman" w:hAnsi="Times New Roman" w:cs="Times New Roman"/>
          <w:sz w:val="24"/>
          <w:szCs w:val="24"/>
        </w:rPr>
      </w:pPr>
      <w:r>
        <w:rPr>
          <w:rFonts w:ascii="Times" w:hAnsi="Times" w:cs="Times"/>
          <w:sz w:val="19"/>
          <w:szCs w:val="19"/>
        </w:rPr>
        <w:t>On July 17, 2014, National Indemnity Company (“NICO”), the lead insurance entity of BHRG, entered into a retroactive reinsurance agreement with Liberty Mutual Insurance Company</w:t>
      </w:r>
      <w:r>
        <w:rPr>
          <w:rFonts w:ascii="Times" w:hAnsi="Times" w:cs="Times"/>
          <w:sz w:val="19"/>
          <w:szCs w:val="19"/>
        </w:rPr>
        <w:t xml:space="preserve"> (“LMIC”). The agreement provides that NICO reinsure substantially all of LMIC’s unpaid losses and allocated loss adjustment expense liabilities related to (a) asbestos and environmental claims from policies incepting prior to 2005 and (b) workers’ compens</w:t>
      </w:r>
      <w:r>
        <w:rPr>
          <w:rFonts w:ascii="Times" w:hAnsi="Times" w:cs="Times"/>
          <w:sz w:val="19"/>
          <w:szCs w:val="19"/>
        </w:rPr>
        <w:t xml:space="preserve">ation claims occurrences arising prior to January 1, 2014, in excess of an aggregate retention of approximately $12.5 billion and subject to an aggregate limit of $6.5 billion. The premiums earned in 2014 and the consideration paid to NICO with respect to </w:t>
      </w:r>
      <w:r>
        <w:rPr>
          <w:rFonts w:ascii="Times" w:hAnsi="Times" w:cs="Times"/>
          <w:sz w:val="19"/>
          <w:szCs w:val="19"/>
        </w:rPr>
        <w:t>this contract was approximately $3.0 billion.</w:t>
      </w:r>
    </w:p>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Underwriting losses from retroactive reinsurance policies were $905 million in 2014, $321 million in 2013 and $201 million in 2012. In each year, underwriting losses included deferred charge amortization. In a</w:t>
      </w:r>
      <w:r>
        <w:rPr>
          <w:rFonts w:ascii="Times" w:hAnsi="Times" w:cs="Times"/>
          <w:sz w:val="20"/>
          <w:szCs w:val="20"/>
        </w:rPr>
        <w:t>ddition, underwriting results were impacted in 2014 and 2013 by increases in the estimated ultimate liabilities related to these policies, partially offset by increases in related deferred charge balances. In 2014, we increased estimated ultimate liabiliti</w:t>
      </w:r>
      <w:r>
        <w:rPr>
          <w:rFonts w:ascii="Times" w:hAnsi="Times" w:cs="Times"/>
          <w:sz w:val="20"/>
          <w:szCs w:val="20"/>
        </w:rPr>
        <w:t>es for contracts written in prior years by approximately $825 million, substantially all of which was recorded in the fourth quarter. In the fourth quarter of 2014, we increased ultimate liability estimates on remaining asbestos claims and re-estimated the</w:t>
      </w:r>
      <w:r>
        <w:rPr>
          <w:rFonts w:ascii="Times" w:hAnsi="Times" w:cs="Times"/>
          <w:sz w:val="20"/>
          <w:szCs w:val="20"/>
        </w:rPr>
        <w:t xml:space="preserve"> timing of future payments of such liabilities as a result of actuarial analysis. The increase in ultimate liabilities, net of related deferred charge adjustments, produced incremental pre-tax underwriting losses in the fourth quarter of approximately $500</w:t>
      </w:r>
      <w:r>
        <w:rPr>
          <w:rFonts w:ascii="Times" w:hAnsi="Times" w:cs="Times"/>
          <w:sz w:val="20"/>
          <w:szCs w:val="20"/>
        </w:rPr>
        <w:t xml:space="preserve"> million.</w:t>
      </w:r>
    </w:p>
    <w:p w:rsidR="00000000" w:rsidRDefault="00A06965">
      <w:pPr>
        <w:pStyle w:val="DefaultParagraphFont"/>
        <w:widowControl w:val="0"/>
        <w:autoSpaceDE w:val="0"/>
        <w:autoSpaceDN w:val="0"/>
        <w:adjustRightInd w:val="0"/>
        <w:spacing w:after="0" w:line="22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Gross unpaid losses from retroactive reinsurance contracts were approximately $24.3 billion at December 31, 2014, $17.7 billion at December 31, 2013 and $18.0 billion at December 31, 2012. Unamortized deferred charges related to BHRG’s retroacti</w:t>
      </w:r>
      <w:r>
        <w:rPr>
          <w:rFonts w:ascii="Times" w:hAnsi="Times" w:cs="Times"/>
          <w:sz w:val="20"/>
          <w:szCs w:val="20"/>
        </w:rPr>
        <w:t>ve reinsurance contracts were approximately $7.7 billion at December 31, 2014, $4.25 billion at December 31, 2013 and $3.9 billion at December 31, 2012. The increases in unpaid losses and unamortized deferred charges during 2014 were primarily related to t</w:t>
      </w:r>
      <w:r>
        <w:rPr>
          <w:rFonts w:ascii="Times" w:hAnsi="Times" w:cs="Times"/>
          <w:sz w:val="20"/>
          <w:szCs w:val="20"/>
        </w:rPr>
        <w:t>he LMIC contract. As previously indicated, deferred charge balances will be charged to pre-tax earnings in the future.</w:t>
      </w:r>
    </w:p>
    <w:p w:rsidR="00000000" w:rsidRDefault="00A06965">
      <w:pPr>
        <w:pStyle w:val="DefaultParagraphFont"/>
        <w:widowControl w:val="0"/>
        <w:autoSpaceDE w:val="0"/>
        <w:autoSpaceDN w:val="0"/>
        <w:adjustRightInd w:val="0"/>
        <w:spacing w:after="0" w:line="31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Life and annuity</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Life and annuity premiums earned in 2014 declined $628 million (19%) compared to premiums earned in 2013. The decline was primarily attributable to a 22% decline in premiums earned from annuity contracts and also from two unusually large transactions in 20</w:t>
      </w:r>
      <w:r>
        <w:rPr>
          <w:rFonts w:ascii="Times" w:hAnsi="Times" w:cs="Times"/>
          <w:sz w:val="20"/>
          <w:szCs w:val="20"/>
        </w:rPr>
        <w:t>13 which produced net premiums of approximately $400 million. The two transactions were as follows:</w:t>
      </w:r>
    </w:p>
    <w:p w:rsidR="00000000" w:rsidRDefault="00A06965">
      <w:pPr>
        <w:pStyle w:val="DefaultParagraphFont"/>
        <w:widowControl w:val="0"/>
        <w:autoSpaceDE w:val="0"/>
        <w:autoSpaceDN w:val="0"/>
        <w:adjustRightInd w:val="0"/>
        <w:spacing w:after="0" w:line="1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jc w:val="both"/>
        <w:rPr>
          <w:rFonts w:ascii="Times New Roman" w:hAnsi="Times New Roman" w:cs="Times New Roman"/>
          <w:sz w:val="24"/>
          <w:szCs w:val="24"/>
        </w:rPr>
      </w:pPr>
      <w:r>
        <w:rPr>
          <w:rFonts w:ascii="Times" w:hAnsi="Times" w:cs="Times"/>
          <w:sz w:val="20"/>
          <w:szCs w:val="20"/>
        </w:rPr>
        <w:t>(1) a new variable annuity guarantee contract, which produced premiums earned of $1.7 billion, and (2) an amendment of an existing yearly renewable term li</w:t>
      </w:r>
      <w:r>
        <w:rPr>
          <w:rFonts w:ascii="Times" w:hAnsi="Times" w:cs="Times"/>
          <w:sz w:val="20"/>
          <w:szCs w:val="20"/>
        </w:rPr>
        <w:t>fe reinsurance contract with Swiss Re Life &amp; Health America Inc. (“SRLHA”), which resulted in return premiums of about $1.3 billion. The SRLHA contract amendment essentially commuted coverage with respect to a number of the underlying contracts in exchange</w:t>
      </w:r>
      <w:r>
        <w:rPr>
          <w:rFonts w:ascii="Times" w:hAnsi="Times" w:cs="Times"/>
          <w:sz w:val="20"/>
          <w:szCs w:val="20"/>
        </w:rPr>
        <w:t xml:space="preserve"> for payments to SRLHA of approximately $675 million.</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91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Insurance—Underwriting (Continued)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Berkshire Hathaway Reinsurance Group (Continued)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Life and annuity (Continued)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Life and annuity premiums earned in 2013 increased $476 million (17%) over premiums earned in 2012. The increase in 2013 was primarily attributable to the aforementioned new variable annuity guarantee reinsurance contract and the reversal of premiums under</w:t>
      </w:r>
      <w:r>
        <w:rPr>
          <w:rFonts w:ascii="Times" w:hAnsi="Times" w:cs="Times"/>
          <w:sz w:val="20"/>
          <w:szCs w:val="20"/>
        </w:rPr>
        <w:t xml:space="preserve"> the SRLHA contract as a result of the contract amendment. Premiums earned in 2013 and 2012 also included $1.4 billion and $794 million, respectively, from traditional annuity insurance and reinsurance contracts.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The life and annuity business produced a p</w:t>
      </w:r>
      <w:r>
        <w:rPr>
          <w:rFonts w:ascii="Times" w:hAnsi="Times" w:cs="Times"/>
          <w:sz w:val="20"/>
          <w:szCs w:val="20"/>
        </w:rPr>
        <w:t>re-tax loss of $173 million in 2014, a pre-tax gain of $379 million in 2013 and a pre-tax loss in 2012 of $190 million. Before foreign currency exchange rate gains and losses, this business generated a pre-tax loss of $275 million in 2014, a pre-tax gain o</w:t>
      </w:r>
      <w:r>
        <w:rPr>
          <w:rFonts w:ascii="Times" w:hAnsi="Times" w:cs="Times"/>
          <w:sz w:val="20"/>
          <w:szCs w:val="20"/>
        </w:rPr>
        <w:t>f $442 million in 2013 and a pre-tax loss of $174 million in 2012.</w:t>
      </w:r>
    </w:p>
    <w:p w:rsidR="00000000" w:rsidRDefault="00A06965">
      <w:pPr>
        <w:pStyle w:val="DefaultParagraphFont"/>
        <w:widowControl w:val="0"/>
        <w:autoSpaceDE w:val="0"/>
        <w:autoSpaceDN w:val="0"/>
        <w:adjustRightInd w:val="0"/>
        <w:spacing w:after="0" w:line="14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Structured settlement and traditional annuity contracts generated underwriting losses of $299 million in 2014, $151 million in 2013, and $143 million in 2012 before foreign currency effect</w:t>
      </w:r>
      <w:r>
        <w:rPr>
          <w:rFonts w:ascii="Times" w:hAnsi="Times" w:cs="Times"/>
          <w:sz w:val="20"/>
          <w:szCs w:val="20"/>
        </w:rPr>
        <w:t>s. Generally, all of the premiums under these contracts are received at inception and payments are made over time, often extending for decades. These underwriting losses were primarily attributable to the recurring impact of the accretion of discounted ann</w:t>
      </w:r>
      <w:r>
        <w:rPr>
          <w:rFonts w:ascii="Times" w:hAnsi="Times" w:cs="Times"/>
          <w:sz w:val="20"/>
          <w:szCs w:val="20"/>
        </w:rPr>
        <w:t>uity liabilities. Aggregate annuity liabilities were approximately $7.1 billion at December 31, 2014, $5.7 billion at December 31, 2013 and $3.8 billion at December 31, 2012.</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The life and annuity business also included pre-tax gains of $47 million in 2014</w:t>
      </w:r>
      <w:r>
        <w:rPr>
          <w:rFonts w:ascii="Times" w:hAnsi="Times" w:cs="Times"/>
          <w:sz w:val="20"/>
          <w:szCs w:val="20"/>
        </w:rPr>
        <w:t xml:space="preserve"> and $256 million in 2013 from variable annuity guarantee contracts. The gains were primarily attributable to the impact of rising equity markets which lowered estimates of liabilities for guaranteed minimum benefits. Periodic results from these contracts </w:t>
      </w:r>
      <w:r>
        <w:rPr>
          <w:rFonts w:ascii="Times" w:hAnsi="Times" w:cs="Times"/>
          <w:sz w:val="20"/>
          <w:szCs w:val="20"/>
        </w:rPr>
        <w:t>can be volatile reflecting changes in returns in investment markets, which impact the underlying insured exposures. In 2013, life and annuity underwriting results included a one-time pre-tax gain of $255 million related to the aforementioned amendment to t</w:t>
      </w:r>
      <w:r>
        <w:rPr>
          <w:rFonts w:ascii="Times" w:hAnsi="Times" w:cs="Times"/>
          <w:sz w:val="20"/>
          <w:szCs w:val="20"/>
        </w:rPr>
        <w:t>he SRLHA reinsurance contract. This one-time gain occurred as the reversal of premiums earned was more than offset by the reversal of life benefits incurred.</w:t>
      </w:r>
    </w:p>
    <w:p w:rsidR="00000000" w:rsidRDefault="00A06965">
      <w:pPr>
        <w:pStyle w:val="DefaultParagraphFont"/>
        <w:widowControl w:val="0"/>
        <w:autoSpaceDE w:val="0"/>
        <w:autoSpaceDN w:val="0"/>
        <w:adjustRightInd w:val="0"/>
        <w:spacing w:after="0" w:line="19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Berkshire Hathaway Primary Group</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The Berkshire Hathaway Primary Group (“BH Primary”</w:t>
      </w:r>
      <w:r>
        <w:rPr>
          <w:rFonts w:ascii="Times" w:hAnsi="Times" w:cs="Times"/>
          <w:sz w:val="20"/>
          <w:szCs w:val="20"/>
        </w:rPr>
        <w:t xml:space="preserve">) consists of a wide variety of independently managed insurance businesses. These businesses include: Medical Protective Company and Princeton Insurance Company, providers of healthcare malpractice insurance coverages; National Indemnity Company’s primary </w:t>
      </w:r>
      <w:r>
        <w:rPr>
          <w:rFonts w:ascii="Times" w:hAnsi="Times" w:cs="Times"/>
          <w:sz w:val="20"/>
          <w:szCs w:val="20"/>
        </w:rPr>
        <w:t>group (“NICO Primary”), writers of commercial motor vehicle and general liability coverages; U.S. Investment Corporation, whose subsidiaries underwrite specialty insurance coverages; a group of companies referred to as Berkshire Hathaway Homestate Companie</w:t>
      </w:r>
      <w:r>
        <w:rPr>
          <w:rFonts w:ascii="Times" w:hAnsi="Times" w:cs="Times"/>
          <w:sz w:val="20"/>
          <w:szCs w:val="20"/>
        </w:rPr>
        <w:t>s (“BHHC”), providers of commercial multi-line insurance, including workers’ compensation; Central States Indemnity Company, a provider of credit and Medicare Supplement insurance; Applied Underwriters, a provider of integrated workers’ compensation soluti</w:t>
      </w:r>
      <w:r>
        <w:rPr>
          <w:rFonts w:ascii="Times" w:hAnsi="Times" w:cs="Times"/>
          <w:sz w:val="20"/>
          <w:szCs w:val="20"/>
        </w:rPr>
        <w:t>ons; BoatU.S., a writer of insurance for owners of boats and small watercraft; and Berkshire Hathaway Guard Insurance Companies (“Guard”), providers of workers’ compensation and commercial property and casualty insurance coverage to small and mid-sized bus</w:t>
      </w:r>
      <w:r>
        <w:rPr>
          <w:rFonts w:ascii="Times" w:hAnsi="Times" w:cs="Times"/>
          <w:sz w:val="20"/>
          <w:szCs w:val="20"/>
        </w:rPr>
        <w:t>inesses. In the second quarter of 2013, we formed Berkshire Hathaway Specialty Insurance (“BH Specialty”), which concentrates on providing large scale insurance solutions for commercial property and casualty risks.</w:t>
      </w:r>
    </w:p>
    <w:p w:rsidR="00000000" w:rsidRDefault="00A06965">
      <w:pPr>
        <w:pStyle w:val="DefaultParagraphFont"/>
        <w:widowControl w:val="0"/>
        <w:autoSpaceDE w:val="0"/>
        <w:autoSpaceDN w:val="0"/>
        <w:adjustRightInd w:val="0"/>
        <w:spacing w:after="0" w:line="13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Premiums earned in 2014 and 2013 aggrega</w:t>
      </w:r>
      <w:r>
        <w:rPr>
          <w:rFonts w:ascii="Times" w:hAnsi="Times" w:cs="Times"/>
          <w:sz w:val="20"/>
          <w:szCs w:val="20"/>
        </w:rPr>
        <w:t>ted $4.4 billion and $3.3 billion, respectively. The increase in premiums was primarily attributable to volume increases from BH Specialty, NICO Primary, BHHC and Guard. Premiums earned in 2013 by BH Primary increased $1,079 million (48%) over 2012. The co</w:t>
      </w:r>
      <w:r>
        <w:rPr>
          <w:rFonts w:ascii="Times" w:hAnsi="Times" w:cs="Times"/>
          <w:sz w:val="20"/>
          <w:szCs w:val="20"/>
        </w:rPr>
        <w:t>mparative increase in 2013 reflected the impact of the Guard acquisition in 2012. In addition, BHHC’s premiums earned increased $301 million in 2013 as compared to 2012, due primarily to significantly higher workers’ compensation insurance volume. The BH P</w:t>
      </w:r>
      <w:r>
        <w:rPr>
          <w:rFonts w:ascii="Times" w:hAnsi="Times" w:cs="Times"/>
          <w:sz w:val="20"/>
          <w:szCs w:val="20"/>
        </w:rPr>
        <w:t>rimary insurers produced aggregate pre-tax underwriting gains of $626 million in 2014, $385 million in 2013 and $286 million in 2012. Combined loss ratios were 60% in 2014 and in 2013 and 58% in 2012. Overall, the claim environment over the past three year</w:t>
      </w:r>
      <w:r>
        <w:rPr>
          <w:rFonts w:ascii="Times" w:hAnsi="Times" w:cs="Times"/>
          <w:sz w:val="20"/>
          <w:szCs w:val="20"/>
        </w:rPr>
        <w:t>s has been favorable. However, these primary insurers write sizable amounts of liability and workers’ compensation business, which can have extended claim tails. It should not be assumed that the current claim experience or underwriting results will contin</w:t>
      </w:r>
      <w:r>
        <w:rPr>
          <w:rFonts w:ascii="Times" w:hAnsi="Times" w:cs="Times"/>
          <w:sz w:val="20"/>
          <w:szCs w:val="20"/>
        </w:rPr>
        <w:t>ue into the future.</w:t>
      </w:r>
    </w:p>
    <w:p w:rsidR="00000000" w:rsidRDefault="00A06965">
      <w:pPr>
        <w:pStyle w:val="DefaultParagraphFont"/>
        <w:widowControl w:val="0"/>
        <w:autoSpaceDE w:val="0"/>
        <w:autoSpaceDN w:val="0"/>
        <w:adjustRightInd w:val="0"/>
        <w:spacing w:after="0" w:line="18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Insurance—Investment Income</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sz w:val="20"/>
          <w:szCs w:val="20"/>
        </w:rPr>
        <w:t>A summary of net investment income generated by our insurance operations follows. Amounts are in millions.</w:t>
      </w:r>
    </w:p>
    <w:p w:rsidR="00000000" w:rsidRDefault="00A06965">
      <w:pPr>
        <w:pStyle w:val="DefaultParagraphFont"/>
        <w:widowControl w:val="0"/>
        <w:autoSpaceDE w:val="0"/>
        <w:autoSpaceDN w:val="0"/>
        <w:adjustRightInd w:val="0"/>
        <w:spacing w:after="0" w:line="9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280"/>
        <w:gridCol w:w="540"/>
        <w:gridCol w:w="200"/>
        <w:gridCol w:w="560"/>
        <w:gridCol w:w="200"/>
        <w:gridCol w:w="540"/>
      </w:tblGrid>
      <w:tr w:rsidR="00000000">
        <w:tblPrEx>
          <w:tblCellMar>
            <w:top w:w="0" w:type="dxa"/>
            <w:left w:w="0" w:type="dxa"/>
            <w:bottom w:w="0" w:type="dxa"/>
            <w:right w:w="0" w:type="dxa"/>
          </w:tblCellMar>
        </w:tblPrEx>
        <w:trPr>
          <w:trHeight w:val="184"/>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ind w:right="25"/>
              <w:jc w:val="right"/>
              <w:rPr>
                <w:rFonts w:ascii="Times New Roman" w:hAnsi="Times New Roman" w:cs="Times New Roman"/>
                <w:sz w:val="24"/>
                <w:szCs w:val="24"/>
              </w:rPr>
            </w:pPr>
            <w:r>
              <w:rPr>
                <w:rFonts w:ascii="Times" w:hAnsi="Times" w:cs="Times"/>
                <w:b/>
                <w:bCs/>
                <w:sz w:val="16"/>
                <w:szCs w:val="16"/>
              </w:rPr>
              <w:t>2014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ind w:right="120"/>
              <w:jc w:val="right"/>
              <w:rPr>
                <w:rFonts w:ascii="Times New Roman" w:hAnsi="Times New Roman" w:cs="Times New Roman"/>
                <w:sz w:val="24"/>
                <w:szCs w:val="24"/>
              </w:rPr>
            </w:pPr>
            <w:r>
              <w:rPr>
                <w:rFonts w:ascii="Times" w:hAnsi="Times" w:cs="Times"/>
                <w:b/>
                <w:bCs/>
                <w:sz w:val="16"/>
                <w:szCs w:val="16"/>
              </w:rPr>
              <w:t>2013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ind w:right="120"/>
              <w:jc w:val="right"/>
              <w:rPr>
                <w:rFonts w:ascii="Times New Roman" w:hAnsi="Times New Roman" w:cs="Times New Roman"/>
                <w:sz w:val="24"/>
                <w:szCs w:val="24"/>
              </w:rPr>
            </w:pPr>
            <w:r>
              <w:rPr>
                <w:rFonts w:ascii="Times" w:hAnsi="Times" w:cs="Times"/>
                <w:b/>
                <w:bCs/>
                <w:sz w:val="16"/>
                <w:szCs w:val="16"/>
              </w:rPr>
              <w:t>2012</w:t>
            </w:r>
          </w:p>
        </w:tc>
      </w:tr>
      <w:tr w:rsidR="00000000">
        <w:tblPrEx>
          <w:tblCellMar>
            <w:top w:w="0" w:type="dxa"/>
            <w:left w:w="0" w:type="dxa"/>
            <w:bottom w:w="0" w:type="dxa"/>
            <w:right w:w="0" w:type="dxa"/>
          </w:tblCellMar>
        </w:tblPrEx>
        <w:trPr>
          <w:trHeight w:val="26"/>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Investment income befor</w:t>
            </w:r>
            <w:r>
              <w:rPr>
                <w:rFonts w:ascii="Times" w:hAnsi="Times" w:cs="Times"/>
                <w:sz w:val="20"/>
                <w:szCs w:val="20"/>
              </w:rPr>
              <w:t>e taxes and noncontrolling interests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$4,357</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$4,713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$4,454</w:t>
            </w: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Income taxes and noncon</w:t>
            </w:r>
            <w:r>
              <w:rPr>
                <w:rFonts w:ascii="Times" w:hAnsi="Times" w:cs="Times"/>
                <w:sz w:val="20"/>
                <w:szCs w:val="20"/>
              </w:rPr>
              <w:t>trolling interests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815</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1,005</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1,057</w:t>
            </w: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investment income . .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$3,542</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$3,708</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$3,397</w:t>
            </w: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9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92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Insurance—Investment Income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Investment income consists of interest and dividends earned on investments held by our insurance businesses. Pre-tax investment income in 2014 was $4,357 million, representing a decline of $356 million (8%) versus 2013. The decline was attributable to lowe</w:t>
      </w:r>
      <w:r>
        <w:rPr>
          <w:rFonts w:ascii="Times" w:hAnsi="Times" w:cs="Times"/>
          <w:sz w:val="20"/>
          <w:szCs w:val="20"/>
        </w:rPr>
        <w:t>r interest income from fixed maturity securities, partially offset by increased dividend income from equity securities. The reduction in interest income reflected the maturities and dispositions during the last two years of several fixed maturity securitie</w:t>
      </w:r>
      <w:r>
        <w:rPr>
          <w:rFonts w:ascii="Times" w:hAnsi="Times" w:cs="Times"/>
          <w:sz w:val="20"/>
          <w:szCs w:val="20"/>
        </w:rPr>
        <w:t>s with higher interest rates, including $4.4 billion par amount of Wrigley 11.45% subordinated notes as a result of the repurchase of those notes by the issuer in 2013. Our insurance businesses continue to hold significant cash and cash equivalent balances</w:t>
      </w:r>
      <w:r>
        <w:rPr>
          <w:rFonts w:ascii="Times" w:hAnsi="Times" w:cs="Times"/>
          <w:sz w:val="20"/>
          <w:szCs w:val="20"/>
        </w:rPr>
        <w:t xml:space="preserve"> (approximately $42.8 billion as of December 31, 2014) earning very low yields. We believe that maintaining ample liquidity is paramount and we insist on safety over yield with respect to cash and cash equivalents. The increase in dividends earned reflecte</w:t>
      </w:r>
      <w:r>
        <w:rPr>
          <w:rFonts w:ascii="Times" w:hAnsi="Times" w:cs="Times"/>
          <w:sz w:val="20"/>
          <w:szCs w:val="20"/>
        </w:rPr>
        <w:t>d higher dividend rates for certain of our equity holdings. Beginning in 2015, investment income will include dividends from our investment in Restaurant Brands International, Inc. Preferred Stock ($3 billion stated value).</w:t>
      </w:r>
    </w:p>
    <w:p w:rsidR="00000000" w:rsidRDefault="00A06965">
      <w:pPr>
        <w:pStyle w:val="DefaultParagraphFont"/>
        <w:widowControl w:val="0"/>
        <w:autoSpaceDE w:val="0"/>
        <w:autoSpaceDN w:val="0"/>
        <w:adjustRightInd w:val="0"/>
        <w:spacing w:after="0" w:line="25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Pre-tax investment income in 20</w:t>
      </w:r>
      <w:r>
        <w:rPr>
          <w:rFonts w:ascii="Times" w:hAnsi="Times" w:cs="Times"/>
          <w:sz w:val="20"/>
          <w:szCs w:val="20"/>
        </w:rPr>
        <w:t>13 increased $259 million (5.8%) compared to 2012. The increase was primarily attributable to increased dividend income on equity investments, which reflected increased dividend rates for certain of our larger equity holdings as well as increased overall i</w:t>
      </w:r>
      <w:r>
        <w:rPr>
          <w:rFonts w:ascii="Times" w:hAnsi="Times" w:cs="Times"/>
          <w:sz w:val="20"/>
          <w:szCs w:val="20"/>
        </w:rPr>
        <w:t>nvestments in equity securities.</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Invested assets derive from shareholder capital and reinvested earnings as well as net liabilities under insurance contracts or “float.” The major components of float are unpaid losses, life, annuity and health benefit lia</w:t>
      </w:r>
      <w:r>
        <w:rPr>
          <w:rFonts w:ascii="Times" w:hAnsi="Times" w:cs="Times"/>
          <w:sz w:val="20"/>
          <w:szCs w:val="20"/>
        </w:rPr>
        <w:t xml:space="preserve">bilities, unearned premiums and other liabilities to policyholders less premium and reinsurance receivables, deferred charges assumed under retroactive reinsurance contracts and deferred policy acquisition costs. Float approximated $84 billion at December </w:t>
      </w:r>
      <w:r>
        <w:rPr>
          <w:rFonts w:ascii="Times" w:hAnsi="Times" w:cs="Times"/>
          <w:sz w:val="20"/>
          <w:szCs w:val="20"/>
        </w:rPr>
        <w:t>31, 2014, $77 billion at December 31, 2013, and $73 billion at December 31, 2012. The cost of float was negative over the last three years as our insurance business generated pre-tax underwriting gains in each year.</w:t>
      </w:r>
    </w:p>
    <w:p w:rsidR="00000000" w:rsidRDefault="00A0696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 xml:space="preserve">A summary of cash and investments held </w:t>
      </w:r>
      <w:r>
        <w:rPr>
          <w:rFonts w:ascii="Times" w:hAnsi="Times" w:cs="Times"/>
          <w:sz w:val="20"/>
          <w:szCs w:val="20"/>
        </w:rPr>
        <w:t>in our insurance businesses as of December 31, 2014 and 2013 follows. Other investments include investments in The Dow Chemical Company, Bank of America Corporation and Restaurant Brands International, Inc. See Note 5 to the accompanying Consolidated Finan</w:t>
      </w:r>
      <w:r>
        <w:rPr>
          <w:rFonts w:ascii="Times" w:hAnsi="Times" w:cs="Times"/>
          <w:sz w:val="20"/>
          <w:szCs w:val="20"/>
        </w:rPr>
        <w:t>cial Statements. Amounts are in millions.</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ind w:left="9000"/>
        <w:rPr>
          <w:rFonts w:ascii="Times New Roman" w:hAnsi="Times New Roman" w:cs="Times New Roman"/>
          <w:sz w:val="24"/>
          <w:szCs w:val="24"/>
        </w:rPr>
      </w:pPr>
      <w:r>
        <w:rPr>
          <w:rFonts w:ascii="Times" w:hAnsi="Times" w:cs="Times"/>
          <w:b/>
          <w:bCs/>
          <w:sz w:val="16"/>
          <w:szCs w:val="16"/>
        </w:rPr>
        <w:t>December 31,</w:t>
      </w:r>
    </w:p>
    <w:p w:rsidR="00000000" w:rsidRDefault="00A06965">
      <w:pPr>
        <w:pStyle w:val="DefaultParagraphFont"/>
        <w:widowControl w:val="0"/>
        <w:autoSpaceDE w:val="0"/>
        <w:autoSpaceDN w:val="0"/>
        <w:adjustRightInd w:val="0"/>
        <w:spacing w:after="0" w:line="56" w:lineRule="exact"/>
        <w:rPr>
          <w:rFonts w:ascii="Times New Roman" w:hAnsi="Times New Roman" w:cs="Times New Roman"/>
          <w:sz w:val="24"/>
          <w:szCs w:val="24"/>
        </w:rPr>
      </w:pPr>
      <w:r>
        <w:rPr>
          <w:noProof/>
        </w:rPr>
        <mc:AlternateContent>
          <mc:Choice Requires="wps">
            <w:drawing>
              <wp:anchor distT="0" distB="0" distL="114300" distR="114300" simplePos="0" relativeHeight="251707392" behindDoc="1" locked="0" layoutInCell="0" allowOverlap="1">
                <wp:simplePos x="0" y="0"/>
                <wp:positionH relativeFrom="column">
                  <wp:posOffset>5473700</wp:posOffset>
                </wp:positionH>
                <wp:positionV relativeFrom="paragraph">
                  <wp:posOffset>22225</wp:posOffset>
                </wp:positionV>
                <wp:extent cx="1079500" cy="0"/>
                <wp:effectExtent l="0" t="0" r="0" b="0"/>
                <wp:wrapNone/>
                <wp:docPr id="2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pt,1.75pt" to="5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" o:allowincell="f" strokeweight="1pt"/>
            </w:pict>
          </mc:Fallback>
        </mc:AlternateContent>
      </w:r>
    </w:p>
    <w:p w:rsidR="00000000" w:rsidRDefault="00A06965">
      <w:pPr>
        <w:pStyle w:val="DefaultParagraphFont"/>
        <w:widowControl w:val="0"/>
        <w:tabs>
          <w:tab w:val="left" w:pos="9760"/>
        </w:tabs>
        <w:autoSpaceDE w:val="0"/>
        <w:autoSpaceDN w:val="0"/>
        <w:adjustRightInd w:val="0"/>
        <w:spacing w:after="0" w:line="240" w:lineRule="auto"/>
        <w:ind w:left="8840"/>
        <w:rPr>
          <w:rFonts w:ascii="Times New Roman" w:hAnsi="Times New Roman" w:cs="Times New Roman"/>
          <w:sz w:val="24"/>
          <w:szCs w:val="24"/>
        </w:rPr>
      </w:pPr>
      <w:r>
        <w:rPr>
          <w:rFonts w:ascii="Times" w:hAnsi="Times" w:cs="Times"/>
          <w:b/>
          <w:bCs/>
          <w:sz w:val="16"/>
          <w:szCs w:val="16"/>
        </w:rPr>
        <w:t>2014</w:t>
      </w:r>
      <w:r>
        <w:rPr>
          <w:rFonts w:ascii="Times New Roman" w:hAnsi="Times New Roman" w:cs="Times New Roman"/>
          <w:sz w:val="24"/>
          <w:szCs w:val="24"/>
        </w:rPr>
        <w:tab/>
      </w:r>
      <w:r>
        <w:rPr>
          <w:rFonts w:ascii="Times" w:hAnsi="Times" w:cs="Times"/>
          <w:b/>
          <w:bCs/>
          <w:sz w:val="16"/>
          <w:szCs w:val="16"/>
        </w:rPr>
        <w:t>2013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r>
        <w:rPr>
          <w:noProof/>
        </w:rPr>
        <mc:AlternateContent>
          <mc:Choice Requires="wps">
            <w:drawing>
              <wp:anchor distT="0" distB="0" distL="114300" distR="114300" simplePos="0" relativeHeight="251708416" behindDoc="1" locked="0" layoutInCell="0" allowOverlap="1">
                <wp:simplePos x="0" y="0"/>
                <wp:positionH relativeFrom="column">
                  <wp:posOffset>5473700</wp:posOffset>
                </wp:positionH>
                <wp:positionV relativeFrom="paragraph">
                  <wp:posOffset>22225</wp:posOffset>
                </wp:positionV>
                <wp:extent cx="476250" cy="0"/>
                <wp:effectExtent l="0" t="0" r="0" b="0"/>
                <wp:wrapNone/>
                <wp:docPr id="20"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1pt,1.75pt" to="46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" o:allowincell="f" strokeweight="1pt"/>
            </w:pict>
          </mc:Fallback>
        </mc:AlternateContent>
      </w:r>
      <w:r>
        <w:rPr>
          <w:noProof/>
        </w:rPr>
        <mc:AlternateContent>
          <mc:Choice Requires="wps">
            <w:drawing>
              <wp:anchor distT="0" distB="0" distL="114300" distR="114300" simplePos="0" relativeHeight="251709440" behindDoc="1" locked="0" layoutInCell="0" allowOverlap="1">
                <wp:simplePos x="0" y="0"/>
                <wp:positionH relativeFrom="column">
                  <wp:posOffset>6076950</wp:posOffset>
                </wp:positionH>
                <wp:positionV relativeFrom="paragraph">
                  <wp:posOffset>22225</wp:posOffset>
                </wp:positionV>
                <wp:extent cx="476250" cy="0"/>
                <wp:effectExtent l="0" t="0" r="0" b="0"/>
                <wp:wrapNone/>
                <wp:docPr id="19"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5pt,1.75pt" to="5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" o:allowincell="f" strokeweight="1pt"/>
            </w:pict>
          </mc:Fallback>
        </mc:AlternateContent>
      </w:r>
    </w:p>
    <w:p w:rsidR="00000000" w:rsidRDefault="00A06965">
      <w:pPr>
        <w:pStyle w:val="DefaultParagraphFont"/>
        <w:widowControl w:val="0"/>
        <w:autoSpaceDE w:val="0"/>
        <w:autoSpaceDN w:val="0"/>
        <w:adjustRightInd w:val="0"/>
        <w:spacing w:after="0" w:line="9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620"/>
        <w:gridCol w:w="100"/>
        <w:gridCol w:w="660"/>
      </w:tblGrid>
      <w:tr w:rsidR="00000000">
        <w:tblPrEx>
          <w:tblCellMar>
            <w:top w:w="0" w:type="dxa"/>
            <w:left w:w="0" w:type="dxa"/>
            <w:bottom w:w="0" w:type="dxa"/>
            <w:right w:w="0" w:type="dxa"/>
          </w:tblCellMar>
        </w:tblPrEx>
        <w:trPr>
          <w:trHeight w:val="230"/>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Cash and cash equivalents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42,760</w:t>
            </w:r>
          </w:p>
        </w:tc>
      </w:tr>
      <w:tr w:rsidR="00000000">
        <w:tblPrEx>
          <w:tblCellMar>
            <w:top w:w="0" w:type="dxa"/>
            <w:left w:w="0" w:type="dxa"/>
            <w:bottom w:w="0" w:type="dxa"/>
            <w:right w:w="0" w:type="dxa"/>
          </w:tblCellMar>
        </w:tblPrEx>
        <w:trPr>
          <w:trHeight w:val="240"/>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Equity securities  . . . . . .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114,876</w:t>
            </w:r>
          </w:p>
        </w:tc>
      </w:tr>
      <w:tr w:rsidR="00000000">
        <w:tblPrEx>
          <w:tblCellMar>
            <w:top w:w="0" w:type="dxa"/>
            <w:left w:w="0" w:type="dxa"/>
            <w:bottom w:w="0" w:type="dxa"/>
            <w:right w:w="0" w:type="dxa"/>
          </w:tblCellMar>
        </w:tblPrEx>
        <w:trPr>
          <w:trHeight w:val="240"/>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Fixed maturity securities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26,010</w:t>
            </w:r>
          </w:p>
        </w:tc>
      </w:tr>
      <w:tr w:rsidR="00000000">
        <w:tblPrEx>
          <w:tblCellMar>
            <w:top w:w="0" w:type="dxa"/>
            <w:left w:w="0" w:type="dxa"/>
            <w:bottom w:w="0" w:type="dxa"/>
            <w:right w:w="0" w:type="dxa"/>
          </w:tblCellMar>
        </w:tblPrEx>
        <w:trPr>
          <w:trHeight w:val="240"/>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investments . . . . . . . . . . . . . . . . . . . . . . . . . . . . . . . . . . . . . .</w:t>
            </w:r>
            <w:r>
              <w:rPr>
                <w:rFonts w:ascii="Times" w:hAnsi="Times" w:cs="Times"/>
                <w:sz w:val="20"/>
                <w:szCs w:val="20"/>
              </w:rPr>
              <w:t xml:space="preserve">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16,346</w:t>
            </w:r>
          </w:p>
        </w:tc>
      </w:tr>
      <w:tr w:rsidR="00000000">
        <w:tblPrEx>
          <w:tblCellMar>
            <w:top w:w="0" w:type="dxa"/>
            <w:left w:w="0" w:type="dxa"/>
            <w:bottom w:w="0" w:type="dxa"/>
            <w:right w:w="0" w:type="dxa"/>
          </w:tblCellMar>
        </w:tblPrEx>
        <w:trPr>
          <w:trHeight w:val="28"/>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199,992</w:t>
            </w:r>
          </w:p>
        </w:tc>
      </w:tr>
      <w:tr w:rsidR="00000000">
        <w:tblPrEx>
          <w:tblCellMar>
            <w:top w:w="0" w:type="dxa"/>
            <w:left w:w="0" w:type="dxa"/>
            <w:bottom w:w="0" w:type="dxa"/>
            <w:right w:w="0" w:type="dxa"/>
          </w:tblCellMar>
        </w:tblPrEx>
        <w:trPr>
          <w:trHeight w:val="28"/>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6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108"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A06965">
      <w:pPr>
        <w:pStyle w:val="DefaultParagraphFont"/>
        <w:widowControl w:val="0"/>
        <w:overflowPunct w:val="0"/>
        <w:autoSpaceDE w:val="0"/>
        <w:autoSpaceDN w:val="0"/>
        <w:adjustRightInd w:val="0"/>
        <w:spacing w:after="0" w:line="264" w:lineRule="auto"/>
        <w:ind w:left="100" w:hanging="100"/>
        <w:jc w:val="both"/>
        <w:rPr>
          <w:rFonts w:ascii="Times New Roman" w:hAnsi="Times New Roman" w:cs="Times New Roman"/>
          <w:sz w:val="24"/>
          <w:szCs w:val="24"/>
        </w:rPr>
      </w:pPr>
      <w:r>
        <w:rPr>
          <w:rFonts w:ascii="Times" w:hAnsi="Times" w:cs="Times"/>
          <w:sz w:val="19"/>
          <w:szCs w:val="19"/>
        </w:rPr>
        <w:t>$ 32,572 114,832 27,059 12,334</w:t>
      </w:r>
    </w:p>
    <w:p w:rsidR="00000000" w:rsidRDefault="00A06965">
      <w:pPr>
        <w:pStyle w:val="DefaultParagraphFont"/>
        <w:widowControl w:val="0"/>
        <w:autoSpaceDE w:val="0"/>
        <w:autoSpaceDN w:val="0"/>
        <w:adjustRightInd w:val="0"/>
        <w:spacing w:after="0" w:line="79" w:lineRule="exact"/>
        <w:rPr>
          <w:rFonts w:ascii="Times New Roman" w:hAnsi="Times New Roman" w:cs="Times New Roman"/>
          <w:sz w:val="24"/>
          <w:szCs w:val="24"/>
        </w:rPr>
      </w:pPr>
      <w:r>
        <w:rPr>
          <w:noProof/>
        </w:rPr>
        <mc:AlternateContent>
          <mc:Choice Requires="wps">
            <w:drawing>
              <wp:anchor distT="0" distB="0" distL="114300" distR="114300" simplePos="0" relativeHeight="251710464" behindDoc="1" locked="0" layoutInCell="0" allowOverlap="1">
                <wp:simplePos x="0" y="0"/>
                <wp:positionH relativeFrom="column">
                  <wp:posOffset>-6350</wp:posOffset>
                </wp:positionH>
                <wp:positionV relativeFrom="paragraph">
                  <wp:posOffset>6985</wp:posOffset>
                </wp:positionV>
                <wp:extent cx="476250" cy="0"/>
                <wp:effectExtent l="0" t="0" r="0" b="0"/>
                <wp:wrapNone/>
                <wp:docPr id="18"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3"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55pt" to="3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" o:allowincell="f" strokeweight=".5pt"/>
            </w:pict>
          </mc:Fallback>
        </mc:AlternateConten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19"/>
          <w:szCs w:val="19"/>
        </w:rPr>
        <w:t>$186,797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960" w:bottom="523" w:left="960" w:header="720" w:footer="720" w:gutter="0"/>
          <w:cols w:num="2" w:space="200" w:equalWidth="0">
            <w:col w:w="9380" w:space="200"/>
            <w:col w:w="740"/>
          </w:cols>
          <w:noEndnote/>
        </w:sectPr>
      </w:pPr>
      <w:r>
        <w:rPr>
          <w:noProof/>
        </w:rPr>
        <mc:AlternateContent>
          <mc:Choice Requires="wps">
            <w:drawing>
              <wp:anchor distT="0" distB="0" distL="114300" distR="114300" simplePos="0" relativeHeight="251711488" behindDoc="1" locked="0" layoutInCell="0" allowOverlap="1">
                <wp:simplePos x="0" y="0"/>
                <wp:positionH relativeFrom="column">
                  <wp:posOffset>-6350</wp:posOffset>
                </wp:positionH>
                <wp:positionV relativeFrom="paragraph">
                  <wp:posOffset>21590</wp:posOffset>
                </wp:positionV>
                <wp:extent cx="476250" cy="0"/>
                <wp:effectExtent l="0" t="0" r="0" b="0"/>
                <wp:wrapNone/>
                <wp:docPr id="17"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4"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1.7pt" to="37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" o:allowincell="f" strokeweight=".5pt"/>
            </w:pict>
          </mc:Fallback>
        </mc:AlternateContent>
      </w:r>
      <w:r>
        <w:rPr>
          <w:noProof/>
        </w:rPr>
        <mc:AlternateContent>
          <mc:Choice Requires="wps">
            <w:drawing>
              <wp:anchor distT="0" distB="0" distL="114300" distR="114300" simplePos="0" relativeHeight="251712512" behindDoc="1" locked="0" layoutInCell="0" allowOverlap="1">
                <wp:simplePos x="0" y="0"/>
                <wp:positionH relativeFrom="column">
                  <wp:posOffset>-6350</wp:posOffset>
                </wp:positionH>
                <wp:positionV relativeFrom="paragraph">
                  <wp:posOffset>46990</wp:posOffset>
                </wp:positionV>
                <wp:extent cx="476250" cy="0"/>
                <wp:effectExtent l="0" t="0" r="0" b="0"/>
                <wp:wrapNone/>
                <wp:docPr id="16"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7pt" to="37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" o:allowincell="f" strokeweight=".5pt"/>
            </w:pict>
          </mc:Fallback>
        </mc:AlternateContent>
      </w:r>
    </w:p>
    <w:p w:rsidR="00000000" w:rsidRDefault="00A0696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sz w:val="20"/>
          <w:szCs w:val="20"/>
        </w:rPr>
        <w:t>Fixed maturity investments as of December 31, 2014 were as follows. Amounts are in millions.</w:t>
      </w:r>
    </w:p>
    <w:p w:rsidR="00000000" w:rsidRDefault="00A06965">
      <w:pPr>
        <w:pStyle w:val="DefaultParagraphFont"/>
        <w:widowControl w:val="0"/>
        <w:autoSpaceDE w:val="0"/>
        <w:autoSpaceDN w:val="0"/>
        <w:adjustRightInd w:val="0"/>
        <w:spacing w:after="0" w:line="18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720"/>
        <w:gridCol w:w="40"/>
        <w:gridCol w:w="100"/>
        <w:gridCol w:w="560"/>
        <w:gridCol w:w="40"/>
        <w:gridCol w:w="200"/>
        <w:gridCol w:w="120"/>
        <w:gridCol w:w="100"/>
        <w:gridCol w:w="460"/>
        <w:gridCol w:w="140"/>
        <w:gridCol w:w="200"/>
        <w:gridCol w:w="100"/>
        <w:gridCol w:w="540"/>
      </w:tblGrid>
      <w:tr w:rsidR="00000000">
        <w:tblPrEx>
          <w:tblCellMar>
            <w:top w:w="0" w:type="dxa"/>
            <w:left w:w="0" w:type="dxa"/>
            <w:bottom w:w="0" w:type="dxa"/>
            <w:right w:w="0" w:type="dxa"/>
          </w:tblCellMar>
        </w:tblPrEx>
        <w:trPr>
          <w:trHeight w:val="184"/>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9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ind w:right="200"/>
              <w:jc w:val="center"/>
              <w:rPr>
                <w:rFonts w:ascii="Times New Roman" w:hAnsi="Times New Roman" w:cs="Times New Roman"/>
                <w:sz w:val="24"/>
                <w:szCs w:val="24"/>
              </w:rPr>
            </w:pPr>
            <w:r>
              <w:rPr>
                <w:rFonts w:ascii="Times" w:hAnsi="Times" w:cs="Times"/>
                <w:b/>
                <w:bCs/>
                <w:sz w:val="16"/>
                <w:szCs w:val="16"/>
              </w:rPr>
              <w:t>Amortized</w:t>
            </w:r>
          </w:p>
        </w:tc>
        <w:tc>
          <w:tcPr>
            <w:tcW w:w="8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ind w:left="20"/>
              <w:rPr>
                <w:rFonts w:ascii="Times New Roman" w:hAnsi="Times New Roman" w:cs="Times New Roman"/>
                <w:sz w:val="24"/>
                <w:szCs w:val="24"/>
              </w:rPr>
            </w:pPr>
            <w:r>
              <w:rPr>
                <w:rFonts w:ascii="Times" w:hAnsi="Times" w:cs="Times"/>
                <w:b/>
                <w:bCs/>
                <w:sz w:val="16"/>
                <w:szCs w:val="16"/>
              </w:rPr>
              <w:t>Unrealized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3" w:lineRule="exact"/>
              <w:rPr>
                <w:rFonts w:ascii="Times New Roman" w:hAnsi="Times New Roman" w:cs="Times New Roman"/>
                <w:sz w:val="24"/>
                <w:szCs w:val="24"/>
              </w:rPr>
            </w:pPr>
            <w:r>
              <w:rPr>
                <w:rFonts w:ascii="Times" w:hAnsi="Times" w:cs="Times"/>
                <w:b/>
                <w:bCs/>
                <w:w w:val="98"/>
                <w:sz w:val="16"/>
                <w:szCs w:val="16"/>
              </w:rPr>
              <w:t>Carrying</w:t>
            </w:r>
          </w:p>
        </w:tc>
      </w:tr>
      <w:tr w:rsidR="00000000">
        <w:tblPrEx>
          <w:tblCellMar>
            <w:top w:w="0" w:type="dxa"/>
            <w:left w:w="0" w:type="dxa"/>
            <w:bottom w:w="0" w:type="dxa"/>
            <w:right w:w="0" w:type="dxa"/>
          </w:tblCellMar>
        </w:tblPrEx>
        <w:trPr>
          <w:trHeight w:val="182"/>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340"/>
              <w:jc w:val="center"/>
              <w:rPr>
                <w:rFonts w:ascii="Times New Roman" w:hAnsi="Times New Roman" w:cs="Times New Roman"/>
                <w:sz w:val="24"/>
                <w:szCs w:val="24"/>
              </w:rPr>
            </w:pPr>
            <w:r>
              <w:rPr>
                <w:rFonts w:ascii="Times" w:hAnsi="Times" w:cs="Times"/>
                <w:b/>
                <w:bCs/>
                <w:w w:val="97"/>
                <w:sz w:val="16"/>
                <w:szCs w:val="16"/>
              </w:rPr>
              <w:t>cost</w:t>
            </w:r>
          </w:p>
        </w:tc>
        <w:tc>
          <w:tcPr>
            <w:tcW w:w="8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left="20"/>
              <w:rPr>
                <w:rFonts w:ascii="Times New Roman" w:hAnsi="Times New Roman" w:cs="Times New Roman"/>
                <w:sz w:val="24"/>
                <w:szCs w:val="24"/>
              </w:rPr>
            </w:pPr>
            <w:r>
              <w:rPr>
                <w:rFonts w:ascii="Times" w:hAnsi="Times" w:cs="Times"/>
                <w:b/>
                <w:bCs/>
                <w:w w:val="99"/>
                <w:sz w:val="16"/>
                <w:szCs w:val="16"/>
              </w:rPr>
              <w:t>gains/losses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ind w:right="43"/>
              <w:jc w:val="right"/>
              <w:rPr>
                <w:rFonts w:ascii="Times New Roman" w:hAnsi="Times New Roman" w:cs="Times New Roman"/>
                <w:sz w:val="24"/>
                <w:szCs w:val="24"/>
              </w:rPr>
            </w:pPr>
            <w:r>
              <w:rPr>
                <w:rFonts w:ascii="Times" w:hAnsi="Times" w:cs="Times"/>
                <w:b/>
                <w:bCs/>
                <w:sz w:val="16"/>
                <w:szCs w:val="16"/>
              </w:rPr>
              <w:t>value</w:t>
            </w:r>
          </w:p>
        </w:tc>
      </w:tr>
      <w:tr w:rsidR="00000000">
        <w:tblPrEx>
          <w:tblCellMar>
            <w:top w:w="0" w:type="dxa"/>
            <w:left w:w="0" w:type="dxa"/>
            <w:bottom w:w="0" w:type="dxa"/>
            <w:right w:w="0" w:type="dxa"/>
          </w:tblCellMar>
        </w:tblPrEx>
        <w:trPr>
          <w:trHeight w:val="26"/>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U.S. Treasury, U.S. government corporations and agencies . . . . . . . . . . . . . . . . . . . . . . . . . . . .</w:t>
            </w:r>
          </w:p>
        </w:tc>
        <w:tc>
          <w:tcPr>
            <w:tcW w:w="1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2,921</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2,930</w:t>
            </w:r>
          </w:p>
        </w:tc>
      </w:tr>
      <w:tr w:rsidR="00000000">
        <w:tblPrEx>
          <w:tblCellMar>
            <w:top w:w="0" w:type="dxa"/>
            <w:left w:w="0" w:type="dxa"/>
            <w:bottom w:w="0" w:type="dxa"/>
            <w:right w:w="0" w:type="dxa"/>
          </w:tblCellMar>
        </w:tblPrEx>
        <w:trPr>
          <w:trHeight w:val="240"/>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States, municipalities and political subdivisions . .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1,820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92</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1,912</w:t>
            </w:r>
          </w:p>
        </w:tc>
      </w:tr>
      <w:tr w:rsidR="00000000">
        <w:tblPrEx>
          <w:tblCellMar>
            <w:top w:w="0" w:type="dxa"/>
            <w:left w:w="0" w:type="dxa"/>
            <w:bottom w:w="0" w:type="dxa"/>
            <w:right w:w="0" w:type="dxa"/>
          </w:tblCellMar>
        </w:tblPrEx>
        <w:trPr>
          <w:trHeight w:val="240"/>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Foreign governments . . . . . . . . . . . . . . . . . . . . . . . . . . . . . . . . . . . . . . . .</w:t>
            </w:r>
            <w:r>
              <w:rPr>
                <w:rFonts w:ascii="Times" w:hAnsi="Times" w:cs="Times"/>
                <w:sz w:val="20"/>
                <w:szCs w:val="20"/>
              </w:rPr>
              <w:t xml:space="preserve">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10,620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247</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10,867</w:t>
            </w:r>
          </w:p>
        </w:tc>
      </w:tr>
      <w:tr w:rsidR="00000000">
        <w:tblPrEx>
          <w:tblCellMar>
            <w:top w:w="0" w:type="dxa"/>
            <w:left w:w="0" w:type="dxa"/>
            <w:bottom w:w="0" w:type="dxa"/>
            <w:right w:w="0" w:type="dxa"/>
          </w:tblCellMar>
        </w:tblPrEx>
        <w:trPr>
          <w:trHeight w:val="240"/>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Corporate bonds, investment grade . . . . . . . . . . . .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5,826</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639</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6,465</w:t>
            </w:r>
          </w:p>
        </w:tc>
      </w:tr>
      <w:tr w:rsidR="00000000">
        <w:tblPrEx>
          <w:tblCellMar>
            <w:top w:w="0" w:type="dxa"/>
            <w:left w:w="0" w:type="dxa"/>
            <w:bottom w:w="0" w:type="dxa"/>
            <w:right w:w="0" w:type="dxa"/>
          </w:tblCellMar>
        </w:tblPrEx>
        <w:trPr>
          <w:trHeight w:val="240"/>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Corporate bonds, non-investment grade . . . . . . . .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1,878</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428</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2,306</w:t>
            </w:r>
          </w:p>
        </w:tc>
      </w:tr>
      <w:tr w:rsidR="00000000">
        <w:tblPrEx>
          <w:tblCellMar>
            <w:top w:w="0" w:type="dxa"/>
            <w:left w:w="0" w:type="dxa"/>
            <w:bottom w:w="0" w:type="dxa"/>
            <w:right w:w="0" w:type="dxa"/>
          </w:tblCellMar>
        </w:tblPrEx>
        <w:trPr>
          <w:trHeight w:val="240"/>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Mortgage-backed securities . . . . . . . . . . . . . . . . . .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1,360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170</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1,530</w:t>
            </w:r>
          </w:p>
        </w:tc>
      </w:tr>
      <w:tr w:rsidR="00000000">
        <w:tblPrEx>
          <w:tblCellMar>
            <w:top w:w="0" w:type="dxa"/>
            <w:left w:w="0" w:type="dxa"/>
            <w:bottom w:w="0" w:type="dxa"/>
            <w:right w:w="0" w:type="dxa"/>
          </w:tblCellMar>
        </w:tblPrEx>
        <w:trPr>
          <w:trHeight w:val="28"/>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24,425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1,585</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26,010</w:t>
            </w:r>
          </w:p>
        </w:tc>
      </w:tr>
      <w:tr w:rsidR="00000000">
        <w:tblPrEx>
          <w:tblCellMar>
            <w:top w:w="0" w:type="dxa"/>
            <w:left w:w="0" w:type="dxa"/>
            <w:bottom w:w="0" w:type="dxa"/>
            <w:right w:w="0" w:type="dxa"/>
          </w:tblCellMar>
        </w:tblPrEx>
        <w:trPr>
          <w:trHeight w:val="28"/>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U.S. government obligations are rated AA+ or Aaa by the major rating agencies and approximately 87% of all state, municipal and political subdivisions, foreign government obligations and mortgage-backed securities were rated AA or higher. Non-investment gr</w:t>
      </w:r>
      <w:r>
        <w:rPr>
          <w:rFonts w:ascii="Times" w:hAnsi="Times" w:cs="Times"/>
          <w:sz w:val="20"/>
          <w:szCs w:val="20"/>
        </w:rPr>
        <w:t>ade securities represent securities that are rated below BBB- or Baa3. Foreign government securities include obligations issued or unconditionally guaranteed by national or provincial government entities.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960" w:bottom="523" w:left="960" w:header="720" w:footer="720" w:gutter="0"/>
          <w:cols w:space="200" w:equalWidth="0">
            <w:col w:w="10320" w:space="2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93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200" w:equalWidth="0">
            <w:col w:w="200" w:space="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Railroad (“Burlington Northern Santa Fe”)</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Burlington Northern Santa Fe Corporation (“BNSF”) operates one of the largest railroad systems in North America with approximately 32,500 route mil</w:t>
      </w:r>
      <w:r>
        <w:rPr>
          <w:rFonts w:ascii="Times" w:hAnsi="Times" w:cs="Times"/>
          <w:sz w:val="20"/>
          <w:szCs w:val="20"/>
        </w:rPr>
        <w:t>es of track in 28 states and also operates in three Canadian provinces. BNSF’s major business groups are classified by type of product shipped and include consumer products, coal, industrial products and agricultural products. Earnings of BNSF are summariz</w:t>
      </w:r>
      <w:r>
        <w:rPr>
          <w:rFonts w:ascii="Times" w:hAnsi="Times" w:cs="Times"/>
          <w:sz w:val="20"/>
          <w:szCs w:val="20"/>
        </w:rPr>
        <w:t>ed below (in millions).</w:t>
      </w:r>
    </w:p>
    <w:p w:rsidR="00000000" w:rsidRDefault="00A06965">
      <w:pPr>
        <w:pStyle w:val="DefaultParagraphFont"/>
        <w:widowControl w:val="0"/>
        <w:autoSpaceDE w:val="0"/>
        <w:autoSpaceDN w:val="0"/>
        <w:adjustRightInd w:val="0"/>
        <w:spacing w:after="0" w:line="2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980"/>
        <w:gridCol w:w="100"/>
        <w:gridCol w:w="540"/>
        <w:gridCol w:w="200"/>
        <w:gridCol w:w="100"/>
        <w:gridCol w:w="560"/>
        <w:gridCol w:w="200"/>
        <w:gridCol w:w="100"/>
        <w:gridCol w:w="540"/>
        <w:gridCol w:w="20"/>
      </w:tblGrid>
      <w:tr w:rsidR="00000000">
        <w:tblPrEx>
          <w:tblCellMar>
            <w:top w:w="0" w:type="dxa"/>
            <w:left w:w="0" w:type="dxa"/>
            <w:bottom w:w="0" w:type="dxa"/>
            <w:right w:w="0" w:type="dxa"/>
          </w:tblCellMar>
        </w:tblPrEx>
        <w:trPr>
          <w:trHeight w:val="184"/>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2"/>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Times" w:hAnsi="Times" w:cs="Times"/>
                <w:b/>
                <w:bCs/>
                <w:sz w:val="16"/>
                <w:szCs w:val="16"/>
              </w:rPr>
              <w:t>2012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Revenues  . . . . .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23,239</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22,014</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20,835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9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6260"/>
              <w:jc w:val="right"/>
              <w:rPr>
                <w:rFonts w:ascii="Times New Roman" w:hAnsi="Times New Roman" w:cs="Times New Roman"/>
                <w:sz w:val="24"/>
                <w:szCs w:val="24"/>
              </w:rPr>
            </w:pPr>
            <w:r>
              <w:rPr>
                <w:rFonts w:ascii="Times" w:hAnsi="Times" w:cs="Times"/>
                <w:w w:val="98"/>
                <w:sz w:val="20"/>
                <w:szCs w:val="20"/>
              </w:rPr>
              <w:t>Operating expenses:</w:t>
            </w: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Compensation and benefits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5,023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4,651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4,505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Fuel . . . . . .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4,478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4,503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4,459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Purchased services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2,418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2,374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 xml:space="preserve">Depreciation and amortization . . . . . . </w:t>
            </w:r>
            <w:r>
              <w:rPr>
                <w:rFonts w:ascii="Times" w:hAnsi="Times" w:cs="Times"/>
                <w:sz w:val="20"/>
                <w:szCs w:val="20"/>
              </w:rPr>
              <w:t>.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2,123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1,973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1,889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Equipment rents, materials and other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2,021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1,812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1,608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Total operating expenses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16,237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15,357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14,835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Interest expense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833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729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623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17,070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16,086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15,458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Pre-tax earnings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6,169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5,928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5,377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w w:val="99"/>
                <w:sz w:val="20"/>
                <w:szCs w:val="20"/>
              </w:rPr>
              <w:t>Income taxes . . .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2,300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2,135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2,005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00"/>
              <w:jc w:val="right"/>
              <w:rPr>
                <w:rFonts w:ascii="Times New Roman" w:hAnsi="Times New Roman" w:cs="Times New Roman"/>
                <w:sz w:val="24"/>
                <w:szCs w:val="24"/>
              </w:rPr>
            </w:pPr>
            <w:r>
              <w:rPr>
                <w:rFonts w:ascii="Times" w:hAnsi="Times" w:cs="Times"/>
                <w:sz w:val="20"/>
                <w:szCs w:val="20"/>
              </w:rPr>
              <w:t>Net earnings . . . . . . . . . . . . . . . . . . . . .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3,869</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3,793</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3,372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7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3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 xml:space="preserve">Consolidated revenues in 2014 were approximately $23.2 billion, representing an increase of $1.2 billion (5.6%) over 2013. The overall year-to-date increase in revenues reflected a 1.8% increase in cars/units handled and a 3.5% increase in average revenue </w:t>
      </w:r>
      <w:r>
        <w:rPr>
          <w:rFonts w:ascii="Times" w:hAnsi="Times" w:cs="Times"/>
          <w:sz w:val="20"/>
          <w:szCs w:val="20"/>
        </w:rPr>
        <w:t>per car/unit. In 2014, our combined volume was approximately 10.3 million cars/units.</w:t>
      </w:r>
    </w:p>
    <w:p w:rsidR="00000000" w:rsidRDefault="00A06965">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Our rail operations were negatively affected by severe winter weather conditions during the first quarter of 2014, particularly in the Northern U.S. service territory as well as from various other service issues throughout 2014. These issues resulted in sl</w:t>
      </w:r>
      <w:r>
        <w:rPr>
          <w:rFonts w:ascii="Times" w:hAnsi="Times" w:cs="Times"/>
          <w:sz w:val="20"/>
          <w:szCs w:val="20"/>
        </w:rPr>
        <w:t xml:space="preserve">ower average speeds on our system and negatively impacted volumes and revenues of each of our business groups. We experienced improvement in operating performance and freight volumes over the fourth quarter of 2014. Nevertheless, our service levels at the </w:t>
      </w:r>
      <w:r>
        <w:rPr>
          <w:rFonts w:ascii="Times" w:hAnsi="Times" w:cs="Times"/>
          <w:sz w:val="20"/>
          <w:szCs w:val="20"/>
        </w:rPr>
        <w:t xml:space="preserve">end of 2014 were well below our internal standards, as well as those expected by our customers. We continue to work diligently to address service issues without compromising safety. We added capacity in 2014 through capital investments for line expansion, </w:t>
      </w:r>
      <w:r>
        <w:rPr>
          <w:rFonts w:ascii="Times" w:hAnsi="Times" w:cs="Times"/>
          <w:sz w:val="20"/>
          <w:szCs w:val="20"/>
        </w:rPr>
        <w:t>system improvement projects, additional equipment and new employee hires. We plan to continue these initiatives in 2015 in order to meet customer demand and improve and maintain service levels.</w:t>
      </w:r>
    </w:p>
    <w:p w:rsidR="00000000" w:rsidRDefault="00A06965">
      <w:pPr>
        <w:pStyle w:val="DefaultParagraphFont"/>
        <w:widowControl w:val="0"/>
        <w:autoSpaceDE w:val="0"/>
        <w:autoSpaceDN w:val="0"/>
        <w:adjustRightInd w:val="0"/>
        <w:spacing w:after="0" w:line="19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Revenues from consumer products in 2014 were $7.0 billion, an</w:t>
      </w:r>
      <w:r>
        <w:rPr>
          <w:rFonts w:ascii="Times" w:hAnsi="Times" w:cs="Times"/>
          <w:sz w:val="20"/>
          <w:szCs w:val="20"/>
        </w:rPr>
        <w:t>d were relatively unchanged from 2013. In 2014, unit volume and average revenues per car were relatively flat versus 2013. In 2014, our international intermodal business volume was negatively affected by congestion at U.S. West Coast ports. Should these co</w:t>
      </w:r>
      <w:r>
        <w:rPr>
          <w:rFonts w:ascii="Times" w:hAnsi="Times" w:cs="Times"/>
          <w:sz w:val="20"/>
          <w:szCs w:val="20"/>
        </w:rPr>
        <w:t>nditions persist, our volumes in 2015 may suffer. In 2014, revenues from industrial products increased $508 million (9%) to $6.2 billion. The increase was primarily due to increases in overall unit volume, and to a lesser extent, changes in rates and produ</w:t>
      </w:r>
      <w:r>
        <w:rPr>
          <w:rFonts w:ascii="Times" w:hAnsi="Times" w:cs="Times"/>
          <w:sz w:val="20"/>
          <w:szCs w:val="20"/>
        </w:rPr>
        <w:t>ct mix. Revenues from agricultural products in 2014 increased $584 million (16%) to approximately $4.2 billion. The increase was primarily attributable to increased volume, rates and product mix changes. Also, agricultural products volume in 2013 was negat</w:t>
      </w:r>
      <w:r>
        <w:rPr>
          <w:rFonts w:ascii="Times" w:hAnsi="Times" w:cs="Times"/>
          <w:sz w:val="20"/>
          <w:szCs w:val="20"/>
        </w:rPr>
        <w:t>ively affected by the drought conditions in 2012. In 2014, coal revenues of $5.0 billion were essentially unchanged from 2013, as a 2% increase in year-to-date unit volume was offset by a 2% decline in average rates.</w:t>
      </w:r>
    </w:p>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63" w:lineRule="auto"/>
        <w:ind w:firstLine="400"/>
        <w:jc w:val="both"/>
        <w:rPr>
          <w:rFonts w:ascii="Times New Roman" w:hAnsi="Times New Roman" w:cs="Times New Roman"/>
          <w:sz w:val="24"/>
          <w:szCs w:val="24"/>
        </w:rPr>
      </w:pPr>
      <w:r>
        <w:rPr>
          <w:rFonts w:ascii="Times" w:hAnsi="Times" w:cs="Times"/>
          <w:sz w:val="19"/>
          <w:szCs w:val="19"/>
        </w:rPr>
        <w:t xml:space="preserve">Operating expenses in 2014 were $16.2 </w:t>
      </w:r>
      <w:r>
        <w:rPr>
          <w:rFonts w:ascii="Times" w:hAnsi="Times" w:cs="Times"/>
          <w:sz w:val="19"/>
          <w:szCs w:val="19"/>
        </w:rPr>
        <w:t xml:space="preserve">billion, representing an increase of $880 million (6%) over 2013. Compensation and benefits expenses increased $372 million (8%) in 2014 as compared with 2013, primarily due to increased employment levels, and to a lesser extent, wage inflation and higher </w:t>
      </w:r>
      <w:r>
        <w:rPr>
          <w:rFonts w:ascii="Times" w:hAnsi="Times" w:cs="Times"/>
          <w:sz w:val="19"/>
          <w:szCs w:val="19"/>
        </w:rPr>
        <w:t>overtime. Fuel expenses were relatively unchanged compared to 2013. The favorable impact from lower average fuel prices was largely offset by higher volumes. Depreciation and amortization expense increased $150 million (8%) as a result of additional assets</w:t>
      </w:r>
      <w:r>
        <w:rPr>
          <w:rFonts w:ascii="Times" w:hAnsi="Times" w:cs="Times"/>
          <w:sz w:val="19"/>
          <w:szCs w:val="19"/>
        </w:rPr>
        <w:t xml:space="preserve"> in service. Equipment rents, materials and other expenses increased $209 million (12%) compared to 2013 as a result of higher crew transportation and other travel costs, and increased costs of utilities.</w:t>
      </w:r>
    </w:p>
    <w:p w:rsidR="00000000" w:rsidRDefault="00A06965">
      <w:pPr>
        <w:pStyle w:val="DefaultParagraphFont"/>
        <w:widowControl w:val="0"/>
        <w:autoSpaceDE w:val="0"/>
        <w:autoSpaceDN w:val="0"/>
        <w:adjustRightInd w:val="0"/>
        <w:spacing w:after="0" w:line="17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Consolidated revenues in 2013 were approximately $</w:t>
      </w:r>
      <w:r>
        <w:rPr>
          <w:rFonts w:ascii="Times" w:hAnsi="Times" w:cs="Times"/>
          <w:sz w:val="20"/>
          <w:szCs w:val="20"/>
        </w:rPr>
        <w:t>22.0 billion, an increase of $1.2 billion (5.7%) over 2012. The overall increase in revenues reflected a 4.5% increase in cars/units handled and a slight increase in average revenue per car/unit, attributable to rates. In 2013, BNSF generated higher revenu</w:t>
      </w:r>
      <w:r>
        <w:rPr>
          <w:rFonts w:ascii="Times" w:hAnsi="Times" w:cs="Times"/>
          <w:sz w:val="20"/>
          <w:szCs w:val="20"/>
        </w:rPr>
        <w:t>es from industrial products, consumer products and coal, partially offset by lower revenues from agricultural products.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94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Railroad (“Burlington Northern Santa Fe”)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In 2013, industrial products revenues of $5.7 billion increased 14% versus 2012, driven by an 11% increase in volume, reflecting significantly higher petroleum products volumes. Consumer products revenues were $7.0 billion, an increase of 6% o</w:t>
      </w:r>
      <w:r>
        <w:rPr>
          <w:rFonts w:ascii="Times" w:hAnsi="Times" w:cs="Times"/>
          <w:sz w:val="20"/>
          <w:szCs w:val="20"/>
        </w:rPr>
        <w:t>ver 2012 that was primarily attributable to volume increases from domestic intermodal business and higher export demand. Coal revenues were $5.0 billion, an increase of 2.6% over 2012, which was attributable to increased volume. The volume increase reflect</w:t>
      </w:r>
      <w:r>
        <w:rPr>
          <w:rFonts w:ascii="Times" w:hAnsi="Times" w:cs="Times"/>
          <w:sz w:val="20"/>
          <w:szCs w:val="20"/>
        </w:rPr>
        <w:t>ed increased coal demand as a result of higher natural gas prices and reduced utility stockpiles, partially offset by severe weather issues impacting service levels. Agricultural products revenues of $3.6 billion declined 4% versus 2012 due to volume decli</w:t>
      </w:r>
      <w:r>
        <w:rPr>
          <w:rFonts w:ascii="Times" w:hAnsi="Times" w:cs="Times"/>
          <w:sz w:val="20"/>
          <w:szCs w:val="20"/>
        </w:rPr>
        <w:t>nes, which were mainly attributable to lower grain exports as a result of the drought conditions in the U.S. in 2012 and strong global competition.</w:t>
      </w:r>
    </w:p>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Operating expenses in 2013 were approximately $15.4 billion, an increase of $522 million (3.5%) compared to</w:t>
      </w:r>
      <w:r>
        <w:rPr>
          <w:rFonts w:ascii="Times" w:hAnsi="Times" w:cs="Times"/>
          <w:sz w:val="20"/>
          <w:szCs w:val="20"/>
        </w:rPr>
        <w:t xml:space="preserve"> 2012. Compensation and benefits expenses increased $146 million (3.2%) as compared to 2012, reflecting volume-related cost increases and wage inflation. Fuel expenses increased $44 million (1%) versus 2012, as the impact of higher volume was partially off</w:t>
      </w:r>
      <w:r>
        <w:rPr>
          <w:rFonts w:ascii="Times" w:hAnsi="Times" w:cs="Times"/>
          <w:sz w:val="20"/>
          <w:szCs w:val="20"/>
        </w:rPr>
        <w:t>set by lower average fuel prices. Purchased services expenses increased 2% versus 2012, due primarily to volume-related costs, including purchased transportation for BNSF Logistics LLC, a wholly-owned, third-party logistics business. Equipment rents, mater</w:t>
      </w:r>
      <w:r>
        <w:rPr>
          <w:rFonts w:ascii="Times" w:hAnsi="Times" w:cs="Times"/>
          <w:sz w:val="20"/>
          <w:szCs w:val="20"/>
        </w:rPr>
        <w:t>ials and other expenses increased $204 million (13%) over 2012. The increase was primarily due to higher property taxes, crew travel costs, derailment-related costs and locomotive material expenses.</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Interest expense in 2014 was $833 million, an increase o</w:t>
      </w:r>
      <w:r>
        <w:rPr>
          <w:rFonts w:ascii="Times" w:hAnsi="Times" w:cs="Times"/>
          <w:sz w:val="20"/>
          <w:szCs w:val="20"/>
        </w:rPr>
        <w:t>f $104 million (14%) compared to 2013. Interest expense in 2013 increased $106 million (17%) versus 2012. BNSF funds its capital expenditures with cash flow from operations and new debt issuances. In each period, the increased interest expense resulted fro</w:t>
      </w:r>
      <w:r>
        <w:rPr>
          <w:rFonts w:ascii="Times" w:hAnsi="Times" w:cs="Times"/>
          <w:sz w:val="20"/>
          <w:szCs w:val="20"/>
        </w:rPr>
        <w:t>m higher average outstanding debt.</w:t>
      </w:r>
    </w:p>
    <w:p w:rsidR="00000000" w:rsidRDefault="00A06965">
      <w:pPr>
        <w:pStyle w:val="DefaultParagraphFont"/>
        <w:widowControl w:val="0"/>
        <w:autoSpaceDE w:val="0"/>
        <w:autoSpaceDN w:val="0"/>
        <w:adjustRightInd w:val="0"/>
        <w:spacing w:after="0" w:line="36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Utilities and Energy (“Berkshire Hathaway Energy Company”)</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We hold an 89.9% ownership interest in Berkshire Hathaway Energy Company (“BHE”), which operates an international energy business. BHE’</w:t>
      </w:r>
      <w:r>
        <w:rPr>
          <w:rFonts w:ascii="Times" w:hAnsi="Times" w:cs="Times"/>
          <w:sz w:val="20"/>
          <w:szCs w:val="20"/>
        </w:rPr>
        <w:t>s domestic regulated utility interests are currently comprised of PacifiCorp, MidAmerican Energy Company (“MEC”), and NV Energy, which was acquired in December 2013. In Great Britain, BHE subsidiaries operate two regulated electricity distribution business</w:t>
      </w:r>
      <w:r>
        <w:rPr>
          <w:rFonts w:ascii="Times" w:hAnsi="Times" w:cs="Times"/>
          <w:sz w:val="20"/>
          <w:szCs w:val="20"/>
        </w:rPr>
        <w:t>es referred to as Northern Powergrid. BHE also owns two domestic regulated interstate natural gas pipeline companies. BHE acquired AltaLink, L.P. (“AltaLink”) on December 1, 2014. AltaLink operates a regulated electricity transmission-only business in Albe</w:t>
      </w:r>
      <w:r>
        <w:rPr>
          <w:rFonts w:ascii="Times" w:hAnsi="Times" w:cs="Times"/>
          <w:sz w:val="20"/>
          <w:szCs w:val="20"/>
        </w:rPr>
        <w:t>rta, Canada. AltaLink’s revenues and earnings for the month of December 2014 are included in other energy businesses. In addition, BHE also operates a diversified portfolio of independent power projects and the second-largest residential real estate broker</w:t>
      </w:r>
      <w:r>
        <w:rPr>
          <w:rFonts w:ascii="Times" w:hAnsi="Times" w:cs="Times"/>
          <w:sz w:val="20"/>
          <w:szCs w:val="20"/>
        </w:rPr>
        <w:t>age firm and franchise network in the United States.</w:t>
      </w:r>
    </w:p>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The rates that our regulated businesses charge customers for energy and services are based in large part on the costs of business operations, including a return on capital, and are subject to regulatory</w:t>
      </w:r>
      <w:r>
        <w:rPr>
          <w:rFonts w:ascii="Times" w:hAnsi="Times" w:cs="Times"/>
          <w:sz w:val="20"/>
          <w:szCs w:val="20"/>
        </w:rPr>
        <w:t xml:space="preserve"> approval. To the extent these operations are not allowed to include such costs in the approved rates, operating results will be adversely affected. Revenues and earnings of BHE are summarized below. Amounts are in millions.</w:t>
      </w:r>
    </w:p>
    <w:p w:rsidR="00000000" w:rsidRDefault="00A06965">
      <w:pPr>
        <w:pStyle w:val="DefaultParagraphFont"/>
        <w:widowControl w:val="0"/>
        <w:autoSpaceDE w:val="0"/>
        <w:autoSpaceDN w:val="0"/>
        <w:adjustRightInd w:val="0"/>
        <w:spacing w:after="0" w:line="20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720"/>
        <w:gridCol w:w="100"/>
        <w:gridCol w:w="560"/>
        <w:gridCol w:w="200"/>
        <w:gridCol w:w="100"/>
        <w:gridCol w:w="540"/>
        <w:gridCol w:w="200"/>
        <w:gridCol w:w="100"/>
        <w:gridCol w:w="560"/>
        <w:gridCol w:w="200"/>
        <w:gridCol w:w="540"/>
        <w:gridCol w:w="200"/>
        <w:gridCol w:w="100"/>
        <w:gridCol w:w="460"/>
        <w:gridCol w:w="200"/>
        <w:gridCol w:w="100"/>
        <w:gridCol w:w="440"/>
        <w:gridCol w:w="20"/>
      </w:tblGrid>
      <w:tr w:rsidR="00000000">
        <w:tblPrEx>
          <w:tblCellMar>
            <w:top w:w="0" w:type="dxa"/>
            <w:left w:w="0" w:type="dxa"/>
            <w:bottom w:w="0" w:type="dxa"/>
            <w:right w:w="0" w:type="dxa"/>
          </w:tblCellMar>
        </w:tblPrEx>
        <w:trPr>
          <w:trHeight w:val="184"/>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w w:val="95"/>
                <w:sz w:val="16"/>
                <w:szCs w:val="16"/>
              </w:rPr>
              <w:t>Revenues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w:hAnsi="Times" w:cs="Times"/>
                <w:b/>
                <w:bCs/>
                <w:sz w:val="16"/>
                <w:szCs w:val="16"/>
              </w:rPr>
              <w:t>Earnings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2"/>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2"/>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2"/>
              <w:jc w:val="right"/>
              <w:rPr>
                <w:rFonts w:ascii="Times New Roman" w:hAnsi="Times New Roman" w:cs="Times New Roman"/>
                <w:sz w:val="24"/>
                <w:szCs w:val="24"/>
              </w:rPr>
            </w:pPr>
            <w:r>
              <w:rPr>
                <w:rFonts w:ascii="Times" w:hAnsi="Times" w:cs="Times"/>
                <w:b/>
                <w:bCs/>
                <w:sz w:val="16"/>
                <w:szCs w:val="16"/>
              </w:rPr>
              <w:t>2012</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Times" w:hAnsi="Times" w:cs="Times"/>
                <w:b/>
                <w:bCs/>
                <w:w w:val="99"/>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2"/>
              <w:jc w:val="right"/>
              <w:rPr>
                <w:rFonts w:ascii="Times New Roman" w:hAnsi="Times New Roman" w:cs="Times New Roman"/>
                <w:sz w:val="24"/>
                <w:szCs w:val="24"/>
              </w:rPr>
            </w:pPr>
            <w:r>
              <w:rPr>
                <w:rFonts w:ascii="Times" w:hAnsi="Times" w:cs="Times"/>
                <w:b/>
                <w:bCs/>
                <w:w w:val="93"/>
                <w:sz w:val="16"/>
                <w:szCs w:val="16"/>
              </w:rPr>
              <w:t>2012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PacifiCorp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5,315</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5,215</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4,950</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$1,010</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982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737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MidAmerican Energy Company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3,818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3,453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3,275</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NV Energy . . . . . .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3,279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
              <w:jc w:val="right"/>
              <w:rPr>
                <w:rFonts w:ascii="Times New Roman" w:hAnsi="Times New Roman" w:cs="Times New Roman"/>
                <w:sz w:val="24"/>
                <w:szCs w:val="24"/>
              </w:rPr>
            </w:pPr>
            <w:r>
              <w:rPr>
                <w:rFonts w:ascii="Times" w:hAnsi="Times" w:cs="Times"/>
                <w:sz w:val="20"/>
                <w:szCs w:val="20"/>
              </w:rPr>
              <w:t>—</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
              <w:jc w:val="right"/>
              <w:rPr>
                <w:rFonts w:ascii="Times New Roman" w:hAnsi="Times New Roman" w:cs="Times New Roman"/>
                <w:sz w:val="24"/>
                <w:szCs w:val="24"/>
              </w:rPr>
            </w:pPr>
            <w:r>
              <w:rPr>
                <w:rFonts w:ascii="Times" w:hAnsi="Times" w:cs="Times"/>
                <w:sz w:val="20"/>
                <w:szCs w:val="20"/>
              </w:rPr>
              <w:t>—</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549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0"/>
              <w:jc w:val="right"/>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
              <w:jc w:val="right"/>
              <w:rPr>
                <w:rFonts w:ascii="Times New Roman" w:hAnsi="Times New Roman" w:cs="Times New Roman"/>
                <w:sz w:val="24"/>
                <w:szCs w:val="24"/>
              </w:rPr>
            </w:pPr>
            <w:r>
              <w:rPr>
                <w:rFonts w:ascii="Times" w:hAnsi="Times" w:cs="Times"/>
                <w:sz w:val="20"/>
                <w:szCs w:val="20"/>
              </w:rPr>
              <w: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Northern Powergrid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1,284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1,026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1,036</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527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Natural gas pipelines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1,093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971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978</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383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energy businesses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664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175</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Real estate brokerage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2,161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1,822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1,333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17,614</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12,743</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11,747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Earnings before corporate interest and income taxes (“EBIT”) . . . . .</w:t>
            </w: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3,138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7"/>
                <w:sz w:val="20"/>
                <w:szCs w:val="20"/>
              </w:rPr>
              <w:t>2,102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w w:val="93"/>
                <w:sz w:val="20"/>
                <w:szCs w:val="20"/>
              </w:rPr>
              <w:t>1,958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4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Corporate interest  . .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Income taxes and noncontrolling interests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829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earnings attributable to Berkshire Hathaway shareholders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$1,882</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1,470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1,323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95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Utilities and Energy (“Berkshire Hathaway Energy Company”)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PacifiCorp</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PacifiCorp operates a regulated utility business in portions of several Western states, including Utah, Oregon and Wyoming. Revenues in 2014 were $5.3 billion, an increase of $100 million (2%) compared to revenues in 2013. In 2014, revenues increased prima</w:t>
      </w:r>
      <w:r>
        <w:rPr>
          <w:rFonts w:ascii="Times" w:hAnsi="Times" w:cs="Times"/>
          <w:sz w:val="20"/>
          <w:szCs w:val="20"/>
        </w:rPr>
        <w:t>rily due to higher rates, partially offset by lower retail customer load. PacifiCorp’s EBIT were $1.0 billion, an increase of $28 million (3%) over 2013. The increase in EBIT reflected the impact of the increase in operating revenues and the recognition of</w:t>
      </w:r>
      <w:r>
        <w:rPr>
          <w:rFonts w:ascii="Times" w:hAnsi="Times" w:cs="Times"/>
          <w:sz w:val="20"/>
          <w:szCs w:val="20"/>
        </w:rPr>
        <w:t xml:space="preserve"> estimated insurance recoveries from a fire loss as compared to a reduction in 2013 EBIT from charges related to the fire, partially offset by increased energy costs and higher depreciation expense. The increase in depreciation expense reflected the impact</w:t>
      </w:r>
      <w:r>
        <w:rPr>
          <w:rFonts w:ascii="Times" w:hAnsi="Times" w:cs="Times"/>
          <w:sz w:val="20"/>
          <w:szCs w:val="20"/>
        </w:rPr>
        <w:t xml:space="preserve"> of changes in depreciation rates and higher plant in service, including a new generation facility.</w:t>
      </w:r>
    </w:p>
    <w:p w:rsidR="00000000" w:rsidRDefault="00A06965">
      <w:pPr>
        <w:pStyle w:val="DefaultParagraphFont"/>
        <w:widowControl w:val="0"/>
        <w:autoSpaceDE w:val="0"/>
        <w:autoSpaceDN w:val="0"/>
        <w:adjustRightInd w:val="0"/>
        <w:spacing w:after="0" w:line="8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Revenues in 2013 were $5.2 billion, an increase of $265 million (5%) compared to 2012. The increase was primarily due to higher retail revenues of $337 mil</w:t>
      </w:r>
      <w:r>
        <w:rPr>
          <w:rFonts w:ascii="Times" w:hAnsi="Times" w:cs="Times"/>
          <w:sz w:val="20"/>
          <w:szCs w:val="20"/>
        </w:rPr>
        <w:t>lion, partially offset by lower renewable energy credits of $74 million. The increase in retail revenues reflected higher prices approved by regulators and higher retail customer loads. EBIT in 2013 were $982 million, an increase of $245 million (33%) comp</w:t>
      </w:r>
      <w:r>
        <w:rPr>
          <w:rFonts w:ascii="Times" w:hAnsi="Times" w:cs="Times"/>
          <w:sz w:val="20"/>
          <w:szCs w:val="20"/>
        </w:rPr>
        <w:t>ared to 2012. The comparative increase in EBIT was primarily due to charges of $165 million in 2012 related to litigation, fire and other damage claims, and, to a lesser extent, the increase in revenues. Before the impact of the aforementioned claims, EBIT</w:t>
      </w:r>
      <w:r>
        <w:rPr>
          <w:rFonts w:ascii="Times" w:hAnsi="Times" w:cs="Times"/>
          <w:sz w:val="20"/>
          <w:szCs w:val="20"/>
        </w:rPr>
        <w:t xml:space="preserve"> in 2013 as a percentage of revenues were relatively unchanged from 2012.</w:t>
      </w:r>
    </w:p>
    <w:p w:rsidR="00000000" w:rsidRDefault="00A06965">
      <w:pPr>
        <w:pStyle w:val="DefaultParagraphFont"/>
        <w:widowControl w:val="0"/>
        <w:autoSpaceDE w:val="0"/>
        <w:autoSpaceDN w:val="0"/>
        <w:adjustRightInd w:val="0"/>
        <w:spacing w:after="0" w:line="9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ind w:left="400"/>
        <w:rPr>
          <w:rFonts w:ascii="Times New Roman" w:hAnsi="Times New Roman" w:cs="Times New Roman"/>
          <w:sz w:val="24"/>
          <w:szCs w:val="24"/>
        </w:rPr>
      </w:pPr>
      <w:r>
        <w:rPr>
          <w:rFonts w:ascii="Times" w:hAnsi="Times" w:cs="Times"/>
          <w:i/>
          <w:iCs/>
          <w:sz w:val="20"/>
          <w:szCs w:val="20"/>
        </w:rPr>
        <w:t>MEC</w:t>
      </w:r>
    </w:p>
    <w:p w:rsidR="00000000" w:rsidRDefault="00A06965">
      <w:pPr>
        <w:pStyle w:val="DefaultParagraphFont"/>
        <w:widowControl w:val="0"/>
        <w:autoSpaceDE w:val="0"/>
        <w:autoSpaceDN w:val="0"/>
        <w:adjustRightInd w:val="0"/>
        <w:spacing w:after="0" w:line="14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MEC operates a regulated utility business primarily in Iowa and Illinois. Revenues in 2014 increased $365 million (11%) to $3.8 billion. In 2014, revenues from regulated natura</w:t>
      </w:r>
      <w:r>
        <w:rPr>
          <w:rFonts w:ascii="Times" w:hAnsi="Times" w:cs="Times"/>
          <w:sz w:val="20"/>
          <w:szCs w:val="20"/>
        </w:rPr>
        <w:t>l gas increased $172 million compared to 2013. The increase in regulated natural gas revenues was driven by higher per-unit natural gas costs, which are recovered from customers via adjustment clauses, and higher volumes attributable to colder weather in t</w:t>
      </w:r>
      <w:r>
        <w:rPr>
          <w:rFonts w:ascii="Times" w:hAnsi="Times" w:cs="Times"/>
          <w:sz w:val="20"/>
          <w:szCs w:val="20"/>
        </w:rPr>
        <w:t>he first quarter of 2014. Regulated electric revenues increased $55 million compared to 2013 and was primarily due to increased retail rates. Nonregulated revenues increased $122 million compared to 2013 due to higher natural gas and electricity prices and</w:t>
      </w:r>
      <w:r>
        <w:rPr>
          <w:rFonts w:ascii="Times" w:hAnsi="Times" w:cs="Times"/>
          <w:sz w:val="20"/>
          <w:szCs w:val="20"/>
        </w:rPr>
        <w:t xml:space="preserve"> higher electricity volumes, partly offset by lower natural gas volumes. EBIT were $298 million in 2014, an increase of $68 million (30%) compared to 2013. The comparative increase in EBIT was primarily due to increased earnings from the regulated electric</w:t>
      </w:r>
      <w:r>
        <w:rPr>
          <w:rFonts w:ascii="Times" w:hAnsi="Times" w:cs="Times"/>
          <w:sz w:val="20"/>
          <w:szCs w:val="20"/>
        </w:rPr>
        <w:t xml:space="preserve"> business, reflecting the impact of higher revenues and lower depreciation and amortization expense due to the impact of depreciation rate changes, partially offset by increased energy and operating costs.</w:t>
      </w:r>
    </w:p>
    <w:p w:rsidR="00000000" w:rsidRDefault="00A06965">
      <w:pPr>
        <w:pStyle w:val="DefaultParagraphFont"/>
        <w:widowControl w:val="0"/>
        <w:autoSpaceDE w:val="0"/>
        <w:autoSpaceDN w:val="0"/>
        <w:adjustRightInd w:val="0"/>
        <w:spacing w:after="0" w:line="7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Revenues in 2013 increased $178 million (5%) over 2012. The increase in revenues reflected higher regulated electric and natural gas revenues and lower nonregulated and other revenues. Regulated retail electric revenues increased $82 million, while regulat</w:t>
      </w:r>
      <w:r>
        <w:rPr>
          <w:rFonts w:ascii="Times" w:hAnsi="Times" w:cs="Times"/>
          <w:sz w:val="20"/>
          <w:szCs w:val="20"/>
        </w:rPr>
        <w:t>ed natural gas revenues increased $165 million compared to 2012. The increase in regulated electric revenues was primarily due to higher regulatory rates in Iowa and Illinois and increases in retail customer load. The increase in regulated natural gas reve</w:t>
      </w:r>
      <w:r>
        <w:rPr>
          <w:rFonts w:ascii="Times" w:hAnsi="Times" w:cs="Times"/>
          <w:sz w:val="20"/>
          <w:szCs w:val="20"/>
        </w:rPr>
        <w:t xml:space="preserve">nues was primarily due to higher retail volumes and increases in recoveries through adjustment clauses as a result of a higher average per-unit cost of gas sold. Nonregulated and other operating revenues declined $67 million compared to 2012 primarily due </w:t>
      </w:r>
      <w:r>
        <w:rPr>
          <w:rFonts w:ascii="Times" w:hAnsi="Times" w:cs="Times"/>
          <w:sz w:val="20"/>
          <w:szCs w:val="20"/>
        </w:rPr>
        <w:t>to lower electricity volumes and prices. EBIT declined $6 million in 2013 compared to 2012, reflecting lower regulated and nonregulated electric operating earnings, partially offset by higher natural gas earnings.</w:t>
      </w:r>
    </w:p>
    <w:p w:rsidR="00000000" w:rsidRDefault="00A06965">
      <w:pPr>
        <w:pStyle w:val="DefaultParagraphFont"/>
        <w:widowControl w:val="0"/>
        <w:autoSpaceDE w:val="0"/>
        <w:autoSpaceDN w:val="0"/>
        <w:adjustRightInd w:val="0"/>
        <w:spacing w:after="0" w:line="10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NV Energy</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BHE acquired NV Energy on Dece</w:t>
      </w:r>
      <w:r>
        <w:rPr>
          <w:rFonts w:ascii="Times" w:hAnsi="Times" w:cs="Times"/>
          <w:sz w:val="20"/>
          <w:szCs w:val="20"/>
        </w:rPr>
        <w:t>mber 19, 2013, and its results are included in our consolidated results beginning as of that date. In 2014, revenues and EBIT were $3.3 billion and $549 million, respectively. In 2013, NV Energy’s results for the December 19 through 31, 2013 period were in</w:t>
      </w:r>
      <w:r>
        <w:rPr>
          <w:rFonts w:ascii="Times" w:hAnsi="Times" w:cs="Times"/>
          <w:sz w:val="20"/>
          <w:szCs w:val="20"/>
        </w:rPr>
        <w:t>cluded in other energy businesses and reflected one-time customer refunds, acquisition costs and other charges arising from the acquisition. NV Energy’s revenues and EBIT are normally higher in the second and third quarters due to higher electricity consum</w:t>
      </w:r>
      <w:r>
        <w:rPr>
          <w:rFonts w:ascii="Times" w:hAnsi="Times" w:cs="Times"/>
          <w:sz w:val="20"/>
          <w:szCs w:val="20"/>
        </w:rPr>
        <w:t>ption in its service territories.</w:t>
      </w:r>
    </w:p>
    <w:p w:rsidR="00000000" w:rsidRDefault="00A06965">
      <w:pPr>
        <w:pStyle w:val="DefaultParagraphFont"/>
        <w:widowControl w:val="0"/>
        <w:autoSpaceDE w:val="0"/>
        <w:autoSpaceDN w:val="0"/>
        <w:adjustRightInd w:val="0"/>
        <w:spacing w:after="0" w:line="10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Northern Powergrid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Northern Powergrid’s revenues of $1.3 billion in 2014 increased $258 million (25%) as compared to 2013. EBIT were $527 million in 2014, an increase of $165 million (46%) compared to 2013. The increases</w:t>
      </w:r>
      <w:r>
        <w:rPr>
          <w:rFonts w:ascii="Times" w:hAnsi="Times" w:cs="Times"/>
          <w:sz w:val="20"/>
          <w:szCs w:val="20"/>
        </w:rPr>
        <w:t xml:space="preserve"> in revenues and EBIT were due mainly to increased distribution revenues from increased rates and favorable regulatory provisions and the favorable impact of foreign currency translation.</w:t>
      </w:r>
    </w:p>
    <w:p w:rsidR="00000000" w:rsidRDefault="00A06965">
      <w:pPr>
        <w:pStyle w:val="DefaultParagraphFont"/>
        <w:widowControl w:val="0"/>
        <w:autoSpaceDE w:val="0"/>
        <w:autoSpaceDN w:val="0"/>
        <w:adjustRightInd w:val="0"/>
        <w:spacing w:after="0" w:line="8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 xml:space="preserve">In 2013, revenues declined $10 million (1%) compared to 2012. EBIT </w:t>
      </w:r>
      <w:r>
        <w:rPr>
          <w:rFonts w:ascii="Times" w:hAnsi="Times" w:cs="Times"/>
          <w:sz w:val="20"/>
          <w:szCs w:val="20"/>
        </w:rPr>
        <w:t>in 2013 was $362 million, a decline of $67 million versus 2012. EBIT were negatively impacted by fourth quarter rebates to customers and higher regulatory rate provisions, which reduced revenues, and from higher distribution operating expenses and the unfa</w:t>
      </w:r>
      <w:r>
        <w:rPr>
          <w:rFonts w:ascii="Times" w:hAnsi="Times" w:cs="Times"/>
          <w:sz w:val="20"/>
          <w:szCs w:val="20"/>
        </w:rPr>
        <w:t>vorable effect of foreign currency translation in 2013. Operating expenses in 2013 included comparatively higher pension costs and higher depreciation expenses. EBIT in 2013 also included a $9 million loss from the write-off of hydrocarbon well exploration</w:t>
      </w:r>
      <w:r>
        <w:rPr>
          <w:rFonts w:ascii="Times" w:hAnsi="Times" w:cs="Times"/>
          <w:sz w:val="20"/>
          <w:szCs w:val="20"/>
        </w:rPr>
        <w:t xml:space="preserve"> costs.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96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Utilities and Energy (“Berkshire Hathaway Energy Company”)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Natural Gas Pipelines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Natural gas pipeline revenues increased $122 million (13%) in 2014 compared to 2013. The increase reflected comparatively higher revenues from increased natural gas rates and volumes as a result of significantly colder weather conditions in the first quart</w:t>
      </w:r>
      <w:r>
        <w:rPr>
          <w:rFonts w:ascii="Times" w:hAnsi="Times" w:cs="Times"/>
          <w:sz w:val="20"/>
          <w:szCs w:val="20"/>
        </w:rPr>
        <w:t>er of 2014 in Northern Natural Gas Company’s service territory and system rebalancing activities over the first half of 2014. EBIT in 2014 of $379 million were relatively unchanged from 2013. Revenues and EBIT in 2013 were $971 million and $385 million, re</w:t>
      </w:r>
      <w:r>
        <w:rPr>
          <w:rFonts w:ascii="Times" w:hAnsi="Times" w:cs="Times"/>
          <w:sz w:val="20"/>
          <w:szCs w:val="20"/>
        </w:rPr>
        <w:t>spectively, and were relatively unchanged from 2012.</w:t>
      </w:r>
    </w:p>
    <w:p w:rsidR="00000000" w:rsidRDefault="00A06965">
      <w:pPr>
        <w:pStyle w:val="DefaultParagraphFont"/>
        <w:widowControl w:val="0"/>
        <w:autoSpaceDE w:val="0"/>
        <w:autoSpaceDN w:val="0"/>
        <w:adjustRightInd w:val="0"/>
        <w:spacing w:after="0" w:line="17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Other energy businesses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Revenues and EBIT in 2014 from other energy businesses increased $408 million and $232 million, respectively, over revenues and EBIT in 2013. The increases were primarily attrib</w:t>
      </w:r>
      <w:r>
        <w:rPr>
          <w:rFonts w:ascii="Times" w:hAnsi="Times" w:cs="Times"/>
          <w:sz w:val="20"/>
          <w:szCs w:val="20"/>
        </w:rPr>
        <w:t>utable to increased revenues from new solar facilities as additional assets were placed in service and from the inclusion of revenues and EBIT of AltaLink for the month of December. The increase in revenues from other activities in 2013 was $81 million, wh</w:t>
      </w:r>
      <w:r>
        <w:rPr>
          <w:rFonts w:ascii="Times" w:hAnsi="Times" w:cs="Times"/>
          <w:sz w:val="20"/>
          <w:szCs w:val="20"/>
        </w:rPr>
        <w:t>ich was primarily attributable to revenues from the new solar and wind-powered facilities, partially offset by the impact of one-time customer refunds issued by NV Energy and impairment losses associated with BHE’s interests in certain geothermal electrici</w:t>
      </w:r>
      <w:r>
        <w:rPr>
          <w:rFonts w:ascii="Times" w:hAnsi="Times" w:cs="Times"/>
          <w:sz w:val="20"/>
          <w:szCs w:val="20"/>
        </w:rPr>
        <w:t>ty generation projects. EBIT from other activities declined $87 million in 2013 compared to 2012, as the impacts of the aforementioned losses associated with geothermal projects and NV Energy acquisition costs and customer refunds, more than offset the inc</w:t>
      </w:r>
      <w:r>
        <w:rPr>
          <w:rFonts w:ascii="Times" w:hAnsi="Times" w:cs="Times"/>
          <w:sz w:val="20"/>
          <w:szCs w:val="20"/>
        </w:rPr>
        <w:t>rease in earnings from the new solar and wind-powered electricity generation projects.</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Real estate brokerage</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Revenues of the real estate brokerage businesses increased $339 million (19%) in 2014 as compared to 2013. The increase reflected the impact of revenues from acquired businesses, partially offset by lower revenues from existing operations, due to a 6% decl</w:t>
      </w:r>
      <w:r>
        <w:rPr>
          <w:rFonts w:ascii="Times" w:hAnsi="Times" w:cs="Times"/>
          <w:sz w:val="20"/>
          <w:szCs w:val="20"/>
        </w:rPr>
        <w:t>ine in closed units and lower franchise revenues. EBIT of $139 million in 2014 were unchanged from 2013 as the increases in EBIT from acquired businesses were offset by lower EBIT from existing businesses and higher operating expenses related to “Berkshire</w:t>
      </w:r>
      <w:r>
        <w:rPr>
          <w:rFonts w:ascii="Times" w:hAnsi="Times" w:cs="Times"/>
          <w:sz w:val="20"/>
          <w:szCs w:val="20"/>
        </w:rPr>
        <w:t xml:space="preserve"> Hathaway HomeServices” rebranding activities.</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Real estate brokerage revenues in 2013 increased $489 million (37%) over 2012, while EBIT increased $57 million (70%) versus 2012. The increases in revenues and EBIT were attributable to increases in closed b</w:t>
      </w:r>
      <w:r>
        <w:rPr>
          <w:rFonts w:ascii="Times" w:hAnsi="Times" w:cs="Times"/>
          <w:sz w:val="20"/>
          <w:szCs w:val="20"/>
        </w:rPr>
        <w:t>rokerage transactions and higher average home sales prices from existing business and the impact of businesses acquired during the previous two years.</w:t>
      </w:r>
    </w:p>
    <w:p w:rsidR="00000000" w:rsidRDefault="00A06965">
      <w:pPr>
        <w:pStyle w:val="DefaultParagraphFont"/>
        <w:widowControl w:val="0"/>
        <w:autoSpaceDE w:val="0"/>
        <w:autoSpaceDN w:val="0"/>
        <w:adjustRightInd w:val="0"/>
        <w:spacing w:after="0" w:line="17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Corporate interest and income taxes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Corporate interest includes interest on unsecured debt issued by BH</w:t>
      </w:r>
      <w:r>
        <w:rPr>
          <w:rFonts w:ascii="Times" w:hAnsi="Times" w:cs="Times"/>
          <w:sz w:val="20"/>
          <w:szCs w:val="20"/>
        </w:rPr>
        <w:t xml:space="preserve">E and borrowings from certain Berkshire insurance subsidiaries. In 2014, corporate interest expense increased due to new borrowings in connection with the NV Energy and AltaLink acquisitions. BHE’s consolidated effective income tax rates were 23% in 2014, </w:t>
      </w:r>
      <w:r>
        <w:rPr>
          <w:rFonts w:ascii="Times" w:hAnsi="Times" w:cs="Times"/>
          <w:sz w:val="20"/>
          <w:szCs w:val="20"/>
        </w:rPr>
        <w:t>7% in 2013 and 9% in 2012. In each year, BHE’s income tax rates reflect significant production tax credits from wind-powered electricity generation in the United States. In addition, pre-tax earnings of Northern Powergrid are taxed at a lower statutory tax</w:t>
      </w:r>
      <w:r>
        <w:rPr>
          <w:rFonts w:ascii="Times" w:hAnsi="Times" w:cs="Times"/>
          <w:sz w:val="20"/>
          <w:szCs w:val="20"/>
        </w:rPr>
        <w:t xml:space="preserve"> rate in the United Kingdom compared to the statutory tax rate in the United States. BHE’s effective rate was reduced in 2013 due to a reduction of deferred income tax liabilities as a result of enacted statutory income tax rate decreases in the United Kin</w:t>
      </w:r>
      <w:r>
        <w:rPr>
          <w:rFonts w:ascii="Times" w:hAnsi="Times" w:cs="Times"/>
          <w:sz w:val="20"/>
          <w:szCs w:val="20"/>
        </w:rPr>
        <w:t>gdom.</w:t>
      </w:r>
    </w:p>
    <w:p w:rsidR="00000000" w:rsidRDefault="00A06965">
      <w:pPr>
        <w:pStyle w:val="DefaultParagraphFont"/>
        <w:widowControl w:val="0"/>
        <w:autoSpaceDE w:val="0"/>
        <w:autoSpaceDN w:val="0"/>
        <w:adjustRightInd w:val="0"/>
        <w:spacing w:after="0" w:line="17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720"/>
        <w:gridCol w:w="660"/>
        <w:gridCol w:w="200"/>
        <w:gridCol w:w="640"/>
        <w:gridCol w:w="200"/>
        <w:gridCol w:w="660"/>
        <w:gridCol w:w="200"/>
        <w:gridCol w:w="100"/>
        <w:gridCol w:w="440"/>
        <w:gridCol w:w="200"/>
        <w:gridCol w:w="100"/>
        <w:gridCol w:w="460"/>
        <w:gridCol w:w="200"/>
        <w:gridCol w:w="100"/>
        <w:gridCol w:w="440"/>
        <w:gridCol w:w="20"/>
      </w:tblGrid>
      <w:tr w:rsidR="00000000">
        <w:tblPrEx>
          <w:tblCellMar>
            <w:top w:w="0" w:type="dxa"/>
            <w:left w:w="0" w:type="dxa"/>
            <w:bottom w:w="0" w:type="dxa"/>
            <w:right w:w="0" w:type="dxa"/>
          </w:tblCellMar>
        </w:tblPrEx>
        <w:trPr>
          <w:trHeight w:val="23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b/>
                <w:bCs/>
                <w:i/>
                <w:iCs/>
                <w:sz w:val="20"/>
                <w:szCs w:val="20"/>
              </w:rPr>
              <w:t>Manufacturing, Service and Retailing</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0"/>
        </w:trPr>
        <w:tc>
          <w:tcPr>
            <w:tcW w:w="6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A summary of revenues and earnings of our manufacturing, service</w:t>
            </w:r>
          </w:p>
        </w:tc>
        <w:tc>
          <w:tcPr>
            <w:tcW w:w="3940" w:type="dxa"/>
            <w:gridSpan w:val="1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and retailing businesses follows. Amounts are</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 millions.</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b/>
                <w:bCs/>
                <w:w w:val="95"/>
                <w:sz w:val="16"/>
                <w:szCs w:val="16"/>
              </w:rPr>
              <w:t>Revenues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w:hAnsi="Times" w:cs="Times"/>
                <w:b/>
                <w:bCs/>
                <w:sz w:val="16"/>
                <w:szCs w:val="16"/>
              </w:rPr>
              <w:t>Earnings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3"/>
              <w:jc w:val="right"/>
              <w:rPr>
                <w:rFonts w:ascii="Times New Roman" w:hAnsi="Times New Roman" w:cs="Times New Roman"/>
                <w:sz w:val="24"/>
                <w:szCs w:val="24"/>
              </w:rPr>
            </w:pPr>
            <w:r>
              <w:rPr>
                <w:rFonts w:ascii="Times" w:hAnsi="Times" w:cs="Times"/>
                <w:b/>
                <w:bCs/>
                <w:sz w:val="16"/>
                <w:szCs w:val="16"/>
              </w:rPr>
              <w:t>2014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w:hAnsi="Times" w:cs="Times"/>
                <w:b/>
                <w:bCs/>
                <w:sz w:val="16"/>
                <w:szCs w:val="16"/>
              </w:rPr>
              <w:t>2013</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80"/>
              <w:jc w:val="right"/>
              <w:rPr>
                <w:rFonts w:ascii="Times New Roman" w:hAnsi="Times New Roman" w:cs="Times New Roman"/>
                <w:sz w:val="24"/>
                <w:szCs w:val="24"/>
              </w:rPr>
            </w:pPr>
            <w:r>
              <w:rPr>
                <w:rFonts w:ascii="Times" w:hAnsi="Times" w:cs="Times"/>
                <w:b/>
                <w:bCs/>
                <w:sz w:val="16"/>
                <w:szCs w:val="16"/>
              </w:rPr>
              <w:t>2012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w w:val="93"/>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w w:val="99"/>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w w:val="93"/>
                <w:sz w:val="16"/>
                <w:szCs w:val="16"/>
              </w:rPr>
              <w:t>2012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McLane Company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$46,640</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$45,930</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$37,437</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435</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Manufacturing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36,773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34,258</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32,105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4,811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4,205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3,911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Service .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9,854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8,996</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8,175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1,202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1,093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966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Retailing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4,422</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4,288</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3,715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$97,689</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$93,472</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$81,432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Pre-tax earnings</w:t>
            </w: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6,792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6,160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5,586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7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380"/>
              <w:rPr>
                <w:rFonts w:ascii="Times New Roman" w:hAnsi="Times New Roman" w:cs="Times New Roman"/>
                <w:sz w:val="24"/>
                <w:szCs w:val="24"/>
              </w:rPr>
            </w:pPr>
            <w:r>
              <w:rPr>
                <w:rFonts w:ascii="Times" w:hAnsi="Times" w:cs="Times"/>
                <w:sz w:val="20"/>
                <w:szCs w:val="20"/>
              </w:rPr>
              <w:t>.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Income taxes and noncontrolling interests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2,324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2,283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2,229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4,468</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3,877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3,357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9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97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Manufacturing, Service and Retailing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McLane Company</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 xml:space="preserve">McLane operates a </w:t>
      </w:r>
      <w:r>
        <w:rPr>
          <w:rFonts w:ascii="Times" w:hAnsi="Times" w:cs="Times"/>
          <w:sz w:val="20"/>
          <w:szCs w:val="20"/>
        </w:rPr>
        <w:t>wholesale distribution business that provides grocery and non-food products to retailers, convenience stores and restaurants. In 2012, McLane acquired Meadowbrook Meat Company, Inc. (“MBM”), a large foodservice distributor for national restaurant chains. T</w:t>
      </w:r>
      <w:r>
        <w:rPr>
          <w:rFonts w:ascii="Times" w:hAnsi="Times" w:cs="Times"/>
          <w:sz w:val="20"/>
          <w:szCs w:val="20"/>
        </w:rPr>
        <w:t>hrough its subsidiaries, McLane also operates as a wholesale distributor of distilled spirits, wine and beer. McLane’s grocery and foodservice businesses are marked by high sales volume and very low profit margins and have several significant customers, in</w:t>
      </w:r>
      <w:r>
        <w:rPr>
          <w:rFonts w:ascii="Times" w:hAnsi="Times" w:cs="Times"/>
          <w:sz w:val="20"/>
          <w:szCs w:val="20"/>
        </w:rPr>
        <w:t>cluding Wal-Mart, 7-Eleven and Yum! Brands. A curtailment of purchasing by any of its significant customers could have a significant adverse impact on McLane’s periodic revenues and earnings.</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Revenues in 2014 of $46.6 billion increased $710 million (1.5%)</w:t>
      </w:r>
      <w:r>
        <w:rPr>
          <w:rFonts w:ascii="Times" w:hAnsi="Times" w:cs="Times"/>
          <w:sz w:val="20"/>
          <w:szCs w:val="20"/>
        </w:rPr>
        <w:t xml:space="preserve"> compared to 2013. The overall revenue increase reflected increased foodservice and beverage revenues, while grocery revenues were relatively flat. Pre-tax earnings in 2014 declined $51 million (10.5%) from 2013. Earnings in 2013 included a pre-tax gain of</w:t>
      </w:r>
      <w:r>
        <w:rPr>
          <w:rFonts w:ascii="Times" w:hAnsi="Times" w:cs="Times"/>
          <w:sz w:val="20"/>
          <w:szCs w:val="20"/>
        </w:rPr>
        <w:t xml:space="preserve"> $24 million from the sale of a logistics business. Before the impact of this gain, McLane’s earnings in 2014 decreased 6% compared to 2013. The decline reflected higher earnings from the grocery and beverage businesses which was more than offset by lower </w:t>
      </w:r>
      <w:r>
        <w:rPr>
          <w:rFonts w:ascii="Times" w:hAnsi="Times" w:cs="Times"/>
          <w:sz w:val="20"/>
          <w:szCs w:val="20"/>
        </w:rPr>
        <w:t>earnings from the foodservice business. In 2014, our foodservice operations experienced higher per unit processing costs and higher other operating costs which more than offset the increase in revenues.</w:t>
      </w:r>
    </w:p>
    <w:p w:rsidR="00000000" w:rsidRDefault="00A06965">
      <w:pPr>
        <w:pStyle w:val="DefaultParagraphFont"/>
        <w:widowControl w:val="0"/>
        <w:autoSpaceDE w:val="0"/>
        <w:autoSpaceDN w:val="0"/>
        <w:adjustRightInd w:val="0"/>
        <w:spacing w:after="0" w:line="20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McLane’s revenues in 2013 were approximately $45.9 b</w:t>
      </w:r>
      <w:r>
        <w:rPr>
          <w:rFonts w:ascii="Times" w:hAnsi="Times" w:cs="Times"/>
          <w:sz w:val="20"/>
          <w:szCs w:val="20"/>
        </w:rPr>
        <w:t>illion, representing an increase of approximately $8.5 billion (23%) over revenues in 2012. The increase in revenues reflected the impact of the MBM acquisition, as well as year-to-date revenue increases ranging from 10% to 15% in the grocery, other foodse</w:t>
      </w:r>
      <w:r>
        <w:rPr>
          <w:rFonts w:ascii="Times" w:hAnsi="Times" w:cs="Times"/>
          <w:sz w:val="20"/>
          <w:szCs w:val="20"/>
        </w:rPr>
        <w:t>rvice and beverage businesses. Revenues of each of these businesses in 2013 included the impact of new customers added in 2012 and 2013. McLane’s pre-tax earnings in 2013 increased $83 million (21%) over earnings in 2012. The increase in 2013 pre-tax earni</w:t>
      </w:r>
      <w:r>
        <w:rPr>
          <w:rFonts w:ascii="Times" w:hAnsi="Times" w:cs="Times"/>
          <w:sz w:val="20"/>
          <w:szCs w:val="20"/>
        </w:rPr>
        <w:t>ngs reflected the increases in revenues, including the impact of the MBM acquisition, and a gain from the sale of a logistics business, partially offset by slightly lower operating margins.</w:t>
      </w:r>
    </w:p>
    <w:p w:rsidR="00000000" w:rsidRDefault="00A0696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Manufacturing</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This group includes a variety of businesses that manufacture industrial and end-user products and include: The Lubrizol Corporation (“Lubrizol”), a specialty chemical manufacturer; IMC International Metalworking Companies (“IMC”), an industry leader in the</w:t>
      </w:r>
      <w:r>
        <w:rPr>
          <w:rFonts w:ascii="Times" w:hAnsi="Times" w:cs="Times"/>
          <w:sz w:val="20"/>
          <w:szCs w:val="20"/>
        </w:rPr>
        <w:t xml:space="preserve"> metal cutting tools business with operations worldwide; Forest River, a leading manufacturer of leisure vehicles; and CTB, a manufacturer of equipment and systems for the livestock and agricultural industries. Also included are the diversified manufacturi</w:t>
      </w:r>
      <w:r>
        <w:rPr>
          <w:rFonts w:ascii="Times" w:hAnsi="Times" w:cs="Times"/>
          <w:sz w:val="20"/>
          <w:szCs w:val="20"/>
        </w:rPr>
        <w:t>ng operations of Marmon, which in prior years were presented separately with its transportation equipment manufacturing and leasing operations. In this report, Marmon’s transportation equipment manufacturing and leasing businesses are included in our finan</w:t>
      </w:r>
      <w:r>
        <w:rPr>
          <w:rFonts w:ascii="Times" w:hAnsi="Times" w:cs="Times"/>
          <w:sz w:val="20"/>
          <w:szCs w:val="20"/>
        </w:rPr>
        <w:t>ce and financial products group. Our manufacturing businesses also include several building products businesses (Acme Building Brands, Benjamin Moore, Johns Manville, Shaw and MiTek) and six apparel businesses (led by Fruit of the Loom which includes Russe</w:t>
      </w:r>
      <w:r>
        <w:rPr>
          <w:rFonts w:ascii="Times" w:hAnsi="Times" w:cs="Times"/>
          <w:sz w:val="20"/>
          <w:szCs w:val="20"/>
        </w:rPr>
        <w:t>ll athletic apparel and Vanity Fair Brands women’s intimate apparel).</w:t>
      </w:r>
    </w:p>
    <w:p w:rsidR="00000000" w:rsidRDefault="00A06965">
      <w:pPr>
        <w:pStyle w:val="DefaultParagraphFont"/>
        <w:widowControl w:val="0"/>
        <w:autoSpaceDE w:val="0"/>
        <w:autoSpaceDN w:val="0"/>
        <w:adjustRightInd w:val="0"/>
        <w:spacing w:after="0" w:line="15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720"/>
        <w:gridCol w:w="660"/>
        <w:gridCol w:w="200"/>
        <w:gridCol w:w="640"/>
        <w:gridCol w:w="200"/>
        <w:gridCol w:w="660"/>
        <w:gridCol w:w="200"/>
        <w:gridCol w:w="540"/>
        <w:gridCol w:w="200"/>
        <w:gridCol w:w="560"/>
        <w:gridCol w:w="200"/>
        <w:gridCol w:w="540"/>
      </w:tblGrid>
      <w:tr w:rsidR="00000000">
        <w:tblPrEx>
          <w:tblCellMar>
            <w:top w:w="0" w:type="dxa"/>
            <w:left w:w="0" w:type="dxa"/>
            <w:bottom w:w="0" w:type="dxa"/>
            <w:right w:w="0" w:type="dxa"/>
          </w:tblCellMar>
        </w:tblPrEx>
        <w:trPr>
          <w:trHeight w:val="184"/>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b/>
                <w:bCs/>
                <w:w w:val="95"/>
                <w:sz w:val="16"/>
                <w:szCs w:val="16"/>
              </w:rPr>
              <w:t>Revenues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4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60"/>
              <w:jc w:val="right"/>
              <w:rPr>
                <w:rFonts w:ascii="Times New Roman" w:hAnsi="Times New Roman" w:cs="Times New Roman"/>
                <w:sz w:val="24"/>
                <w:szCs w:val="24"/>
              </w:rPr>
            </w:pPr>
            <w:r>
              <w:rPr>
                <w:rFonts w:ascii="Times" w:hAnsi="Times" w:cs="Times"/>
                <w:b/>
                <w:bCs/>
                <w:sz w:val="16"/>
                <w:szCs w:val="16"/>
              </w:rPr>
              <w:t>Pre-tax earnings</w:t>
            </w:r>
          </w:p>
        </w:tc>
      </w:tr>
      <w:tr w:rsidR="00000000">
        <w:tblPrEx>
          <w:tblCellMar>
            <w:top w:w="0" w:type="dxa"/>
            <w:left w:w="0" w:type="dxa"/>
            <w:bottom w:w="0" w:type="dxa"/>
            <w:right w:w="0" w:type="dxa"/>
          </w:tblCellMar>
        </w:tblPrEx>
        <w:trPr>
          <w:trHeight w:val="26"/>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4"/>
              <w:jc w:val="right"/>
              <w:rPr>
                <w:rFonts w:ascii="Times New Roman" w:hAnsi="Times New Roman" w:cs="Times New Roman"/>
                <w:sz w:val="24"/>
                <w:szCs w:val="24"/>
              </w:rPr>
            </w:pPr>
            <w:r>
              <w:rPr>
                <w:rFonts w:ascii="Times" w:hAnsi="Times" w:cs="Times"/>
                <w:b/>
                <w:bCs/>
                <w:sz w:val="16"/>
                <w:szCs w:val="16"/>
              </w:rPr>
              <w:t>2014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w:hAnsi="Times" w:cs="Times"/>
                <w:b/>
                <w:bCs/>
                <w:sz w:val="16"/>
                <w:szCs w:val="16"/>
              </w:rPr>
              <w:t>2013</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80"/>
              <w:jc w:val="right"/>
              <w:rPr>
                <w:rFonts w:ascii="Times New Roman" w:hAnsi="Times New Roman" w:cs="Times New Roman"/>
                <w:sz w:val="24"/>
                <w:szCs w:val="24"/>
              </w:rPr>
            </w:pPr>
            <w:r>
              <w:rPr>
                <w:rFonts w:ascii="Times" w:hAnsi="Times" w:cs="Times"/>
                <w:b/>
                <w:bCs/>
                <w:sz w:val="16"/>
                <w:szCs w:val="16"/>
              </w:rPr>
              <w:t>2012</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w:hAnsi="Times" w:cs="Times"/>
                <w:b/>
                <w:bCs/>
                <w:sz w:val="16"/>
                <w:szCs w:val="16"/>
              </w:rPr>
              <w:t>2014</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2012</w:t>
            </w:r>
          </w:p>
        </w:tc>
      </w:tr>
      <w:tr w:rsidR="00000000">
        <w:tblPrEx>
          <w:tblCellMar>
            <w:top w:w="0" w:type="dxa"/>
            <w:left w:w="0" w:type="dxa"/>
            <w:bottom w:w="0" w:type="dxa"/>
            <w:right w:w="0" w:type="dxa"/>
          </w:tblCellMar>
        </w:tblPrEx>
        <w:trPr>
          <w:trHeight w:val="26"/>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Industrial and end-user products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$22,314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$20,325</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$19,003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$3,460</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$3,044</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$2,912</w:t>
            </w: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Building products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10,124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9,640</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8,953</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896</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846</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748</w:t>
            </w:r>
          </w:p>
        </w:tc>
      </w:tr>
      <w:tr w:rsidR="00000000">
        <w:tblPrEx>
          <w:tblCellMar>
            <w:top w:w="0" w:type="dxa"/>
            <w:left w:w="0" w:type="dxa"/>
            <w:bottom w:w="0" w:type="dxa"/>
            <w:right w:w="0" w:type="dxa"/>
          </w:tblCellMar>
        </w:tblPrEx>
        <w:trPr>
          <w:trHeight w:val="24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Apparel . . . . . . . . . . . . . . . . . . . . . . . . . . . . . . . . . . . . . . . . . . . . . . . .</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4,335</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4,293</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4,149</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455</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315</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251</w:t>
            </w: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$36,773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$34,258</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$32,105</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$4,811</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$4,205</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$3,911</w:t>
            </w:r>
          </w:p>
        </w:tc>
      </w:tr>
      <w:tr w:rsidR="00000000">
        <w:tblPrEx>
          <w:tblCellMar>
            <w:top w:w="0" w:type="dxa"/>
            <w:left w:w="0" w:type="dxa"/>
            <w:bottom w:w="0" w:type="dxa"/>
            <w:right w:w="0" w:type="dxa"/>
          </w:tblCellMar>
        </w:tblPrEx>
        <w:trPr>
          <w:trHeight w:val="28"/>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5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Aggregate revenues of our manufacturers in 2014 increased $2.5 billion (7%) to $36.8 billion. Pre-tax earnings of this group of businesses were $4.8 billion in 2014, an increase of $606 million (14%) vers</w:t>
      </w:r>
      <w:r>
        <w:rPr>
          <w:rFonts w:ascii="Times" w:hAnsi="Times" w:cs="Times"/>
          <w:sz w:val="20"/>
          <w:szCs w:val="20"/>
        </w:rPr>
        <w:t>us 2013.</w:t>
      </w:r>
    </w:p>
    <w:p w:rsidR="00000000" w:rsidRDefault="00A06965">
      <w:pPr>
        <w:pStyle w:val="DefaultParagraphFont"/>
        <w:widowControl w:val="0"/>
        <w:autoSpaceDE w:val="0"/>
        <w:autoSpaceDN w:val="0"/>
        <w:adjustRightInd w:val="0"/>
        <w:spacing w:after="0" w:line="2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Revenues in 2014 from our industrial and end-user products manufacturers increased $2.0 billion (10%) to $22.3 billion. Pre-tax earnings from these businesses in 2014 increased $416 million (14%) to $3.5 billion. Lubrizol’s revenues in 2014 incre</w:t>
      </w:r>
      <w:r>
        <w:rPr>
          <w:rFonts w:ascii="Times" w:hAnsi="Times" w:cs="Times"/>
          <w:sz w:val="20"/>
          <w:szCs w:val="20"/>
        </w:rPr>
        <w:t>ased $546 million (9%) to $6.9 billion, while pre-tax earnings increased 10% compared to 2013. The increases were primarily due to the impact of bolt-on acquisitions. Forest River’s revenues in 2014 increased 14% to $3.8 billion due to increased unit sales</w:t>
      </w:r>
      <w:r>
        <w:rPr>
          <w:rFonts w:ascii="Times" w:hAnsi="Times" w:cs="Times"/>
          <w:sz w:val="20"/>
          <w:szCs w:val="20"/>
        </w:rPr>
        <w:t>. Forest River’s pre-tax earnings in 2014 increased 21% over 2013 due primarily to the aforementioned increase in unit sales and relatively lower manufacturing costs. In 2014, IMC’s pre-tax earnings increased 18% over 2013 which reflected the impact of a 6</w:t>
      </w:r>
      <w:r>
        <w:rPr>
          <w:rFonts w:ascii="Times" w:hAnsi="Times" w:cs="Times"/>
          <w:sz w:val="20"/>
          <w:szCs w:val="20"/>
        </w:rPr>
        <w:t>% year-to-date increase in sales, as well as increased gross margin rates and lower operating expense rates.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98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Manufacturing, Service and Retailing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Manufacturing (Continued)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Marmon’s manufacturing revenues were $5.95 billion in 2014, an increase of $791 million (15%) compared to 2013. The revenue increase in 2014 was primarily attributable to the beverage dispensing and merchandising businesses acqui</w:t>
      </w:r>
      <w:r>
        <w:rPr>
          <w:rFonts w:ascii="Times" w:hAnsi="Times" w:cs="Times"/>
          <w:sz w:val="20"/>
          <w:szCs w:val="20"/>
        </w:rPr>
        <w:t>red at the beginning of 2014. Excluding this acquisition’s impact, revenues were relatively unchanged from 2013. In 2014, Marmon experienced volume-driven revenue growth in several business markets, including: commercial trailer and aftermarket brake drums</w:t>
      </w:r>
      <w:r>
        <w:rPr>
          <w:rFonts w:ascii="Times" w:hAnsi="Times" w:cs="Times"/>
          <w:sz w:val="20"/>
          <w:szCs w:val="20"/>
        </w:rPr>
        <w:t xml:space="preserve">; residential water treatment systems in China and the United States; specialty metal pipe, tubing and steel beam; specialty and utility cable products; and automotive, safety and construction fastener markets. These increases were substantially offset by </w:t>
      </w:r>
      <w:r>
        <w:rPr>
          <w:rFonts w:ascii="Times" w:hAnsi="Times" w:cs="Times"/>
          <w:sz w:val="20"/>
          <w:szCs w:val="20"/>
        </w:rPr>
        <w:t>revenue declines from lower copper prices and lower volumes in the electrical and plumbing products businesses and the strategic decision to exit the low margin building wire and copper tubing businesses. Marmon’s manufacturing pre-tax earnings were $708 m</w:t>
      </w:r>
      <w:r>
        <w:rPr>
          <w:rFonts w:ascii="Times" w:hAnsi="Times" w:cs="Times"/>
          <w:sz w:val="20"/>
          <w:szCs w:val="20"/>
        </w:rPr>
        <w:t>illion in 2014, an increase of $111 million (19%) over earnings in 2013. The earnings increase primarily reflected the favorable impact of the acquisition of IMI plc beverage dispensing and merchandising businesses, the impact of the revenue growth discuss</w:t>
      </w:r>
      <w:r>
        <w:rPr>
          <w:rFonts w:ascii="Times" w:hAnsi="Times" w:cs="Times"/>
          <w:sz w:val="20"/>
          <w:szCs w:val="20"/>
        </w:rPr>
        <w:t>ed previously and cost savings associated with restructuring actions taken in the retail store equipment and electrical and plumbing products businesses.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 xml:space="preserve">Revenues in 2014 from our building products businesses were approximately $10.1 billion, an increase </w:t>
      </w:r>
      <w:r>
        <w:rPr>
          <w:rFonts w:ascii="Times" w:hAnsi="Times" w:cs="Times"/>
          <w:sz w:val="20"/>
          <w:szCs w:val="20"/>
        </w:rPr>
        <w:t>of 5% over 2013. In 2014, Johns Manville, Acme and MiTek produced revenue increases, which were primarily due to higher sales volume, as well as from the impact of recent MiTek bolt-on acquisitions. Revenues in 2014 from Shaw were relatively unchanged from</w:t>
      </w:r>
      <w:r>
        <w:rPr>
          <w:rFonts w:ascii="Times" w:hAnsi="Times" w:cs="Times"/>
          <w:sz w:val="20"/>
          <w:szCs w:val="20"/>
        </w:rPr>
        <w:t xml:space="preserve"> 2013, reflecting the impact of the closure of its rugs division in early 2014 and lower carpet sales, offset by higher sales of hard flooring products. Pre-tax earnings in 2014 of the building products businesses increased 6% compared to 2013. Each of our</w:t>
      </w:r>
      <w:r>
        <w:rPr>
          <w:rFonts w:ascii="Times" w:hAnsi="Times" w:cs="Times"/>
          <w:sz w:val="20"/>
          <w:szCs w:val="20"/>
        </w:rPr>
        <w:t xml:space="preserve"> building products businesses generated increased earnings in 2014 over 2013, with the exception of Shaw, whose earnings declined due to comparatively higher raw material costs.</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Apparel revenues in 2014 were $4.3 billion, a slight increase (1%) compared to 2013. Pre-tax earnings increased $140 million (44%) over 2013. In 2014, our apparel businesses benefitted from restructuring initiatives undertaken in 2013 and 2014, which inclu</w:t>
      </w:r>
      <w:r>
        <w:rPr>
          <w:rFonts w:ascii="Times" w:hAnsi="Times" w:cs="Times"/>
          <w:sz w:val="20"/>
          <w:szCs w:val="20"/>
        </w:rPr>
        <w:t>ded discontinuing unprofitable business, as well as from comparatively lower manufacturing and pension costs.</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Aggregate revenues of our manufacturers in 2013 were $34.3 billion, an increase of $2.15 billion (7%) versus 2012. Pre-tax earnings of this group</w:t>
      </w:r>
      <w:r>
        <w:rPr>
          <w:rFonts w:ascii="Times" w:hAnsi="Times" w:cs="Times"/>
          <w:sz w:val="20"/>
          <w:szCs w:val="20"/>
        </w:rPr>
        <w:t xml:space="preserve"> of businesses were $4.2 billion in 2013, an increase of $294 million (8%) versus 2012. Revenues in 2013 from our industrial and end-user products manufacturers increased $1.3 billion (7%) to $20.3 billion, while pre-tax earnings increased $132 million (5%</w:t>
      </w:r>
      <w:r>
        <w:rPr>
          <w:rFonts w:ascii="Times" w:hAnsi="Times" w:cs="Times"/>
          <w:sz w:val="20"/>
          <w:szCs w:val="20"/>
        </w:rPr>
        <w:t>) to $3.0 billion. The increases in revenues and pre-tax earnings were primarily attributable to bolt-on acquisitions and increased revenues and earnings of Forest River.</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 xml:space="preserve">Lubrizol’s revenues in 2013 increased $267 million over 2012 to $6.4 billion, while </w:t>
      </w:r>
      <w:r>
        <w:rPr>
          <w:rFonts w:ascii="Times" w:hAnsi="Times" w:cs="Times"/>
          <w:sz w:val="20"/>
          <w:szCs w:val="20"/>
        </w:rPr>
        <w:t>revenues of IMC increased 10%. However, Lubrizol’s and IMC’s pre-tax earnings in 2013 were relatively unchanged from 2012. Forest River revenues in 2013 were $3.3 billion, an increase of 24% over 2012, which was due to a 17% increase in volume and higher a</w:t>
      </w:r>
      <w:r>
        <w:rPr>
          <w:rFonts w:ascii="Times" w:hAnsi="Times" w:cs="Times"/>
          <w:sz w:val="20"/>
          <w:szCs w:val="20"/>
        </w:rPr>
        <w:t>verage sales prices, attributable to price and product mix changes. The increase in revenues drove Forest River’s 32% increase in pre-tax earnings in 2013.</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Marmon’s manufacturing revenues in 2013 were $5.2 billion, a decrease of 3.5% compared to 2012. The</w:t>
      </w:r>
      <w:r>
        <w:rPr>
          <w:rFonts w:ascii="Times" w:hAnsi="Times" w:cs="Times"/>
          <w:sz w:val="20"/>
          <w:szCs w:val="20"/>
        </w:rPr>
        <w:t xml:space="preserve"> revenue decline in 2013 was primarily due to the impact of lower steel and copper costs in the electrical and plumbing products businesses, volume reductions in the specialty metal pipe, tubing and steel beam businesses, several non-recurring large prior </w:t>
      </w:r>
      <w:r>
        <w:rPr>
          <w:rFonts w:ascii="Times" w:hAnsi="Times" w:cs="Times"/>
          <w:sz w:val="20"/>
          <w:szCs w:val="20"/>
        </w:rPr>
        <w:t>year projects in the specialty wire and cable business, and revenue reductions from exiting low margin building wire and copper tubing businesses. These reductions more than offset the revenue gains contributed by the automotive clutch and heavy duty truck</w:t>
      </w:r>
      <w:r>
        <w:rPr>
          <w:rFonts w:ascii="Times" w:hAnsi="Times" w:cs="Times"/>
          <w:sz w:val="20"/>
          <w:szCs w:val="20"/>
        </w:rPr>
        <w:t xml:space="preserve"> axle, store fixture display products and the residential water treatment businesses. Marmon’s manufacturing pre-tax earnings in 2013 were $597 million, and were relatively unchanged from 2012. Pre-tax earnings benefitted from cost savings associated with </w:t>
      </w:r>
      <w:r>
        <w:rPr>
          <w:rFonts w:ascii="Times" w:hAnsi="Times" w:cs="Times"/>
          <w:sz w:val="20"/>
          <w:szCs w:val="20"/>
        </w:rPr>
        <w:t>restructuring actions taken in both the retail store equipment and electrical and plumbing products businesses.</w:t>
      </w:r>
    </w:p>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Revenues in 2013 from our building products businesses increased 8% to about $9.6 billion. Pre-tax earnings of these businesses were $846 milli</w:t>
      </w:r>
      <w:r>
        <w:rPr>
          <w:rFonts w:ascii="Times" w:hAnsi="Times" w:cs="Times"/>
          <w:sz w:val="20"/>
          <w:szCs w:val="20"/>
        </w:rPr>
        <w:t>on, an increase of $98 million (13%) over 2012. These businesses benefitted from the generally improved residential and commercial construction markets. Apparel revenues in 2013 increased 3.5% to about $4.3 billion and pre-tax earnings increased $64 millio</w:t>
      </w:r>
      <w:r>
        <w:rPr>
          <w:rFonts w:ascii="Times" w:hAnsi="Times" w:cs="Times"/>
          <w:sz w:val="20"/>
          <w:szCs w:val="20"/>
        </w:rPr>
        <w:t>n (25%) to $315 million. Each of our apparel operations contributed to the higher earnings in 2013.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99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6020" w:bottom="523" w:left="6020" w:header="720" w:footer="720" w:gutter="0"/>
          <w:cols w:space="720" w:equalWidth="0">
            <w:col w:w="2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Manufacturing, Service and Retailing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Service</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Our service businesses include NetJets, the world’s leading provider of fractional ownership programs for general aviation aircraft and FlightSafety, a provider of high technology training to operators of aircraft. Among the other businesses included in th</w:t>
      </w:r>
      <w:r>
        <w:rPr>
          <w:rFonts w:ascii="Times" w:hAnsi="Times" w:cs="Times"/>
          <w:sz w:val="20"/>
          <w:szCs w:val="20"/>
        </w:rPr>
        <w:t>is group are: TTI, a leading electronic components distributor; Business Wire, a leading distributor of corporate news, multimedia and regulatory filings; Dairy Queen, which licenses and services a system of over 6,500 stores that offer prepared dairy trea</w:t>
      </w:r>
      <w:r>
        <w:rPr>
          <w:rFonts w:ascii="Times" w:hAnsi="Times" w:cs="Times"/>
          <w:sz w:val="20"/>
          <w:szCs w:val="20"/>
        </w:rPr>
        <w:t>ts and food; Buffalo News and the BH Media Group (“BH Media”), which includes the Omaha World-Herald, as well as 28 other daily newspapers and numerous other publications; and WPLG (acquired June 30, 2014), which operates a television station in Miami, Flo</w:t>
      </w:r>
      <w:r>
        <w:rPr>
          <w:rFonts w:ascii="Times" w:hAnsi="Times" w:cs="Times"/>
          <w:sz w:val="20"/>
          <w:szCs w:val="20"/>
        </w:rPr>
        <w:t>rida.</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Revenues of our service businesses in 2014 were approximately $9.85 billion, representing an increase of $858 million (9.5%) over 2013. The increase in revenues was primarily attributable to comparative increases generated by NetJets, TTI, and Fligh</w:t>
      </w:r>
      <w:r>
        <w:rPr>
          <w:rFonts w:ascii="Times" w:hAnsi="Times" w:cs="Times"/>
          <w:sz w:val="20"/>
          <w:szCs w:val="20"/>
        </w:rPr>
        <w:t>tSafety. The revenue increase at NetJets reflected increased flight services revenues, which was attributable to increased flight hours as well as increased fractional aircraft sales. TTI’s revenue increase was driven by higher unit volume and, to a lesser</w:t>
      </w:r>
      <w:r>
        <w:rPr>
          <w:rFonts w:ascii="Times" w:hAnsi="Times" w:cs="Times"/>
          <w:sz w:val="20"/>
          <w:szCs w:val="20"/>
        </w:rPr>
        <w:t xml:space="preserve"> extent, by bolt-on acquisitions. FlightSafety’s revenue increase was primarily due to increased simulator training hours. Pre-tax earnings of our service businesses in 2014 aggregated $1.2 billion, an increase of $109 million (10%) versus 2013. The increa</w:t>
      </w:r>
      <w:r>
        <w:rPr>
          <w:rFonts w:ascii="Times" w:hAnsi="Times" w:cs="Times"/>
          <w:sz w:val="20"/>
          <w:szCs w:val="20"/>
        </w:rPr>
        <w:t>se in year-to-date earnings was primarily attributable to NetJets and TTI and was primarily due to the aforementioned increases in revenues. In addition, NetJets’ earnings increase was also due to comparatively lower aircraft impairment and restructuring c</w:t>
      </w:r>
      <w:r>
        <w:rPr>
          <w:rFonts w:ascii="Times" w:hAnsi="Times" w:cs="Times"/>
          <w:sz w:val="20"/>
          <w:szCs w:val="20"/>
        </w:rPr>
        <w:t>harges and financing expenses, which were partially offset by higher depreciation expense, maintenance costs and subcontracted flight expenses.</w:t>
      </w:r>
    </w:p>
    <w:p w:rsidR="00000000" w:rsidRDefault="00A0696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Revenues of our service businesses in 2013 were $9.0 billion, an increase of $821 million (10%) over</w:t>
      </w:r>
      <w:r>
        <w:rPr>
          <w:rFonts w:ascii="Times" w:hAnsi="Times" w:cs="Times"/>
          <w:sz w:val="20"/>
          <w:szCs w:val="20"/>
        </w:rPr>
        <w:t xml:space="preserve"> revenues in 2012. In 2013, revenues of NetJets increased $288 million (7.5%), driven by higher sales of fractional aircraft shares, while TTI’s revenues increased $255 million (11%) over 2012. Revenues of BH Media increased $207 million (66%), attributabl</w:t>
      </w:r>
      <w:r>
        <w:rPr>
          <w:rFonts w:ascii="Times" w:hAnsi="Times" w:cs="Times"/>
          <w:sz w:val="20"/>
          <w:szCs w:val="20"/>
        </w:rPr>
        <w:t>e to the impact of business acquisitions. Pre-tax earnings of $1.1 billion in 2013 increased $127 million (13%) compared to 2012. The increase in earnings was primarily attributable to BH Media, FlightSafety, TTI and NetJets. The earnings increase of BH Me</w:t>
      </w:r>
      <w:r>
        <w:rPr>
          <w:rFonts w:ascii="Times" w:hAnsi="Times" w:cs="Times"/>
          <w:sz w:val="20"/>
          <w:szCs w:val="20"/>
        </w:rPr>
        <w:t>dia was due to bolt-on acquisitions. TTI’s earnings increased 10% due to higher sales and changes in product mix. FlightSafety’s earnings increased 11%, reflecting increased training revenues and relatively unchanged operating expenses. NetJets’ earnings i</w:t>
      </w:r>
      <w:r>
        <w:rPr>
          <w:rFonts w:ascii="Times" w:hAnsi="Times" w:cs="Times"/>
          <w:sz w:val="20"/>
          <w:szCs w:val="20"/>
        </w:rPr>
        <w:t>ncreased 7% as improved flight operations margins, fractional sales margins and reduced net financing costs more than offset an increase in aircraft impairment charges.</w:t>
      </w:r>
    </w:p>
    <w:p w:rsidR="00000000" w:rsidRDefault="00A06965">
      <w:pPr>
        <w:pStyle w:val="DefaultParagraphFont"/>
        <w:widowControl w:val="0"/>
        <w:autoSpaceDE w:val="0"/>
        <w:autoSpaceDN w:val="0"/>
        <w:adjustRightInd w:val="0"/>
        <w:spacing w:after="0" w:line="3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Retailing</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Our retailing operations consist of four home furnishings businesses (Nebra</w:t>
      </w:r>
      <w:r>
        <w:rPr>
          <w:rFonts w:ascii="Times" w:hAnsi="Times" w:cs="Times"/>
          <w:sz w:val="20"/>
          <w:szCs w:val="20"/>
        </w:rPr>
        <w:t>ska Furniture Mart, R.C. Willey, Star Furniture and Jordan’s), three jewelry businesses (Borsheims, Helzberg and Ben Bridge), See’s Candies, Pampered Chef, a direct seller of high quality kitchen tools and Oriental Trading Company (“OTC”), a direct retaile</w:t>
      </w:r>
      <w:r>
        <w:rPr>
          <w:rFonts w:ascii="Times" w:hAnsi="Times" w:cs="Times"/>
          <w:sz w:val="20"/>
          <w:szCs w:val="20"/>
        </w:rPr>
        <w:t>r of party supplies, school supplies and toys and novelties.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Revenues in 2014 increased $134 million (3%), while pre-tax earnings declined $32 million (8.5%) compared to 2013. The earnings declines in 2014 were primarily attributable to lower earnings fro</w:t>
      </w:r>
      <w:r>
        <w:rPr>
          <w:rFonts w:ascii="Times" w:hAnsi="Times" w:cs="Times"/>
          <w:sz w:val="20"/>
          <w:szCs w:val="20"/>
        </w:rPr>
        <w:t xml:space="preserve">m Nebraska Furniture Mart and Pampered Chef. The earnings decline at Nebraska Furniture Mart was driven by costs incurred related to the build-out of a new store and warehouse facility (approximately 1.8 million square feet) in The Colony, Texas, a suburb </w:t>
      </w:r>
      <w:r>
        <w:rPr>
          <w:rFonts w:ascii="Times" w:hAnsi="Times" w:cs="Times"/>
          <w:sz w:val="20"/>
          <w:szCs w:val="20"/>
        </w:rPr>
        <w:t>of Dallas. The new store will open in 2015 and we anticipate it will generate meaningful revenues and earnings in the future. The decline in earnings of Pampered Chef resulted from lower sales.</w:t>
      </w:r>
    </w:p>
    <w:p w:rsidR="00000000" w:rsidRDefault="00A0696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Revenues of our retailing businesses in 2013 were $4.3 billio</w:t>
      </w:r>
      <w:r>
        <w:rPr>
          <w:rFonts w:ascii="Times" w:hAnsi="Times" w:cs="Times"/>
          <w:sz w:val="20"/>
          <w:szCs w:val="20"/>
        </w:rPr>
        <w:t>n, an increase of $573 million (15%) over 2012. Pre-tax earnings of these businesses increased $70 million (23%) as compared to earnings in 2012. The comparative increases in revenues and earnings were primarily attributable to the inclusion of OTC for the</w:t>
      </w:r>
      <w:r>
        <w:rPr>
          <w:rFonts w:ascii="Times" w:hAnsi="Times" w:cs="Times"/>
          <w:sz w:val="20"/>
          <w:szCs w:val="20"/>
        </w:rPr>
        <w:t xml:space="preserve"> full year in 2013. Otherwise, earnings of the home furnishings and jewelry retail groups increased while earnings of Pampered Chef and See’s Candies declined.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100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Finance and Financial Products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Our finance and financial products businesses include manufactured housing and finance (Clayton Homes), transportation equipment manufacturing and leasing businesses (UTLX and XTRA, and together, “transportation equipment le</w:t>
      </w:r>
      <w:r>
        <w:rPr>
          <w:rFonts w:ascii="Times" w:hAnsi="Times" w:cs="Times"/>
          <w:sz w:val="20"/>
          <w:szCs w:val="20"/>
        </w:rPr>
        <w:t>asing”), as well as other leasing and financing activities. UTLX manufactures, owns and leases railcars and intermodal tank cars, and also owns and leases cranes, while XTRA owns and leases over-the-road trailers. A summary of revenues and earnings from ou</w:t>
      </w:r>
      <w:r>
        <w:rPr>
          <w:rFonts w:ascii="Times" w:hAnsi="Times" w:cs="Times"/>
          <w:sz w:val="20"/>
          <w:szCs w:val="20"/>
        </w:rPr>
        <w:t>r finance and financial products businesses follows. Amounts are in millions.</w:t>
      </w:r>
    </w:p>
    <w:p w:rsidR="00000000" w:rsidRDefault="00A06965">
      <w:pPr>
        <w:pStyle w:val="DefaultParagraphFont"/>
        <w:widowControl w:val="0"/>
        <w:autoSpaceDE w:val="0"/>
        <w:autoSpaceDN w:val="0"/>
        <w:adjustRightInd w:val="0"/>
        <w:spacing w:after="0" w:line="20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6020"/>
        <w:gridCol w:w="560"/>
        <w:gridCol w:w="200"/>
        <w:gridCol w:w="540"/>
        <w:gridCol w:w="200"/>
        <w:gridCol w:w="560"/>
        <w:gridCol w:w="200"/>
        <w:gridCol w:w="100"/>
        <w:gridCol w:w="440"/>
        <w:gridCol w:w="200"/>
        <w:gridCol w:w="100"/>
        <w:gridCol w:w="460"/>
        <w:gridCol w:w="200"/>
        <w:gridCol w:w="100"/>
        <w:gridCol w:w="440"/>
        <w:gridCol w:w="20"/>
      </w:tblGrid>
      <w:tr w:rsidR="00000000">
        <w:tblPrEx>
          <w:tblCellMar>
            <w:top w:w="0" w:type="dxa"/>
            <w:left w:w="0" w:type="dxa"/>
            <w:bottom w:w="0" w:type="dxa"/>
            <w:right w:w="0" w:type="dxa"/>
          </w:tblCellMar>
        </w:tblPrEx>
        <w:trPr>
          <w:trHeight w:val="184"/>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140"/>
              <w:rPr>
                <w:rFonts w:ascii="Times New Roman" w:hAnsi="Times New Roman" w:cs="Times New Roman"/>
                <w:sz w:val="24"/>
                <w:szCs w:val="24"/>
              </w:rPr>
            </w:pPr>
            <w:r>
              <w:rPr>
                <w:rFonts w:ascii="Times" w:hAnsi="Times" w:cs="Times"/>
                <w:b/>
                <w:bCs/>
                <w:sz w:val="16"/>
                <w:szCs w:val="16"/>
              </w:rPr>
              <w:t>Revenues</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6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160"/>
              <w:rPr>
                <w:rFonts w:ascii="Times New Roman" w:hAnsi="Times New Roman" w:cs="Times New Roman"/>
                <w:sz w:val="24"/>
                <w:szCs w:val="24"/>
              </w:rPr>
            </w:pPr>
            <w:r>
              <w:rPr>
                <w:rFonts w:ascii="Times" w:hAnsi="Times" w:cs="Times"/>
                <w:b/>
                <w:bCs/>
                <w:sz w:val="16"/>
                <w:szCs w:val="16"/>
              </w:rPr>
              <w:t>Earnings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4"/>
              <w:jc w:val="right"/>
              <w:rPr>
                <w:rFonts w:ascii="Times New Roman" w:hAnsi="Times New Roman" w:cs="Times New Roman"/>
                <w:sz w:val="24"/>
                <w:szCs w:val="24"/>
              </w:rPr>
            </w:pPr>
            <w:r>
              <w:rPr>
                <w:rFonts w:ascii="Times" w:hAnsi="Times" w:cs="Times"/>
                <w:b/>
                <w:bCs/>
                <w:sz w:val="16"/>
                <w:szCs w:val="16"/>
              </w:rPr>
              <w:t>2014</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0"/>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4"/>
              <w:jc w:val="right"/>
              <w:rPr>
                <w:rFonts w:ascii="Times New Roman" w:hAnsi="Times New Roman" w:cs="Times New Roman"/>
                <w:sz w:val="24"/>
                <w:szCs w:val="24"/>
              </w:rPr>
            </w:pPr>
            <w:r>
              <w:rPr>
                <w:rFonts w:ascii="Times" w:hAnsi="Times" w:cs="Times"/>
                <w:b/>
                <w:bCs/>
                <w:sz w:val="16"/>
                <w:szCs w:val="16"/>
              </w:rPr>
              <w:t>2012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w w:val="93"/>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w w:val="99"/>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w w:val="93"/>
                <w:sz w:val="16"/>
                <w:szCs w:val="16"/>
              </w:rPr>
              <w:t>2012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Manufactured housing and finance . . . . . . . . . . . . . . . . . . . . . . . . . . . . . .</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$3,310</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$3,199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$3,014</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558</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416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255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Transportation equipment leasing . . . . . . . . . . . . . . . . . . . . . . . . . . . . . . .</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2,427</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2,180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2,168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827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704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651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 . . . . . . . . . . . . . . . . . . . . . . . . . . . . . . . . . . . . . . . . . . . . . . . . . . . .</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789</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731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751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$6,526</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$6,110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$5,933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0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Pre-tax earnings</w:t>
            </w: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1,839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1,564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1,393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0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0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1380"/>
              <w:rPr>
                <w:rFonts w:ascii="Times New Roman" w:hAnsi="Times New Roman" w:cs="Times New Roman"/>
                <w:sz w:val="24"/>
                <w:szCs w:val="24"/>
              </w:rPr>
            </w:pPr>
            <w:r>
              <w:rPr>
                <w:rFonts w:ascii="Times" w:hAnsi="Times" w:cs="Times"/>
                <w:sz w:val="20"/>
                <w:szCs w:val="20"/>
              </w:rPr>
              <w:t>. . . . . . . . . . . . . . . . . . . . . . . . . . . . . . . . . . . . . . . . . . . . .</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Income taxes and noncontrolling interests . . . . . . . . . . . . . . . . . . . . . . . .</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596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556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494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3"/>
                <w:sz w:val="20"/>
                <w:szCs w:val="20"/>
              </w:rPr>
              <w:t>1,243</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7"/>
                <w:sz w:val="20"/>
                <w:szCs w:val="20"/>
              </w:rPr>
              <w:t>1,008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899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60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 xml:space="preserve">Clayton Homes’ revenues and </w:t>
      </w:r>
      <w:r>
        <w:rPr>
          <w:rFonts w:ascii="Times" w:hAnsi="Times" w:cs="Times"/>
          <w:sz w:val="20"/>
          <w:szCs w:val="20"/>
        </w:rPr>
        <w:t>pre-tax earnings in 2014 increased $111 million (3%) and $142 million (34%), respectively, compared to revenues and earnings in 2013. The increase in revenues was principally due to a 7% increase in homes sold, as interest and financial services revenues w</w:t>
      </w:r>
      <w:r>
        <w:rPr>
          <w:rFonts w:ascii="Times" w:hAnsi="Times" w:cs="Times"/>
          <w:sz w:val="20"/>
          <w:szCs w:val="20"/>
        </w:rPr>
        <w:t xml:space="preserve">ere relatively unchanged from 2013. Earnings continued to benefit from lower loan loss provisions on installment loan portfolios, lower interest expense on borrowings and improved manufacturing results. The declines in loan loss provisions reflected fewer </w:t>
      </w:r>
      <w:r>
        <w:rPr>
          <w:rFonts w:ascii="Times" w:hAnsi="Times" w:cs="Times"/>
          <w:sz w:val="20"/>
          <w:szCs w:val="20"/>
        </w:rPr>
        <w:t>delinquencies and foreclosures, while the declines in interest expense were primarily due to lower rates. Traditional single family housing markets receive significant interest rate subsidies from the U.S. government through government agency insured mortg</w:t>
      </w:r>
      <w:r>
        <w:rPr>
          <w:rFonts w:ascii="Times" w:hAnsi="Times" w:cs="Times"/>
          <w:sz w:val="20"/>
          <w:szCs w:val="20"/>
        </w:rPr>
        <w:t>ages. For the most part, these subsidies are not available to factory built homes. Despite this competitive disadvantage, Clayton Homes remains the largest manufactured housing business in the United States and we believe that it will continue to operate p</w:t>
      </w:r>
      <w:r>
        <w:rPr>
          <w:rFonts w:ascii="Times" w:hAnsi="Times" w:cs="Times"/>
          <w:sz w:val="20"/>
          <w:szCs w:val="20"/>
        </w:rPr>
        <w:t>rofitably, even under the prevailing conditions.</w:t>
      </w: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Clayton Homes’ revenues and pre-tax earnings in 2013 increased $185 million (6%) and $161 million (63%), respectively, compared to 2012. Pre-tax earnings benefitted from increased home sales, lower loan los</w:t>
      </w:r>
      <w:r>
        <w:rPr>
          <w:rFonts w:ascii="Times" w:hAnsi="Times" w:cs="Times"/>
          <w:sz w:val="20"/>
          <w:szCs w:val="20"/>
        </w:rPr>
        <w:t>s provisions and an increase in net interest income, as lower interest expense more than offset reductions in interest income on loan portfolios. Home unit sales increased 9%. Loan loss provisions declined, reflecting comparatively lower foreclosures volum</w:t>
      </w:r>
      <w:r>
        <w:rPr>
          <w:rFonts w:ascii="Times" w:hAnsi="Times" w:cs="Times"/>
          <w:sz w:val="20"/>
          <w:szCs w:val="20"/>
        </w:rPr>
        <w:t>e and loss rates.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Revenues and pre-tax earnings in 2014 from our transportation equipment leasing businesses were $2.4 billion, and $827 million, respectively, which exceeded revenues and pre-tax earnings in 2013 by 11% and 17%, respectively. The earnings</w:t>
      </w:r>
      <w:r>
        <w:rPr>
          <w:rFonts w:ascii="Times" w:hAnsi="Times" w:cs="Times"/>
          <w:sz w:val="20"/>
          <w:szCs w:val="20"/>
        </w:rPr>
        <w:t xml:space="preserve"> increase reflected a 9% increase in aggregate lease revenues, primarily due to increased units on lease and higher lease rates for railcars. A significant portion of the costs of these businesses, such as depreciation, will not vary proportionately to rev</w:t>
      </w:r>
      <w:r>
        <w:rPr>
          <w:rFonts w:ascii="Times" w:hAnsi="Times" w:cs="Times"/>
          <w:sz w:val="20"/>
          <w:szCs w:val="20"/>
        </w:rPr>
        <w:t>enue changes and therefore changes in revenues can disproportionately impact earnings.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Pre-tax earnings in 2013 from transportation equipment leasing increased $53 million (8%) to $704 million. The increase in earnings reflected increased lease revenues a</w:t>
      </w:r>
      <w:r>
        <w:rPr>
          <w:rFonts w:ascii="Times" w:hAnsi="Times" w:cs="Times"/>
          <w:sz w:val="20"/>
          <w:szCs w:val="20"/>
        </w:rPr>
        <w:t>nd earnings of both UTLX and XTRA, which benefitted from increases in working units and average rental rates and relatively stable operating expenses.</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Earnings from our other finance activities include CORT’s furniture leasing business, interest and divid</w:t>
      </w:r>
      <w:r>
        <w:rPr>
          <w:rFonts w:ascii="Times" w:hAnsi="Times" w:cs="Times"/>
          <w:sz w:val="20"/>
          <w:szCs w:val="20"/>
        </w:rPr>
        <w:t>ends from a portfolio of investments and our share of the earnings of a commercial mortgage servicing business in which we own a 50% joint venture interest. In addition, other earnings include income from interest rate spreads charged to Clayton Homes on b</w:t>
      </w:r>
      <w:r>
        <w:rPr>
          <w:rFonts w:ascii="Times" w:hAnsi="Times" w:cs="Times"/>
          <w:sz w:val="20"/>
          <w:szCs w:val="20"/>
        </w:rPr>
        <w:t>orrowings by a Berkshire financing subsidiary that are used to fund installment loans of Clayton Homes and guarantee fees charged to NetJets. Corresponding expenses are included in Clayton Homes’ and NetJets’ results. Interest spreads and guarantee fees ch</w:t>
      </w:r>
      <w:r>
        <w:rPr>
          <w:rFonts w:ascii="Times" w:hAnsi="Times" w:cs="Times"/>
          <w:sz w:val="20"/>
          <w:szCs w:val="20"/>
        </w:rPr>
        <w:t>arged to Clayton and NetJets were $70 million in 2014, $89 million in 2013 and $120 million in 2012.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2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101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Investment and Derivative Gains/Losses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right="60" w:firstLine="400"/>
        <w:jc w:val="both"/>
        <w:rPr>
          <w:rFonts w:ascii="Times New Roman" w:hAnsi="Times New Roman" w:cs="Times New Roman"/>
          <w:sz w:val="24"/>
          <w:szCs w:val="24"/>
        </w:rPr>
      </w:pPr>
      <w:r>
        <w:rPr>
          <w:rFonts w:ascii="Times" w:hAnsi="Times" w:cs="Times"/>
          <w:sz w:val="20"/>
          <w:szCs w:val="20"/>
        </w:rPr>
        <w:t>A summary of investment and derivative gains and losses and other-than-temporary impairment losses on investments follows. Amounts are in millions.</w:t>
      </w:r>
    </w:p>
    <w:p w:rsidR="00000000" w:rsidRDefault="00A06965">
      <w:pPr>
        <w:pStyle w:val="DefaultParagraphFont"/>
        <w:widowControl w:val="0"/>
        <w:autoSpaceDE w:val="0"/>
        <w:autoSpaceDN w:val="0"/>
        <w:adjustRightInd w:val="0"/>
        <w:spacing w:after="0" w:line="13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280"/>
        <w:gridCol w:w="540"/>
        <w:gridCol w:w="200"/>
        <w:gridCol w:w="560"/>
        <w:gridCol w:w="200"/>
        <w:gridCol w:w="540"/>
        <w:gridCol w:w="60"/>
      </w:tblGrid>
      <w:tr w:rsidR="00000000">
        <w:tblPrEx>
          <w:tblCellMar>
            <w:top w:w="0" w:type="dxa"/>
            <w:left w:w="0" w:type="dxa"/>
            <w:bottom w:w="0" w:type="dxa"/>
            <w:right w:w="0" w:type="dxa"/>
          </w:tblCellMar>
        </w:tblPrEx>
        <w:trPr>
          <w:trHeight w:val="184"/>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sz w:val="16"/>
                <w:szCs w:val="16"/>
              </w:rPr>
              <w:t>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sz w:val="16"/>
                <w:szCs w:val="16"/>
              </w:rPr>
              <w:t>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3"/>
              <w:jc w:val="right"/>
              <w:rPr>
                <w:rFonts w:ascii="Times New Roman" w:hAnsi="Times New Roman" w:cs="Times New Roman"/>
                <w:sz w:val="24"/>
                <w:szCs w:val="24"/>
              </w:rPr>
            </w:pPr>
            <w:r>
              <w:rPr>
                <w:rFonts w:ascii="Times" w:hAnsi="Times" w:cs="Times"/>
                <w:b/>
                <w:bCs/>
                <w:sz w:val="16"/>
                <w:szCs w:val="16"/>
              </w:rPr>
              <w:t>2012</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Investment gains/losses .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$4,272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$4,293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$1,799</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Other-than-temporary impairments . . . . . . . . . . . . . . . . . . . . . . . . . . . . . . . . . . . . . . . . . . . . . . . . . . . .</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(697)</w:t>
            </w:r>
          </w:p>
        </w:tc>
        <w:tc>
          <w:tcPr>
            <w:tcW w:w="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40"/>
              <w:jc w:val="right"/>
              <w:rPr>
                <w:rFonts w:ascii="Times New Roman" w:hAnsi="Times New Roman" w:cs="Times New Roman"/>
                <w:sz w:val="24"/>
                <w:szCs w:val="24"/>
              </w:rPr>
            </w:pPr>
            <w:r>
              <w:rPr>
                <w:rFonts w:ascii="Times" w:hAnsi="Times" w:cs="Times"/>
                <w:sz w:val="20"/>
                <w:szCs w:val="20"/>
              </w:rPr>
              <w:t>(228)</w:t>
            </w: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(337)</w:t>
            </w: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Derivative gains/losses . .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506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2,608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1,963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Gains/losses before income taxes and noncontrolling interests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4,081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6,673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3,425</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4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Income taxes and noncontrolling interests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2,336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1,198</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gains/losses . . . . . . . . . . . . . . . . . . . . . . . . . . . . . . . . . . . . . . . . . . . . . . . . . . . . . . . . . . . . . . . . . . .</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$3,321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$4,337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$2,227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2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right="60" w:firstLine="400"/>
        <w:jc w:val="both"/>
        <w:rPr>
          <w:rFonts w:ascii="Times New Roman" w:hAnsi="Times New Roman" w:cs="Times New Roman"/>
          <w:sz w:val="24"/>
          <w:szCs w:val="24"/>
        </w:rPr>
      </w:pPr>
      <w:r>
        <w:rPr>
          <w:rFonts w:ascii="Times" w:hAnsi="Times" w:cs="Times"/>
          <w:sz w:val="20"/>
          <w:szCs w:val="20"/>
        </w:rPr>
        <w:t>Investment gains/losses arise primarily from the sale or redemption of investments or when investments are carried at fair value with the periodic changes in fair values recorded in earnings. The timing of gains or losses from sales or redemptions can have</w:t>
      </w:r>
      <w:r>
        <w:rPr>
          <w:rFonts w:ascii="Times" w:hAnsi="Times" w:cs="Times"/>
          <w:sz w:val="20"/>
          <w:szCs w:val="20"/>
        </w:rPr>
        <w:t xml:space="preserve"> a material effect on periodic earnings. Investment gains and losses included in earnings usually have minimal impact on the periodic changes in our consolidated shareholders’ equity since most of our investments are recorded at fair value with the unreali</w:t>
      </w:r>
      <w:r>
        <w:rPr>
          <w:rFonts w:ascii="Times" w:hAnsi="Times" w:cs="Times"/>
          <w:sz w:val="20"/>
          <w:szCs w:val="20"/>
        </w:rPr>
        <w:t>zed gains and losses included in shareholders’ equity as a component of accumulated other comprehensive income.</w:t>
      </w:r>
    </w:p>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right="60" w:firstLine="400"/>
        <w:jc w:val="both"/>
        <w:rPr>
          <w:rFonts w:ascii="Times New Roman" w:hAnsi="Times New Roman" w:cs="Times New Roman"/>
          <w:sz w:val="24"/>
          <w:szCs w:val="24"/>
        </w:rPr>
      </w:pPr>
      <w:r>
        <w:rPr>
          <w:rFonts w:ascii="Times" w:hAnsi="Times" w:cs="Times"/>
          <w:sz w:val="20"/>
          <w:szCs w:val="20"/>
        </w:rPr>
        <w:t xml:space="preserve">We believe the amount of investment gains/losses included in earnings in any given period typically has little analytical or predictive value. </w:t>
      </w:r>
      <w:r>
        <w:rPr>
          <w:rFonts w:ascii="Times" w:hAnsi="Times" w:cs="Times"/>
          <w:sz w:val="20"/>
          <w:szCs w:val="20"/>
        </w:rPr>
        <w:t>Our decisions to sell securities are not motivated by the impact that the resulting gains or losses will have on our reported earnings. Although our management does not consider investment gains and losses in a given period as necessarily meaningful or use</w:t>
      </w:r>
      <w:r>
        <w:rPr>
          <w:rFonts w:ascii="Times" w:hAnsi="Times" w:cs="Times"/>
          <w:sz w:val="20"/>
          <w:szCs w:val="20"/>
        </w:rPr>
        <w:t>ful in evaluating periodic earnings, we are providing information to explain the nature of such gains and losses when reflected in earnings.</w:t>
      </w:r>
    </w:p>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right="60" w:firstLine="400"/>
        <w:jc w:val="both"/>
        <w:rPr>
          <w:rFonts w:ascii="Times New Roman" w:hAnsi="Times New Roman" w:cs="Times New Roman"/>
          <w:sz w:val="24"/>
          <w:szCs w:val="24"/>
        </w:rPr>
      </w:pPr>
      <w:r>
        <w:rPr>
          <w:rFonts w:ascii="Times" w:hAnsi="Times" w:cs="Times"/>
          <w:sz w:val="20"/>
          <w:szCs w:val="20"/>
        </w:rPr>
        <w:t>Pre-tax investment gains in 2014 were $4.3 billion, which included gains of approximately $2.1 billion realized in</w:t>
      </w:r>
      <w:r>
        <w:rPr>
          <w:rFonts w:ascii="Times" w:hAnsi="Times" w:cs="Times"/>
          <w:sz w:val="20"/>
          <w:szCs w:val="20"/>
        </w:rPr>
        <w:t xml:space="preserve"> connection with the exchanges of common stock of Phillips 66 and Graham Holdings Company for 100% of the common stock of a specified subsidiary of each of those companies. Each exchange transaction was structured as a tax-free reorganization under the Int</w:t>
      </w:r>
      <w:r>
        <w:rPr>
          <w:rFonts w:ascii="Times" w:hAnsi="Times" w:cs="Times"/>
          <w:sz w:val="20"/>
          <w:szCs w:val="20"/>
        </w:rPr>
        <w:t>ernal Revenue Code. As a result, no income taxes are payable on the excess of the fair value of the businesses received over the tax-basis cost of the common stock of Phillips 66 and Graham Holdings Company exchanged.</w:t>
      </w:r>
    </w:p>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Pre-tax investment gains/losses in 20</w:t>
      </w:r>
      <w:r>
        <w:rPr>
          <w:rFonts w:ascii="Times" w:hAnsi="Times" w:cs="Times"/>
          <w:sz w:val="20"/>
          <w:szCs w:val="20"/>
        </w:rPr>
        <w:t>13 were $4.3 billion and included approximately $2.1 billion related to our investments in General Electric and Goldman Sachs common stock warrants and Wrigley subordinated notes. Beginning in 2013, the unrealized gains or losses associated with the warran</w:t>
      </w:r>
      <w:r>
        <w:rPr>
          <w:rFonts w:ascii="Times" w:hAnsi="Times" w:cs="Times"/>
          <w:sz w:val="20"/>
          <w:szCs w:val="20"/>
        </w:rPr>
        <w:t xml:space="preserve">ts were included in earnings. These warrants were exercised in October 2013 on a cashless basis in exchange for shares of General Electric and Goldman Sachs common stock with an aggregate value of approximately $2.4 billion. The Wrigley subordinated notes </w:t>
      </w:r>
      <w:r>
        <w:rPr>
          <w:rFonts w:ascii="Times" w:hAnsi="Times" w:cs="Times"/>
          <w:sz w:val="20"/>
          <w:szCs w:val="20"/>
        </w:rPr>
        <w:t>were repurchased for cash of $5.08 billion, resulting in a pre-tax investment gain of $680 million. Pre-tax investment gains were approximately $1.5 billion in 2012 and were primarily attributable to sales of equity securities.</w:t>
      </w:r>
    </w:p>
    <w:p w:rsidR="00000000" w:rsidRDefault="00A06965">
      <w:pPr>
        <w:pStyle w:val="DefaultParagraphFont"/>
        <w:widowControl w:val="0"/>
        <w:autoSpaceDE w:val="0"/>
        <w:autoSpaceDN w:val="0"/>
        <w:adjustRightInd w:val="0"/>
        <w:spacing w:after="0" w:line="18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right="60" w:firstLine="400"/>
        <w:jc w:val="both"/>
        <w:rPr>
          <w:rFonts w:ascii="Times New Roman" w:hAnsi="Times New Roman" w:cs="Times New Roman"/>
          <w:sz w:val="24"/>
          <w:szCs w:val="24"/>
        </w:rPr>
      </w:pPr>
      <w:r>
        <w:rPr>
          <w:rFonts w:ascii="Times" w:hAnsi="Times" w:cs="Times"/>
          <w:sz w:val="20"/>
          <w:szCs w:val="20"/>
        </w:rPr>
        <w:t>Other-than-temporary impair</w:t>
      </w:r>
      <w:r>
        <w:rPr>
          <w:rFonts w:ascii="Times" w:hAnsi="Times" w:cs="Times"/>
          <w:sz w:val="20"/>
          <w:szCs w:val="20"/>
        </w:rPr>
        <w:t>ment (“OTTI”) charges in 2014 were $697 million and predominantly related to our investments in equity securities of Tesco PLC. OTTI charges in 2013 and 2012 predominantly related to our investments in Texas Competitive Electric Holdings bonds. Although we</w:t>
      </w:r>
      <w:r>
        <w:rPr>
          <w:rFonts w:ascii="Times" w:hAnsi="Times" w:cs="Times"/>
          <w:sz w:val="20"/>
          <w:szCs w:val="20"/>
        </w:rPr>
        <w:t xml:space="preserve"> have periodically recorded OTTI charges in earnings in past years, we continue to hold some of those securities. If the market values of those investments increase following the date OTTI charges are recorded in earnings, the increases are not reflected i</w:t>
      </w:r>
      <w:r>
        <w:rPr>
          <w:rFonts w:ascii="Times" w:hAnsi="Times" w:cs="Times"/>
          <w:sz w:val="20"/>
          <w:szCs w:val="20"/>
        </w:rPr>
        <w:t xml:space="preserve">n earnings but are instead included in shareholders’ equity as a component of accumulated other comprehensive income. When recorded, OTTI charges have no impact whatsoever on the asset values otherwise recorded in our Consolidated Balance Sheets or on our </w:t>
      </w:r>
      <w:r>
        <w:rPr>
          <w:rFonts w:ascii="Times" w:hAnsi="Times" w:cs="Times"/>
          <w:sz w:val="20"/>
          <w:szCs w:val="20"/>
        </w:rPr>
        <w:t xml:space="preserve">consolidated shareholders’ equity. In addition, the recognition of such losses in earnings rather than in accumulated other comprehensive income does not necessarily indicate that sales are planned and sales ultimately may not occur for a number of years. </w:t>
      </w:r>
      <w:r>
        <w:rPr>
          <w:rFonts w:ascii="Times" w:hAnsi="Times" w:cs="Times"/>
          <w:sz w:val="20"/>
          <w:szCs w:val="20"/>
        </w:rPr>
        <w:t>Furthermore, the recognition of OTTI charges does not necessarily indicate that the loss in value of the security is permanent or that the market price of the security will not subsequently increase to and ultimately exceed our original cost.</w:t>
      </w:r>
    </w:p>
    <w:p w:rsidR="00000000" w:rsidRDefault="00A06965">
      <w:pPr>
        <w:pStyle w:val="DefaultParagraphFont"/>
        <w:widowControl w:val="0"/>
        <w:autoSpaceDE w:val="0"/>
        <w:autoSpaceDN w:val="0"/>
        <w:adjustRightInd w:val="0"/>
        <w:spacing w:after="0" w:line="18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As of Decemb</w:t>
      </w:r>
      <w:r>
        <w:rPr>
          <w:rFonts w:ascii="Times" w:hAnsi="Times" w:cs="Times"/>
          <w:sz w:val="20"/>
          <w:szCs w:val="20"/>
        </w:rPr>
        <w:t>er 31, 2014 and 2013, consolidated gross unrealized losses on our investments in equity and fixed maturity securities determined on an individual purchase lot basis were approximately $1.2 billion and $289 million, respectively. We have concluded that as o</w:t>
      </w:r>
      <w:r>
        <w:rPr>
          <w:rFonts w:ascii="Times" w:hAnsi="Times" w:cs="Times"/>
          <w:sz w:val="20"/>
          <w:szCs w:val="20"/>
        </w:rPr>
        <w:t xml:space="preserve">f December 31, 2014, these unrealized losses were not other than temporary. We consider several factors in determining whether or not impairments are deemed to be other than temporary, including the current and expected long-term business prospects and if </w:t>
      </w:r>
      <w:r>
        <w:rPr>
          <w:rFonts w:ascii="Times" w:hAnsi="Times" w:cs="Times"/>
          <w:sz w:val="20"/>
          <w:szCs w:val="20"/>
        </w:rPr>
        <w:t>applicable, the creditworthiness of the issuer, our ability and intent to hold the investment until the price recovers and the length of time and relative magnitude of the price decline.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102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Management’</w:t>
      </w:r>
      <w:r>
        <w:rPr>
          <w:rFonts w:ascii="Times" w:hAnsi="Times" w:cs="Times"/>
          <w:b/>
          <w:bCs/>
          <w:sz w:val="20"/>
          <w:szCs w:val="20"/>
        </w:rPr>
        <w:t xml:space="preserve">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Investment and Derivative Gains/Losses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Derivative gains/losses primarily represent the changes in fair value of our credit default and equity index put option contracts. Periodic changes in the</w:t>
      </w:r>
      <w:r>
        <w:rPr>
          <w:rFonts w:ascii="Times" w:hAnsi="Times" w:cs="Times"/>
          <w:sz w:val="20"/>
          <w:szCs w:val="20"/>
        </w:rPr>
        <w:t xml:space="preserve"> fair values of these contracts are reflected in earnings and can be significant, reflecting the volatility of underlying credit and equity markets.</w:t>
      </w:r>
    </w:p>
    <w:p w:rsidR="00000000" w:rsidRDefault="00A06965">
      <w:pPr>
        <w:pStyle w:val="DefaultParagraphFont"/>
        <w:widowControl w:val="0"/>
        <w:autoSpaceDE w:val="0"/>
        <w:autoSpaceDN w:val="0"/>
        <w:adjustRightInd w:val="0"/>
        <w:spacing w:after="0" w:line="14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 xml:space="preserve">In 2014, derivative contracts produced pre-tax gains of $506 million. The change in the fair value of our </w:t>
      </w:r>
      <w:r>
        <w:rPr>
          <w:rFonts w:ascii="Times" w:hAnsi="Times" w:cs="Times"/>
          <w:sz w:val="20"/>
          <w:szCs w:val="20"/>
        </w:rPr>
        <w:t>credit default contract during 2014 produced a pre-tax gain of $397 million, and was attributable to lower credit spreads. There were no credit loss payments in 2014. Equity index put option contracts produced pre-tax gains of $108 million in 2014. Such ga</w:t>
      </w:r>
      <w:r>
        <w:rPr>
          <w:rFonts w:ascii="Times" w:hAnsi="Times" w:cs="Times"/>
          <w:sz w:val="20"/>
          <w:szCs w:val="20"/>
        </w:rPr>
        <w:t xml:space="preserve">ins reflected the favorable impact of foreign currency exchange rate changes and generally higher index values, partially offset by the negative impact of lower interest rate assumptions. As of December 31, 2014, the intrinsic value of these contracts was </w:t>
      </w:r>
      <w:r>
        <w:rPr>
          <w:rFonts w:ascii="Times" w:hAnsi="Times" w:cs="Times"/>
          <w:sz w:val="20"/>
          <w:szCs w:val="20"/>
        </w:rPr>
        <w:t>approximately $1.4 billion and our recorded liability at fair value was approximately $4.6 billion. Our ultimate payment obligations, if any, under our remaining equity index put option contracts will be determined as of the contract expiration dates, whic</w:t>
      </w:r>
      <w:r>
        <w:rPr>
          <w:rFonts w:ascii="Times" w:hAnsi="Times" w:cs="Times"/>
          <w:sz w:val="20"/>
          <w:szCs w:val="20"/>
        </w:rPr>
        <w:t>h begin in 2018, and will be based on the intrinsic value as defined under the contracts as of those dates.</w:t>
      </w:r>
    </w:p>
    <w:p w:rsidR="00000000" w:rsidRDefault="00A06965">
      <w:pPr>
        <w:pStyle w:val="DefaultParagraphFont"/>
        <w:widowControl w:val="0"/>
        <w:autoSpaceDE w:val="0"/>
        <w:autoSpaceDN w:val="0"/>
        <w:adjustRightInd w:val="0"/>
        <w:spacing w:after="0" w:line="15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In 2013, derivative contracts generated a pre-tax gain of $2.6 billion, including $2.8 billion gain from equity index put option contracts and pre-</w:t>
      </w:r>
      <w:r>
        <w:rPr>
          <w:rFonts w:ascii="Times" w:hAnsi="Times" w:cs="Times"/>
          <w:sz w:val="20"/>
          <w:szCs w:val="20"/>
        </w:rPr>
        <w:t>tax losses of $213 million from credit default contracts. The gain from equity index put option contracts was due to changes in fair values of the contracts as a result of overall higher equity index values, favorable currency movements and modestly higher</w:t>
      </w:r>
      <w:r>
        <w:rPr>
          <w:rFonts w:ascii="Times" w:hAnsi="Times" w:cs="Times"/>
          <w:sz w:val="20"/>
          <w:szCs w:val="20"/>
        </w:rPr>
        <w:t xml:space="preserve"> interest rate assumptions. The credit default contract loss was primarily attributable to an increase in estimated liabilities of our remaining municipality issuer contract, reflecting wider credit spreads. There were no credit loss payments in 2013.</w:t>
      </w:r>
    </w:p>
    <w:p w:rsidR="00000000" w:rsidRDefault="00A06965">
      <w:pPr>
        <w:pStyle w:val="DefaultParagraphFont"/>
        <w:widowControl w:val="0"/>
        <w:autoSpaceDE w:val="0"/>
        <w:autoSpaceDN w:val="0"/>
        <w:adjustRightInd w:val="0"/>
        <w:spacing w:after="0" w:line="14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In 2012, our derivative contracts produced pre-tax gains of approximately $2.0 billion, and included pre-tax gains from equity index put option contracts of approximately $1.0 billion and gains from credit default contracts of approximately $900 million. T</w:t>
      </w:r>
      <w:r>
        <w:rPr>
          <w:rFonts w:ascii="Times" w:hAnsi="Times" w:cs="Times"/>
          <w:sz w:val="20"/>
          <w:szCs w:val="20"/>
        </w:rPr>
        <w:t xml:space="preserve">he gains related to equity index put option contracts were due to increased index values, foreign currency exchange rate changes and valuation adjustments on a small number of contracts where contractual settlements will be determined differently than the </w:t>
      </w:r>
      <w:r>
        <w:rPr>
          <w:rFonts w:ascii="Times" w:hAnsi="Times" w:cs="Times"/>
          <w:sz w:val="20"/>
          <w:szCs w:val="20"/>
        </w:rPr>
        <w:t>standard determination of intrinsic value, partially offset by lower interest rate assumptions. The gains on credit default contracts were attributable to narrower spreads and reduced time exposure, as well as from settlements related to the termination of</w:t>
      </w:r>
      <w:r>
        <w:rPr>
          <w:rFonts w:ascii="Times" w:hAnsi="Times" w:cs="Times"/>
          <w:sz w:val="20"/>
          <w:szCs w:val="20"/>
        </w:rPr>
        <w:t xml:space="preserve"> certain contracts. In 2012, credit loss payments were $68 million.</w:t>
      </w:r>
    </w:p>
    <w:p w:rsidR="00000000" w:rsidRDefault="00A06965">
      <w:pPr>
        <w:pStyle w:val="DefaultParagraphFont"/>
        <w:widowControl w:val="0"/>
        <w:autoSpaceDE w:val="0"/>
        <w:autoSpaceDN w:val="0"/>
        <w:adjustRightInd w:val="0"/>
        <w:spacing w:after="0" w:line="20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Other</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Corporate income and expenses not allocated to operating businesses produced after-tax losses of $145 million in 2014, $712 million in 2013 and $797 million in 2012. Our investment</w:t>
      </w:r>
      <w:r>
        <w:rPr>
          <w:rFonts w:ascii="Times" w:hAnsi="Times" w:cs="Times"/>
          <w:sz w:val="20"/>
          <w:szCs w:val="20"/>
        </w:rPr>
        <w:t>s in Heinz generated after-tax earnings of $652 million in 2014 and $95 million in 2013. Also included in other earnings are amortization of fair value adjustments made in connection with several prior business acquisitions (primarily related to the amorti</w:t>
      </w:r>
      <w:r>
        <w:rPr>
          <w:rFonts w:ascii="Times" w:hAnsi="Times" w:cs="Times"/>
          <w:sz w:val="20"/>
          <w:szCs w:val="20"/>
        </w:rPr>
        <w:t>zation of identifiable intangible assets) and corporate interest expense. These two charges (after-tax) aggregated $682 million in 2014, $514 million in 2013 and $630 million in 2012.</w:t>
      </w:r>
    </w:p>
    <w:p w:rsidR="00000000" w:rsidRDefault="00A06965">
      <w:pPr>
        <w:pStyle w:val="DefaultParagraphFont"/>
        <w:widowControl w:val="0"/>
        <w:autoSpaceDE w:val="0"/>
        <w:autoSpaceDN w:val="0"/>
        <w:adjustRightInd w:val="0"/>
        <w:spacing w:after="0" w:line="20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Financial Condition</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Our balance sheet continues to reflect significant</w:t>
      </w:r>
      <w:r>
        <w:rPr>
          <w:rFonts w:ascii="Times" w:hAnsi="Times" w:cs="Times"/>
          <w:sz w:val="20"/>
          <w:szCs w:val="20"/>
        </w:rPr>
        <w:t xml:space="preserve"> liquidity and a strong capital base. Our consolidated shareholders’ equity at December 31, 2014 was $240.2 billion, an increase of $18.3 billion since December 31, 2013.</w:t>
      </w:r>
    </w:p>
    <w:p w:rsidR="00000000" w:rsidRDefault="00A06965">
      <w:pPr>
        <w:pStyle w:val="DefaultParagraphFont"/>
        <w:widowControl w:val="0"/>
        <w:autoSpaceDE w:val="0"/>
        <w:autoSpaceDN w:val="0"/>
        <w:adjustRightInd w:val="0"/>
        <w:spacing w:after="0" w:line="15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 xml:space="preserve">As of December 31, 2014, cash and investments of our insurance and other businesses </w:t>
      </w:r>
      <w:r>
        <w:rPr>
          <w:rFonts w:ascii="Times" w:hAnsi="Times" w:cs="Times"/>
          <w:sz w:val="20"/>
          <w:szCs w:val="20"/>
        </w:rPr>
        <w:t xml:space="preserve">approximated $217.2 billion (excludes our investments in H.J. Heinz Holding Corporation). In December 2014, an insurance subsidiary acquired common and preferred stock of Restaurant Brands International, Inc. for $3.0 billion in the aggregate. At December </w:t>
      </w:r>
      <w:r>
        <w:rPr>
          <w:rFonts w:ascii="Times" w:hAnsi="Times" w:cs="Times"/>
          <w:sz w:val="20"/>
          <w:szCs w:val="20"/>
        </w:rPr>
        <w:t>31, 2014, cash and cash equivalents of insurance and other businesses were $58.0 billion, an increase of $15.5 billion since December 31, 2013.</w:t>
      </w:r>
    </w:p>
    <w:p w:rsidR="00000000" w:rsidRDefault="00A06965">
      <w:pPr>
        <w:pStyle w:val="DefaultParagraphFont"/>
        <w:widowControl w:val="0"/>
        <w:autoSpaceDE w:val="0"/>
        <w:autoSpaceDN w:val="0"/>
        <w:adjustRightInd w:val="0"/>
        <w:spacing w:after="0" w:line="15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Berkshire Hathaway parent company borrowings include $8.0 billion of senior unsecured notes, of which $1.7 billion matured in February 2015. We currently expect to issue new senior notes in 2015 to replace some or all of this maturity. In 2014, Berkshire i</w:t>
      </w:r>
      <w:r>
        <w:rPr>
          <w:rFonts w:ascii="Times" w:hAnsi="Times" w:cs="Times"/>
          <w:sz w:val="20"/>
          <w:szCs w:val="20"/>
        </w:rPr>
        <w:t xml:space="preserve">ssued $750 million of parent company senior notes maturing in 2019 and repaid $750 million of notes in August. During the first quarter of 2014, Berkshire paid approximately $1.2 billion as final payment in connection with our acquisition of substantially </w:t>
      </w:r>
      <w:r>
        <w:rPr>
          <w:rFonts w:ascii="Times" w:hAnsi="Times" w:cs="Times"/>
          <w:sz w:val="20"/>
          <w:szCs w:val="20"/>
        </w:rPr>
        <w:t>all outstanding shares held by Marmon non-controlling shareholders at December 31, 2013.</w:t>
      </w:r>
    </w:p>
    <w:p w:rsidR="00000000" w:rsidRDefault="00A06965">
      <w:pPr>
        <w:pStyle w:val="DefaultParagraphFont"/>
        <w:widowControl w:val="0"/>
        <w:autoSpaceDE w:val="0"/>
        <w:autoSpaceDN w:val="0"/>
        <w:adjustRightInd w:val="0"/>
        <w:spacing w:after="0" w:line="15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Berkshire’s Board of Directors has authorized Berkshire to repurchase its Class A and Class B common shares at prices no higher than a 20% premium over the book value</w:t>
      </w:r>
      <w:r>
        <w:rPr>
          <w:rFonts w:ascii="Times" w:hAnsi="Times" w:cs="Times"/>
          <w:sz w:val="20"/>
          <w:szCs w:val="20"/>
        </w:rPr>
        <w:t xml:space="preserve"> of the shares. Berkshire may repurchase shares at management’s discretion. The repurchase program is expected to continue indefinitely, but does not obligate Berkshire to repurchase any dollar amount or number of Class A or Class B common shares. Repurcha</w:t>
      </w:r>
      <w:r>
        <w:rPr>
          <w:rFonts w:ascii="Times" w:hAnsi="Times" w:cs="Times"/>
          <w:sz w:val="20"/>
          <w:szCs w:val="20"/>
        </w:rPr>
        <w:t>ses will not be made if they would reduce Berkshire’s consolidated cash and cash equivalent holdings below $20 billion. Financial strength and redundant liquidity will always be of paramount importance at Berkshire. There were no share repurchases under th</w:t>
      </w:r>
      <w:r>
        <w:rPr>
          <w:rFonts w:ascii="Times" w:hAnsi="Times" w:cs="Times"/>
          <w:sz w:val="20"/>
          <w:szCs w:val="20"/>
        </w:rPr>
        <w:t>e program during 2014.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4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103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Financial Condition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On December 1, 2014, BHE completed its acquisition of AltaLink, a regulated electric transmission-only company serv</w:t>
      </w:r>
      <w:r>
        <w:rPr>
          <w:rFonts w:ascii="Times" w:hAnsi="Times" w:cs="Times"/>
          <w:sz w:val="20"/>
          <w:szCs w:val="20"/>
        </w:rPr>
        <w:t>ing customers in Alberta, Canada. BHE purchased AltaLink for cash of approximately C$3.1 (approximately $2.7 billion). The acquisition was funded through loans from Berkshire’s insurance subsidiaries and the issuance of $1.5 billion of senior unsecured not</w:t>
      </w:r>
      <w:r>
        <w:rPr>
          <w:rFonts w:ascii="Times" w:hAnsi="Times" w:cs="Times"/>
          <w:sz w:val="20"/>
          <w:szCs w:val="20"/>
        </w:rPr>
        <w:t>es due in 2020, 2025 and 2045.</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Our railroad, utilities and energy businesses (conducted by BNSF and BHE) maintain very large investments in capital assets (</w:t>
      </w:r>
      <w:r>
        <w:rPr>
          <w:rFonts w:ascii="Times" w:hAnsi="Times" w:cs="Times"/>
          <w:sz w:val="20"/>
          <w:szCs w:val="20"/>
        </w:rPr>
        <w:t>property, plant and equipment) and will regularly make significant capital expenditures in the normal course of business. In 2014, aggregate capital expenditures of these businesses were approximately $11.8 billion, including $6.6 billion by BHE and $5.2 b</w:t>
      </w:r>
      <w:r>
        <w:rPr>
          <w:rFonts w:ascii="Times" w:hAnsi="Times" w:cs="Times"/>
          <w:sz w:val="20"/>
          <w:szCs w:val="20"/>
        </w:rPr>
        <w:t>illion by BNSF. BNSF and BHE forecast aggregate capital expenditures of approximately $12.3 billion in 2015. Future capital expenditures are expected to be funded from cash flows from operations and debt issuances.</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In 2014, BNSF issued $3.0 billion of sen</w:t>
      </w:r>
      <w:r>
        <w:rPr>
          <w:rFonts w:ascii="Times" w:hAnsi="Times" w:cs="Times"/>
          <w:sz w:val="20"/>
          <w:szCs w:val="20"/>
        </w:rPr>
        <w:t>ior unsecured debentures with maturities in 2024 and 2044. BNSF’s outstanding debt was $19.3 billion as of December 31, 2014. Outstanding borrowings of BHE and its subsidiaries were approximately $36.3 billion as of December 31, 2014, which excludes borrow</w:t>
      </w:r>
      <w:r>
        <w:rPr>
          <w:rFonts w:ascii="Times" w:hAnsi="Times" w:cs="Times"/>
          <w:sz w:val="20"/>
          <w:szCs w:val="20"/>
        </w:rPr>
        <w:t>ings from Berkshire insurance subsidiaries. BNSF and BHE have aggregate debt and capital lease maturities in 2015 of about $3 billion. Berkshire’s commitment to provide additional capital to BHE to permit the repayment of its debt obligations or to fund it</w:t>
      </w:r>
      <w:r>
        <w:rPr>
          <w:rFonts w:ascii="Times" w:hAnsi="Times" w:cs="Times"/>
          <w:sz w:val="20"/>
          <w:szCs w:val="20"/>
        </w:rPr>
        <w:t>s regulated utility subsidiaries expired in 2014. Berkshire does not guarantee the repayment of debt issued by BNSF, BHE or any of their subsidiaries and is not committed to provide capital to support BHE or BNSF or any of their subsidiaries.</w:t>
      </w:r>
    </w:p>
    <w:p w:rsidR="00000000" w:rsidRDefault="00A06965">
      <w:pPr>
        <w:pStyle w:val="DefaultParagraphFont"/>
        <w:widowControl w:val="0"/>
        <w:autoSpaceDE w:val="0"/>
        <w:autoSpaceDN w:val="0"/>
        <w:adjustRightInd w:val="0"/>
        <w:spacing w:after="0" w:line="32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 xml:space="preserve">Finance and </w:t>
      </w:r>
      <w:r>
        <w:rPr>
          <w:rFonts w:ascii="Times" w:hAnsi="Times" w:cs="Times"/>
          <w:sz w:val="20"/>
          <w:szCs w:val="20"/>
        </w:rPr>
        <w:t>financial products assets were approximately $33.5 billion as of December 31, 2014 and $33.2 billion as of December 31, 2013. Assets of these businesses consisted primarily of loans and finance receivables, cash and cash equivalents, a portfolio of fixed m</w:t>
      </w:r>
      <w:r>
        <w:rPr>
          <w:rFonts w:ascii="Times" w:hAnsi="Times" w:cs="Times"/>
          <w:sz w:val="20"/>
          <w:szCs w:val="20"/>
        </w:rPr>
        <w:t>aturity and equity investments, as well as a sizable portfolio of various types of equipment and furniture held for lease. The carrying values of assets held for lease were approximately $7.3 billion at December 31, 2014 and $7.0 billion at December 31, 20</w:t>
      </w:r>
      <w:r>
        <w:rPr>
          <w:rFonts w:ascii="Times" w:hAnsi="Times" w:cs="Times"/>
          <w:sz w:val="20"/>
          <w:szCs w:val="20"/>
        </w:rPr>
        <w:t>13.</w:t>
      </w:r>
    </w:p>
    <w:p w:rsidR="00000000" w:rsidRDefault="00A06965">
      <w:pPr>
        <w:pStyle w:val="DefaultParagraphFont"/>
        <w:widowControl w:val="0"/>
        <w:autoSpaceDE w:val="0"/>
        <w:autoSpaceDN w:val="0"/>
        <w:adjustRightInd w:val="0"/>
        <w:spacing w:after="0" w:line="32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Finance and financial products liabilities were $18.9 billion as of December 31, 2014 and $19.8 billion as of December 31, 2013, which included notes payable and other borrowings of $12.7 billion and $13.1 billion, respectively. As of December 31, 201</w:t>
      </w:r>
      <w:r>
        <w:rPr>
          <w:rFonts w:ascii="Times" w:hAnsi="Times" w:cs="Times"/>
          <w:sz w:val="20"/>
          <w:szCs w:val="20"/>
        </w:rPr>
        <w:t xml:space="preserve">4, notes payable included $11.2 billion of notes issued by Berkshire Hathaway Finance Corporation (“BHFC”). In 2014, BHFC issued $1.15 billion of senior unsecured notes to replace maturing notes. The new senior notes mature in 2017 and 2018. An additional </w:t>
      </w:r>
      <w:r>
        <w:rPr>
          <w:rFonts w:ascii="Times" w:hAnsi="Times" w:cs="Times"/>
          <w:sz w:val="20"/>
          <w:szCs w:val="20"/>
        </w:rPr>
        <w:t>$1.0 billion of BHFC debt matured in January 2015 and at that time BHFC issued $1.0 billion of new senior notes that mature in 2017 and 2018. The proceeds from the BHFC notes are used to fund originated loans and acquired loans of Clayton Homes.</w:t>
      </w:r>
    </w:p>
    <w:p w:rsidR="00000000" w:rsidRDefault="00A06965">
      <w:pPr>
        <w:pStyle w:val="DefaultParagraphFont"/>
        <w:widowControl w:val="0"/>
        <w:autoSpaceDE w:val="0"/>
        <w:autoSpaceDN w:val="0"/>
        <w:adjustRightInd w:val="0"/>
        <w:spacing w:after="0" w:line="32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As descri</w:t>
      </w:r>
      <w:r>
        <w:rPr>
          <w:rFonts w:ascii="Times" w:hAnsi="Times" w:cs="Times"/>
          <w:sz w:val="20"/>
          <w:szCs w:val="20"/>
        </w:rPr>
        <w:t>bed in Note 12 to the accompanying Consolidated Financial Statements, our finance and financial products businesses are party to equity index put option and credit default contracts. With limited exception, these contracts contain no collateral posting req</w:t>
      </w:r>
      <w:r>
        <w:rPr>
          <w:rFonts w:ascii="Times" w:hAnsi="Times" w:cs="Times"/>
          <w:sz w:val="20"/>
          <w:szCs w:val="20"/>
        </w:rPr>
        <w:t>uirements under any circumstances, including changes in either the fair value or intrinsic value of the contracts or a downgrade in Berkshire’s credit ratings. At December 31, 2014, the liabilities recorded for such contracts were approximately $4.8 billio</w:t>
      </w:r>
      <w:r>
        <w:rPr>
          <w:rFonts w:ascii="Times" w:hAnsi="Times" w:cs="Times"/>
          <w:sz w:val="20"/>
          <w:szCs w:val="20"/>
        </w:rPr>
        <w:t>n and we had no collateral posting requirements. The full and timely payment of principal and interest on the BHFC notes and payment of amounts due at the expiration of the equity index put option and credit default contracts is guaranteed by Berkshire.</w:t>
      </w:r>
    </w:p>
    <w:p w:rsidR="00000000" w:rsidRDefault="00A06965">
      <w:pPr>
        <w:pStyle w:val="DefaultParagraphFont"/>
        <w:widowControl w:val="0"/>
        <w:autoSpaceDE w:val="0"/>
        <w:autoSpaceDN w:val="0"/>
        <w:adjustRightInd w:val="0"/>
        <w:spacing w:after="0" w:line="32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W</w:t>
      </w:r>
      <w:r>
        <w:rPr>
          <w:rFonts w:ascii="Times" w:hAnsi="Times" w:cs="Times"/>
          <w:sz w:val="20"/>
          <w:szCs w:val="20"/>
        </w:rPr>
        <w:t xml:space="preserve">e regularly access the credit markets, particularly through our railroad, utilities and energy and finance and financial products businesses. Restricted access to credit markets at affordable rates in the future could have a significant negative impact on </w:t>
      </w:r>
      <w:r>
        <w:rPr>
          <w:rFonts w:ascii="Times" w:hAnsi="Times" w:cs="Times"/>
          <w:sz w:val="20"/>
          <w:szCs w:val="20"/>
        </w:rPr>
        <w:t>our operations.</w:t>
      </w:r>
    </w:p>
    <w:p w:rsidR="00000000" w:rsidRDefault="00A06965">
      <w:pPr>
        <w:pStyle w:val="DefaultParagraphFont"/>
        <w:widowControl w:val="0"/>
        <w:autoSpaceDE w:val="0"/>
        <w:autoSpaceDN w:val="0"/>
        <w:adjustRightInd w:val="0"/>
        <w:spacing w:after="0" w:line="32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In 2010, the Dodd-Frank Wall Street Reform and Consumer Protection Act (the “Reform Act”) was signed into law. The Reform Act reshapes financial regulations in the United States by creating new regulators, regulating new markets and market</w:t>
      </w:r>
      <w:r>
        <w:rPr>
          <w:rFonts w:ascii="Times" w:hAnsi="Times" w:cs="Times"/>
          <w:sz w:val="20"/>
          <w:szCs w:val="20"/>
        </w:rPr>
        <w:t xml:space="preserve"> participants and providing new enforcement powers to regulators. Virtually all major areas of the Reform Act have been subject to extensive rulemaking proceedings being conducted both jointly and independently by multiple regulatory agencies, some of whic</w:t>
      </w:r>
      <w:r>
        <w:rPr>
          <w:rFonts w:ascii="Times" w:hAnsi="Times" w:cs="Times"/>
          <w:sz w:val="20"/>
          <w:szCs w:val="20"/>
        </w:rPr>
        <w:t>h have been completed and others that are expected to be finalized during the next several months. Although the Reform Act may adversely affect some of our business activities, it is not currently expected to have a material impact on our consolidated fina</w:t>
      </w:r>
      <w:r>
        <w:rPr>
          <w:rFonts w:ascii="Times" w:hAnsi="Times" w:cs="Times"/>
          <w:sz w:val="20"/>
          <w:szCs w:val="20"/>
        </w:rPr>
        <w:t>ncial results or financial condition.</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104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Contractual Obligations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 xml:space="preserve">We are party to contracts associated with ongoing business and financing activities, which will result in cash payments to counterparties in future periods. Certain obligations are reflected in our Consolidated Balance Sheets, such as notes payable, which </w:t>
      </w:r>
      <w:r>
        <w:rPr>
          <w:rFonts w:ascii="Times" w:hAnsi="Times" w:cs="Times"/>
          <w:sz w:val="20"/>
          <w:szCs w:val="20"/>
        </w:rPr>
        <w:t>require future payments on contractually specified dates and in fixed and determinable amounts. Other obligations pertain to the acquisition of goods or services in the future, such as minimum rentals under operating leases and certain purchase obligations</w:t>
      </w:r>
      <w:r>
        <w:rPr>
          <w:rFonts w:ascii="Times" w:hAnsi="Times" w:cs="Times"/>
          <w:sz w:val="20"/>
          <w:szCs w:val="20"/>
        </w:rPr>
        <w:t>, and are not currently reflected in the financial statements. Such obligations will be reflected in future periods as the goods are delivered or services provided. Amounts due as of the balance sheet date for purchases where the goods and services have be</w:t>
      </w:r>
      <w:r>
        <w:rPr>
          <w:rFonts w:ascii="Times" w:hAnsi="Times" w:cs="Times"/>
          <w:sz w:val="20"/>
          <w:szCs w:val="20"/>
        </w:rPr>
        <w:t>en received and a liability incurred are not included in the following table to the extent that such amounts are due within one year of the balance sheet date.</w:t>
      </w:r>
    </w:p>
    <w:p w:rsidR="00000000" w:rsidRDefault="00A06965">
      <w:pPr>
        <w:pStyle w:val="DefaultParagraphFont"/>
        <w:widowControl w:val="0"/>
        <w:autoSpaceDE w:val="0"/>
        <w:autoSpaceDN w:val="0"/>
        <w:adjustRightInd w:val="0"/>
        <w:spacing w:after="0" w:line="17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The timing and/or amount of the payments under certain contracts are contingent upon the outcom</w:t>
      </w:r>
      <w:r>
        <w:rPr>
          <w:rFonts w:ascii="Times" w:hAnsi="Times" w:cs="Times"/>
          <w:sz w:val="20"/>
          <w:szCs w:val="20"/>
        </w:rPr>
        <w:t>e of future events. Actual payments will likely vary, perhaps significantly, from estimates reflected in the table that follows. Most significantly, the timing and amount of payments arising under property and casualty insurance contracts are contingent up</w:t>
      </w:r>
      <w:r>
        <w:rPr>
          <w:rFonts w:ascii="Times" w:hAnsi="Times" w:cs="Times"/>
          <w:sz w:val="20"/>
          <w:szCs w:val="20"/>
        </w:rPr>
        <w:t>on the outcome of future claim settlement activities or events. In addition, obligations arising under life, annuity and health insurance benefits are contingent on future premiums, allowances, mortality, morbidity, expenses and policy lapse rates, as appl</w:t>
      </w:r>
      <w:r>
        <w:rPr>
          <w:rFonts w:ascii="Times" w:hAnsi="Times" w:cs="Times"/>
          <w:sz w:val="20"/>
          <w:szCs w:val="20"/>
        </w:rPr>
        <w:t>icable. These amounts are based on the liability estimates reflected in our Consolidated Balance Sheet as of December 31, 2014. Although certain insurance losses and loss adjustment expenses and life, annuity and health benefits are ceded under reinsurance</w:t>
      </w:r>
      <w:r>
        <w:rPr>
          <w:rFonts w:ascii="Times" w:hAnsi="Times" w:cs="Times"/>
          <w:sz w:val="20"/>
          <w:szCs w:val="20"/>
        </w:rPr>
        <w:t xml:space="preserve"> contracts, receivables recorded in the Consolidated Balance Sheet are not reflected in the table.</w:t>
      </w:r>
    </w:p>
    <w:p w:rsidR="00000000" w:rsidRDefault="00A06965">
      <w:pPr>
        <w:pStyle w:val="DefaultParagraphFont"/>
        <w:widowControl w:val="0"/>
        <w:autoSpaceDE w:val="0"/>
        <w:autoSpaceDN w:val="0"/>
        <w:adjustRightInd w:val="0"/>
        <w:spacing w:after="0" w:line="16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sz w:val="20"/>
          <w:szCs w:val="20"/>
        </w:rPr>
        <w:t>A summary of contractual obligations as of December 31, 2014 follows. Amounts are in millions.</w:t>
      </w:r>
    </w:p>
    <w:p w:rsidR="00000000" w:rsidRDefault="00A06965">
      <w:pPr>
        <w:pStyle w:val="DefaultParagraphFont"/>
        <w:widowControl w:val="0"/>
        <w:autoSpaceDE w:val="0"/>
        <w:autoSpaceDN w:val="0"/>
        <w:adjustRightInd w:val="0"/>
        <w:spacing w:after="0" w:line="12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40"/>
        <w:gridCol w:w="2440"/>
        <w:gridCol w:w="760"/>
        <w:gridCol w:w="200"/>
        <w:gridCol w:w="640"/>
        <w:gridCol w:w="200"/>
        <w:gridCol w:w="20"/>
        <w:gridCol w:w="660"/>
        <w:gridCol w:w="20"/>
        <w:gridCol w:w="200"/>
        <w:gridCol w:w="20"/>
        <w:gridCol w:w="640"/>
        <w:gridCol w:w="40"/>
        <w:gridCol w:w="200"/>
        <w:gridCol w:w="100"/>
        <w:gridCol w:w="640"/>
      </w:tblGrid>
      <w:tr w:rsidR="00000000">
        <w:tblPrEx>
          <w:tblCellMar>
            <w:top w:w="0" w:type="dxa"/>
            <w:left w:w="0" w:type="dxa"/>
            <w:bottom w:w="0" w:type="dxa"/>
            <w:right w:w="0" w:type="dxa"/>
          </w:tblCellMar>
        </w:tblPrEx>
        <w:trPr>
          <w:trHeight w:val="184"/>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640" w:type="dxa"/>
            <w:gridSpan w:val="10"/>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20"/>
              <w:jc w:val="center"/>
              <w:rPr>
                <w:rFonts w:ascii="Times New Roman" w:hAnsi="Times New Roman" w:cs="Times New Roman"/>
                <w:sz w:val="24"/>
                <w:szCs w:val="24"/>
              </w:rPr>
            </w:pPr>
            <w:r>
              <w:rPr>
                <w:rFonts w:ascii="Times" w:hAnsi="Times" w:cs="Times"/>
                <w:b/>
                <w:bCs/>
                <w:sz w:val="16"/>
                <w:szCs w:val="16"/>
              </w:rPr>
              <w:t>Estimated payments due by period</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6"/>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3"/>
              <w:jc w:val="right"/>
              <w:rPr>
                <w:rFonts w:ascii="Times New Roman" w:hAnsi="Times New Roman" w:cs="Times New Roman"/>
                <w:sz w:val="24"/>
                <w:szCs w:val="24"/>
              </w:rPr>
            </w:pPr>
            <w:r>
              <w:rPr>
                <w:rFonts w:ascii="Times" w:hAnsi="Times" w:cs="Times"/>
                <w:b/>
                <w:bCs/>
                <w:sz w:val="16"/>
                <w:szCs w:val="16"/>
              </w:rPr>
              <w:t>Total</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w:hAnsi="Times" w:cs="Times"/>
                <w:b/>
                <w:bCs/>
                <w:sz w:val="16"/>
                <w:szCs w:val="16"/>
              </w:rPr>
              <w:t>2015</w:t>
            </w:r>
          </w:p>
        </w:tc>
        <w:tc>
          <w:tcPr>
            <w:tcW w:w="1100" w:type="dxa"/>
            <w:gridSpan w:val="5"/>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w:hAnsi="Times" w:cs="Times"/>
                <w:b/>
                <w:bCs/>
                <w:sz w:val="16"/>
                <w:szCs w:val="16"/>
              </w:rPr>
              <w:t>2016-2017</w:t>
            </w:r>
          </w:p>
        </w:tc>
        <w:tc>
          <w:tcPr>
            <w:tcW w:w="9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w:hAnsi="Times" w:cs="Times"/>
                <w:b/>
                <w:bCs/>
                <w:w w:val="98"/>
                <w:sz w:val="16"/>
                <w:szCs w:val="16"/>
              </w:rPr>
              <w:t>2018-2019</w:t>
            </w:r>
          </w:p>
        </w:tc>
        <w:tc>
          <w:tcPr>
            <w:tcW w:w="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w w:val="99"/>
                <w:sz w:val="16"/>
                <w:szCs w:val="16"/>
              </w:rPr>
              <w:t>After 2019</w:t>
            </w:r>
          </w:p>
        </w:tc>
      </w:tr>
      <w:tr w:rsidR="00000000">
        <w:tblPrEx>
          <w:tblCellMar>
            <w:top w:w="0" w:type="dxa"/>
            <w:left w:w="0" w:type="dxa"/>
            <w:bottom w:w="0" w:type="dxa"/>
            <w:right w:w="0" w:type="dxa"/>
          </w:tblCellMar>
        </w:tblPrEx>
        <w:trPr>
          <w:trHeight w:val="26"/>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59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 xml:space="preserve">Notes payable and other borrowings </w:t>
            </w:r>
            <w:r>
              <w:rPr>
                <w:rFonts w:ascii="Times" w:hAnsi="Times" w:cs="Times"/>
                <w:sz w:val="26"/>
                <w:szCs w:val="26"/>
                <w:vertAlign w:val="superscript"/>
              </w:rPr>
              <w:t>(1)</w:t>
            </w:r>
            <w:r>
              <w:rPr>
                <w:rFonts w:ascii="Times" w:hAnsi="Times" w:cs="Times"/>
                <w:sz w:val="20"/>
                <w:szCs w:val="20"/>
              </w:rPr>
              <w:t xml:space="preserve">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$128,267</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$10,775</w:t>
            </w:r>
          </w:p>
        </w:tc>
        <w:tc>
          <w:tcPr>
            <w:tcW w:w="8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$16,157</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$16,772</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84,563</w:t>
            </w:r>
          </w:p>
        </w:tc>
      </w:tr>
      <w:tr w:rsidR="00000000">
        <w:tblPrEx>
          <w:tblCellMar>
            <w:top w:w="0" w:type="dxa"/>
            <w:left w:w="0" w:type="dxa"/>
            <w:bottom w:w="0" w:type="dxa"/>
            <w:right w:w="0" w:type="dxa"/>
          </w:tblCellMar>
        </w:tblPrEx>
        <w:trPr>
          <w:trHeight w:val="220"/>
        </w:trPr>
        <w:tc>
          <w:tcPr>
            <w:tcW w:w="59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sz w:val="20"/>
                <w:szCs w:val="20"/>
              </w:rPr>
              <w:t>Operating leases . . . . . . . . . . . . . . . . .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8,642</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1,279</w:t>
            </w:r>
          </w:p>
        </w:tc>
        <w:tc>
          <w:tcPr>
            <w:tcW w:w="8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2,160</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1,598</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3,605</w:t>
            </w:r>
          </w:p>
        </w:tc>
      </w:tr>
      <w:tr w:rsidR="00000000">
        <w:tblPrEx>
          <w:tblCellMar>
            <w:top w:w="0" w:type="dxa"/>
            <w:left w:w="0" w:type="dxa"/>
            <w:bottom w:w="0" w:type="dxa"/>
            <w:right w:w="0" w:type="dxa"/>
          </w:tblCellMar>
        </w:tblPrEx>
        <w:trPr>
          <w:trHeight w:val="240"/>
        </w:trPr>
        <w:tc>
          <w:tcPr>
            <w:tcW w:w="59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Purchase obligations . . . . . . . . . . . . . .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43,985</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14,592</w:t>
            </w:r>
          </w:p>
        </w:tc>
        <w:tc>
          <w:tcPr>
            <w:tcW w:w="8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9,091</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6,635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13,667</w:t>
            </w:r>
          </w:p>
        </w:tc>
      </w:tr>
      <w:tr w:rsidR="00000000">
        <w:tblPrEx>
          <w:tblCellMar>
            <w:top w:w="0" w:type="dxa"/>
            <w:left w:w="0" w:type="dxa"/>
            <w:bottom w:w="0" w:type="dxa"/>
            <w:right w:w="0" w:type="dxa"/>
          </w:tblCellMar>
        </w:tblPrEx>
        <w:trPr>
          <w:trHeight w:val="260"/>
        </w:trPr>
        <w:tc>
          <w:tcPr>
            <w:tcW w:w="59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r>
              <w:rPr>
                <w:rFonts w:ascii="Times" w:hAnsi="Times" w:cs="Times"/>
                <w:sz w:val="20"/>
                <w:szCs w:val="20"/>
              </w:rPr>
              <w:t xml:space="preserve">Losses and loss adjustment expenses </w:t>
            </w:r>
            <w:r>
              <w:rPr>
                <w:rFonts w:ascii="Times" w:hAnsi="Times" w:cs="Times"/>
                <w:sz w:val="26"/>
                <w:szCs w:val="26"/>
                <w:vertAlign w:val="superscript"/>
              </w:rPr>
              <w:t>(2)</w:t>
            </w:r>
            <w:r>
              <w:rPr>
                <w:rFonts w:ascii="Times" w:hAnsi="Times" w:cs="Times"/>
                <w:sz w:val="20"/>
                <w:szCs w:val="20"/>
              </w:rPr>
              <w:t xml:space="preserve">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73,222</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14,883</w:t>
            </w:r>
          </w:p>
        </w:tc>
        <w:tc>
          <w:tcPr>
            <w:tcW w:w="8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15,942</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9,282</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33,115</w:t>
            </w:r>
          </w:p>
        </w:tc>
      </w:tr>
      <w:tr w:rsidR="00000000">
        <w:tblPrEx>
          <w:tblCellMar>
            <w:top w:w="0" w:type="dxa"/>
            <w:left w:w="0" w:type="dxa"/>
            <w:bottom w:w="0" w:type="dxa"/>
            <w:right w:w="0" w:type="dxa"/>
          </w:tblCellMar>
        </w:tblPrEx>
        <w:trPr>
          <w:trHeight w:val="240"/>
        </w:trPr>
        <w:tc>
          <w:tcPr>
            <w:tcW w:w="59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39" w:lineRule="exact"/>
              <w:rPr>
                <w:rFonts w:ascii="Times New Roman" w:hAnsi="Times New Roman" w:cs="Times New Roman"/>
                <w:sz w:val="24"/>
                <w:szCs w:val="24"/>
              </w:rPr>
            </w:pPr>
            <w:r>
              <w:rPr>
                <w:rFonts w:ascii="Times" w:hAnsi="Times" w:cs="Times"/>
                <w:sz w:val="20"/>
                <w:szCs w:val="20"/>
              </w:rPr>
              <w:t xml:space="preserve">Life, annuity and health insurance benefits </w:t>
            </w:r>
            <w:r>
              <w:rPr>
                <w:rFonts w:ascii="Times" w:hAnsi="Times" w:cs="Times"/>
                <w:sz w:val="26"/>
                <w:szCs w:val="26"/>
                <w:vertAlign w:val="superscript"/>
              </w:rPr>
              <w:t>(3)</w:t>
            </w:r>
            <w:r>
              <w:rPr>
                <w:rFonts w:ascii="Times" w:hAnsi="Times" w:cs="Times"/>
                <w:sz w:val="20"/>
                <w:szCs w:val="20"/>
              </w:rPr>
              <w:t xml:space="preserve">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25,336</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1,443</w:t>
            </w:r>
          </w:p>
        </w:tc>
        <w:tc>
          <w:tcPr>
            <w:tcW w:w="8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235</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325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23,333</w:t>
            </w:r>
          </w:p>
        </w:tc>
      </w:tr>
      <w:tr w:rsidR="00000000">
        <w:tblPrEx>
          <w:tblCellMar>
            <w:top w:w="0" w:type="dxa"/>
            <w:left w:w="0" w:type="dxa"/>
            <w:bottom w:w="0" w:type="dxa"/>
            <w:right w:w="0" w:type="dxa"/>
          </w:tblCellMar>
        </w:tblPrEx>
        <w:trPr>
          <w:trHeight w:val="220"/>
        </w:trPr>
        <w:tc>
          <w:tcPr>
            <w:tcW w:w="59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sz w:val="20"/>
                <w:szCs w:val="20"/>
              </w:rPr>
              <w:t>Other . . . . . . . . . . . . . . . . . . . . . . . . . .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20,635</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5,107</w:t>
            </w:r>
          </w:p>
        </w:tc>
        <w:tc>
          <w:tcPr>
            <w:tcW w:w="8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1,280</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2,158</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12,090</w:t>
            </w: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59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Total . . . . . . . . . . . . . . . . . . . . . . . . . .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$300,087</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$48,079</w:t>
            </w:r>
          </w:p>
        </w:tc>
        <w:tc>
          <w:tcPr>
            <w:tcW w:w="8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$44,865</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$36,770</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5"/>
                <w:sz w:val="20"/>
                <w:szCs w:val="20"/>
              </w:rPr>
              <w:t>170,373</w:t>
            </w: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0"/>
        </w:trPr>
        <w:tc>
          <w:tcPr>
            <w:tcW w:w="3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4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r>
    </w:tbl>
    <w:p w:rsidR="00000000" w:rsidRDefault="00A06965">
      <w:pPr>
        <w:pStyle w:val="DefaultParagraphFont"/>
        <w:widowControl w:val="0"/>
        <w:numPr>
          <w:ilvl w:val="0"/>
          <w:numId w:val="43"/>
        </w:numPr>
        <w:tabs>
          <w:tab w:val="clear" w:pos="720"/>
          <w:tab w:val="num" w:pos="400"/>
        </w:tabs>
        <w:overflowPunct w:val="0"/>
        <w:autoSpaceDE w:val="0"/>
        <w:autoSpaceDN w:val="0"/>
        <w:adjustRightInd w:val="0"/>
        <w:spacing w:after="0" w:line="226" w:lineRule="auto"/>
        <w:ind w:left="400" w:hanging="400"/>
        <w:jc w:val="both"/>
        <w:rPr>
          <w:rFonts w:ascii="Times" w:hAnsi="Times" w:cs="Times"/>
          <w:i/>
          <w:iCs/>
          <w:sz w:val="26"/>
          <w:szCs w:val="26"/>
          <w:vertAlign w:val="superscript"/>
        </w:rPr>
      </w:pPr>
      <w:r>
        <w:rPr>
          <w:rFonts w:ascii="Times" w:hAnsi="Times" w:cs="Times"/>
          <w:i/>
          <w:iCs/>
          <w:sz w:val="20"/>
          <w:szCs w:val="20"/>
        </w:rPr>
        <w:t>Includes interest.</w:t>
      </w:r>
    </w:p>
    <w:p w:rsidR="00000000" w:rsidRDefault="00A06965">
      <w:pPr>
        <w:pStyle w:val="DefaultParagraphFont"/>
        <w:widowControl w:val="0"/>
        <w:autoSpaceDE w:val="0"/>
        <w:autoSpaceDN w:val="0"/>
        <w:adjustRightInd w:val="0"/>
        <w:spacing w:after="0" w:line="72" w:lineRule="exact"/>
        <w:rPr>
          <w:rFonts w:ascii="Times" w:hAnsi="Times" w:cs="Times"/>
          <w:i/>
          <w:iCs/>
          <w:sz w:val="26"/>
          <w:szCs w:val="26"/>
          <w:vertAlign w:val="superscript"/>
        </w:rPr>
      </w:pPr>
    </w:p>
    <w:p w:rsidR="00000000" w:rsidRDefault="00A06965">
      <w:pPr>
        <w:pStyle w:val="DefaultParagraphFont"/>
        <w:widowControl w:val="0"/>
        <w:numPr>
          <w:ilvl w:val="0"/>
          <w:numId w:val="43"/>
        </w:numPr>
        <w:tabs>
          <w:tab w:val="clear" w:pos="720"/>
          <w:tab w:val="num" w:pos="400"/>
        </w:tabs>
        <w:overflowPunct w:val="0"/>
        <w:autoSpaceDE w:val="0"/>
        <w:autoSpaceDN w:val="0"/>
        <w:adjustRightInd w:val="0"/>
        <w:spacing w:after="0" w:line="183" w:lineRule="auto"/>
        <w:ind w:left="400" w:hanging="400"/>
        <w:jc w:val="both"/>
        <w:rPr>
          <w:rFonts w:ascii="Times" w:hAnsi="Times" w:cs="Times"/>
          <w:i/>
          <w:iCs/>
          <w:sz w:val="25"/>
          <w:szCs w:val="25"/>
          <w:vertAlign w:val="superscript"/>
        </w:rPr>
      </w:pPr>
      <w:r>
        <w:rPr>
          <w:rFonts w:ascii="Times" w:hAnsi="Times" w:cs="Times"/>
          <w:i/>
          <w:iCs/>
          <w:sz w:val="19"/>
          <w:szCs w:val="19"/>
        </w:rPr>
        <w:t>Before reserve discounts of $1,745 million.</w:t>
      </w:r>
    </w:p>
    <w:p w:rsidR="00000000" w:rsidRDefault="00A06965">
      <w:pPr>
        <w:pStyle w:val="DefaultParagraphFont"/>
        <w:widowControl w:val="0"/>
        <w:autoSpaceDE w:val="0"/>
        <w:autoSpaceDN w:val="0"/>
        <w:adjustRightInd w:val="0"/>
        <w:spacing w:after="0" w:line="72" w:lineRule="exact"/>
        <w:rPr>
          <w:rFonts w:ascii="Times" w:hAnsi="Times" w:cs="Times"/>
          <w:i/>
          <w:iCs/>
          <w:sz w:val="25"/>
          <w:szCs w:val="25"/>
          <w:vertAlign w:val="superscript"/>
        </w:rPr>
      </w:pPr>
    </w:p>
    <w:p w:rsidR="00000000" w:rsidRDefault="00A06965">
      <w:pPr>
        <w:pStyle w:val="DefaultParagraphFont"/>
        <w:widowControl w:val="0"/>
        <w:numPr>
          <w:ilvl w:val="0"/>
          <w:numId w:val="43"/>
        </w:numPr>
        <w:tabs>
          <w:tab w:val="clear" w:pos="720"/>
          <w:tab w:val="num" w:pos="400"/>
        </w:tabs>
        <w:overflowPunct w:val="0"/>
        <w:autoSpaceDE w:val="0"/>
        <w:autoSpaceDN w:val="0"/>
        <w:adjustRightInd w:val="0"/>
        <w:spacing w:after="0" w:line="183" w:lineRule="auto"/>
        <w:ind w:left="400" w:hanging="400"/>
        <w:jc w:val="both"/>
        <w:rPr>
          <w:rFonts w:ascii="Times" w:hAnsi="Times" w:cs="Times"/>
          <w:i/>
          <w:iCs/>
          <w:sz w:val="25"/>
          <w:szCs w:val="25"/>
          <w:vertAlign w:val="superscript"/>
        </w:rPr>
      </w:pPr>
      <w:r>
        <w:rPr>
          <w:rFonts w:ascii="Times" w:hAnsi="Times" w:cs="Times"/>
          <w:i/>
          <w:iCs/>
          <w:sz w:val="19"/>
          <w:szCs w:val="19"/>
        </w:rPr>
        <w:t>Amounts represent estimated undiscounted benefits, net of estimated future premiums, as applicable.</w:t>
      </w:r>
    </w:p>
    <w:p w:rsidR="00000000" w:rsidRDefault="00A06965">
      <w:pPr>
        <w:pStyle w:val="DefaultParagraphFont"/>
        <w:widowControl w:val="0"/>
        <w:autoSpaceDE w:val="0"/>
        <w:autoSpaceDN w:val="0"/>
        <w:adjustRightInd w:val="0"/>
        <w:spacing w:after="0" w:line="24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Critical Accounting Policies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 xml:space="preserve">Certain accounting policies require us to make estimates and judgments that affect the amounts reflected in the Consolidated </w:t>
      </w:r>
      <w:r>
        <w:rPr>
          <w:rFonts w:ascii="Times" w:hAnsi="Times" w:cs="Times"/>
          <w:sz w:val="20"/>
          <w:szCs w:val="20"/>
        </w:rPr>
        <w:t>Financial Statements. Such estimates and judgments necessarily involve varying, and possibly significant, degrees of uncertainty. Accordingly, certain amounts currently recorded in the financial statements will likely be adjusted in the future based on new</w:t>
      </w:r>
      <w:r>
        <w:rPr>
          <w:rFonts w:ascii="Times" w:hAnsi="Times" w:cs="Times"/>
          <w:sz w:val="20"/>
          <w:szCs w:val="20"/>
        </w:rPr>
        <w:t xml:space="preserve"> available information and changes in other facts and circumstances.</w:t>
      </w:r>
    </w:p>
    <w:p w:rsidR="00000000" w:rsidRDefault="00A06965">
      <w:pPr>
        <w:pStyle w:val="DefaultParagraphFont"/>
        <w:widowControl w:val="0"/>
        <w:autoSpaceDE w:val="0"/>
        <w:autoSpaceDN w:val="0"/>
        <w:adjustRightInd w:val="0"/>
        <w:spacing w:after="0" w:line="24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Property and casualty losses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A summary of our consolidated liabilities for unpaid property and casualty losses is presented in the table below. Amounts are in millions.</w:t>
      </w:r>
    </w:p>
    <w:p w:rsidR="00000000" w:rsidRDefault="00A06965">
      <w:pPr>
        <w:pStyle w:val="DefaultParagraphFont"/>
        <w:widowControl w:val="0"/>
        <w:autoSpaceDE w:val="0"/>
        <w:autoSpaceDN w:val="0"/>
        <w:adjustRightInd w:val="0"/>
        <w:spacing w:after="0" w:line="126"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40"/>
        <w:gridCol w:w="2540"/>
        <w:gridCol w:w="160"/>
        <w:gridCol w:w="640"/>
        <w:gridCol w:w="140"/>
        <w:gridCol w:w="200"/>
        <w:gridCol w:w="140"/>
        <w:gridCol w:w="640"/>
        <w:gridCol w:w="120"/>
        <w:gridCol w:w="200"/>
        <w:gridCol w:w="120"/>
        <w:gridCol w:w="660"/>
        <w:gridCol w:w="120"/>
        <w:gridCol w:w="200"/>
        <w:gridCol w:w="120"/>
        <w:gridCol w:w="660"/>
        <w:gridCol w:w="120"/>
      </w:tblGrid>
      <w:tr w:rsidR="00000000">
        <w:tblPrEx>
          <w:tblCellMar>
            <w:top w:w="0" w:type="dxa"/>
            <w:left w:w="0" w:type="dxa"/>
            <w:bottom w:w="0" w:type="dxa"/>
            <w:right w:w="0" w:type="dxa"/>
          </w:tblCellMar>
        </w:tblPrEx>
        <w:trPr>
          <w:trHeight w:val="184"/>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8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w:hAnsi="Times" w:cs="Times"/>
                <w:b/>
                <w:bCs/>
                <w:sz w:val="16"/>
                <w:szCs w:val="16"/>
              </w:rPr>
              <w:t>Gross unpaid losses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80" w:type="dxa"/>
            <w:gridSpan w:val="6"/>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40"/>
              <w:rPr>
                <w:rFonts w:ascii="Times New Roman" w:hAnsi="Times New Roman" w:cs="Times New Roman"/>
                <w:sz w:val="24"/>
                <w:szCs w:val="24"/>
              </w:rPr>
            </w:pPr>
            <w:r>
              <w:rPr>
                <w:rFonts w:ascii="Times" w:hAnsi="Times" w:cs="Times"/>
                <w:b/>
                <w:bCs/>
                <w:sz w:val="16"/>
                <w:szCs w:val="16"/>
              </w:rPr>
              <w:t>Net unpaid losses *</w:t>
            </w:r>
          </w:p>
        </w:tc>
      </w:tr>
      <w:tr w:rsidR="00000000">
        <w:tblPrEx>
          <w:tblCellMar>
            <w:top w:w="0" w:type="dxa"/>
            <w:left w:w="0" w:type="dxa"/>
            <w:bottom w:w="0" w:type="dxa"/>
            <w:right w:w="0" w:type="dxa"/>
          </w:tblCellMar>
        </w:tblPrEx>
        <w:trPr>
          <w:trHeight w:val="26"/>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w:hAnsi="Times" w:cs="Times"/>
                <w:b/>
                <w:bCs/>
                <w:sz w:val="16"/>
                <w:szCs w:val="16"/>
              </w:rPr>
              <w:t>Dec. 31, 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w w:val="97"/>
                <w:sz w:val="16"/>
                <w:szCs w:val="16"/>
              </w:rPr>
              <w:t>Dec. 31, 2013</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w w:val="97"/>
                <w:sz w:val="16"/>
                <w:szCs w:val="16"/>
              </w:rPr>
              <w:t>Dec. 31, 2014</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9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w w:val="97"/>
                <w:sz w:val="16"/>
                <w:szCs w:val="16"/>
              </w:rPr>
              <w:t>Dec. 31, 2013</w:t>
            </w:r>
          </w:p>
        </w:tc>
      </w:tr>
      <w:tr w:rsidR="00000000">
        <w:tblPrEx>
          <w:tblCellMar>
            <w:top w:w="0" w:type="dxa"/>
            <w:left w:w="0" w:type="dxa"/>
            <w:bottom w:w="0" w:type="dxa"/>
            <w:right w:w="0" w:type="dxa"/>
          </w:tblCellMar>
        </w:tblPrEx>
        <w:trPr>
          <w:trHeight w:val="26"/>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60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GEICO . . . .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$12,207</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$11,342</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$11,402</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$10,644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60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General Re  .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14,790</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15,668</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14,006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14,757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60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BHRG . . . . .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35,916</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30,446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27,420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25,314</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60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Berkshire Hathaway Primary Group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8,564</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7,410</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7,761</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6,737</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0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Total . . . . . . . . . . . . . . . . . . . . . . . . . . . . . . . . . . . . . . . . . . . . . . . . . . . . . .</w:t>
            </w:r>
          </w:p>
        </w:tc>
        <w:tc>
          <w:tcPr>
            <w:tcW w:w="8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$71,477</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$64,866</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$60,589</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$57,452</w:t>
            </w: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r>
      <w:tr w:rsidR="00000000">
        <w:tblPrEx>
          <w:tblCellMar>
            <w:top w:w="0" w:type="dxa"/>
            <w:left w:w="0" w:type="dxa"/>
            <w:bottom w:w="0" w:type="dxa"/>
            <w:right w:w="0" w:type="dxa"/>
          </w:tblCellMar>
        </w:tblPrEx>
        <w:trPr>
          <w:trHeight w:val="28"/>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0"/>
        </w:trPr>
        <w:tc>
          <w:tcPr>
            <w:tcW w:w="3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r>
    </w:tbl>
    <w:p w:rsidR="00000000" w:rsidRDefault="00A06965">
      <w:pPr>
        <w:pStyle w:val="DefaultParagraphFont"/>
        <w:widowControl w:val="0"/>
        <w:autoSpaceDE w:val="0"/>
        <w:autoSpaceDN w:val="0"/>
        <w:adjustRightInd w:val="0"/>
        <w:spacing w:after="0" w:line="5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i/>
          <w:iCs/>
          <w:sz w:val="20"/>
          <w:szCs w:val="20"/>
        </w:rPr>
        <w:t>* Net of reinsurance recoverable and deferred charges on reinsurance assumed.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105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Management’</w:t>
      </w:r>
      <w:r>
        <w:rPr>
          <w:rFonts w:ascii="Times" w:hAnsi="Times" w:cs="Times"/>
          <w:b/>
          <w:bCs/>
          <w:sz w:val="20"/>
          <w:szCs w:val="20"/>
        </w:rPr>
        <w:t xml:space="preserve">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Property and casualty losses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We record liabilities for unpaid losses and loss adjustment expenses under property and casualty insurance and reinsurance contracts based upon estimates of the ultimate amounts payable un</w:t>
      </w:r>
      <w:r>
        <w:rPr>
          <w:rFonts w:ascii="Times" w:hAnsi="Times" w:cs="Times"/>
          <w:sz w:val="20"/>
          <w:szCs w:val="20"/>
        </w:rPr>
        <w:t>der the contracts with respect to losses occurring on or before the balance sheet date. Except for certain workers’ compensation liabilities, all liabilities for unpaid property and casualty losses (referred to in this section as “gross unpaid losses”) are</w:t>
      </w:r>
      <w:r>
        <w:rPr>
          <w:rFonts w:ascii="Times" w:hAnsi="Times" w:cs="Times"/>
          <w:sz w:val="20"/>
          <w:szCs w:val="20"/>
        </w:rPr>
        <w:t xml:space="preserve"> reflected in the Consolidated Balance Sheets without discounting for time value. The timing and amount of loss payments are contingent upon, among other things, the timing of claim reporting from insureds and cedants and the final determination of the ult</w:t>
      </w:r>
      <w:r>
        <w:rPr>
          <w:rFonts w:ascii="Times" w:hAnsi="Times" w:cs="Times"/>
          <w:sz w:val="20"/>
          <w:szCs w:val="20"/>
        </w:rPr>
        <w:t>imate loss amount through the loss adjustment process. A variety of techniques are used in establishing the liabilities for unpaid losses. Regardless of the techniques used, significant judgments and assumptions are necessary in projecting the ultimate lia</w:t>
      </w:r>
      <w:r>
        <w:rPr>
          <w:rFonts w:ascii="Times" w:hAnsi="Times" w:cs="Times"/>
          <w:sz w:val="20"/>
          <w:szCs w:val="20"/>
        </w:rPr>
        <w:t>bilities payable in the future. In establishing liability estimates at our various insurance operations, we utilize processes and techniques that are believed to best suit the underlying claims and available data.</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As of any balance sheet date, not all cla</w:t>
      </w:r>
      <w:r>
        <w:rPr>
          <w:rFonts w:ascii="Times" w:hAnsi="Times" w:cs="Times"/>
          <w:sz w:val="20"/>
          <w:szCs w:val="20"/>
        </w:rPr>
        <w:t>ims that have occurred have been reported and not all reported claims have been settled. Loss and loss adjustment expense liabilities include provisions for reported claims (referred to as “case reserves”) and for claims that have not been reported (referr</w:t>
      </w:r>
      <w:r>
        <w:rPr>
          <w:rFonts w:ascii="Times" w:hAnsi="Times" w:cs="Times"/>
          <w:sz w:val="20"/>
          <w:szCs w:val="20"/>
        </w:rPr>
        <w:t>ed to as incurred but not yet reported (“IBNR”) reserves). The time period between the loss occurrence date and settlement or payment date is referred to as the “claim-tail.” Property claims usually have fairly short claim-tails and, absent litigation, are</w:t>
      </w:r>
      <w:r>
        <w:rPr>
          <w:rFonts w:ascii="Times" w:hAnsi="Times" w:cs="Times"/>
          <w:sz w:val="20"/>
          <w:szCs w:val="20"/>
        </w:rPr>
        <w:t xml:space="preserve"> reported and settled within a few years of occurrence. Casualty losses usually have longer claim-tails, occasionally extending for decades. Casualty claims are more susceptible to litigation and can be significantly affected by changing contract interpret</w:t>
      </w:r>
      <w:r>
        <w:rPr>
          <w:rFonts w:ascii="Times" w:hAnsi="Times" w:cs="Times"/>
          <w:sz w:val="20"/>
          <w:szCs w:val="20"/>
        </w:rPr>
        <w:t>ations. The legal environment and judicial process further contributes to extending claim-tails.</w:t>
      </w:r>
    </w:p>
    <w:p w:rsidR="00000000" w:rsidRDefault="00A06965">
      <w:pPr>
        <w:pStyle w:val="DefaultParagraphFont"/>
        <w:widowControl w:val="0"/>
        <w:autoSpaceDE w:val="0"/>
        <w:autoSpaceDN w:val="0"/>
        <w:adjustRightInd w:val="0"/>
        <w:spacing w:after="0" w:line="14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Receivables are recorded with respect to losses ceded to other reinsurers and are estimated in a manner similar to liabilities for insurance losses. In addition, reinsurance receivables may ultimately prove to be uncollectible if the reinsurer is unable to</w:t>
      </w:r>
      <w:r>
        <w:rPr>
          <w:rFonts w:ascii="Times" w:hAnsi="Times" w:cs="Times"/>
          <w:sz w:val="20"/>
          <w:szCs w:val="20"/>
        </w:rPr>
        <w:t xml:space="preserve"> perform under the contract. Reinsurance contracts do not relieve the ceding company of its obligations to indemnify its own policyholders.</w:t>
      </w:r>
    </w:p>
    <w:p w:rsidR="00000000" w:rsidRDefault="00A06965">
      <w:pPr>
        <w:pStyle w:val="DefaultParagraphFont"/>
        <w:widowControl w:val="0"/>
        <w:autoSpaceDE w:val="0"/>
        <w:autoSpaceDN w:val="0"/>
        <w:adjustRightInd w:val="0"/>
        <w:spacing w:after="0" w:line="14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Additional information regarding those processes and techniques of our significant insurance businesses (GEICO, General Re and BHRG) follows.</w:t>
      </w:r>
    </w:p>
    <w:p w:rsidR="00000000" w:rsidRDefault="00A06965">
      <w:pPr>
        <w:pStyle w:val="DefaultParagraphFont"/>
        <w:widowControl w:val="0"/>
        <w:autoSpaceDE w:val="0"/>
        <w:autoSpaceDN w:val="0"/>
        <w:adjustRightInd w:val="0"/>
        <w:spacing w:after="0" w:line="20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GEICO</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GEICO predominantly writes private passenger auto insurance. GEICO’s gross unpaid losses and loss adjustme</w:t>
      </w:r>
      <w:r>
        <w:rPr>
          <w:rFonts w:ascii="Times" w:hAnsi="Times" w:cs="Times"/>
          <w:sz w:val="20"/>
          <w:szCs w:val="20"/>
        </w:rPr>
        <w:t>nt expense liabilities as of December 31, 2014 were $12.2 billion compared to $11.3 billion as of December 31, 2013. Liabilities at December 31, 2014 included $8.6 billion of reported average, case and case development reserves and $3.6 billion of IBNR res</w:t>
      </w:r>
      <w:r>
        <w:rPr>
          <w:rFonts w:ascii="Times" w:hAnsi="Times" w:cs="Times"/>
          <w:sz w:val="20"/>
          <w:szCs w:val="20"/>
        </w:rPr>
        <w:t>erves.</w:t>
      </w:r>
    </w:p>
    <w:p w:rsidR="00000000" w:rsidRDefault="00A06965">
      <w:pPr>
        <w:pStyle w:val="DefaultParagraphFont"/>
        <w:widowControl w:val="0"/>
        <w:autoSpaceDE w:val="0"/>
        <w:autoSpaceDN w:val="0"/>
        <w:adjustRightInd w:val="0"/>
        <w:spacing w:after="0" w:line="14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GEICO’s claim reserving methodologies produce liability estimates based upon the individual claims (or a “ground-up” approach), which yield an aggregate estimate of the ultimate losses and loss adjustment expenses. The key assumptions affecting our</w:t>
      </w:r>
      <w:r>
        <w:rPr>
          <w:rFonts w:ascii="Times" w:hAnsi="Times" w:cs="Times"/>
          <w:sz w:val="20"/>
          <w:szCs w:val="20"/>
        </w:rPr>
        <w:t xml:space="preserve"> reserve estimates include projections of ultimate claim counts (“frequency”) and average loss per claim (“severity”).</w:t>
      </w:r>
    </w:p>
    <w:p w:rsidR="00000000" w:rsidRDefault="00A06965">
      <w:pPr>
        <w:pStyle w:val="DefaultParagraphFont"/>
        <w:widowControl w:val="0"/>
        <w:autoSpaceDE w:val="0"/>
        <w:autoSpaceDN w:val="0"/>
        <w:adjustRightInd w:val="0"/>
        <w:spacing w:after="0" w:line="37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Our actuaries establish and evaluate unpaid loss liabilities using standard actuarial loss development methods and techniques. The signi</w:t>
      </w:r>
      <w:r>
        <w:rPr>
          <w:rFonts w:ascii="Times" w:hAnsi="Times" w:cs="Times"/>
          <w:sz w:val="20"/>
          <w:szCs w:val="20"/>
        </w:rPr>
        <w:t>ficant liability components (and percentage of GEICO’s gross liabilities as of December 31, 2014) are:</w:t>
      </w:r>
    </w:p>
    <w:p w:rsidR="00000000" w:rsidRDefault="00A06965">
      <w:pPr>
        <w:pStyle w:val="DefaultParagraphFont"/>
        <w:widowControl w:val="0"/>
        <w:autoSpaceDE w:val="0"/>
        <w:autoSpaceDN w:val="0"/>
        <w:adjustRightInd w:val="0"/>
        <w:spacing w:after="0" w:line="2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jc w:val="both"/>
        <w:rPr>
          <w:rFonts w:ascii="Times New Roman" w:hAnsi="Times New Roman" w:cs="Times New Roman"/>
          <w:sz w:val="24"/>
          <w:szCs w:val="24"/>
        </w:rPr>
      </w:pPr>
      <w:r>
        <w:rPr>
          <w:rFonts w:ascii="Times" w:hAnsi="Times" w:cs="Times"/>
          <w:sz w:val="20"/>
          <w:szCs w:val="20"/>
        </w:rPr>
        <w:t xml:space="preserve">(1) average reserves (15%), (2) case and case development reserves (55%) and (3) IBNR reserves (30%). Each of these liability components is affected by </w:t>
      </w:r>
      <w:r>
        <w:rPr>
          <w:rFonts w:ascii="Times" w:hAnsi="Times" w:cs="Times"/>
          <w:sz w:val="20"/>
          <w:szCs w:val="20"/>
        </w:rPr>
        <w:t>the expected frequency and average severity of claims. Liabilities are analyzed using statistical techniques on historical claims data and adjusted when appropriate to reflect perceived changes in loss patterns. Data is analyzed by policy coverage, rated s</w:t>
      </w:r>
      <w:r>
        <w:rPr>
          <w:rFonts w:ascii="Times" w:hAnsi="Times" w:cs="Times"/>
          <w:sz w:val="20"/>
          <w:szCs w:val="20"/>
        </w:rPr>
        <w:t>tate, reporting date and occurrence date, among other ways. A brief discussion of each liability component follows.</w:t>
      </w:r>
    </w:p>
    <w:p w:rsidR="00000000" w:rsidRDefault="00A06965">
      <w:pPr>
        <w:pStyle w:val="DefaultParagraphFont"/>
        <w:widowControl w:val="0"/>
        <w:autoSpaceDE w:val="0"/>
        <w:autoSpaceDN w:val="0"/>
        <w:adjustRightInd w:val="0"/>
        <w:spacing w:after="0" w:line="14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We establish average reserves for reported auto damage claims and new liability claims prior to the development of an individual case reserve. The average reserves are intended to represent a reasonable estimate for incurred claims for claims when adjuster</w:t>
      </w:r>
      <w:r>
        <w:rPr>
          <w:rFonts w:ascii="Times" w:hAnsi="Times" w:cs="Times"/>
          <w:sz w:val="20"/>
          <w:szCs w:val="20"/>
        </w:rPr>
        <w:t>s have insufficient time and information to make specific claim estimates and for a large number of minor physical damage claims that are paid within a relatively short time after being reported. Aggregate average reserves are driven by the estimated avera</w:t>
      </w:r>
      <w:r>
        <w:rPr>
          <w:rFonts w:ascii="Times" w:hAnsi="Times" w:cs="Times"/>
          <w:sz w:val="20"/>
          <w:szCs w:val="20"/>
        </w:rPr>
        <w:t>ge severity per claim and the number of new claims opened.</w:t>
      </w:r>
    </w:p>
    <w:p w:rsidR="00000000" w:rsidRDefault="00A06965">
      <w:pPr>
        <w:pStyle w:val="DefaultParagraphFont"/>
        <w:widowControl w:val="0"/>
        <w:autoSpaceDE w:val="0"/>
        <w:autoSpaceDN w:val="0"/>
        <w:adjustRightInd w:val="0"/>
        <w:spacing w:after="0" w:line="14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Claims adjusters generally establish individual liability claim case loss reserve estimates once the facts and merits of each claim are evaluated. Case reserves represent the amounts that in the j</w:t>
      </w:r>
      <w:r>
        <w:rPr>
          <w:rFonts w:ascii="Times" w:hAnsi="Times" w:cs="Times"/>
          <w:sz w:val="20"/>
          <w:szCs w:val="20"/>
        </w:rPr>
        <w:t>udgment of the adjusters are reasonably expected to be paid to completely settle the claim, including expenses. Individual case reserves are revised over time as more information becomes available.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4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106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Management</w:t>
      </w:r>
      <w:r>
        <w:rPr>
          <w:rFonts w:ascii="Times" w:hAnsi="Times" w:cs="Times"/>
          <w:b/>
          <w:bCs/>
          <w:sz w:val="20"/>
          <w:szCs w:val="20"/>
        </w:rPr>
        <w:t xml:space="preserve">’s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Property and casualty losses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GEICO (Continued)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Within the automobile line of business, reserves for liability coverages (such as bodily injury (“BI”</w:t>
      </w:r>
      <w:r>
        <w:rPr>
          <w:rFonts w:ascii="Times" w:hAnsi="Times" w:cs="Times"/>
          <w:sz w:val="20"/>
          <w:szCs w:val="20"/>
        </w:rPr>
        <w:t xml:space="preserve">), uninsured motorists, and personal injury protection) are more uncertain due to the longer claim-tails, the greater chance of protracted litigation, and the incompleteness of facts available at the time the case reserve is first established. As a result </w:t>
      </w:r>
      <w:r>
        <w:rPr>
          <w:rFonts w:ascii="Times" w:hAnsi="Times" w:cs="Times"/>
          <w:sz w:val="20"/>
          <w:szCs w:val="20"/>
        </w:rPr>
        <w:t>case reserves alone are an insufficient measure of ultimate cost, so we establish additional case development reserve estimates, which are usually percentages of the case reserve. As of December 31, 2014, case development reserves averaged approximately 25</w:t>
      </w:r>
      <w:r>
        <w:rPr>
          <w:rFonts w:ascii="Times" w:hAnsi="Times" w:cs="Times"/>
          <w:sz w:val="20"/>
          <w:szCs w:val="20"/>
        </w:rPr>
        <w:t>% of the established case reserves. In general, case development factors are selected by a retrospective analysis of the overall adequacy of historical case reserves and are reviewed and revised periodically. Approximately 92% of GEICO’s reserves as of Dec</w:t>
      </w:r>
      <w:r>
        <w:rPr>
          <w:rFonts w:ascii="Times" w:hAnsi="Times" w:cs="Times"/>
          <w:sz w:val="20"/>
          <w:szCs w:val="20"/>
        </w:rPr>
        <w:t>ember 31, 2014 were for automobile liability coverages, of which BI coverage accounted for approximately 55%.</w:t>
      </w:r>
    </w:p>
    <w:p w:rsidR="00000000" w:rsidRDefault="00A06965">
      <w:pPr>
        <w:pStyle w:val="DefaultParagraphFont"/>
        <w:widowControl w:val="0"/>
        <w:autoSpaceDE w:val="0"/>
        <w:autoSpaceDN w:val="0"/>
        <w:adjustRightInd w:val="0"/>
        <w:spacing w:after="0" w:line="1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For unreported claims, IBNR reserve estimates are calculated by first projecting the ultimate number of claims expected (reported and unreported)</w:t>
      </w:r>
      <w:r>
        <w:rPr>
          <w:rFonts w:ascii="Times" w:hAnsi="Times" w:cs="Times"/>
          <w:sz w:val="20"/>
          <w:szCs w:val="20"/>
        </w:rPr>
        <w:t xml:space="preserve"> for each significant coverage by using historical quarterly and monthly claim counts to develop age-to-age projections of the ultimate counts by accident quarter. Reported claims are deducted from the ultimate claim projections to produce an estimate of t</w:t>
      </w:r>
      <w:r>
        <w:rPr>
          <w:rFonts w:ascii="Times" w:hAnsi="Times" w:cs="Times"/>
          <w:sz w:val="20"/>
          <w:szCs w:val="20"/>
        </w:rPr>
        <w:t>he number of unreported claims. The number of unreported claims is multiplied by an estimate of the average cost per unreported claim to produce the IBNR reserve amount. Actuarial techniques are difficult to apply reliably in certain situations, such as to</w:t>
      </w:r>
      <w:r>
        <w:rPr>
          <w:rFonts w:ascii="Times" w:hAnsi="Times" w:cs="Times"/>
          <w:sz w:val="20"/>
          <w:szCs w:val="20"/>
        </w:rPr>
        <w:t xml:space="preserve"> new legal precedents, class action suits or recent catastrophes. Consequently, supplemental IBNR reserves for these types of events may be established through the collaborative effort of actuarial, claims and other management personnel.</w:t>
      </w:r>
    </w:p>
    <w:p w:rsidR="00000000" w:rsidRDefault="00A06965">
      <w:pPr>
        <w:pStyle w:val="DefaultParagraphFont"/>
        <w:widowControl w:val="0"/>
        <w:autoSpaceDE w:val="0"/>
        <w:autoSpaceDN w:val="0"/>
        <w:adjustRightInd w:val="0"/>
        <w:spacing w:after="0" w:line="1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For each signific</w:t>
      </w:r>
      <w:r>
        <w:rPr>
          <w:rFonts w:ascii="Times" w:hAnsi="Times" w:cs="Times"/>
          <w:sz w:val="20"/>
          <w:szCs w:val="20"/>
        </w:rPr>
        <w:t xml:space="preserve">ant coverage, we test the adequacy of the aggregate liabilities for unpaid losses using one or more actuarial projections based on claim closure models, paid loss triangles and incurred loss triangles. Each type of projection analyzes loss occurrence data </w:t>
      </w:r>
      <w:r>
        <w:rPr>
          <w:rFonts w:ascii="Times" w:hAnsi="Times" w:cs="Times"/>
          <w:sz w:val="20"/>
          <w:szCs w:val="20"/>
        </w:rPr>
        <w:t>for claims occurring in a given period and projects the ultimate cost.</w:t>
      </w:r>
    </w:p>
    <w:p w:rsidR="00000000" w:rsidRDefault="00A06965">
      <w:pPr>
        <w:pStyle w:val="DefaultParagraphFont"/>
        <w:widowControl w:val="0"/>
        <w:autoSpaceDE w:val="0"/>
        <w:autoSpaceDN w:val="0"/>
        <w:adjustRightInd w:val="0"/>
        <w:spacing w:after="0" w:line="11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Unpaid loss and loss adjustment expense liability estimates recorded at the end of 2013 developed downward by $386 million when reevaluated through December 31, 2014, producing a corre</w:t>
      </w:r>
      <w:r>
        <w:rPr>
          <w:rFonts w:ascii="Times" w:hAnsi="Times" w:cs="Times"/>
          <w:sz w:val="20"/>
          <w:szCs w:val="20"/>
        </w:rPr>
        <w:t>sponding increase to pre-tax earnings in 2014. These reserve developments represented approximately 1.9% of earned premiums in 2014 and approximately 3.6% of prior year-end recorded net liabilities. During 2013, estimated liabilities for pre-2013 occurrenc</w:t>
      </w:r>
      <w:r>
        <w:rPr>
          <w:rFonts w:ascii="Times" w:hAnsi="Times" w:cs="Times"/>
          <w:sz w:val="20"/>
          <w:szCs w:val="20"/>
        </w:rPr>
        <w:t>es developed downward $238 million or 2.4% of net liabilities as of the end of 2012. In both years, the downward development reflected overall lower than expected frequencies and severities. Reserving assumptions at December 31, 2014 were modified as appro</w:t>
      </w:r>
      <w:r>
        <w:rPr>
          <w:rFonts w:ascii="Times" w:hAnsi="Times" w:cs="Times"/>
          <w:sz w:val="20"/>
          <w:szCs w:val="20"/>
        </w:rPr>
        <w:t>priate to reflect the most recent frequency and severity results. Future reserve development will depend on whether actual frequency and severity are more or less than anticipated.</w:t>
      </w:r>
    </w:p>
    <w:p w:rsidR="00000000" w:rsidRDefault="00A06965">
      <w:pPr>
        <w:pStyle w:val="DefaultParagraphFont"/>
        <w:widowControl w:val="0"/>
        <w:autoSpaceDE w:val="0"/>
        <w:autoSpaceDN w:val="0"/>
        <w:adjustRightInd w:val="0"/>
        <w:spacing w:after="0" w:line="11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We believe it is reasonably possible that the average BI severity will cha</w:t>
      </w:r>
      <w:r>
        <w:rPr>
          <w:rFonts w:ascii="Times" w:hAnsi="Times" w:cs="Times"/>
          <w:sz w:val="20"/>
          <w:szCs w:val="20"/>
        </w:rPr>
        <w:t>nge by at least one percentage point from the severity used. If actual BI severity changes one percentage point from what was used in establishing the reserves, our reserves would develop up or down by approximately $185 million resulting in a correspondin</w:t>
      </w:r>
      <w:r>
        <w:rPr>
          <w:rFonts w:ascii="Times" w:hAnsi="Times" w:cs="Times"/>
          <w:sz w:val="20"/>
          <w:szCs w:val="20"/>
        </w:rPr>
        <w:t>g decrease or increase in pre-tax earnings. Many of the same economic forces that would likely cause BI severity to be different from expected would likely also cause severities for other injury coverages to differ in the same direction.</w:t>
      </w:r>
    </w:p>
    <w:p w:rsidR="00000000" w:rsidRDefault="00A06965">
      <w:pPr>
        <w:pStyle w:val="DefaultParagraphFont"/>
        <w:widowControl w:val="0"/>
        <w:autoSpaceDE w:val="0"/>
        <w:autoSpaceDN w:val="0"/>
        <w:adjustRightInd w:val="0"/>
        <w:spacing w:after="0" w:line="1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 xml:space="preserve">GEICO’s exposure </w:t>
      </w:r>
      <w:r>
        <w:rPr>
          <w:rFonts w:ascii="Times" w:hAnsi="Times" w:cs="Times"/>
          <w:sz w:val="20"/>
          <w:szCs w:val="20"/>
        </w:rPr>
        <w:t>to highly uncertain losses is believed to be limited to certain commercial excess umbrella policies written during a period from 1981 to 1984. Remaining liabilities associated with such exposure are currently an immaterial component of GEICO’s total reserv</w:t>
      </w:r>
      <w:r>
        <w:rPr>
          <w:rFonts w:ascii="Times" w:hAnsi="Times" w:cs="Times"/>
          <w:sz w:val="20"/>
          <w:szCs w:val="20"/>
        </w:rPr>
        <w:t>es (approximately 1.2%) and there is minimal apparent asbestos or environmental liability exposure.</w:t>
      </w:r>
    </w:p>
    <w:p w:rsidR="00000000" w:rsidRDefault="00A06965">
      <w:pPr>
        <w:pStyle w:val="DefaultParagraphFont"/>
        <w:widowControl w:val="0"/>
        <w:autoSpaceDE w:val="0"/>
        <w:autoSpaceDN w:val="0"/>
        <w:adjustRightInd w:val="0"/>
        <w:spacing w:after="0" w:line="1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General Re and BHRG</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 xml:space="preserve">Liabilities for unpaid property and casualty losses and loss adjustment expenses of General Re and </w:t>
      </w:r>
      <w:r>
        <w:rPr>
          <w:rFonts w:ascii="Times" w:hAnsi="Times" w:cs="Times"/>
          <w:sz w:val="20"/>
          <w:szCs w:val="20"/>
        </w:rPr>
        <w:t>BHRG derive primarily from reinsurance contracts. Additional uncertainties are unique to the processes used in estimating reinsurance liabilities. The nature, extent, timing and perceived reliability of information received from ceding companies varies wid</w:t>
      </w:r>
      <w:r>
        <w:rPr>
          <w:rFonts w:ascii="Times" w:hAnsi="Times" w:cs="Times"/>
          <w:sz w:val="20"/>
          <w:szCs w:val="20"/>
        </w:rPr>
        <w:t>ely depending on the type of coverage and the contractual reporting terms. Contract terms, conditions and coverages also tend to lack standardization and may evolve more rapidly than under primary insurance policies.</w:t>
      </w:r>
    </w:p>
    <w:p w:rsidR="00000000" w:rsidRDefault="00A06965">
      <w:pPr>
        <w:pStyle w:val="DefaultParagraphFont"/>
        <w:widowControl w:val="0"/>
        <w:autoSpaceDE w:val="0"/>
        <w:autoSpaceDN w:val="0"/>
        <w:adjustRightInd w:val="0"/>
        <w:spacing w:after="0" w:line="11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The nature and extent of loss informat</w:t>
      </w:r>
      <w:r>
        <w:rPr>
          <w:rFonts w:ascii="Times" w:hAnsi="Times" w:cs="Times"/>
          <w:sz w:val="20"/>
          <w:szCs w:val="20"/>
        </w:rPr>
        <w:t>ion provided under many facultative (individual risk), per occurrence excess or retroactive reinsurance contracts may not differ significantly from the information received under a primary insurance contract, if reinsurer personnel either work closely with</w:t>
      </w:r>
      <w:r>
        <w:rPr>
          <w:rFonts w:ascii="Times" w:hAnsi="Times" w:cs="Times"/>
          <w:sz w:val="20"/>
          <w:szCs w:val="20"/>
        </w:rPr>
        <w:t xml:space="preserve"> the ceding company in settling individual claims or manage the claims themselves. However, loss information related to aggregate excess-of-loss contracts, including catastrophe losses and quota-share treaties, is often less detailed. Loss information may </w:t>
      </w:r>
      <w:r>
        <w:rPr>
          <w:rFonts w:ascii="Times" w:hAnsi="Times" w:cs="Times"/>
          <w:sz w:val="20"/>
          <w:szCs w:val="20"/>
        </w:rPr>
        <w:t>be reported in a summary format rather than on an individual claim basis. Loss data is usually provided through periodic reports, which may include currently recoverable losses, as well as case loss estimates. Ceding companies infrequently provide IBNR est</w:t>
      </w:r>
      <w:r>
        <w:rPr>
          <w:rFonts w:ascii="Times" w:hAnsi="Times" w:cs="Times"/>
          <w:sz w:val="20"/>
          <w:szCs w:val="20"/>
        </w:rPr>
        <w:t>imates to reinsurers.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107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Property and casualty losses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General Re and BHRG (Continued)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Each of our reinsurance businesses has established practices to identify and gather needed information from clients in order to establish adequate liability estimates. These practices include, for example, comparison of expected premiums to reported premiu</w:t>
      </w:r>
      <w:r>
        <w:rPr>
          <w:rFonts w:ascii="Times" w:hAnsi="Times" w:cs="Times"/>
          <w:sz w:val="20"/>
          <w:szCs w:val="20"/>
        </w:rPr>
        <w:t>ms to help identify delinquent client reports and claim reviews to facilitate loss reporting and identify inaccurate or incomplete claim reporting.</w:t>
      </w:r>
    </w:p>
    <w:p w:rsidR="00000000" w:rsidRDefault="00A06965">
      <w:pPr>
        <w:pStyle w:val="DefaultParagraphFont"/>
        <w:widowControl w:val="0"/>
        <w:autoSpaceDE w:val="0"/>
        <w:autoSpaceDN w:val="0"/>
        <w:adjustRightInd w:val="0"/>
        <w:spacing w:after="0" w:line="16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The timing of claim reporting to reinsurers is typically delayed in comparison with claim reporting to prim</w:t>
      </w:r>
      <w:r>
        <w:rPr>
          <w:rFonts w:ascii="Times" w:hAnsi="Times" w:cs="Times"/>
          <w:sz w:val="20"/>
          <w:szCs w:val="20"/>
        </w:rPr>
        <w:t>ary insurers. In some instances, multiple reinsurers assume and cede parts of an underlying risk thereby causing multiple contractual intermediaries between General Re or BHRG and the primary insured. In these instances, the claim reporting delays are comp</w:t>
      </w:r>
      <w:r>
        <w:rPr>
          <w:rFonts w:ascii="Times" w:hAnsi="Times" w:cs="Times"/>
          <w:sz w:val="20"/>
          <w:szCs w:val="20"/>
        </w:rPr>
        <w:t>ounded. The relative impact of reporting delays on the reinsurer may vary depending on the type of coverage, contractual reporting terms, and the magnitude of the claim relative to the attachment point of the reinsurance contract and for other reasons.</w:t>
      </w:r>
    </w:p>
    <w:p w:rsidR="00000000" w:rsidRDefault="00A06965">
      <w:pPr>
        <w:pStyle w:val="DefaultParagraphFont"/>
        <w:widowControl w:val="0"/>
        <w:autoSpaceDE w:val="0"/>
        <w:autoSpaceDN w:val="0"/>
        <w:adjustRightInd w:val="0"/>
        <w:spacing w:after="0" w:line="39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Pe</w:t>
      </w:r>
      <w:r>
        <w:rPr>
          <w:rFonts w:ascii="Times" w:hAnsi="Times" w:cs="Times"/>
          <w:sz w:val="20"/>
          <w:szCs w:val="20"/>
        </w:rPr>
        <w:t>riodic premium and claims reports are often required from ceding companies. In the U.S., such reports are generally required at quarterly intervals ranging from 30 to 90 days after the end of the accounting period. Outside the U.S., reinsurance reporting p</w:t>
      </w:r>
      <w:r>
        <w:rPr>
          <w:rFonts w:ascii="Times" w:hAnsi="Times" w:cs="Times"/>
          <w:sz w:val="20"/>
          <w:szCs w:val="20"/>
        </w:rPr>
        <w:t>ractices vary. In certain countries, clients report annually, often 90 to 180 days after the end of the annual period.</w:t>
      </w:r>
    </w:p>
    <w:p w:rsidR="00000000" w:rsidRDefault="00A06965">
      <w:pPr>
        <w:pStyle w:val="DefaultParagraphFont"/>
        <w:widowControl w:val="0"/>
        <w:autoSpaceDE w:val="0"/>
        <w:autoSpaceDN w:val="0"/>
        <w:adjustRightInd w:val="0"/>
        <w:spacing w:after="0" w:line="16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Premium and loss data is provided through at least one intermediary (the primary insurer), so there is a risk that the loss data provided is incomplete, inaccurate or the claim is outside the coverage terms. Information provided by ceding companies is revi</w:t>
      </w:r>
      <w:r>
        <w:rPr>
          <w:rFonts w:ascii="Times" w:hAnsi="Times" w:cs="Times"/>
          <w:sz w:val="20"/>
          <w:szCs w:val="20"/>
        </w:rPr>
        <w:t>ewed for completeness and compliance with the contract terms. Generally, BHRG and General Re are permitted under the contracts to access the cedant’s books and records with respect to the subject business, thus providing us the ability to conduct audits to</w:t>
      </w:r>
      <w:r>
        <w:rPr>
          <w:rFonts w:ascii="Times" w:hAnsi="Times" w:cs="Times"/>
          <w:sz w:val="20"/>
          <w:szCs w:val="20"/>
        </w:rPr>
        <w:t xml:space="preserve"> determine the accuracy and completeness of information. Audits are conducted as we deem appropriate.</w:t>
      </w:r>
    </w:p>
    <w:p w:rsidR="00000000" w:rsidRDefault="00A06965">
      <w:pPr>
        <w:pStyle w:val="DefaultParagraphFont"/>
        <w:widowControl w:val="0"/>
        <w:autoSpaceDE w:val="0"/>
        <w:autoSpaceDN w:val="0"/>
        <w:adjustRightInd w:val="0"/>
        <w:spacing w:after="0" w:line="16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 xml:space="preserve">In the normal course of business, disputes with clients occasionally arise concerning whether certain claims are covered under our reinsurance policies. </w:t>
      </w:r>
      <w:r>
        <w:rPr>
          <w:rFonts w:ascii="Times" w:hAnsi="Times" w:cs="Times"/>
          <w:sz w:val="20"/>
          <w:szCs w:val="20"/>
        </w:rPr>
        <w:t>We resolve most coverage disputes through the involvement of our claims department personnel and the appropriate client personnel or through independent outside counsel. If disputes cannot be resolved, our contracts generally specify whether arbitration, l</w:t>
      </w:r>
      <w:r>
        <w:rPr>
          <w:rFonts w:ascii="Times" w:hAnsi="Times" w:cs="Times"/>
          <w:sz w:val="20"/>
          <w:szCs w:val="20"/>
        </w:rPr>
        <w:t>itigation, or an alternative dispute resolution process will be invoked. There are no coverage disputes at this time for which an adverse resolution would likely have a material impact on our consolidated results of operations or financial condition.</w:t>
      </w:r>
    </w:p>
    <w:p w:rsidR="00000000" w:rsidRDefault="00A0696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Gene</w:t>
      </w:r>
      <w:r>
        <w:rPr>
          <w:rFonts w:ascii="Times" w:hAnsi="Times" w:cs="Times"/>
          <w:i/>
          <w:iCs/>
          <w:sz w:val="20"/>
          <w:szCs w:val="20"/>
        </w:rPr>
        <w:t>ral Re</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General Re’s gross and net unpaid losses and loss adjustment expenses and gross reserves by major line of business as of December 31, 2014 are summarized below. Amounts are in millions.</w:t>
      </w:r>
    </w:p>
    <w:p w:rsidR="00000000" w:rsidRDefault="00A06965">
      <w:pPr>
        <w:pStyle w:val="DefaultParagraphFont"/>
        <w:widowControl w:val="0"/>
        <w:autoSpaceDE w:val="0"/>
        <w:autoSpaceDN w:val="0"/>
        <w:adjustRightInd w:val="0"/>
        <w:spacing w:after="0" w:line="114"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40"/>
        <w:gridCol w:w="3200"/>
        <w:gridCol w:w="980"/>
        <w:gridCol w:w="100"/>
        <w:gridCol w:w="540"/>
        <w:gridCol w:w="140"/>
        <w:gridCol w:w="1100"/>
        <w:gridCol w:w="3280"/>
        <w:gridCol w:w="100"/>
        <w:gridCol w:w="540"/>
        <w:gridCol w:w="20"/>
      </w:tblGrid>
      <w:tr w:rsidR="00000000">
        <w:tblPrEx>
          <w:tblCellMar>
            <w:top w:w="0" w:type="dxa"/>
            <w:left w:w="0" w:type="dxa"/>
            <w:bottom w:w="0" w:type="dxa"/>
            <w:right w:w="0" w:type="dxa"/>
          </w:tblCellMar>
        </w:tblPrEx>
        <w:trPr>
          <w:trHeight w:val="184"/>
        </w:trPr>
        <w:tc>
          <w:tcPr>
            <w:tcW w:w="45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Type</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Line of business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3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02"/>
        </w:trPr>
        <w:tc>
          <w:tcPr>
            <w:tcW w:w="45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 xml:space="preserve">Reported case </w:t>
            </w:r>
            <w:r>
              <w:rPr>
                <w:rFonts w:ascii="Times" w:hAnsi="Times" w:cs="Times"/>
                <w:sz w:val="20"/>
                <w:szCs w:val="20"/>
              </w:rPr>
              <w:t>reserves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7,369</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 xml:space="preserve">Workers’ compensation </w:t>
            </w:r>
            <w:r>
              <w:rPr>
                <w:rFonts w:ascii="Times" w:hAnsi="Times" w:cs="Times"/>
                <w:sz w:val="26"/>
                <w:szCs w:val="26"/>
                <w:vertAlign w:val="superscript"/>
              </w:rPr>
              <w:t>(1)</w:t>
            </w:r>
            <w:r>
              <w:rPr>
                <w:rFonts w:ascii="Times" w:hAnsi="Times" w:cs="Times"/>
                <w:sz w:val="20"/>
                <w:szCs w:val="20"/>
              </w:rPr>
              <w:t xml:space="preserve">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2,720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45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sz w:val="20"/>
                <w:szCs w:val="20"/>
              </w:rPr>
              <w:t>IBNR reserves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7,421</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r>
              <w:rPr>
                <w:rFonts w:ascii="Times" w:hAnsi="Times" w:cs="Times"/>
                <w:sz w:val="20"/>
                <w:szCs w:val="20"/>
              </w:rPr>
              <w:t>Mass tort-asbestos/environmental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1,522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35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45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Gross unpaid losses and loss adjustment expenses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14,790</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Auto liability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3,795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8"/>
        </w:trPr>
        <w:tc>
          <w:tcPr>
            <w:tcW w:w="45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sz w:val="20"/>
                <w:szCs w:val="20"/>
              </w:rPr>
              <w:t>Ceded reinsurance receivables and deferred charges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0"/>
              <w:jc w:val="right"/>
              <w:rPr>
                <w:rFonts w:ascii="Times New Roman" w:hAnsi="Times New Roman" w:cs="Times New Roman"/>
                <w:sz w:val="24"/>
                <w:szCs w:val="24"/>
              </w:rPr>
            </w:pPr>
            <w:r>
              <w:rPr>
                <w:rFonts w:ascii="Times" w:hAnsi="Times" w:cs="Times"/>
                <w:sz w:val="20"/>
                <w:szCs w:val="20"/>
              </w:rPr>
              <w:t>(784)</w:t>
            </w: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68" w:lineRule="exact"/>
              <w:rPr>
                <w:rFonts w:ascii="Times New Roman" w:hAnsi="Times New Roman" w:cs="Times New Roman"/>
                <w:sz w:val="24"/>
                <w:szCs w:val="24"/>
              </w:rPr>
            </w:pPr>
            <w:r>
              <w:rPr>
                <w:rFonts w:ascii="Times" w:hAnsi="Times" w:cs="Times"/>
                <w:sz w:val="20"/>
                <w:szCs w:val="20"/>
              </w:rPr>
              <w:t xml:space="preserve">Other casualty </w:t>
            </w:r>
            <w:r>
              <w:rPr>
                <w:rFonts w:ascii="Times" w:hAnsi="Times" w:cs="Times"/>
                <w:sz w:val="26"/>
                <w:szCs w:val="26"/>
                <w:vertAlign w:val="superscript"/>
              </w:rPr>
              <w:t>(2)</w:t>
            </w:r>
            <w:r>
              <w:rPr>
                <w:rFonts w:ascii="Times" w:hAnsi="Times" w:cs="Times"/>
                <w:sz w:val="20"/>
                <w:szCs w:val="20"/>
              </w:rPr>
              <w:t xml:space="preserve">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sz w:val="20"/>
                <w:szCs w:val="20"/>
              </w:rPr>
              <w:t>2,162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45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unpaid losses and loss adjustment expenses . . . . . .</w:t>
            </w:r>
          </w:p>
        </w:tc>
        <w:tc>
          <w:tcPr>
            <w:tcW w:w="10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single" w:sz="8" w:space="0" w:color="auto"/>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14,006</w:t>
            </w: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Other general liability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2,231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38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Property</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2,360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38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38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740"/>
              <w:rPr>
                <w:rFonts w:ascii="Times New Roman" w:hAnsi="Times New Roman" w:cs="Times New Roman"/>
                <w:sz w:val="24"/>
                <w:szCs w:val="24"/>
              </w:rPr>
            </w:pPr>
            <w:r>
              <w:rPr>
                <w:rFonts w:ascii="Times" w:hAnsi="Times" w:cs="Times"/>
                <w:sz w:val="20"/>
                <w:szCs w:val="20"/>
              </w:rPr>
              <w:t>.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Total . . . . . . . . . . . . . . . . . . . . . . . . . . . . . . . . . . . . . .</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79"/>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14,790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3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0"/>
        </w:trPr>
        <w:tc>
          <w:tcPr>
            <w:tcW w:w="3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3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numPr>
          <w:ilvl w:val="0"/>
          <w:numId w:val="44"/>
        </w:numPr>
        <w:tabs>
          <w:tab w:val="clear" w:pos="720"/>
          <w:tab w:val="num" w:pos="400"/>
        </w:tabs>
        <w:overflowPunct w:val="0"/>
        <w:autoSpaceDE w:val="0"/>
        <w:autoSpaceDN w:val="0"/>
        <w:adjustRightInd w:val="0"/>
        <w:spacing w:after="0" w:line="226" w:lineRule="auto"/>
        <w:ind w:left="400" w:hanging="400"/>
        <w:jc w:val="both"/>
        <w:rPr>
          <w:rFonts w:ascii="Times" w:hAnsi="Times" w:cs="Times"/>
          <w:i/>
          <w:iCs/>
          <w:sz w:val="26"/>
          <w:szCs w:val="26"/>
          <w:vertAlign w:val="superscript"/>
        </w:rPr>
      </w:pPr>
      <w:r>
        <w:rPr>
          <w:rFonts w:ascii="Times" w:hAnsi="Times" w:cs="Times"/>
          <w:i/>
          <w:iCs/>
          <w:sz w:val="20"/>
          <w:szCs w:val="20"/>
        </w:rPr>
        <w:t>Net of discounts of $1,745 million.</w:t>
      </w:r>
    </w:p>
    <w:p w:rsidR="00000000" w:rsidRDefault="00A06965">
      <w:pPr>
        <w:pStyle w:val="DefaultParagraphFont"/>
        <w:widowControl w:val="0"/>
        <w:autoSpaceDE w:val="0"/>
        <w:autoSpaceDN w:val="0"/>
        <w:adjustRightInd w:val="0"/>
        <w:spacing w:after="0" w:line="72" w:lineRule="exact"/>
        <w:rPr>
          <w:rFonts w:ascii="Times" w:hAnsi="Times" w:cs="Times"/>
          <w:i/>
          <w:iCs/>
          <w:sz w:val="26"/>
          <w:szCs w:val="26"/>
          <w:vertAlign w:val="superscript"/>
        </w:rPr>
      </w:pPr>
    </w:p>
    <w:p w:rsidR="00000000" w:rsidRDefault="00A06965">
      <w:pPr>
        <w:pStyle w:val="DefaultParagraphFont"/>
        <w:widowControl w:val="0"/>
        <w:numPr>
          <w:ilvl w:val="0"/>
          <w:numId w:val="44"/>
        </w:numPr>
        <w:tabs>
          <w:tab w:val="clear" w:pos="720"/>
          <w:tab w:val="num" w:pos="400"/>
        </w:tabs>
        <w:overflowPunct w:val="0"/>
        <w:autoSpaceDE w:val="0"/>
        <w:autoSpaceDN w:val="0"/>
        <w:adjustRightInd w:val="0"/>
        <w:spacing w:after="0" w:line="180" w:lineRule="auto"/>
        <w:ind w:left="400" w:hanging="400"/>
        <w:jc w:val="both"/>
        <w:rPr>
          <w:rFonts w:ascii="Times" w:hAnsi="Times" w:cs="Times"/>
          <w:i/>
          <w:iCs/>
          <w:sz w:val="25"/>
          <w:szCs w:val="25"/>
          <w:vertAlign w:val="superscript"/>
        </w:rPr>
      </w:pPr>
      <w:r>
        <w:rPr>
          <w:rFonts w:ascii="Times" w:hAnsi="Times" w:cs="Times"/>
          <w:i/>
          <w:iCs/>
          <w:sz w:val="19"/>
          <w:szCs w:val="19"/>
        </w:rPr>
        <w:t>Includes directors and officers, err</w:t>
      </w:r>
      <w:r>
        <w:rPr>
          <w:rFonts w:ascii="Times" w:hAnsi="Times" w:cs="Times"/>
          <w:i/>
          <w:iCs/>
          <w:sz w:val="19"/>
          <w:szCs w:val="19"/>
        </w:rPr>
        <w:t>ors and omissions, medical malpractice and umbrella coverage.</w:t>
      </w:r>
    </w:p>
    <w:p w:rsidR="00000000" w:rsidRDefault="00A06965">
      <w:pPr>
        <w:pStyle w:val="DefaultParagraphFont"/>
        <w:widowControl w:val="0"/>
        <w:autoSpaceDE w:val="0"/>
        <w:autoSpaceDN w:val="0"/>
        <w:adjustRightInd w:val="0"/>
        <w:spacing w:after="0" w:line="16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General Re’s loss reserve estimation process is based upon a ground-up approach, beginning with case loss estimates and supplemented by additional case reserves (“ACRs”</w:t>
      </w:r>
      <w:r>
        <w:rPr>
          <w:rFonts w:ascii="Times" w:hAnsi="Times" w:cs="Times"/>
          <w:sz w:val="20"/>
          <w:szCs w:val="20"/>
        </w:rPr>
        <w:t>) and IBNR reserves. The critical processes in establishing loss reserves involve the establishment of ACRs by claim examiners, the determination of expected ultimate loss ratios which drive IBNR reserve amounts and the comparison of case reserve reporting</w:t>
      </w:r>
      <w:r>
        <w:rPr>
          <w:rFonts w:ascii="Times" w:hAnsi="Times" w:cs="Times"/>
          <w:sz w:val="20"/>
          <w:szCs w:val="20"/>
        </w:rPr>
        <w:t xml:space="preserve"> trends to the expected loss reporting patterns. Recorded liabilities are subject to “tail risk” where reported losses develop beyond the maximum expected loss emergence time period.</w:t>
      </w:r>
    </w:p>
    <w:p w:rsidR="00000000" w:rsidRDefault="00A06965">
      <w:pPr>
        <w:pStyle w:val="DefaultParagraphFont"/>
        <w:widowControl w:val="0"/>
        <w:autoSpaceDE w:val="0"/>
        <w:autoSpaceDN w:val="0"/>
        <w:adjustRightInd w:val="0"/>
        <w:spacing w:after="0" w:line="16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jc w:val="both"/>
        <w:rPr>
          <w:rFonts w:ascii="Times New Roman" w:hAnsi="Times New Roman" w:cs="Times New Roman"/>
          <w:sz w:val="24"/>
          <w:szCs w:val="24"/>
        </w:rPr>
      </w:pPr>
      <w:r>
        <w:rPr>
          <w:rFonts w:ascii="Times" w:hAnsi="Times" w:cs="Times"/>
          <w:sz w:val="20"/>
          <w:szCs w:val="20"/>
        </w:rPr>
        <w:t>We do not routinely determine loss reserve ranges. We believe that the t</w:t>
      </w:r>
      <w:r>
        <w:rPr>
          <w:rFonts w:ascii="Times" w:hAnsi="Times" w:cs="Times"/>
          <w:sz w:val="20"/>
          <w:szCs w:val="20"/>
        </w:rPr>
        <w:t>echniques necessary to make such determinations have not sufficiently developed and that the myriad of assumptions required render such ranges to be unreliable.</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108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Property a</w:t>
      </w:r>
      <w:r>
        <w:rPr>
          <w:rFonts w:ascii="Times" w:hAnsi="Times" w:cs="Times"/>
          <w:b/>
          <w:bCs/>
          <w:i/>
          <w:iCs/>
          <w:sz w:val="20"/>
          <w:szCs w:val="20"/>
        </w:rPr>
        <w:t xml:space="preserve">nd casualty losses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General Re (Continued)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Upon notification of a reinsurance claim from a ceding company, our claim examiners make independent evaluations of loss amounts. In some cases, examiners’</w:t>
      </w:r>
      <w:r>
        <w:rPr>
          <w:rFonts w:ascii="Times" w:hAnsi="Times" w:cs="Times"/>
          <w:sz w:val="20"/>
          <w:szCs w:val="20"/>
        </w:rPr>
        <w:t xml:space="preserve"> estimates differ from amounts reported by ceding companies. If the examiners’ estimates are significantly greater than the ceding company’s estimates, the claims are further investigated. If deemed appropriate, ACRs are established above the amount report</w:t>
      </w:r>
      <w:r>
        <w:rPr>
          <w:rFonts w:ascii="Times" w:hAnsi="Times" w:cs="Times"/>
          <w:sz w:val="20"/>
          <w:szCs w:val="20"/>
        </w:rPr>
        <w:t>ed by the ceding company. As of December 31, 2014, ACRs aggregated approximately $2.0 billion before discounts and were concentrated in workers’ compensation reserves, and to a lesser extent in professional liability reserves. Our examiners also periodical</w:t>
      </w:r>
      <w:r>
        <w:rPr>
          <w:rFonts w:ascii="Times" w:hAnsi="Times" w:cs="Times"/>
          <w:sz w:val="20"/>
          <w:szCs w:val="20"/>
        </w:rPr>
        <w:t>ly conduct detailed claim reviews of individual clients and case reserves are often increased as a result.</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Our actuaries classify all loss and premium data into segments (“reserve cells”) primarily based on product (e.g., treaty, facultative and program),</w:t>
      </w:r>
      <w:r>
        <w:rPr>
          <w:rFonts w:ascii="Times" w:hAnsi="Times" w:cs="Times"/>
          <w:sz w:val="20"/>
          <w:szCs w:val="20"/>
        </w:rPr>
        <w:t xml:space="preserve"> line of business (e.g., auto liability, property, and workers’ compensation), and jurisdiction. For each reserve cell, premiums and losses are aggregated by accident year, policy year or underwriting year (depending on client reporting practices) and anal</w:t>
      </w:r>
      <w:r>
        <w:rPr>
          <w:rFonts w:ascii="Times" w:hAnsi="Times" w:cs="Times"/>
          <w:sz w:val="20"/>
          <w:szCs w:val="20"/>
        </w:rPr>
        <w:t>yzed over time. We internally refer to these loss aggregations as loss triangles, which serve as the basis for our IBNR reserve calculations. Globally, we review approximately 1,200 reserve cells.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 xml:space="preserve">We use loss triangles to determine the expected case loss </w:t>
      </w:r>
      <w:r>
        <w:rPr>
          <w:rFonts w:ascii="Times" w:hAnsi="Times" w:cs="Times"/>
          <w:sz w:val="20"/>
          <w:szCs w:val="20"/>
        </w:rPr>
        <w:t>emergence and development patterns for most coverages and, in conjunction with expected loss ratios by accident year, we calculate IBNR reserves. In instances where the historical loss data is insufficient, we may use loss emergence estimation formulae alo</w:t>
      </w:r>
      <w:r>
        <w:rPr>
          <w:rFonts w:ascii="Times" w:hAnsi="Times" w:cs="Times"/>
          <w:sz w:val="20"/>
          <w:szCs w:val="20"/>
        </w:rPr>
        <w:t>ng with other loss triangles and actuarial judgment to determine loss emergence patterns. Factors affecting our loss development triangles include, but are not limited to, the following: changes in client claims practices, changes in claim examiners’ use o</w:t>
      </w:r>
      <w:r>
        <w:rPr>
          <w:rFonts w:ascii="Times" w:hAnsi="Times" w:cs="Times"/>
          <w:sz w:val="20"/>
          <w:szCs w:val="20"/>
        </w:rPr>
        <w:t>f ACRs or the frequency of client company claim reviews, changes in policy terms and coverage (such as client loss retention levels and occurrence and aggregate policy limits), changes in loss trends and changes in legal trends that result in unanticipated</w:t>
      </w:r>
      <w:r>
        <w:rPr>
          <w:rFonts w:ascii="Times" w:hAnsi="Times" w:cs="Times"/>
          <w:sz w:val="20"/>
          <w:szCs w:val="20"/>
        </w:rPr>
        <w:t xml:space="preserve"> losses, as well as other sources of statistical variability. Collectively, these factors influence the selection of the expected loss emergence patterns.</w:t>
      </w:r>
    </w:p>
    <w:p w:rsidR="00000000" w:rsidRDefault="00A06965">
      <w:pPr>
        <w:pStyle w:val="DefaultParagraphFont"/>
        <w:widowControl w:val="0"/>
        <w:autoSpaceDE w:val="0"/>
        <w:autoSpaceDN w:val="0"/>
        <w:adjustRightInd w:val="0"/>
        <w:spacing w:after="0" w:line="25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We select expected loss ratios by reserve cell and by accident year based upon indicated ultimate lo</w:t>
      </w:r>
      <w:r>
        <w:rPr>
          <w:rFonts w:ascii="Times" w:hAnsi="Times" w:cs="Times"/>
          <w:sz w:val="20"/>
          <w:szCs w:val="20"/>
        </w:rPr>
        <w:t>ss ratios and forecasted losses obtained from aggregated pricing statistics. Indicated ultimate loss ratios are determined from the selected loss emergence pattern, reported losses and earned premiums. If through subsequent development the selected loss em</w:t>
      </w:r>
      <w:r>
        <w:rPr>
          <w:rFonts w:ascii="Times" w:hAnsi="Times" w:cs="Times"/>
          <w:sz w:val="20"/>
          <w:szCs w:val="20"/>
        </w:rPr>
        <w:t>ergence pattern proves to be inaccurate, then the indicated ultimate loss ratios may be inaccurate, which can then impact the selected loss ratios and the IBNR reserve. Actuarial judgment is necessary in the analysis of indicated ultimate loss ratios and d</w:t>
      </w:r>
      <w:r>
        <w:rPr>
          <w:rFonts w:ascii="Times" w:hAnsi="Times" w:cs="Times"/>
          <w:sz w:val="20"/>
          <w:szCs w:val="20"/>
        </w:rPr>
        <w:t>epartment pricing statistics.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We estimate IBNR reserves by reserve cell, by accident year, using the expected loss emergence patterns and the expected loss ratios. The expected loss emergence patterns and expected loss ratios are the critical IBNR reservi</w:t>
      </w:r>
      <w:r>
        <w:rPr>
          <w:rFonts w:ascii="Times" w:hAnsi="Times" w:cs="Times"/>
          <w:sz w:val="20"/>
          <w:szCs w:val="20"/>
        </w:rPr>
        <w:t>ng assumptions and are updated annually. Once the annual IBNR reserves are determined, our actuaries estimate the expected case loss emergence for the upcoming calendar year, based on the prior year-end expected loss emergence patterns and expected loss ra</w:t>
      </w:r>
      <w:r>
        <w:rPr>
          <w:rFonts w:ascii="Times" w:hAnsi="Times" w:cs="Times"/>
          <w:sz w:val="20"/>
          <w:szCs w:val="20"/>
        </w:rPr>
        <w:t>tios. The expected losses are then allocated into interim estimates that are compared to actual reported losses in the subsequent year. This comparison provides a test of the adequacy of prior year-end IBNR reserves and forms the basis for possibly changin</w:t>
      </w:r>
      <w:r>
        <w:rPr>
          <w:rFonts w:ascii="Times" w:hAnsi="Times" w:cs="Times"/>
          <w:sz w:val="20"/>
          <w:szCs w:val="20"/>
        </w:rPr>
        <w:t>g IBNR reserve assumptions during the course of the year.</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Our recorded net liabilities as of December 31, 2013 and 2012 were $14.8 billion and $14.9 billion, respectively. During 2014, we reduced net losses for prior years’ occurrences by $410 million and</w:t>
      </w:r>
      <w:r>
        <w:rPr>
          <w:rFonts w:ascii="Times" w:hAnsi="Times" w:cs="Times"/>
          <w:sz w:val="20"/>
          <w:szCs w:val="20"/>
        </w:rPr>
        <w:t xml:space="preserve"> in 2013 we reduced net losses for prior years’ occurrences by $728 million. These reductions produced corresponding increases in pre-tax earnings in each year.</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In 2014, reported claims for prior years’ workers’</w:t>
      </w:r>
      <w:r>
        <w:rPr>
          <w:rFonts w:ascii="Times" w:hAnsi="Times" w:cs="Times"/>
          <w:sz w:val="20"/>
          <w:szCs w:val="20"/>
        </w:rPr>
        <w:t xml:space="preserve"> compensation losses were $219 million less than expected. However, further analysis of the workers’ compensation reserve cells by segment indicated the need for maintaining IBNR reserves. These developments precipitated an increase of $120 million in nomi</w:t>
      </w:r>
      <w:r>
        <w:rPr>
          <w:rFonts w:ascii="Times" w:hAnsi="Times" w:cs="Times"/>
          <w:sz w:val="20"/>
          <w:szCs w:val="20"/>
        </w:rPr>
        <w:t>nal IBNR reserve estimates for unreported occurrences and after adjusting for changes in reserve discounts, the net increase in workers’ compensation losses from prior years’ occurrences had a minimal impact on pre-tax earnings. To illustrate the sensitivi</w:t>
      </w:r>
      <w:r>
        <w:rPr>
          <w:rFonts w:ascii="Times" w:hAnsi="Times" w:cs="Times"/>
          <w:sz w:val="20"/>
          <w:szCs w:val="20"/>
        </w:rPr>
        <w:t xml:space="preserve">ty of these assumptions on significant excess-of-loss workers’ compensation reserve cells, an increase of ten points in the tail of the expected loss emergence pattern and an increase of ten percent in the expected loss ratios would produce a net increase </w:t>
      </w:r>
      <w:r>
        <w:rPr>
          <w:rFonts w:ascii="Times" w:hAnsi="Times" w:cs="Times"/>
          <w:sz w:val="20"/>
          <w:szCs w:val="20"/>
        </w:rPr>
        <w:t xml:space="preserve">in our nominal IBNR reserves of approximately $824 million and $471 million on a discounted basis at December 31, 2014. An increase in discounted reserves would produce a corresponding decrease in pre-tax earnings. We believe it is reasonably possible for </w:t>
      </w:r>
      <w:r>
        <w:rPr>
          <w:rFonts w:ascii="Times" w:hAnsi="Times" w:cs="Times"/>
          <w:sz w:val="20"/>
          <w:szCs w:val="20"/>
        </w:rPr>
        <w:t>these assumptions to increase at these rates.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109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Property and casualty losses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General Re (Continued)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right="60" w:firstLine="400"/>
        <w:jc w:val="both"/>
        <w:rPr>
          <w:rFonts w:ascii="Times New Roman" w:hAnsi="Times New Roman" w:cs="Times New Roman"/>
          <w:sz w:val="24"/>
          <w:szCs w:val="24"/>
        </w:rPr>
      </w:pPr>
      <w:r>
        <w:rPr>
          <w:rFonts w:ascii="Times" w:hAnsi="Times" w:cs="Times"/>
          <w:sz w:val="20"/>
          <w:szCs w:val="20"/>
        </w:rPr>
        <w:t>Other casualty and general liability reported losses (excluding mass tort losses) developed favorably in 2014 relative to expectations. However, casualty losses tend to be long-tail and it should not be assumed that favorable loss experience in a given yea</w:t>
      </w:r>
      <w:r>
        <w:rPr>
          <w:rFonts w:ascii="Times" w:hAnsi="Times" w:cs="Times"/>
          <w:sz w:val="20"/>
          <w:szCs w:val="20"/>
        </w:rPr>
        <w:t>r will continue in the future. For our significant other casualty and general liability reserve cells, we estimate that an increase of five points in the claim-tails of the expected loss emergence patterns and a five percent increase in expected loss ratio</w:t>
      </w:r>
      <w:r>
        <w:rPr>
          <w:rFonts w:ascii="Times" w:hAnsi="Times" w:cs="Times"/>
          <w:sz w:val="20"/>
          <w:szCs w:val="20"/>
        </w:rPr>
        <w:t>s (one percent for large international proportional reserve cells) would produce a net increase in our nominal IBNR reserves and a corresponding reduction in pre-tax earnings of approximately $1.1 billion. This amount includes changes in assumptions used i</w:t>
      </w:r>
      <w:r>
        <w:rPr>
          <w:rFonts w:ascii="Times" w:hAnsi="Times" w:cs="Times"/>
          <w:sz w:val="20"/>
          <w:szCs w:val="20"/>
        </w:rPr>
        <w:t>n certain U.K. motor annuity claims liabilities. We believe it is reasonably possible for these assumptions to increase at these rates in any of the individual aforementioned reserve cells. However, given the diversification in worldwide business, more lik</w:t>
      </w:r>
      <w:r>
        <w:rPr>
          <w:rFonts w:ascii="Times" w:hAnsi="Times" w:cs="Times"/>
          <w:sz w:val="20"/>
          <w:szCs w:val="20"/>
        </w:rPr>
        <w:t>ely outcomes are believed to be less than $1.1 billion.</w:t>
      </w: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right="60" w:firstLine="400"/>
        <w:jc w:val="both"/>
        <w:rPr>
          <w:rFonts w:ascii="Times New Roman" w:hAnsi="Times New Roman" w:cs="Times New Roman"/>
          <w:sz w:val="24"/>
          <w:szCs w:val="24"/>
        </w:rPr>
      </w:pPr>
      <w:r>
        <w:rPr>
          <w:rFonts w:ascii="Times" w:hAnsi="Times" w:cs="Times"/>
          <w:sz w:val="20"/>
          <w:szCs w:val="20"/>
        </w:rPr>
        <w:t>In 2014, reported claims for prior years’ property loss events were less than expected and we reduced our estimated ultimate liabilities by $287 million. However, the nature of property loss experien</w:t>
      </w:r>
      <w:r>
        <w:rPr>
          <w:rFonts w:ascii="Times" w:hAnsi="Times" w:cs="Times"/>
          <w:sz w:val="20"/>
          <w:szCs w:val="20"/>
        </w:rPr>
        <w:t>ce tends to be more volatile because of the effect of catastrophes and large individual property losses.</w:t>
      </w:r>
    </w:p>
    <w:p w:rsidR="00000000" w:rsidRDefault="00A06965">
      <w:pPr>
        <w:pStyle w:val="DefaultParagraphFont"/>
        <w:widowControl w:val="0"/>
        <w:autoSpaceDE w:val="0"/>
        <w:autoSpaceDN w:val="0"/>
        <w:adjustRightInd w:val="0"/>
        <w:spacing w:after="0" w:line="25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right="60" w:firstLine="400"/>
        <w:jc w:val="both"/>
        <w:rPr>
          <w:rFonts w:ascii="Times New Roman" w:hAnsi="Times New Roman" w:cs="Times New Roman"/>
          <w:sz w:val="24"/>
          <w:szCs w:val="24"/>
        </w:rPr>
      </w:pPr>
      <w:r>
        <w:rPr>
          <w:rFonts w:ascii="Times" w:hAnsi="Times" w:cs="Times"/>
          <w:sz w:val="20"/>
          <w:szCs w:val="20"/>
        </w:rPr>
        <w:t>In certain reserve cells within excess directors and officers and errors and omissions (“D&amp;O and E&amp;O”) coverages, IBNR reserves are based on estimated</w:t>
      </w:r>
      <w:r>
        <w:rPr>
          <w:rFonts w:ascii="Times" w:hAnsi="Times" w:cs="Times"/>
          <w:sz w:val="20"/>
          <w:szCs w:val="20"/>
        </w:rPr>
        <w:t xml:space="preserve"> ultimate losses without consideration of expected loss emergence patterns. For our large D&amp;O and E&amp;O reserve cells, an increase of five points in the tail of the expected loss emergence pattern (for those cells where loss emergence patterns are considered</w:t>
      </w:r>
      <w:r>
        <w:rPr>
          <w:rFonts w:ascii="Times" w:hAnsi="Times" w:cs="Times"/>
          <w:sz w:val="20"/>
          <w:szCs w:val="20"/>
        </w:rPr>
        <w:t>) and an increase of five percent in the expected loss ratios would produce a net increase in nominal IBNR reserves and a corresponding reduction in pre-tax earnings of approximately $77 million. We believe it is reasonably possible for these assumptions t</w:t>
      </w:r>
      <w:r>
        <w:rPr>
          <w:rFonts w:ascii="Times" w:hAnsi="Times" w:cs="Times"/>
          <w:sz w:val="20"/>
          <w:szCs w:val="20"/>
        </w:rPr>
        <w:t>o increase at these rates.</w:t>
      </w:r>
    </w:p>
    <w:p w:rsidR="00000000" w:rsidRDefault="00A0696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right="60" w:firstLine="400"/>
        <w:jc w:val="both"/>
        <w:rPr>
          <w:rFonts w:ascii="Times New Roman" w:hAnsi="Times New Roman" w:cs="Times New Roman"/>
          <w:sz w:val="24"/>
          <w:szCs w:val="24"/>
        </w:rPr>
      </w:pPr>
      <w:r>
        <w:rPr>
          <w:rFonts w:ascii="Times" w:hAnsi="Times" w:cs="Times"/>
          <w:sz w:val="20"/>
          <w:szCs w:val="20"/>
        </w:rPr>
        <w:t>Overall industry-wide loss experience data and informed judgment are used when internal loss data is of limited reliability, such as in setting the estimates for mass tort, asbestos and hazardous waste (collectively, “mass tort”</w:t>
      </w:r>
      <w:r>
        <w:rPr>
          <w:rFonts w:ascii="Times" w:hAnsi="Times" w:cs="Times"/>
          <w:sz w:val="20"/>
          <w:szCs w:val="20"/>
        </w:rPr>
        <w:t>) claims. Estimating mass tort losses is very difficult due to the changing legal environment. Although such reserves are believed to be adequate, significant reserve increases may be required in the future if new exposures or claimants are identified, new</w:t>
      </w:r>
      <w:r>
        <w:rPr>
          <w:rFonts w:ascii="Times" w:hAnsi="Times" w:cs="Times"/>
          <w:sz w:val="20"/>
          <w:szCs w:val="20"/>
        </w:rPr>
        <w:t xml:space="preserve"> claims are reported or new theories of liability emerge. Gross unpaid mass tort liabilities at December 31, 2014 and 2013 were approximately $1.5 billion and net of reinsurance were approximately $1.2 billion. Mass tort net claims paid were $71 million in</w:t>
      </w:r>
      <w:r>
        <w:rPr>
          <w:rFonts w:ascii="Times" w:hAnsi="Times" w:cs="Times"/>
          <w:sz w:val="20"/>
          <w:szCs w:val="20"/>
        </w:rPr>
        <w:t xml:space="preserve"> 2014. In 2014, ultimate loss estimates for asbestos and environmental claims were increased by $72 million. In addition to the previously described methodologies, we consider “survival ratios” based on average net claim payments in recent years versus net</w:t>
      </w:r>
      <w:r>
        <w:rPr>
          <w:rFonts w:ascii="Times" w:hAnsi="Times" w:cs="Times"/>
          <w:sz w:val="20"/>
          <w:szCs w:val="20"/>
        </w:rPr>
        <w:t xml:space="preserve"> unpaid losses as a rough guide to reserve adequacy. Our survival ratio was approximately 14.9 years as of December 31, 2014 and 15.6 years as of December 31, 2013. The reinsurance industry’s survival ratio for asbestos and pollution liabilities was approx</w:t>
      </w:r>
      <w:r>
        <w:rPr>
          <w:rFonts w:ascii="Times" w:hAnsi="Times" w:cs="Times"/>
          <w:sz w:val="20"/>
          <w:szCs w:val="20"/>
        </w:rPr>
        <w:t>imately</w:t>
      </w:r>
    </w:p>
    <w:p w:rsidR="00000000" w:rsidRDefault="00A06965">
      <w:pPr>
        <w:pStyle w:val="DefaultParagraphFont"/>
        <w:widowControl w:val="0"/>
        <w:autoSpaceDE w:val="0"/>
        <w:autoSpaceDN w:val="0"/>
        <w:adjustRightInd w:val="0"/>
        <w:spacing w:after="0" w:line="4" w:lineRule="exact"/>
        <w:rPr>
          <w:rFonts w:ascii="Times New Roman" w:hAnsi="Times New Roman" w:cs="Times New Roman"/>
          <w:sz w:val="24"/>
          <w:szCs w:val="24"/>
        </w:rPr>
      </w:pPr>
    </w:p>
    <w:p w:rsidR="00000000" w:rsidRDefault="00A06965">
      <w:pPr>
        <w:pStyle w:val="DefaultParagraphFont"/>
        <w:widowControl w:val="0"/>
        <w:numPr>
          <w:ilvl w:val="0"/>
          <w:numId w:val="45"/>
        </w:numPr>
        <w:tabs>
          <w:tab w:val="clear" w:pos="720"/>
          <w:tab w:val="num" w:pos="400"/>
        </w:tabs>
        <w:overflowPunct w:val="0"/>
        <w:autoSpaceDE w:val="0"/>
        <w:autoSpaceDN w:val="0"/>
        <w:adjustRightInd w:val="0"/>
        <w:spacing w:after="0" w:line="239" w:lineRule="auto"/>
        <w:ind w:left="400" w:hanging="400"/>
        <w:jc w:val="both"/>
        <w:rPr>
          <w:rFonts w:ascii="Times" w:hAnsi="Times" w:cs="Times"/>
          <w:sz w:val="20"/>
          <w:szCs w:val="20"/>
        </w:rPr>
      </w:pPr>
      <w:r>
        <w:rPr>
          <w:rFonts w:ascii="Times" w:hAnsi="Times" w:cs="Times"/>
          <w:sz w:val="20"/>
          <w:szCs w:val="20"/>
        </w:rPr>
        <w:t>years as of December 31, 2013.</w:t>
      </w:r>
    </w:p>
    <w:p w:rsidR="00000000" w:rsidRDefault="00A06965">
      <w:pPr>
        <w:pStyle w:val="DefaultParagraphFont"/>
        <w:widowControl w:val="0"/>
        <w:autoSpaceDE w:val="0"/>
        <w:autoSpaceDN w:val="0"/>
        <w:adjustRightInd w:val="0"/>
        <w:spacing w:after="0" w:line="370" w:lineRule="exact"/>
        <w:rPr>
          <w:rFonts w:ascii="Times" w:hAnsi="Times" w:cs="Times"/>
          <w:sz w:val="20"/>
          <w:szCs w:val="20"/>
        </w:rPr>
      </w:pPr>
    </w:p>
    <w:p w:rsidR="00000000" w:rsidRDefault="00A06965">
      <w:pPr>
        <w:pStyle w:val="DefaultParagraphFont"/>
        <w:widowControl w:val="0"/>
        <w:overflowPunct w:val="0"/>
        <w:autoSpaceDE w:val="0"/>
        <w:autoSpaceDN w:val="0"/>
        <w:adjustRightInd w:val="0"/>
        <w:spacing w:after="0" w:line="239" w:lineRule="auto"/>
        <w:ind w:left="400"/>
        <w:jc w:val="both"/>
        <w:rPr>
          <w:rFonts w:ascii="Times" w:hAnsi="Times" w:cs="Times"/>
          <w:sz w:val="20"/>
          <w:szCs w:val="20"/>
        </w:rPr>
      </w:pPr>
      <w:r>
        <w:rPr>
          <w:rFonts w:ascii="Times" w:hAnsi="Times" w:cs="Times"/>
          <w:i/>
          <w:iCs/>
          <w:sz w:val="20"/>
          <w:szCs w:val="20"/>
        </w:rPr>
        <w:t>BHRG</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right="60" w:firstLine="400"/>
        <w:rPr>
          <w:rFonts w:ascii="Times New Roman" w:hAnsi="Times New Roman" w:cs="Times New Roman"/>
          <w:sz w:val="24"/>
          <w:szCs w:val="24"/>
        </w:rPr>
      </w:pPr>
      <w:r>
        <w:rPr>
          <w:rFonts w:ascii="Times" w:hAnsi="Times" w:cs="Times"/>
          <w:sz w:val="20"/>
          <w:szCs w:val="20"/>
        </w:rPr>
        <w:t>BHRG’s unpaid losses and loss adjustment expenses as of December 31, 2014 are summarized as follows. Amounts are in millions.</w:t>
      </w: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8000"/>
        <w:gridCol w:w="40"/>
        <w:gridCol w:w="540"/>
        <w:gridCol w:w="40"/>
        <w:gridCol w:w="200"/>
        <w:gridCol w:w="100"/>
        <w:gridCol w:w="560"/>
        <w:gridCol w:w="200"/>
        <w:gridCol w:w="100"/>
        <w:gridCol w:w="540"/>
        <w:gridCol w:w="60"/>
        <w:gridCol w:w="20"/>
      </w:tblGrid>
      <w:tr w:rsidR="00000000">
        <w:tblPrEx>
          <w:tblCellMar>
            <w:top w:w="0" w:type="dxa"/>
            <w:left w:w="0" w:type="dxa"/>
            <w:bottom w:w="0" w:type="dxa"/>
            <w:right w:w="0" w:type="dxa"/>
          </w:tblCellMar>
        </w:tblPrEx>
        <w:trPr>
          <w:trHeight w:val="184"/>
        </w:trPr>
        <w:tc>
          <w:tcPr>
            <w:tcW w:w="80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2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Property</w:t>
            </w:r>
          </w:p>
        </w:tc>
        <w:tc>
          <w:tcPr>
            <w:tcW w:w="6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0"/>
              <w:rPr>
                <w:rFonts w:ascii="Times New Roman" w:hAnsi="Times New Roman" w:cs="Times New Roman"/>
                <w:sz w:val="24"/>
                <w:szCs w:val="24"/>
              </w:rPr>
            </w:pPr>
            <w:r>
              <w:rPr>
                <w:rFonts w:ascii="Times" w:hAnsi="Times" w:cs="Times"/>
                <w:b/>
                <w:bCs/>
                <w:sz w:val="16"/>
                <w:szCs w:val="16"/>
              </w:rPr>
              <w:t>Casualty</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00"/>
              <w:jc w:val="right"/>
              <w:rPr>
                <w:rFonts w:ascii="Times New Roman" w:hAnsi="Times New Roman" w:cs="Times New Roman"/>
                <w:sz w:val="24"/>
                <w:szCs w:val="24"/>
              </w:rPr>
            </w:pPr>
            <w:r>
              <w:rPr>
                <w:rFonts w:ascii="Times" w:hAnsi="Times" w:cs="Times"/>
                <w:b/>
                <w:bCs/>
                <w:sz w:val="16"/>
                <w:szCs w:val="16"/>
              </w:rPr>
              <w:t>Total</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80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0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Reported case reserves . . . . . . . . . . . . . . . . . . . . . . . . . . . . . . . . . . . . . . . . . . . . . . . . . . . . . . . . . . .</w:t>
            </w: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$1,909</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2,618</w:t>
            </w: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4,527</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0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IBNR reserves . . . . . . . . . . . . . . . . . . . . . . . . . . . . . . . . . . . . . . . . . . . . . . . . . . . . . . . . . . . . . . . . . .</w:t>
            </w: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2,326</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4,737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7,063</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80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Retroactive reinsurance . . . . . . . . . . . . . . . . . . . . . . . .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8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40"/>
              <w:rPr>
                <w:rFonts w:ascii="Times New Roman" w:hAnsi="Times New Roman" w:cs="Times New Roman"/>
                <w:sz w:val="24"/>
                <w:szCs w:val="24"/>
              </w:rPr>
            </w:pPr>
            <w:r>
              <w:rPr>
                <w:rFonts w:ascii="Times" w:hAnsi="Times" w:cs="Times"/>
                <w:sz w:val="20"/>
                <w:szCs w:val="20"/>
              </w:rPr>
              <w:t>—</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24,326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24,326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80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0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Gross unpaid losses and loss adjustment expenses . . . . . . . . . . . . . . . . . . . . . . . . . . . . . . . . . . . . . .</w:t>
            </w:r>
          </w:p>
        </w:tc>
        <w:tc>
          <w:tcPr>
            <w:tcW w:w="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$4,235</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w w:val="79"/>
                <w:sz w:val="20"/>
                <w:szCs w:val="20"/>
              </w:rPr>
              <w:t>$</w:t>
            </w: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8"/>
                <w:sz w:val="20"/>
                <w:szCs w:val="20"/>
              </w:rPr>
              <w:t>31,681</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35,916</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800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Deferred charges and ceded reinsurance receivables</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9"/>
                <w:sz w:val="20"/>
                <w:szCs w:val="20"/>
              </w:rPr>
              <w:t>(8,496)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0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0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260"/>
              <w:rPr>
                <w:rFonts w:ascii="Times New Roman" w:hAnsi="Times New Roman" w:cs="Times New Roman"/>
                <w:sz w:val="24"/>
                <w:szCs w:val="24"/>
              </w:rPr>
            </w:pPr>
            <w:r>
              <w:rPr>
                <w:rFonts w:ascii="Times" w:hAnsi="Times" w:cs="Times"/>
                <w:sz w:val="20"/>
                <w:szCs w:val="20"/>
              </w:rPr>
              <w:t>.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60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80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80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Net unpaid losses and loss adjustment expenses  . . . . . . . . . . . . . . . . . . . . . . . . . . . . . . . . . . . . . . .</w:t>
            </w: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3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w w:val="94"/>
                <w:sz w:val="20"/>
                <w:szCs w:val="20"/>
              </w:rPr>
              <w:t>27,420</w:t>
            </w: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
        </w:trPr>
        <w:tc>
          <w:tcPr>
            <w:tcW w:w="80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
        </w:trPr>
        <w:tc>
          <w:tcPr>
            <w:tcW w:w="80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00" w:bottom="523" w:left="960" w:header="720" w:footer="720" w:gutter="0"/>
          <w:cols w:space="720" w:equalWidth="0">
            <w:col w:w="1038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9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110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Property and casualty losses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BHRG (Continued)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In general, the methodologies we use to establish BHRG’</w:t>
      </w:r>
      <w:r>
        <w:rPr>
          <w:rFonts w:ascii="Times" w:hAnsi="Times" w:cs="Times"/>
          <w:sz w:val="20"/>
          <w:szCs w:val="20"/>
        </w:rPr>
        <w:t xml:space="preserve">s unpaid losses and loss adjustment expense liabilities vary widely and encompass many of the common methodologies employed in the actuarial field today. Certain traditional methodologies such as paid and incurred loss development techniques, incurred and </w:t>
      </w:r>
      <w:r>
        <w:rPr>
          <w:rFonts w:ascii="Times" w:hAnsi="Times" w:cs="Times"/>
          <w:sz w:val="20"/>
          <w:szCs w:val="20"/>
        </w:rPr>
        <w:t>paid loss Bornhuetter-Ferguson techniques and frequency and severity techniques are utilized, as well as ground-up techniques where appropriate. Additional judgments are employed to consider changes in contract conditions and terms as well as the incidence</w:t>
      </w:r>
      <w:r>
        <w:rPr>
          <w:rFonts w:ascii="Times" w:hAnsi="Times" w:cs="Times"/>
          <w:sz w:val="20"/>
          <w:szCs w:val="20"/>
        </w:rPr>
        <w:t xml:space="preserve"> of litigation or legal and regulatory change.</w:t>
      </w:r>
    </w:p>
    <w:p w:rsidR="00000000" w:rsidRDefault="00A06965">
      <w:pPr>
        <w:pStyle w:val="DefaultParagraphFont"/>
        <w:widowControl w:val="0"/>
        <w:autoSpaceDE w:val="0"/>
        <w:autoSpaceDN w:val="0"/>
        <w:adjustRightInd w:val="0"/>
        <w:spacing w:after="0" w:line="16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Gross unpaid losses and loss adjustment expenses related to our retroactive reinsurance policies were approximately $24.3 billion, and were predominately for casualty or liability coverages. Retroactive reins</w:t>
      </w:r>
      <w:r>
        <w:rPr>
          <w:rFonts w:ascii="Times" w:hAnsi="Times" w:cs="Times"/>
          <w:sz w:val="20"/>
          <w:szCs w:val="20"/>
        </w:rPr>
        <w:t>urance policies relate to loss events occurring before a specified date on or before the contract date and include excess-of-loss contracts, in which losses above a contractual retention are indemnified and contracts that indemnify losses paid by the count</w:t>
      </w:r>
      <w:r>
        <w:rPr>
          <w:rFonts w:ascii="Times" w:hAnsi="Times" w:cs="Times"/>
          <w:sz w:val="20"/>
          <w:szCs w:val="20"/>
        </w:rPr>
        <w:t>erparty immediately after the policy effective date. These contracts may include significant exposures to asbestos, environmental and other latent injury claims. We do not retrocede liabilities assumed under retroactive reinsurance contracts to third party</w:t>
      </w:r>
      <w:r>
        <w:rPr>
          <w:rFonts w:ascii="Times" w:hAnsi="Times" w:cs="Times"/>
          <w:sz w:val="20"/>
          <w:szCs w:val="20"/>
        </w:rPr>
        <w:t xml:space="preserve"> reinsurers.</w:t>
      </w:r>
    </w:p>
    <w:p w:rsidR="00000000" w:rsidRDefault="00A06965">
      <w:pPr>
        <w:pStyle w:val="DefaultParagraphFont"/>
        <w:widowControl w:val="0"/>
        <w:autoSpaceDE w:val="0"/>
        <w:autoSpaceDN w:val="0"/>
        <w:adjustRightInd w:val="0"/>
        <w:spacing w:after="0" w:line="16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00"/>
        <w:jc w:val="both"/>
        <w:rPr>
          <w:rFonts w:ascii="Times New Roman" w:hAnsi="Times New Roman" w:cs="Times New Roman"/>
          <w:sz w:val="24"/>
          <w:szCs w:val="24"/>
        </w:rPr>
      </w:pPr>
      <w:r>
        <w:rPr>
          <w:rFonts w:ascii="Times" w:hAnsi="Times" w:cs="Times"/>
          <w:sz w:val="20"/>
          <w:szCs w:val="20"/>
        </w:rPr>
        <w:t>The classification “reported case reserves” has no practical analytical value with respect to retroactive policies since such amounts are derived from ceding company reports which may employ varying definitions of “case reserves.” We review a</w:t>
      </w:r>
      <w:r>
        <w:rPr>
          <w:rFonts w:ascii="Times" w:hAnsi="Times" w:cs="Times"/>
          <w:sz w:val="20"/>
          <w:szCs w:val="20"/>
        </w:rPr>
        <w:t>nd establish loss reserve estimates in the aggregate by individual contract, considering exposure and development trends.</w:t>
      </w:r>
    </w:p>
    <w:p w:rsidR="00000000" w:rsidRDefault="00A06965">
      <w:pPr>
        <w:pStyle w:val="DefaultParagraphFont"/>
        <w:widowControl w:val="0"/>
        <w:autoSpaceDE w:val="0"/>
        <w:autoSpaceDN w:val="0"/>
        <w:adjustRightInd w:val="0"/>
        <w:spacing w:after="0" w:line="17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In establishing retroactive reinsurance liabilities, we often analyze historical aggregate loss payment patterns and project losses into the future under various scenarios. The claim-tail is expected to be very long for many policies and may last several d</w:t>
      </w:r>
      <w:r>
        <w:rPr>
          <w:rFonts w:ascii="Times" w:hAnsi="Times" w:cs="Times"/>
          <w:sz w:val="20"/>
          <w:szCs w:val="20"/>
        </w:rPr>
        <w:t xml:space="preserve">ecades. We assign judgmental probability factors to these aggregate loss payment scenarios and an expectancy outcome is determined. We monitor claim payment activity and review ceding company reports and other information concerning the underlying losses. </w:t>
      </w:r>
      <w:r>
        <w:rPr>
          <w:rFonts w:ascii="Times" w:hAnsi="Times" w:cs="Times"/>
          <w:sz w:val="20"/>
          <w:szCs w:val="20"/>
        </w:rPr>
        <w:t>Since the claim-tail is expected to be very long for such contracts, we reassess expected ultimate losses as significant events related to the underlying losses are reported or revealed during the monitoring and review process.</w:t>
      </w:r>
    </w:p>
    <w:p w:rsidR="00000000" w:rsidRDefault="00A06965">
      <w:pPr>
        <w:pStyle w:val="DefaultParagraphFont"/>
        <w:widowControl w:val="0"/>
        <w:autoSpaceDE w:val="0"/>
        <w:autoSpaceDN w:val="0"/>
        <w:adjustRightInd w:val="0"/>
        <w:spacing w:after="0" w:line="16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BHRG’s liabilities under re</w:t>
      </w:r>
      <w:r>
        <w:rPr>
          <w:rFonts w:ascii="Times" w:hAnsi="Times" w:cs="Times"/>
          <w:sz w:val="20"/>
          <w:szCs w:val="20"/>
        </w:rPr>
        <w:t>troactive reinsurance include estimated liabilities for environmental, asbestos and latent injury losses of approximately $12.7 billion at December 31, 2014 and $11.9 billion at December 31, 2013. BHRG, as a reinsurer, does not receive consistently reliabl</w:t>
      </w:r>
      <w:r>
        <w:rPr>
          <w:rFonts w:ascii="Times" w:hAnsi="Times" w:cs="Times"/>
          <w:sz w:val="20"/>
          <w:szCs w:val="20"/>
        </w:rPr>
        <w:t>e information regarding asbestos, environmental and latent injury claims from all ceding companies, particularly with respect to multi-line treaty or aggregate excess-of-loss policies. Periodically, we conduct a ground-up analysis of the underlying loss da</w:t>
      </w:r>
      <w:r>
        <w:rPr>
          <w:rFonts w:ascii="Times" w:hAnsi="Times" w:cs="Times"/>
          <w:sz w:val="20"/>
          <w:szCs w:val="20"/>
        </w:rPr>
        <w:t>ta of the reinsured to make an estimate of ultimate reinsured losses. When detailed loss information is unavailable, our estimates can only be developed by applying recent industry trends and projections to aggregate client data. Judgments in these areas n</w:t>
      </w:r>
      <w:r>
        <w:rPr>
          <w:rFonts w:ascii="Times" w:hAnsi="Times" w:cs="Times"/>
          <w:sz w:val="20"/>
          <w:szCs w:val="20"/>
        </w:rPr>
        <w:t>ecessarily include the stability of the legal and regulatory environment under which these claims will be adjudicated. Potential legal reform and legislation could also have a significant impact on establishing loss reserves for mass tort claims in the fut</w:t>
      </w:r>
      <w:r>
        <w:rPr>
          <w:rFonts w:ascii="Times" w:hAnsi="Times" w:cs="Times"/>
          <w:sz w:val="20"/>
          <w:szCs w:val="20"/>
        </w:rPr>
        <w:t>ure.</w:t>
      </w:r>
    </w:p>
    <w:p w:rsidR="00000000" w:rsidRDefault="00A06965">
      <w:pPr>
        <w:pStyle w:val="DefaultParagraphFont"/>
        <w:widowControl w:val="0"/>
        <w:autoSpaceDE w:val="0"/>
        <w:autoSpaceDN w:val="0"/>
        <w:adjustRightInd w:val="0"/>
        <w:spacing w:after="0" w:line="16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We increased ultimate liabilities for prior years’ retroactive reinsurance contracts by approximately $825 million in 2014 and $300 million in 2013. In both years, the increases primarily related to asbestos and environmental risks assumed. The incre</w:t>
      </w:r>
      <w:r>
        <w:rPr>
          <w:rFonts w:ascii="Times" w:hAnsi="Times" w:cs="Times"/>
          <w:sz w:val="20"/>
          <w:szCs w:val="20"/>
        </w:rPr>
        <w:t>ase in 2014, net of deferred charge balances adjustments related to changes in estimated timing and amount of remaining unpaid liabilities, produced charges to pre-tax earnings of approximately $450 million in 2014. In 2013, the impact of the increase on p</w:t>
      </w:r>
      <w:r>
        <w:rPr>
          <w:rFonts w:ascii="Times" w:hAnsi="Times" w:cs="Times"/>
          <w:sz w:val="20"/>
          <w:szCs w:val="20"/>
        </w:rPr>
        <w:t>re-tax earnings was relatively insignificant. Our aggregate net payments of retroactive reinsurance losses and loss adjustment expenses approximated $1.1 billion in 2014 and $1.3 billion in 2013.</w:t>
      </w:r>
    </w:p>
    <w:p w:rsidR="00000000" w:rsidRDefault="00A06965">
      <w:pPr>
        <w:pStyle w:val="DefaultParagraphFont"/>
        <w:widowControl w:val="0"/>
        <w:autoSpaceDE w:val="0"/>
        <w:autoSpaceDN w:val="0"/>
        <w:adjustRightInd w:val="0"/>
        <w:spacing w:after="0" w:line="16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 xml:space="preserve">We currently believe that maximum losses payable under our </w:t>
      </w:r>
      <w:r>
        <w:rPr>
          <w:rFonts w:ascii="Times" w:hAnsi="Times" w:cs="Times"/>
          <w:sz w:val="20"/>
          <w:szCs w:val="20"/>
        </w:rPr>
        <w:t>retroactive policies will not exceed approximately $40 billion due to the aggregate contract limits that are applicable to most of these contracts. Absent significant judicial or legislative changes affecting asbestos, environmental or latent injury exposu</w:t>
      </w:r>
      <w:r>
        <w:rPr>
          <w:rFonts w:ascii="Times" w:hAnsi="Times" w:cs="Times"/>
          <w:sz w:val="20"/>
          <w:szCs w:val="20"/>
        </w:rPr>
        <w:t>res, we also believe it unlikely that our reported year end 2014 gross unpaid losses of $24.3 billion will develop upward to the maximum loss payable or downward by more than 15%.</w:t>
      </w:r>
    </w:p>
    <w:p w:rsidR="00000000" w:rsidRDefault="00A06965">
      <w:pPr>
        <w:pStyle w:val="DefaultParagraphFont"/>
        <w:widowControl w:val="0"/>
        <w:autoSpaceDE w:val="0"/>
        <w:autoSpaceDN w:val="0"/>
        <w:adjustRightInd w:val="0"/>
        <w:spacing w:after="0" w:line="17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Gross unpaid losses and loss adjustment expenses arising from BHRG’s proper</w:t>
      </w:r>
      <w:r>
        <w:rPr>
          <w:rFonts w:ascii="Times" w:hAnsi="Times" w:cs="Times"/>
          <w:sz w:val="20"/>
          <w:szCs w:val="20"/>
        </w:rPr>
        <w:t>ty and casualty contracts, other than retroactive reinsurance, were approximately $11.6 billion as of December 31, 2014 and consisted of traditional property and casualty coverages written primarily under excess-of-loss and quota-share treaties, and to a l</w:t>
      </w:r>
      <w:r>
        <w:rPr>
          <w:rFonts w:ascii="Times" w:hAnsi="Times" w:cs="Times"/>
          <w:sz w:val="20"/>
          <w:szCs w:val="20"/>
        </w:rPr>
        <w:t>esser extent, under individual risk contracts. These coverages included catastrophe and aviation contracts that periodically generate low frequency/high severity losses. Reserving techniques for catastrophe and individual risk contracts generally rely more</w:t>
      </w:r>
      <w:r>
        <w:rPr>
          <w:rFonts w:ascii="Times" w:hAnsi="Times" w:cs="Times"/>
          <w:sz w:val="20"/>
          <w:szCs w:val="20"/>
        </w:rPr>
        <w:t xml:space="preserve"> on a per-policy assessment of the ultimate cost associated with the individual loss event rather than with an analysis of the historical development patterns of past losses. Absent litigation affecting the interpretation of coverage terms, the expected cl</w:t>
      </w:r>
      <w:r>
        <w:rPr>
          <w:rFonts w:ascii="Times" w:hAnsi="Times" w:cs="Times"/>
          <w:sz w:val="20"/>
          <w:szCs w:val="20"/>
        </w:rPr>
        <w:t>aim-tail is relatively short and thus the estimation error in the initial reserve estimates usually emerges within 24 months after the loss event.</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111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Property and casualty losses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i/>
          <w:iCs/>
          <w:sz w:val="20"/>
          <w:szCs w:val="20"/>
        </w:rPr>
        <w:t>BHRG (Continued)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Under most of our non-catastrophe property and casualty treaties, liabilities for unpaid losses and loss adjustments expenses are generally based upon loss estimates reported by ceding companies a</w:t>
      </w:r>
      <w:r>
        <w:rPr>
          <w:rFonts w:ascii="Times" w:hAnsi="Times" w:cs="Times"/>
          <w:sz w:val="20"/>
          <w:szCs w:val="20"/>
        </w:rPr>
        <w:t>nd IBNR reserves that are primarily a function of reported losses from ceding companies and anticipated loss ratios established on a portfolio basis, supplemented by management’s estimates of the impact of major catastrophe events as they become known. Ant</w:t>
      </w:r>
      <w:r>
        <w:rPr>
          <w:rFonts w:ascii="Times" w:hAnsi="Times" w:cs="Times"/>
          <w:sz w:val="20"/>
          <w:szCs w:val="20"/>
        </w:rPr>
        <w:t xml:space="preserve">icipated loss ratios are based upon management’s judgment considering the type of business covered, analysis of each ceding company’s loss history and evaluation of that portion of the underlying contracts underwritten by each ceding company, which are in </w:t>
      </w:r>
      <w:r>
        <w:rPr>
          <w:rFonts w:ascii="Times" w:hAnsi="Times" w:cs="Times"/>
          <w:sz w:val="20"/>
          <w:szCs w:val="20"/>
        </w:rPr>
        <w:t xml:space="preserve">turn ceded to BHRG. A range of reserve amounts as a result of changes in underlying assumptions is not prepared. For BHRG’s property/casualty contracts other than retroactive reinsurance, we decreased estimated ultimate losses for prior years’ occurrences </w:t>
      </w:r>
      <w:r>
        <w:rPr>
          <w:rFonts w:ascii="Times" w:hAnsi="Times" w:cs="Times"/>
          <w:sz w:val="20"/>
          <w:szCs w:val="20"/>
        </w:rPr>
        <w:t>by approximately $889 million in 2014 and $714 million in 2013. In both years, the decreases primarily derived from lower than expected losses reported by ceding companies. These decreases produced corresponding increases in pre-tax earnings in 2014 and 20</w:t>
      </w:r>
      <w:r>
        <w:rPr>
          <w:rFonts w:ascii="Times" w:hAnsi="Times" w:cs="Times"/>
          <w:sz w:val="20"/>
          <w:szCs w:val="20"/>
        </w:rPr>
        <w:t>13.</w:t>
      </w:r>
    </w:p>
    <w:p w:rsidR="00000000" w:rsidRDefault="00A06965">
      <w:pPr>
        <w:pStyle w:val="DefaultParagraphFont"/>
        <w:widowControl w:val="0"/>
        <w:autoSpaceDE w:val="0"/>
        <w:autoSpaceDN w:val="0"/>
        <w:adjustRightInd w:val="0"/>
        <w:spacing w:after="0" w:line="33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Derivative contract liabilities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Our Consolidated Balance Sheets include significant derivative contract liabilities that are measured at fair value. Our most significant derivative contract exposures relate to equity index put option contracts writte</w:t>
      </w:r>
      <w:r>
        <w:rPr>
          <w:rFonts w:ascii="Times" w:hAnsi="Times" w:cs="Times"/>
          <w:sz w:val="20"/>
          <w:szCs w:val="20"/>
        </w:rPr>
        <w:t xml:space="preserve">n between 2004 and 2008. These contracts were entered into in over-the-counter markets. Certain elements of the terms and conditions of these contracts are not standard and we are not required to post collateral under most of these contracts. Furthermore, </w:t>
      </w:r>
      <w:r>
        <w:rPr>
          <w:rFonts w:ascii="Times" w:hAnsi="Times" w:cs="Times"/>
          <w:sz w:val="20"/>
          <w:szCs w:val="20"/>
        </w:rPr>
        <w:t>there is no source of independent data available to us showing trading volume and actual prices of completed transactions. As a result, the values of these liabilities are based on valuation models that we believe would be used by market participants. Such</w:t>
      </w:r>
      <w:r>
        <w:rPr>
          <w:rFonts w:ascii="Times" w:hAnsi="Times" w:cs="Times"/>
          <w:sz w:val="20"/>
          <w:szCs w:val="20"/>
        </w:rPr>
        <w:t xml:space="preserve"> models or other valuation techniques use inputs that are observable in the marketplace, while others are unobservable. Unobservable inputs require us to make certain projections and assumptions about the information that would be used by market participan</w:t>
      </w:r>
      <w:r>
        <w:rPr>
          <w:rFonts w:ascii="Times" w:hAnsi="Times" w:cs="Times"/>
          <w:sz w:val="20"/>
          <w:szCs w:val="20"/>
        </w:rPr>
        <w:t>ts in establishing prices. We believe that the fair values produced for long-duration options are inherently subjective. The values of contracts in an actual exchange are affected by market conditions and perceptions of the buyers and sellers. Actual value</w:t>
      </w:r>
      <w:r>
        <w:rPr>
          <w:rFonts w:ascii="Times" w:hAnsi="Times" w:cs="Times"/>
          <w:sz w:val="20"/>
          <w:szCs w:val="20"/>
        </w:rPr>
        <w:t>s in an exchange may differ significantly from the values produced by any mathematical model.</w:t>
      </w:r>
    </w:p>
    <w:p w:rsidR="00000000" w:rsidRDefault="00A06965">
      <w:pPr>
        <w:pStyle w:val="DefaultParagraphFont"/>
        <w:widowControl w:val="0"/>
        <w:autoSpaceDE w:val="0"/>
        <w:autoSpaceDN w:val="0"/>
        <w:adjustRightInd w:val="0"/>
        <w:spacing w:after="0" w:line="23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We determine the estimated fair value of equity index put option contracts using a Black-Scholes based option valuation model. Inputs to the model include the current index value, strike price, interest rate, dividend rate and contract expiration date. The</w:t>
      </w:r>
      <w:r>
        <w:rPr>
          <w:rFonts w:ascii="Times" w:hAnsi="Times" w:cs="Times"/>
          <w:sz w:val="20"/>
          <w:szCs w:val="20"/>
        </w:rPr>
        <w:t xml:space="preserve"> weighted average interest and dividend rates used as of December 31, 2014 were 1.5% and 3.3%, respectively, and were 2.5% and 3.6%, respectively, as of December 31, 2013. The interest rates as of December 31, 2014 and 2013 were approximately 53 basis poin</w:t>
      </w:r>
      <w:r>
        <w:rPr>
          <w:rFonts w:ascii="Times" w:hAnsi="Times" w:cs="Times"/>
          <w:sz w:val="20"/>
          <w:szCs w:val="20"/>
        </w:rPr>
        <w:t>ts and 64 basis points (on a weighted average basis), respectively, over benchmark interest rates and represented our estimate of our nonperformance risk. We believe that the most significant economic risks under these contracts relate to changes in the in</w:t>
      </w:r>
      <w:r>
        <w:rPr>
          <w:rFonts w:ascii="Times" w:hAnsi="Times" w:cs="Times"/>
          <w:sz w:val="20"/>
          <w:szCs w:val="20"/>
        </w:rPr>
        <w:t>dex value component and, to a lesser degree, the foreign currency component.</w:t>
      </w:r>
    </w:p>
    <w:p w:rsidR="00000000" w:rsidRDefault="00A06965">
      <w:pPr>
        <w:pStyle w:val="DefaultParagraphFont"/>
        <w:widowControl w:val="0"/>
        <w:autoSpaceDE w:val="0"/>
        <w:autoSpaceDN w:val="0"/>
        <w:adjustRightInd w:val="0"/>
        <w:spacing w:after="0" w:line="23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The Black-Scholes based model also incorporates volatility estimates that measure potential price changes over time. Our contracts have an average remaining maturity of about 6 y</w:t>
      </w:r>
      <w:r>
        <w:rPr>
          <w:rFonts w:ascii="Times" w:hAnsi="Times" w:cs="Times"/>
          <w:sz w:val="20"/>
          <w:szCs w:val="20"/>
        </w:rPr>
        <w:t>ears. The weighted average volatility used as of December 31, 2014 was approximately 20.9%, compared to 20.7% as of December 31, 2013. The weighted average volatilities are based on the volatility input for each equity index put option contract weighted by</w:t>
      </w:r>
      <w:r>
        <w:rPr>
          <w:rFonts w:ascii="Times" w:hAnsi="Times" w:cs="Times"/>
          <w:sz w:val="20"/>
          <w:szCs w:val="20"/>
        </w:rPr>
        <w:t xml:space="preserve"> the notional value of each equity index put option contract as compared to the aggregate notional value of all equity index put option contracts. The volatility input for each equity index put option contract reflects our expectation of future price volat</w:t>
      </w:r>
      <w:r>
        <w:rPr>
          <w:rFonts w:ascii="Times" w:hAnsi="Times" w:cs="Times"/>
          <w:sz w:val="20"/>
          <w:szCs w:val="20"/>
        </w:rPr>
        <w:t>ility. The impact on fair value as of December 31, 2014 ($4.6 billion) from changes in the volatility assumption is summarized in the table that follows. Dollars are in millions.</w:t>
      </w:r>
    </w:p>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560"/>
        <w:gridCol w:w="5200"/>
        <w:gridCol w:w="1560"/>
      </w:tblGrid>
      <w:tr w:rsidR="00000000">
        <w:tblPrEx>
          <w:tblCellMar>
            <w:top w:w="0" w:type="dxa"/>
            <w:left w:w="0" w:type="dxa"/>
            <w:bottom w:w="0" w:type="dxa"/>
            <w:right w:w="0" w:type="dxa"/>
          </w:tblCellMar>
        </w:tblPrEx>
        <w:trPr>
          <w:trHeight w:val="184"/>
        </w:trPr>
        <w:tc>
          <w:tcPr>
            <w:tcW w:w="8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sz w:val="16"/>
                <w:szCs w:val="16"/>
              </w:rPr>
              <w:t>Hypothetical change in volatility (percentage points)</w:t>
            </w:r>
          </w:p>
        </w:tc>
        <w:tc>
          <w:tcPr>
            <w:tcW w:w="1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w:hAnsi="Times" w:cs="Times"/>
                <w:b/>
                <w:bCs/>
                <w:w w:val="97"/>
                <w:sz w:val="16"/>
                <w:szCs w:val="16"/>
              </w:rPr>
              <w:t>Hypothetical fair valu</w:t>
            </w:r>
            <w:r>
              <w:rPr>
                <w:rFonts w:ascii="Times" w:hAnsi="Times" w:cs="Times"/>
                <w:b/>
                <w:bCs/>
                <w:w w:val="97"/>
                <w:sz w:val="16"/>
                <w:szCs w:val="16"/>
              </w:rPr>
              <w:t>e</w:t>
            </w:r>
          </w:p>
        </w:tc>
      </w:tr>
      <w:tr w:rsidR="00000000">
        <w:tblPrEx>
          <w:tblCellMar>
            <w:top w:w="0" w:type="dxa"/>
            <w:left w:w="0" w:type="dxa"/>
            <w:bottom w:w="0" w:type="dxa"/>
            <w:right w:w="0" w:type="dxa"/>
          </w:tblCellMar>
        </w:tblPrEx>
        <w:trPr>
          <w:trHeight w:val="26"/>
        </w:trPr>
        <w:tc>
          <w:tcPr>
            <w:tcW w:w="3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8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Increase 2 percentage points . . . . . . . . . . . . . . . . . . . . . . . . . . . . . . . . . . . . . . . . . . . . . . . . . . . . . . . . . . . . . .</w:t>
            </w:r>
          </w:p>
        </w:tc>
        <w:tc>
          <w:tcPr>
            <w:tcW w:w="1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4"/>
              <w:jc w:val="right"/>
              <w:rPr>
                <w:rFonts w:ascii="Times New Roman" w:hAnsi="Times New Roman" w:cs="Times New Roman"/>
                <w:sz w:val="24"/>
                <w:szCs w:val="24"/>
              </w:rPr>
            </w:pPr>
            <w:r>
              <w:rPr>
                <w:rFonts w:ascii="Times" w:hAnsi="Times" w:cs="Times"/>
                <w:sz w:val="20"/>
                <w:szCs w:val="20"/>
              </w:rPr>
              <w:t>$4,899</w:t>
            </w:r>
          </w:p>
        </w:tc>
      </w:tr>
      <w:tr w:rsidR="00000000">
        <w:tblPrEx>
          <w:tblCellMar>
            <w:top w:w="0" w:type="dxa"/>
            <w:left w:w="0" w:type="dxa"/>
            <w:bottom w:w="0" w:type="dxa"/>
            <w:right w:w="0" w:type="dxa"/>
          </w:tblCellMar>
        </w:tblPrEx>
        <w:trPr>
          <w:trHeight w:val="240"/>
        </w:trPr>
        <w:tc>
          <w:tcPr>
            <w:tcW w:w="8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Increase 4 percentage points . . . . . . . . . . . . . . . . . . . . . . . . . . . . . . . . . . . . . . . . . . . . . . . . . . . . . . . . . . . . . .</w:t>
            </w:r>
          </w:p>
        </w:tc>
        <w:tc>
          <w:tcPr>
            <w:tcW w:w="1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4"/>
              <w:jc w:val="right"/>
              <w:rPr>
                <w:rFonts w:ascii="Times New Roman" w:hAnsi="Times New Roman" w:cs="Times New Roman"/>
                <w:sz w:val="24"/>
                <w:szCs w:val="24"/>
              </w:rPr>
            </w:pPr>
            <w:r>
              <w:rPr>
                <w:rFonts w:ascii="Times" w:hAnsi="Times" w:cs="Times"/>
                <w:sz w:val="20"/>
                <w:szCs w:val="20"/>
              </w:rPr>
              <w:t>5,252</w:t>
            </w:r>
          </w:p>
        </w:tc>
      </w:tr>
      <w:tr w:rsidR="00000000">
        <w:tblPrEx>
          <w:tblCellMar>
            <w:top w:w="0" w:type="dxa"/>
            <w:left w:w="0" w:type="dxa"/>
            <w:bottom w:w="0" w:type="dxa"/>
            <w:right w:w="0" w:type="dxa"/>
          </w:tblCellMar>
        </w:tblPrEx>
        <w:trPr>
          <w:trHeight w:val="240"/>
        </w:trPr>
        <w:tc>
          <w:tcPr>
            <w:tcW w:w="8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Decrease 2 percentage points . . . . . . . . . . . . . . . . . . . . . . . . . . . . . . . . . . . . . . . . . . . . . . . . . . . . . . . . . . . . . .</w:t>
            </w:r>
          </w:p>
        </w:tc>
        <w:tc>
          <w:tcPr>
            <w:tcW w:w="1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4"/>
              <w:jc w:val="right"/>
              <w:rPr>
                <w:rFonts w:ascii="Times New Roman" w:hAnsi="Times New Roman" w:cs="Times New Roman"/>
                <w:sz w:val="24"/>
                <w:szCs w:val="24"/>
              </w:rPr>
            </w:pPr>
            <w:r>
              <w:rPr>
                <w:rFonts w:ascii="Times" w:hAnsi="Times" w:cs="Times"/>
                <w:sz w:val="20"/>
                <w:szCs w:val="20"/>
              </w:rPr>
              <w:t>4,237</w:t>
            </w:r>
          </w:p>
        </w:tc>
      </w:tr>
      <w:tr w:rsidR="00000000">
        <w:tblPrEx>
          <w:tblCellMar>
            <w:top w:w="0" w:type="dxa"/>
            <w:left w:w="0" w:type="dxa"/>
            <w:bottom w:w="0" w:type="dxa"/>
            <w:right w:w="0" w:type="dxa"/>
          </w:tblCellMar>
        </w:tblPrEx>
        <w:trPr>
          <w:trHeight w:val="240"/>
        </w:trPr>
        <w:tc>
          <w:tcPr>
            <w:tcW w:w="87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Decrease 4 percentage points . . . . . . . . . . . . . . . . . . . . . . . . . . . . . . . . . . . . . . . . . . . . . . . . . . . . . . . . . . . . . .</w:t>
            </w:r>
          </w:p>
        </w:tc>
        <w:tc>
          <w:tcPr>
            <w:tcW w:w="15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4"/>
              <w:jc w:val="right"/>
              <w:rPr>
                <w:rFonts w:ascii="Times New Roman" w:hAnsi="Times New Roman" w:cs="Times New Roman"/>
                <w:sz w:val="24"/>
                <w:szCs w:val="24"/>
              </w:rPr>
            </w:pPr>
            <w:r>
              <w:rPr>
                <w:rFonts w:ascii="Times" w:hAnsi="Times" w:cs="Times"/>
                <w:sz w:val="20"/>
                <w:szCs w:val="20"/>
              </w:rPr>
              <w:t>3,935</w:t>
            </w:r>
          </w:p>
        </w:tc>
      </w:tr>
    </w:tbl>
    <w:p w:rsidR="00000000" w:rsidRDefault="00A06965">
      <w:pPr>
        <w:pStyle w:val="DefaultParagraphFont"/>
        <w:widowControl w:val="0"/>
        <w:autoSpaceDE w:val="0"/>
        <w:autoSpaceDN w:val="0"/>
        <w:adjustRightInd w:val="0"/>
        <w:spacing w:after="0" w:line="23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 xml:space="preserve">For several years, we also have had exposures relating to a number of credit default contracts </w:t>
      </w:r>
      <w:r>
        <w:rPr>
          <w:rFonts w:ascii="Times" w:hAnsi="Times" w:cs="Times"/>
          <w:sz w:val="20"/>
          <w:szCs w:val="20"/>
        </w:rPr>
        <w:t>written involving corporate and state/municipality issuers. At December 31, 2014, our remaining exposures relate to state/municipality exposures which begin to expire in 2019. The fair values of our state/municipality contracts are generally based on prici</w:t>
      </w:r>
      <w:r>
        <w:rPr>
          <w:rFonts w:ascii="Times" w:hAnsi="Times" w:cs="Times"/>
          <w:sz w:val="20"/>
          <w:szCs w:val="20"/>
        </w:rPr>
        <w:t>ng data and current ratings on the underlying bond issues and credit spread estimates. We monitor and review pricing data and spread estimates for consistency as well as reasonableness with respect to current market conditions.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4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112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Other Critical Accounting Policies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We record deferred charges with respect to liabilities assumed under retroactive reinsurance contracts. At the inception of these contracts, the deferred charges</w:t>
      </w:r>
      <w:r>
        <w:rPr>
          <w:rFonts w:ascii="Times" w:hAnsi="Times" w:cs="Times"/>
          <w:sz w:val="20"/>
          <w:szCs w:val="20"/>
        </w:rPr>
        <w:t xml:space="preserve"> represent the excess, if any, of the estimated ultimate liability for unpaid losses over the consideration received. Deferred charges are amortized using the interest method over an estimate of the ultimate claim payment period with the periodic amortizat</w:t>
      </w:r>
      <w:r>
        <w:rPr>
          <w:rFonts w:ascii="Times" w:hAnsi="Times" w:cs="Times"/>
          <w:sz w:val="20"/>
          <w:szCs w:val="20"/>
        </w:rPr>
        <w:t>ion reflected in earnings as a component of losses and loss adjustment expenses. Deferred charge balances are adjusted periodically to reflect new projections of the amount and timing of remaining loss payments. Adjustments to deferred charge balances resu</w:t>
      </w:r>
      <w:r>
        <w:rPr>
          <w:rFonts w:ascii="Times" w:hAnsi="Times" w:cs="Times"/>
          <w:sz w:val="20"/>
          <w:szCs w:val="20"/>
        </w:rPr>
        <w:t>lting from changes to these assumptions are determined retrospectively from the inception of the contract. Unamortized deferred charges were approximately $7.8 billion at December 31, 2014. Significant changes in the estimated amount and the timing of paym</w:t>
      </w:r>
      <w:r>
        <w:rPr>
          <w:rFonts w:ascii="Times" w:hAnsi="Times" w:cs="Times"/>
          <w:sz w:val="20"/>
          <w:szCs w:val="20"/>
        </w:rPr>
        <w:t>ents of unpaid losses may have a significant effect on unamortized deferred charges and the amount of periodic amortization.</w:t>
      </w: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Our Consolidated Balance Sheet includes goodwill of acquired businesses of $60.7 billion, which includes approximately $4.0 billio</w:t>
      </w:r>
      <w:r>
        <w:rPr>
          <w:rFonts w:ascii="Times" w:hAnsi="Times" w:cs="Times"/>
          <w:sz w:val="20"/>
          <w:szCs w:val="20"/>
        </w:rPr>
        <w:t>n associated with our various acquisitions in 2014. We evaluate goodwill for impairment at least annually and we conducted our most recent annual review during the fourth quarter of 2014. Our review includes determining the estimated fair values of our rep</w:t>
      </w:r>
      <w:r>
        <w:rPr>
          <w:rFonts w:ascii="Times" w:hAnsi="Times" w:cs="Times"/>
          <w:sz w:val="20"/>
          <w:szCs w:val="20"/>
        </w:rPr>
        <w:t>orting units. There are several methods of estimating a reporting unit’s fair value, including market quotations, underlying asset and liability fair value determinations and other valuation techniques, such as discounted projected future net earnings or n</w:t>
      </w:r>
      <w:r>
        <w:rPr>
          <w:rFonts w:ascii="Times" w:hAnsi="Times" w:cs="Times"/>
          <w:sz w:val="20"/>
          <w:szCs w:val="20"/>
        </w:rPr>
        <w:t>et cash flows and multiples of earnings. We primarily use discounted projected future earnings or cash flow methods. The key assumptions and inputs used in such methods may include forecasting revenues and expenses, operating cash flows and capital expendi</w:t>
      </w:r>
      <w:r>
        <w:rPr>
          <w:rFonts w:ascii="Times" w:hAnsi="Times" w:cs="Times"/>
          <w:sz w:val="20"/>
          <w:szCs w:val="20"/>
        </w:rPr>
        <w:t xml:space="preserve">tures, as well as an appropriate discount rate and other inputs. A significant amount of judgment is required in estimating the fair value of a reporting unit and in performing goodwill impairment tests. Due to the inherent uncertainty in forecasting cash </w:t>
      </w:r>
      <w:r>
        <w:rPr>
          <w:rFonts w:ascii="Times" w:hAnsi="Times" w:cs="Times"/>
          <w:sz w:val="20"/>
          <w:szCs w:val="20"/>
        </w:rPr>
        <w:t xml:space="preserve">flows and earnings, actual results may vary significantly from the forecasts. If the carrying amount of a reporting unit, including goodwill, exceeds the estimated fair value, then, as required by GAAP, we estimate the fair values of the individual assets </w:t>
      </w:r>
      <w:r>
        <w:rPr>
          <w:rFonts w:ascii="Times" w:hAnsi="Times" w:cs="Times"/>
          <w:sz w:val="20"/>
          <w:szCs w:val="20"/>
        </w:rPr>
        <w:t>(including identifiable intangible assets) and liabilities of the reporting unit. The excess of the estimated fair value of the reporting unit over the estimated fair value of its net assets establishes the implied value of goodwill. The excess of the reco</w:t>
      </w:r>
      <w:r>
        <w:rPr>
          <w:rFonts w:ascii="Times" w:hAnsi="Times" w:cs="Times"/>
          <w:sz w:val="20"/>
          <w:szCs w:val="20"/>
        </w:rPr>
        <w:t>rded amount of goodwill over the implied value is charged to earnings as an impairment loss.</w:t>
      </w:r>
    </w:p>
    <w:p w:rsidR="00000000" w:rsidRDefault="00A06965">
      <w:pPr>
        <w:pStyle w:val="DefaultParagraphFont"/>
        <w:widowControl w:val="0"/>
        <w:autoSpaceDE w:val="0"/>
        <w:autoSpaceDN w:val="0"/>
        <w:adjustRightInd w:val="0"/>
        <w:spacing w:after="0" w:line="36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Market Risk Disclosures</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Our Consolidated Balance Sheets include a substantial amount of assets and liabilities whose fair values are subject to market risks. Our</w:t>
      </w:r>
      <w:r>
        <w:rPr>
          <w:rFonts w:ascii="Times" w:hAnsi="Times" w:cs="Times"/>
          <w:sz w:val="20"/>
          <w:szCs w:val="20"/>
        </w:rPr>
        <w:t xml:space="preserve"> significant market risks are primarily associated with interest rates, equity prices, foreign currency exchange rates and commodity prices. The fair values of our investment portfolios and equity index put option contracts remain subject to considerable v</w:t>
      </w:r>
      <w:r>
        <w:rPr>
          <w:rFonts w:ascii="Times" w:hAnsi="Times" w:cs="Times"/>
          <w:sz w:val="20"/>
          <w:szCs w:val="20"/>
        </w:rPr>
        <w:t>olatility. The following sections address the significant market risks associated with our business activities.</w:t>
      </w:r>
    </w:p>
    <w:p w:rsidR="00000000" w:rsidRDefault="00A06965">
      <w:pPr>
        <w:pStyle w:val="DefaultParagraphFont"/>
        <w:widowControl w:val="0"/>
        <w:autoSpaceDE w:val="0"/>
        <w:autoSpaceDN w:val="0"/>
        <w:adjustRightInd w:val="0"/>
        <w:spacing w:after="0" w:line="36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Interest Rate Risk</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We regularly invest in bonds, loans or other interest rate sensitive instruments. Our strategy is to acquire such securities that are attractively priced in relation to the perceived credit risk. Management recognizes and accepts that losses may occur with</w:t>
      </w:r>
      <w:r>
        <w:rPr>
          <w:rFonts w:ascii="Times" w:hAnsi="Times" w:cs="Times"/>
          <w:sz w:val="20"/>
          <w:szCs w:val="20"/>
        </w:rPr>
        <w:t xml:space="preserve"> respect to assets. We also issue debt in the ordinary course of business to fund business operations, business acquisitions and for other general purposes. We strive to maintain high credit ratings so that the cost of our debt is minimized. We rarely util</w:t>
      </w:r>
      <w:r>
        <w:rPr>
          <w:rFonts w:ascii="Times" w:hAnsi="Times" w:cs="Times"/>
          <w:sz w:val="20"/>
          <w:szCs w:val="20"/>
        </w:rPr>
        <w:t>ize derivative products, such as interest rate swaps, to manage interest rate risks.</w:t>
      </w:r>
    </w:p>
    <w:p w:rsidR="00000000" w:rsidRDefault="00A06965">
      <w:pPr>
        <w:pStyle w:val="DefaultParagraphFont"/>
        <w:widowControl w:val="0"/>
        <w:autoSpaceDE w:val="0"/>
        <w:autoSpaceDN w:val="0"/>
        <w:adjustRightInd w:val="0"/>
        <w:spacing w:after="0" w:line="25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The fair values of our fixed maturity investments and notes payable and other borrowings will fluctuate in response to changes in market interest rates. In addition, chan</w:t>
      </w:r>
      <w:r>
        <w:rPr>
          <w:rFonts w:ascii="Times" w:hAnsi="Times" w:cs="Times"/>
          <w:sz w:val="20"/>
          <w:szCs w:val="20"/>
        </w:rPr>
        <w:t>ges in interest rate assumptions used in our equity index put option contract models cause changes in reported liabilities with respect to those contracts. Increases and decreases in interest rates generally translate into decreases and increases in fair v</w:t>
      </w:r>
      <w:r>
        <w:rPr>
          <w:rFonts w:ascii="Times" w:hAnsi="Times" w:cs="Times"/>
          <w:sz w:val="20"/>
          <w:szCs w:val="20"/>
        </w:rPr>
        <w:t>alues of those instruments. Additionally, fair values of interest rate sensitive instruments may be affected by the creditworthiness of the issuer, prepayment options, relative values of alternative investments, the liquidity of the instrument and other ge</w:t>
      </w:r>
      <w:r>
        <w:rPr>
          <w:rFonts w:ascii="Times" w:hAnsi="Times" w:cs="Times"/>
          <w:sz w:val="20"/>
          <w:szCs w:val="20"/>
        </w:rPr>
        <w:t>neral market conditions. The fair values of fixed interest rate instruments may be more sensitive to interest rate changes than variable rate instruments.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2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113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Interest Rate Risk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The following table summarizes the estimated effects of hypothetical changes in interest rates on our significant assets and liabilities that are subject to interest rate risk. It is assumed that the interest rate changes oc</w:t>
      </w:r>
      <w:r>
        <w:rPr>
          <w:rFonts w:ascii="Times" w:hAnsi="Times" w:cs="Times"/>
          <w:sz w:val="20"/>
          <w:szCs w:val="20"/>
        </w:rPr>
        <w:t xml:space="preserve">cur immediately and uniformly to each category of instrument containing interest rate risk, and that there are no significant changes to other factors used to determine the value of the instrument. The hypothetical changes in interest rates do not reflect </w:t>
      </w:r>
      <w:r>
        <w:rPr>
          <w:rFonts w:ascii="Times" w:hAnsi="Times" w:cs="Times"/>
          <w:sz w:val="20"/>
          <w:szCs w:val="20"/>
        </w:rPr>
        <w:t>what could be deemed best or worst case scenarios. Variations in interest rates could produce significant changes in the timing of repayments due to prepayment options available to the issuer. For these reasons, actual results might differ from those refle</w:t>
      </w:r>
      <w:r>
        <w:rPr>
          <w:rFonts w:ascii="Times" w:hAnsi="Times" w:cs="Times"/>
          <w:sz w:val="20"/>
          <w:szCs w:val="20"/>
        </w:rPr>
        <w:t>cted in the table. Dollars are in millions.</w:t>
      </w:r>
    </w:p>
    <w:p w:rsidR="00000000" w:rsidRDefault="00A06965">
      <w:pPr>
        <w:pStyle w:val="DefaultParagraphFont"/>
        <w:widowControl w:val="0"/>
        <w:autoSpaceDE w:val="0"/>
        <w:autoSpaceDN w:val="0"/>
        <w:adjustRightInd w:val="0"/>
        <w:spacing w:after="0" w:line="6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ind w:left="7800"/>
        <w:rPr>
          <w:rFonts w:ascii="Times New Roman" w:hAnsi="Times New Roman" w:cs="Times New Roman"/>
          <w:sz w:val="24"/>
          <w:szCs w:val="24"/>
        </w:rPr>
      </w:pPr>
      <w:r>
        <w:rPr>
          <w:rFonts w:ascii="Times" w:hAnsi="Times" w:cs="Times"/>
          <w:b/>
          <w:bCs/>
          <w:sz w:val="16"/>
          <w:szCs w:val="16"/>
        </w:rPr>
        <w:t>Estimated Fair Value after</w:t>
      </w:r>
    </w:p>
    <w:p w:rsidR="00000000" w:rsidRDefault="00A06965">
      <w:pPr>
        <w:pStyle w:val="DefaultParagraphFont"/>
        <w:widowControl w:val="0"/>
        <w:autoSpaceDE w:val="0"/>
        <w:autoSpaceDN w:val="0"/>
        <w:adjustRightInd w:val="0"/>
        <w:spacing w:after="0" w:line="208" w:lineRule="auto"/>
        <w:ind w:left="7400"/>
        <w:rPr>
          <w:rFonts w:ascii="Times New Roman" w:hAnsi="Times New Roman" w:cs="Times New Roman"/>
          <w:sz w:val="24"/>
          <w:szCs w:val="24"/>
        </w:rPr>
      </w:pPr>
      <w:r>
        <w:rPr>
          <w:rFonts w:ascii="Times" w:hAnsi="Times" w:cs="Times"/>
          <w:b/>
          <w:bCs/>
          <w:sz w:val="16"/>
          <w:szCs w:val="16"/>
        </w:rPr>
        <w:t>Hypothetical Change in Interest Rates</w:t>
      </w:r>
    </w:p>
    <w:p w:rsidR="00000000" w:rsidRDefault="00A06965">
      <w:pPr>
        <w:pStyle w:val="DefaultParagraphFont"/>
        <w:widowControl w:val="0"/>
        <w:autoSpaceDE w:val="0"/>
        <w:autoSpaceDN w:val="0"/>
        <w:adjustRightInd w:val="0"/>
        <w:spacing w:after="0" w:line="35" w:lineRule="exact"/>
        <w:rPr>
          <w:rFonts w:ascii="Times New Roman" w:hAnsi="Times New Roman" w:cs="Times New Roman"/>
          <w:sz w:val="24"/>
          <w:szCs w:val="24"/>
        </w:rPr>
      </w:pPr>
      <w:r>
        <w:rPr>
          <w:noProof/>
        </w:rPr>
        <mc:AlternateContent>
          <mc:Choice Requires="wps">
            <w:drawing>
              <wp:anchor distT="0" distB="0" distL="114300" distR="114300" simplePos="0" relativeHeight="251713536" behindDoc="1" locked="0" layoutInCell="0" allowOverlap="1">
                <wp:simplePos x="0" y="0"/>
                <wp:positionH relativeFrom="column">
                  <wp:posOffset>4511040</wp:posOffset>
                </wp:positionH>
                <wp:positionV relativeFrom="paragraph">
                  <wp:posOffset>22860</wp:posOffset>
                </wp:positionV>
                <wp:extent cx="2042160" cy="0"/>
                <wp:effectExtent l="0" t="0" r="0" b="0"/>
                <wp:wrapNone/>
                <wp:docPr id="15"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216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2pt,1.8pt" to="51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" o:allowincell="f" strokeweight="1pt"/>
            </w:pict>
          </mc:Fallback>
        </mc:AlternateContent>
      </w:r>
    </w:p>
    <w:tbl>
      <w:tblPr>
        <w:tblW w:w="0" w:type="auto"/>
        <w:tblLayout w:type="fixed"/>
        <w:tblCellMar>
          <w:left w:w="0" w:type="dxa"/>
          <w:right w:w="0" w:type="dxa"/>
        </w:tblCellMar>
        <w:tblLook w:val="0000" w:firstRow="0" w:lastRow="0" w:firstColumn="0" w:lastColumn="0" w:noHBand="0" w:noVBand="0"/>
      </w:tblPr>
      <w:tblGrid>
        <w:gridCol w:w="6140"/>
        <w:gridCol w:w="760"/>
        <w:gridCol w:w="200"/>
        <w:gridCol w:w="680"/>
        <w:gridCol w:w="200"/>
        <w:gridCol w:w="640"/>
        <w:gridCol w:w="200"/>
        <w:gridCol w:w="660"/>
        <w:gridCol w:w="200"/>
        <w:gridCol w:w="640"/>
        <w:gridCol w:w="20"/>
      </w:tblGrid>
      <w:tr w:rsidR="00000000">
        <w:tblPrEx>
          <w:tblCellMar>
            <w:top w:w="0" w:type="dxa"/>
            <w:left w:w="0" w:type="dxa"/>
            <w:bottom w:w="0" w:type="dxa"/>
            <w:right w:w="0" w:type="dxa"/>
          </w:tblCellMar>
        </w:tblPrEx>
        <w:trPr>
          <w:trHeight w:val="184"/>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w:hAnsi="Times" w:cs="Times"/>
                <w:b/>
                <w:bCs/>
                <w:sz w:val="16"/>
                <w:szCs w:val="16"/>
              </w:rPr>
              <w:t>(bp=basis points)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40"/>
              <w:jc w:val="right"/>
              <w:rPr>
                <w:rFonts w:ascii="Times New Roman" w:hAnsi="Times New Roman" w:cs="Times New Roman"/>
                <w:sz w:val="24"/>
                <w:szCs w:val="24"/>
              </w:rPr>
            </w:pPr>
            <w:r>
              <w:rPr>
                <w:rFonts w:ascii="Times" w:hAnsi="Times" w:cs="Times"/>
                <w:b/>
                <w:bCs/>
                <w:sz w:val="16"/>
                <w:szCs w:val="16"/>
              </w:rPr>
              <w:t>100 bp</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
              <w:jc w:val="right"/>
              <w:rPr>
                <w:rFonts w:ascii="Times New Roman" w:hAnsi="Times New Roman" w:cs="Times New Roman"/>
                <w:sz w:val="24"/>
                <w:szCs w:val="24"/>
              </w:rPr>
            </w:pPr>
            <w:r>
              <w:rPr>
                <w:rFonts w:ascii="Times" w:hAnsi="Times" w:cs="Times"/>
                <w:b/>
                <w:bCs/>
                <w:sz w:val="16"/>
                <w:szCs w:val="16"/>
              </w:rPr>
              <w:t>100 bp</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
              <w:jc w:val="right"/>
              <w:rPr>
                <w:rFonts w:ascii="Times New Roman" w:hAnsi="Times New Roman" w:cs="Times New Roman"/>
                <w:sz w:val="24"/>
                <w:szCs w:val="24"/>
              </w:rPr>
            </w:pPr>
            <w:r>
              <w:rPr>
                <w:rFonts w:ascii="Times" w:hAnsi="Times" w:cs="Times"/>
                <w:b/>
                <w:bCs/>
                <w:sz w:val="16"/>
                <w:szCs w:val="16"/>
              </w:rPr>
              <w:t>200 bp</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ind w:right="20"/>
              <w:jc w:val="right"/>
              <w:rPr>
                <w:rFonts w:ascii="Times New Roman" w:hAnsi="Times New Roman" w:cs="Times New Roman"/>
                <w:sz w:val="24"/>
                <w:szCs w:val="24"/>
              </w:rPr>
            </w:pPr>
            <w:r>
              <w:rPr>
                <w:rFonts w:ascii="Times" w:hAnsi="Times" w:cs="Times"/>
                <w:b/>
                <w:bCs/>
                <w:sz w:val="16"/>
                <w:szCs w:val="16"/>
              </w:rPr>
              <w:t>300 bp</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w w:val="98"/>
                <w:sz w:val="16"/>
                <w:szCs w:val="16"/>
              </w:rPr>
              <w:t>Fair Value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sz w:val="16"/>
                <w:szCs w:val="16"/>
              </w:rPr>
              <w:t>decrease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sz w:val="16"/>
                <w:szCs w:val="16"/>
              </w:rPr>
              <w:t>increase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sz w:val="16"/>
                <w:szCs w:val="16"/>
              </w:rPr>
              <w:t>increase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sz w:val="16"/>
                <w:szCs w:val="16"/>
              </w:rPr>
              <w:t>increase</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14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460"/>
              <w:jc w:val="right"/>
              <w:rPr>
                <w:rFonts w:ascii="Times New Roman" w:hAnsi="Times New Roman" w:cs="Times New Roman"/>
                <w:sz w:val="24"/>
                <w:szCs w:val="24"/>
              </w:rPr>
            </w:pPr>
            <w:r>
              <w:rPr>
                <w:rFonts w:ascii="Times" w:hAnsi="Times" w:cs="Times"/>
                <w:i/>
                <w:iCs/>
                <w:w w:val="99"/>
                <w:sz w:val="20"/>
                <w:szCs w:val="20"/>
              </w:rPr>
              <w:t>December 31, 2014</w:t>
            </w: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2"/>
        </w:trPr>
        <w:tc>
          <w:tcPr>
            <w:tcW w:w="614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left="400"/>
              <w:rPr>
                <w:rFonts w:ascii="Times New Roman" w:hAnsi="Times New Roman" w:cs="Times New Roman"/>
                <w:sz w:val="24"/>
                <w:szCs w:val="24"/>
              </w:rPr>
            </w:pPr>
            <w:r>
              <w:rPr>
                <w:rFonts w:ascii="Times" w:hAnsi="Times" w:cs="Times"/>
                <w:sz w:val="20"/>
                <w:szCs w:val="20"/>
              </w:rPr>
              <w:t>Assets:</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Investments in fixed maturity securities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$27,636</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$28,291</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$26,843</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$26,127</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$25,529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19"/>
                <w:szCs w:val="19"/>
              </w:rPr>
              <w:t xml:space="preserve">Other investments </w:t>
            </w:r>
            <w:r>
              <w:rPr>
                <w:rFonts w:ascii="Times" w:hAnsi="Times" w:cs="Times"/>
                <w:i/>
                <w:iCs/>
                <w:sz w:val="25"/>
                <w:szCs w:val="25"/>
                <w:vertAlign w:val="superscript"/>
              </w:rPr>
              <w:t>(1)</w:t>
            </w:r>
            <w:r>
              <w:rPr>
                <w:rFonts w:ascii="Times" w:hAnsi="Times" w:cs="Times"/>
                <w:sz w:val="19"/>
                <w:szCs w:val="19"/>
              </w:rPr>
              <w:t xml:space="preserve">  . . . . . . .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11,239</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11,771</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10,772</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10,317</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9,887</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Loans and finance receivables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12,891</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13,369</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12,444</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12,026</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11,633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left="400"/>
              <w:rPr>
                <w:rFonts w:ascii="Times New Roman" w:hAnsi="Times New Roman" w:cs="Times New Roman"/>
                <w:sz w:val="24"/>
                <w:szCs w:val="24"/>
              </w:rPr>
            </w:pPr>
            <w:r>
              <w:rPr>
                <w:rFonts w:ascii="Times" w:hAnsi="Times" w:cs="Times"/>
                <w:sz w:val="20"/>
                <w:szCs w:val="20"/>
              </w:rPr>
              <w:t>Liabilities:</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2280"/>
              <w:jc w:val="right"/>
              <w:rPr>
                <w:rFonts w:ascii="Times New Roman" w:hAnsi="Times New Roman" w:cs="Times New Roman"/>
                <w:sz w:val="24"/>
                <w:szCs w:val="24"/>
              </w:rPr>
            </w:pPr>
            <w:r>
              <w:rPr>
                <w:rFonts w:ascii="Times" w:hAnsi="Times" w:cs="Times"/>
                <w:sz w:val="20"/>
                <w:szCs w:val="20"/>
              </w:rPr>
              <w:t>Notes payable and other borrowings:</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Insurance and other . . . .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12,484</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13,142</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11,914</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11,415</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10,973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Railroad, utilities and energy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62,802</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69,196</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57,412</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52,832</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48,908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Finance and financial products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13,417</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13,713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12,812</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12,281</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11,810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Equity index put option contracts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4,560</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5,343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3,874</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3,277</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2,759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4460"/>
              <w:jc w:val="right"/>
              <w:rPr>
                <w:rFonts w:ascii="Times New Roman" w:hAnsi="Times New Roman" w:cs="Times New Roman"/>
                <w:sz w:val="24"/>
                <w:szCs w:val="24"/>
              </w:rPr>
            </w:pPr>
            <w:r>
              <w:rPr>
                <w:rFonts w:ascii="Times" w:hAnsi="Times" w:cs="Times"/>
                <w:i/>
                <w:iCs/>
                <w:w w:val="99"/>
                <w:sz w:val="20"/>
                <w:szCs w:val="20"/>
              </w:rPr>
              <w:t>December 31, 2013</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left="400"/>
              <w:rPr>
                <w:rFonts w:ascii="Times New Roman" w:hAnsi="Times New Roman" w:cs="Times New Roman"/>
                <w:sz w:val="24"/>
                <w:szCs w:val="24"/>
              </w:rPr>
            </w:pPr>
            <w:r>
              <w:rPr>
                <w:rFonts w:ascii="Times" w:hAnsi="Times" w:cs="Times"/>
                <w:sz w:val="20"/>
                <w:szCs w:val="20"/>
              </w:rPr>
              <w:t>Assets:</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Investments in fixed maturity securities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$29,370</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$30,160</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$28,591</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$27,870</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$27,259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19"/>
                <w:szCs w:val="19"/>
              </w:rPr>
              <w:t xml:space="preserve">Other investments </w:t>
            </w:r>
            <w:r>
              <w:rPr>
                <w:rFonts w:ascii="Times" w:hAnsi="Times" w:cs="Times"/>
                <w:i/>
                <w:iCs/>
                <w:sz w:val="25"/>
                <w:szCs w:val="25"/>
                <w:vertAlign w:val="superscript"/>
              </w:rPr>
              <w:t>(1)</w:t>
            </w:r>
            <w:r>
              <w:rPr>
                <w:rFonts w:ascii="Times" w:hAnsi="Times" w:cs="Times"/>
                <w:sz w:val="19"/>
                <w:szCs w:val="19"/>
              </w:rPr>
              <w:t xml:space="preserve">  . . . . . . .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8,592</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9,021</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8,166</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7,757</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7,370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Loans and finance receivables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12,002</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12,412</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11,617</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11,255</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10,915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left="400"/>
              <w:rPr>
                <w:rFonts w:ascii="Times New Roman" w:hAnsi="Times New Roman" w:cs="Times New Roman"/>
                <w:sz w:val="24"/>
                <w:szCs w:val="24"/>
              </w:rPr>
            </w:pPr>
            <w:r>
              <w:rPr>
                <w:rFonts w:ascii="Times" w:hAnsi="Times" w:cs="Times"/>
                <w:sz w:val="20"/>
                <w:szCs w:val="20"/>
              </w:rPr>
              <w:t>Liabilities:</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2280"/>
              <w:jc w:val="right"/>
              <w:rPr>
                <w:rFonts w:ascii="Times New Roman" w:hAnsi="Times New Roman" w:cs="Times New Roman"/>
                <w:sz w:val="24"/>
                <w:szCs w:val="24"/>
              </w:rPr>
            </w:pPr>
            <w:r>
              <w:rPr>
                <w:rFonts w:ascii="Times" w:hAnsi="Times" w:cs="Times"/>
                <w:sz w:val="20"/>
                <w:szCs w:val="20"/>
              </w:rPr>
              <w:t>Notes payable and other borrowings:</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Insurance and other . . . . . .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13,147</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13,776</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12,595</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12,104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11,663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Railroad, utilities and energy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49,879</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54,522</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45,906</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42,500</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39,554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Finance and financial products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13,013</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13,703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12,405</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11,867</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11,385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61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00"/>
              <w:jc w:val="right"/>
              <w:rPr>
                <w:rFonts w:ascii="Times New Roman" w:hAnsi="Times New Roman" w:cs="Times New Roman"/>
                <w:sz w:val="24"/>
                <w:szCs w:val="24"/>
              </w:rPr>
            </w:pPr>
            <w:r>
              <w:rPr>
                <w:rFonts w:ascii="Times" w:hAnsi="Times" w:cs="Times"/>
                <w:sz w:val="20"/>
                <w:szCs w:val="20"/>
              </w:rPr>
              <w:t>Equity index put option contracts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4,667</w:t>
            </w:r>
          </w:p>
        </w:tc>
        <w:tc>
          <w:tcPr>
            <w:tcW w:w="8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5,589</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3,876</w:t>
            </w:r>
          </w:p>
        </w:tc>
        <w:tc>
          <w:tcPr>
            <w:tcW w:w="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3,200</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right"/>
              <w:rPr>
                <w:rFonts w:ascii="Times New Roman" w:hAnsi="Times New Roman" w:cs="Times New Roman"/>
                <w:sz w:val="24"/>
                <w:szCs w:val="24"/>
              </w:rPr>
            </w:pPr>
            <w:r>
              <w:rPr>
                <w:rFonts w:ascii="Times" w:hAnsi="Times" w:cs="Times"/>
                <w:sz w:val="20"/>
                <w:szCs w:val="20"/>
              </w:rPr>
              <w:t>2,626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101" w:lineRule="exact"/>
        <w:rPr>
          <w:rFonts w:ascii="Times New Roman" w:hAnsi="Times New Roman" w:cs="Times New Roman"/>
          <w:sz w:val="24"/>
          <w:szCs w:val="24"/>
        </w:rPr>
      </w:pPr>
      <w:r>
        <w:rPr>
          <w:noProof/>
        </w:rPr>
        <mc:AlternateContent>
          <mc:Choice Requires="wps">
            <w:drawing>
              <wp:anchor distT="0" distB="0" distL="114300" distR="114300" simplePos="0" relativeHeight="251714560" behindDoc="1" locked="0" layoutInCell="0" allowOverlap="1">
                <wp:simplePos x="0" y="0"/>
                <wp:positionH relativeFrom="column">
                  <wp:posOffset>0</wp:posOffset>
                </wp:positionH>
                <wp:positionV relativeFrom="paragraph">
                  <wp:posOffset>71120</wp:posOffset>
                </wp:positionV>
                <wp:extent cx="2247900" cy="0"/>
                <wp:effectExtent l="0" t="0" r="0" b="0"/>
                <wp:wrapNone/>
                <wp:docPr id="1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6pt" to="17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" o:allowincell="f" strokeweight=".5pt"/>
            </w:pict>
          </mc:Fallback>
        </mc:AlternateContent>
      </w:r>
    </w:p>
    <w:p w:rsidR="00000000" w:rsidRDefault="00A06965">
      <w:pPr>
        <w:pStyle w:val="DefaultParagraphFont"/>
        <w:widowControl w:val="0"/>
        <w:numPr>
          <w:ilvl w:val="0"/>
          <w:numId w:val="46"/>
        </w:numPr>
        <w:tabs>
          <w:tab w:val="clear" w:pos="720"/>
          <w:tab w:val="num" w:pos="400"/>
        </w:tabs>
        <w:overflowPunct w:val="0"/>
        <w:autoSpaceDE w:val="0"/>
        <w:autoSpaceDN w:val="0"/>
        <w:adjustRightInd w:val="0"/>
        <w:spacing w:after="0" w:line="240" w:lineRule="auto"/>
        <w:ind w:left="400" w:hanging="400"/>
        <w:jc w:val="both"/>
        <w:rPr>
          <w:rFonts w:ascii="Times" w:hAnsi="Times" w:cs="Times"/>
          <w:i/>
          <w:iCs/>
          <w:sz w:val="26"/>
          <w:szCs w:val="26"/>
          <w:vertAlign w:val="superscript"/>
        </w:rPr>
      </w:pPr>
      <w:r>
        <w:rPr>
          <w:rFonts w:ascii="Times" w:hAnsi="Times" w:cs="Times"/>
          <w:i/>
          <w:iCs/>
          <w:sz w:val="20"/>
          <w:szCs w:val="20"/>
        </w:rPr>
        <w:t>Excludes other investments that are not subject to a significant level of interest rate risk.</w:t>
      </w:r>
    </w:p>
    <w:p w:rsidR="00000000" w:rsidRDefault="00A06965">
      <w:pPr>
        <w:pStyle w:val="DefaultParagraphFont"/>
        <w:widowControl w:val="0"/>
        <w:autoSpaceDE w:val="0"/>
        <w:autoSpaceDN w:val="0"/>
        <w:adjustRightInd w:val="0"/>
        <w:spacing w:after="0" w:line="240" w:lineRule="exact"/>
        <w:rPr>
          <w:rFonts w:ascii="Times" w:hAnsi="Times" w:cs="Times"/>
          <w:i/>
          <w:iCs/>
          <w:sz w:val="26"/>
          <w:szCs w:val="26"/>
          <w:vertAlign w:val="superscript"/>
        </w:rPr>
      </w:pPr>
    </w:p>
    <w:p w:rsidR="00000000" w:rsidRDefault="00A06965">
      <w:pPr>
        <w:pStyle w:val="DefaultParagraphFont"/>
        <w:widowControl w:val="0"/>
        <w:overflowPunct w:val="0"/>
        <w:autoSpaceDE w:val="0"/>
        <w:autoSpaceDN w:val="0"/>
        <w:adjustRightInd w:val="0"/>
        <w:spacing w:after="0" w:line="239" w:lineRule="auto"/>
        <w:ind w:left="400"/>
        <w:jc w:val="both"/>
        <w:rPr>
          <w:rFonts w:ascii="Times" w:hAnsi="Times" w:cs="Times"/>
          <w:i/>
          <w:iCs/>
          <w:sz w:val="26"/>
          <w:szCs w:val="26"/>
          <w:vertAlign w:val="superscript"/>
        </w:rPr>
      </w:pPr>
      <w:r>
        <w:rPr>
          <w:rFonts w:ascii="Times" w:hAnsi="Times" w:cs="Times"/>
          <w:b/>
          <w:bCs/>
          <w:i/>
          <w:iCs/>
          <w:sz w:val="20"/>
          <w:szCs w:val="20"/>
        </w:rPr>
        <w:t>Equity Price Risk</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Historically, we have maintained large amounts of invested assets in exchange traded equity securities. Strategic</w:t>
      </w:r>
      <w:r>
        <w:rPr>
          <w:rFonts w:ascii="Times" w:hAnsi="Times" w:cs="Times"/>
          <w:sz w:val="20"/>
          <w:szCs w:val="20"/>
        </w:rPr>
        <w:t xml:space="preserve">ally, we strive to invest in businesses that possess excellent economics, with able and honest management and at sensible prices and prefer to invest a meaningful amount in each investee. Consequently, equity investments are concentrated in relatively few </w:t>
      </w:r>
      <w:r>
        <w:rPr>
          <w:rFonts w:ascii="Times" w:hAnsi="Times" w:cs="Times"/>
          <w:sz w:val="20"/>
          <w:szCs w:val="20"/>
        </w:rPr>
        <w:t>issuers. At December 31, 2014, approximately 59% of the total fair value of equity investments was concentrated within four companies.</w:t>
      </w:r>
    </w:p>
    <w:p w:rsidR="00000000" w:rsidRDefault="00A06965">
      <w:pPr>
        <w:pStyle w:val="DefaultParagraphFont"/>
        <w:widowControl w:val="0"/>
        <w:autoSpaceDE w:val="0"/>
        <w:autoSpaceDN w:val="0"/>
        <w:adjustRightInd w:val="0"/>
        <w:spacing w:after="0" w:line="11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We often hold equity investments for long periods of time so we are not troubled by short-term price volatility with res</w:t>
      </w:r>
      <w:r>
        <w:rPr>
          <w:rFonts w:ascii="Times" w:hAnsi="Times" w:cs="Times"/>
          <w:sz w:val="20"/>
          <w:szCs w:val="20"/>
        </w:rPr>
        <w:t>pect to our investments provided that the underlying business, economic and management characteristics of the investees remain favorable. We strive to maintain above average levels of shareholder capital to provide a margin of safety against short-term pri</w:t>
      </w:r>
      <w:r>
        <w:rPr>
          <w:rFonts w:ascii="Times" w:hAnsi="Times" w:cs="Times"/>
          <w:sz w:val="20"/>
          <w:szCs w:val="20"/>
        </w:rPr>
        <w:t>ce volatility.</w:t>
      </w:r>
    </w:p>
    <w:p w:rsidR="00000000" w:rsidRDefault="00A06965">
      <w:pPr>
        <w:pStyle w:val="DefaultParagraphFont"/>
        <w:widowControl w:val="0"/>
        <w:autoSpaceDE w:val="0"/>
        <w:autoSpaceDN w:val="0"/>
        <w:adjustRightInd w:val="0"/>
        <w:spacing w:after="0" w:line="11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Market prices for equity securities are subject to fluctuation and consequently the amount realized in the subsequent sale of an investment may significantly differ from the reported market value. Fluctuation in the market price of a securi</w:t>
      </w:r>
      <w:r>
        <w:rPr>
          <w:rFonts w:ascii="Times" w:hAnsi="Times" w:cs="Times"/>
          <w:sz w:val="20"/>
          <w:szCs w:val="20"/>
        </w:rPr>
        <w:t>ty may result from perceived changes in the underlying economic characteristics of the investee, the relative price of alternative investments and general market conditions.</w:t>
      </w:r>
    </w:p>
    <w:p w:rsidR="00000000" w:rsidRDefault="00A06965">
      <w:pPr>
        <w:pStyle w:val="DefaultParagraphFont"/>
        <w:widowControl w:val="0"/>
        <w:autoSpaceDE w:val="0"/>
        <w:autoSpaceDN w:val="0"/>
        <w:adjustRightInd w:val="0"/>
        <w:spacing w:after="0" w:line="11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firstLine="400"/>
        <w:jc w:val="both"/>
        <w:rPr>
          <w:rFonts w:ascii="Times New Roman" w:hAnsi="Times New Roman" w:cs="Times New Roman"/>
          <w:sz w:val="24"/>
          <w:szCs w:val="24"/>
        </w:rPr>
      </w:pPr>
      <w:r>
        <w:rPr>
          <w:rFonts w:ascii="Times" w:hAnsi="Times" w:cs="Times"/>
          <w:sz w:val="20"/>
          <w:szCs w:val="20"/>
        </w:rPr>
        <w:t>We are also subject to equity price risk with respect to our equity index put opt</w:t>
      </w:r>
      <w:r>
        <w:rPr>
          <w:rFonts w:ascii="Times" w:hAnsi="Times" w:cs="Times"/>
          <w:sz w:val="20"/>
          <w:szCs w:val="20"/>
        </w:rPr>
        <w:t>ion contracts. While our ultimate potential liability with respect to these contracts is determined from the movement of the underlying stock index between the contract inception date and expiration date, fair values of these contracts are also affected by</w:t>
      </w:r>
      <w:r>
        <w:rPr>
          <w:rFonts w:ascii="Times" w:hAnsi="Times" w:cs="Times"/>
          <w:sz w:val="20"/>
          <w:szCs w:val="20"/>
        </w:rPr>
        <w:t xml:space="preserve"> changes in other factors such as interest rates, expected dividend rates and the remaining duration of the contract.</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114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 xml:space="preserve">Equity Price Risk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00"/>
        <w:jc w:val="both"/>
        <w:rPr>
          <w:rFonts w:ascii="Times New Roman" w:hAnsi="Times New Roman" w:cs="Times New Roman"/>
          <w:sz w:val="24"/>
          <w:szCs w:val="24"/>
        </w:rPr>
      </w:pPr>
      <w:r>
        <w:rPr>
          <w:rFonts w:ascii="Times" w:hAnsi="Times" w:cs="Times"/>
          <w:sz w:val="20"/>
          <w:szCs w:val="20"/>
        </w:rPr>
        <w:t>The following table summarizes our equity and other investments and derivative contract liabilities with significant equity price risk as of December 31, 2014 and 2013. The effects of a hypothetical 30% increase and a 30% decrease in market prices as of th</w:t>
      </w:r>
      <w:r>
        <w:rPr>
          <w:rFonts w:ascii="Times" w:hAnsi="Times" w:cs="Times"/>
          <w:sz w:val="20"/>
          <w:szCs w:val="20"/>
        </w:rPr>
        <w:t>ose dates are also shown. The selected 30% hypothetical changes do not reflect what could be considered the best or worst case scenarios. Indeed, results could be far worse due both to the nature of equity markets and the aforementioned concentrations exis</w:t>
      </w:r>
      <w:r>
        <w:rPr>
          <w:rFonts w:ascii="Times" w:hAnsi="Times" w:cs="Times"/>
          <w:sz w:val="20"/>
          <w:szCs w:val="20"/>
        </w:rPr>
        <w:t>ting in our equity investment portfolio. Dollar amounts are in millions.</w:t>
      </w:r>
    </w:p>
    <w:p w:rsidR="00000000" w:rsidRDefault="00A06965">
      <w:pPr>
        <w:pStyle w:val="DefaultParagraphFont"/>
        <w:widowControl w:val="0"/>
        <w:autoSpaceDE w:val="0"/>
        <w:autoSpaceDN w:val="0"/>
        <w:adjustRightInd w:val="0"/>
        <w:spacing w:after="0" w:line="103"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080"/>
        <w:gridCol w:w="740"/>
        <w:gridCol w:w="200"/>
        <w:gridCol w:w="1120"/>
        <w:gridCol w:w="200"/>
        <w:gridCol w:w="1240"/>
        <w:gridCol w:w="200"/>
        <w:gridCol w:w="1540"/>
        <w:gridCol w:w="20"/>
      </w:tblGrid>
      <w:tr w:rsidR="00000000">
        <w:tblPrEx>
          <w:tblCellMar>
            <w:top w:w="0" w:type="dxa"/>
            <w:left w:w="0" w:type="dxa"/>
            <w:bottom w:w="0" w:type="dxa"/>
            <w:right w:w="0" w:type="dxa"/>
          </w:tblCellMar>
        </w:tblPrEx>
        <w:trPr>
          <w:trHeight w:val="184"/>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Estimated</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w w:val="99"/>
                <w:sz w:val="16"/>
                <w:szCs w:val="16"/>
              </w:rPr>
              <w:t>Hypothetical</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w w:val="99"/>
                <w:sz w:val="16"/>
                <w:szCs w:val="16"/>
              </w:rPr>
              <w:t>Fair Value after</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sz w:val="16"/>
                <w:szCs w:val="16"/>
              </w:rPr>
              <w:t>Percentage</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w w:val="99"/>
                <w:sz w:val="16"/>
                <w:szCs w:val="16"/>
              </w:rPr>
              <w:t>Hypothetical</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w w:val="99"/>
                <w:sz w:val="16"/>
                <w:szCs w:val="16"/>
              </w:rPr>
              <w:t>Hypothetical</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w w:val="99"/>
                <w:sz w:val="16"/>
                <w:szCs w:val="16"/>
              </w:rPr>
              <w:t>Increase (Decrease) in</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2"/>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right"/>
              <w:rPr>
                <w:rFonts w:ascii="Times New Roman" w:hAnsi="Times New Roman" w:cs="Times New Roman"/>
                <w:sz w:val="24"/>
                <w:szCs w:val="24"/>
              </w:rPr>
            </w:pPr>
            <w:r>
              <w:rPr>
                <w:rFonts w:ascii="Times" w:hAnsi="Times" w:cs="Times"/>
                <w:b/>
                <w:bCs/>
                <w:w w:val="98"/>
                <w:sz w:val="16"/>
                <w:szCs w:val="16"/>
              </w:rPr>
              <w:t>Fair Value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w w:val="99"/>
                <w:sz w:val="16"/>
                <w:szCs w:val="16"/>
              </w:rPr>
              <w:t>Price Change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sz w:val="16"/>
                <w:szCs w:val="16"/>
              </w:rPr>
              <w:t>Change in Prices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w w:val="99"/>
                <w:sz w:val="16"/>
                <w:szCs w:val="16"/>
              </w:rPr>
              <w:t>Shareholders’</w:t>
            </w:r>
            <w:r>
              <w:rPr>
                <w:rFonts w:ascii="Times" w:hAnsi="Times" w:cs="Times"/>
                <w:b/>
                <w:bCs/>
                <w:w w:val="99"/>
                <w:sz w:val="16"/>
                <w:szCs w:val="16"/>
              </w:rPr>
              <w:t xml:space="preserve"> Equity</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50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December 31, 2014</w:t>
            </w:r>
          </w:p>
        </w:tc>
        <w:tc>
          <w:tcPr>
            <w:tcW w:w="7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8"/>
        </w:trPr>
        <w:tc>
          <w:tcPr>
            <w:tcW w:w="50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left="400"/>
              <w:rPr>
                <w:rFonts w:ascii="Times New Roman" w:hAnsi="Times New Roman" w:cs="Times New Roman"/>
                <w:sz w:val="24"/>
                <w:szCs w:val="24"/>
              </w:rPr>
            </w:pPr>
            <w:r>
              <w:rPr>
                <w:rFonts w:ascii="Times" w:hAnsi="Times" w:cs="Times"/>
                <w:sz w:val="20"/>
                <w:szCs w:val="20"/>
              </w:rPr>
              <w:t>Assets:</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left="800"/>
              <w:rPr>
                <w:rFonts w:ascii="Times New Roman" w:hAnsi="Times New Roman" w:cs="Times New Roman"/>
                <w:sz w:val="24"/>
                <w:szCs w:val="24"/>
              </w:rPr>
            </w:pPr>
            <w:r>
              <w:rPr>
                <w:rFonts w:ascii="Times" w:hAnsi="Times" w:cs="Times"/>
                <w:sz w:val="20"/>
                <w:szCs w:val="20"/>
              </w:rPr>
              <w:t>Equity securities . . . . . . . . . . . . . . . . . . . . . . .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right"/>
              <w:rPr>
                <w:rFonts w:ascii="Times New Roman" w:hAnsi="Times New Roman" w:cs="Times New Roman"/>
                <w:sz w:val="24"/>
                <w:szCs w:val="24"/>
              </w:rPr>
            </w:pPr>
            <w:r>
              <w:rPr>
                <w:rFonts w:ascii="Times" w:hAnsi="Times" w:cs="Times"/>
                <w:w w:val="95"/>
                <w:sz w:val="20"/>
                <w:szCs w:val="20"/>
              </w:rPr>
              <w:t>$117,470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Times" w:hAnsi="Times" w:cs="Times"/>
                <w:sz w:val="20"/>
                <w:szCs w:val="20"/>
              </w:rPr>
              <w:t>30% increase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180"/>
              <w:jc w:val="right"/>
              <w:rPr>
                <w:rFonts w:ascii="Times New Roman" w:hAnsi="Times New Roman" w:cs="Times New Roman"/>
                <w:sz w:val="24"/>
                <w:szCs w:val="24"/>
              </w:rPr>
            </w:pPr>
            <w:r>
              <w:rPr>
                <w:rFonts w:ascii="Times" w:hAnsi="Times" w:cs="Times"/>
                <w:sz w:val="20"/>
                <w:szCs w:val="20"/>
              </w:rPr>
              <w:t>$152,711</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480"/>
              <w:jc w:val="right"/>
              <w:rPr>
                <w:rFonts w:ascii="Times New Roman" w:hAnsi="Times New Roman" w:cs="Times New Roman"/>
                <w:sz w:val="24"/>
                <w:szCs w:val="24"/>
              </w:rPr>
            </w:pPr>
            <w:r>
              <w:rPr>
                <w:rFonts w:ascii="Times" w:hAnsi="Times" w:cs="Times"/>
                <w:sz w:val="20"/>
                <w:szCs w:val="20"/>
              </w:rPr>
              <w:t>9.6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Times" w:hAnsi="Times" w:cs="Times"/>
                <w:sz w:val="20"/>
                <w:szCs w:val="20"/>
              </w:rPr>
              <w:t>30% decrease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180"/>
              <w:jc w:val="right"/>
              <w:rPr>
                <w:rFonts w:ascii="Times New Roman" w:hAnsi="Times New Roman" w:cs="Times New Roman"/>
                <w:sz w:val="24"/>
                <w:szCs w:val="24"/>
              </w:rPr>
            </w:pPr>
            <w:r>
              <w:rPr>
                <w:rFonts w:ascii="Times" w:hAnsi="Times" w:cs="Times"/>
                <w:sz w:val="20"/>
                <w:szCs w:val="20"/>
              </w:rPr>
              <w:t>82,229</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420"/>
              <w:jc w:val="right"/>
              <w:rPr>
                <w:rFonts w:ascii="Times New Roman" w:hAnsi="Times New Roman" w:cs="Times New Roman"/>
                <w:sz w:val="24"/>
                <w:szCs w:val="24"/>
              </w:rPr>
            </w:pPr>
            <w:r>
              <w:rPr>
                <w:rFonts w:ascii="Times" w:hAnsi="Times" w:cs="Times"/>
                <w:sz w:val="20"/>
                <w:szCs w:val="20"/>
              </w:rPr>
              <w:t>(9.6)</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7" w:lineRule="exact"/>
              <w:ind w:left="800"/>
              <w:rPr>
                <w:rFonts w:ascii="Times New Roman" w:hAnsi="Times New Roman" w:cs="Times New Roman"/>
                <w:sz w:val="24"/>
                <w:szCs w:val="24"/>
              </w:rPr>
            </w:pPr>
            <w:r>
              <w:rPr>
                <w:rFonts w:ascii="Times" w:hAnsi="Times" w:cs="Times"/>
                <w:sz w:val="19"/>
                <w:szCs w:val="19"/>
              </w:rPr>
              <w:t xml:space="preserve">Other investments </w:t>
            </w:r>
            <w:r>
              <w:rPr>
                <w:rFonts w:ascii="Times" w:hAnsi="Times" w:cs="Times"/>
                <w:i/>
                <w:iCs/>
                <w:sz w:val="24"/>
                <w:szCs w:val="24"/>
                <w:vertAlign w:val="superscript"/>
              </w:rPr>
              <w:t>(1)</w:t>
            </w:r>
            <w:r>
              <w:rPr>
                <w:rFonts w:ascii="Times" w:hAnsi="Times" w:cs="Times"/>
                <w:sz w:val="19"/>
                <w:szCs w:val="19"/>
              </w:rPr>
              <w:t xml:space="preserve"> . . . . . . . . . . . . . . . . . . . .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right"/>
              <w:rPr>
                <w:rFonts w:ascii="Times New Roman" w:hAnsi="Times New Roman" w:cs="Times New Roman"/>
                <w:sz w:val="24"/>
                <w:szCs w:val="24"/>
              </w:rPr>
            </w:pPr>
            <w:r>
              <w:rPr>
                <w:rFonts w:ascii="Times" w:hAnsi="Times" w:cs="Times"/>
                <w:sz w:val="20"/>
                <w:szCs w:val="20"/>
              </w:rPr>
              <w:t>14,789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Times" w:hAnsi="Times" w:cs="Times"/>
                <w:sz w:val="20"/>
                <w:szCs w:val="20"/>
              </w:rPr>
              <w:t>30% increase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180"/>
              <w:jc w:val="right"/>
              <w:rPr>
                <w:rFonts w:ascii="Times New Roman" w:hAnsi="Times New Roman" w:cs="Times New Roman"/>
                <w:sz w:val="24"/>
                <w:szCs w:val="24"/>
              </w:rPr>
            </w:pPr>
            <w:r>
              <w:rPr>
                <w:rFonts w:ascii="Times" w:hAnsi="Times" w:cs="Times"/>
                <w:sz w:val="20"/>
                <w:szCs w:val="20"/>
              </w:rPr>
              <w:t>19,389</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480"/>
              <w:jc w:val="right"/>
              <w:rPr>
                <w:rFonts w:ascii="Times New Roman" w:hAnsi="Times New Roman" w:cs="Times New Roman"/>
                <w:sz w:val="24"/>
                <w:szCs w:val="24"/>
              </w:rPr>
            </w:pPr>
            <w:r>
              <w:rPr>
                <w:rFonts w:ascii="Times" w:hAnsi="Times" w:cs="Times"/>
                <w:sz w:val="20"/>
                <w:szCs w:val="20"/>
              </w:rPr>
              <w:t>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50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Liabilities:</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center"/>
              <w:rPr>
                <w:rFonts w:ascii="Times New Roman" w:hAnsi="Times New Roman" w:cs="Times New Roman"/>
                <w:sz w:val="24"/>
                <w:szCs w:val="24"/>
              </w:rPr>
            </w:pPr>
            <w:r>
              <w:rPr>
                <w:rFonts w:ascii="Times" w:hAnsi="Times" w:cs="Times"/>
                <w:sz w:val="20"/>
                <w:szCs w:val="20"/>
              </w:rPr>
              <w:t>30% decrease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80"/>
              <w:jc w:val="right"/>
              <w:rPr>
                <w:rFonts w:ascii="Times New Roman" w:hAnsi="Times New Roman" w:cs="Times New Roman"/>
                <w:sz w:val="24"/>
                <w:szCs w:val="24"/>
              </w:rPr>
            </w:pPr>
            <w:r>
              <w:rPr>
                <w:rFonts w:ascii="Times" w:hAnsi="Times" w:cs="Times"/>
                <w:sz w:val="20"/>
                <w:szCs w:val="20"/>
              </w:rPr>
              <w:t>10,244</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420"/>
              <w:jc w:val="right"/>
              <w:rPr>
                <w:rFonts w:ascii="Times New Roman" w:hAnsi="Times New Roman" w:cs="Times New Roman"/>
                <w:sz w:val="24"/>
                <w:szCs w:val="24"/>
              </w:rPr>
            </w:pPr>
            <w:r>
              <w:rPr>
                <w:rFonts w:ascii="Times" w:hAnsi="Times" w:cs="Times"/>
                <w:sz w:val="20"/>
                <w:szCs w:val="20"/>
              </w:rPr>
              <w:t>(1.2)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6"/>
        </w:trPr>
        <w:tc>
          <w:tcPr>
            <w:tcW w:w="50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left="800"/>
              <w:rPr>
                <w:rFonts w:ascii="Times New Roman" w:hAnsi="Times New Roman" w:cs="Times New Roman"/>
                <w:sz w:val="24"/>
                <w:szCs w:val="24"/>
              </w:rPr>
            </w:pPr>
            <w:r>
              <w:rPr>
                <w:rFonts w:ascii="Times" w:hAnsi="Times" w:cs="Times"/>
                <w:sz w:val="20"/>
                <w:szCs w:val="20"/>
              </w:rPr>
              <w:t>Equity index put option contracts . . . . . . . . . .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right"/>
              <w:rPr>
                <w:rFonts w:ascii="Times New Roman" w:hAnsi="Times New Roman" w:cs="Times New Roman"/>
                <w:sz w:val="24"/>
                <w:szCs w:val="24"/>
              </w:rPr>
            </w:pPr>
            <w:r>
              <w:rPr>
                <w:rFonts w:ascii="Times" w:hAnsi="Times" w:cs="Times"/>
                <w:sz w:val="20"/>
                <w:szCs w:val="20"/>
              </w:rPr>
              <w:t>4,560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Times" w:hAnsi="Times" w:cs="Times"/>
                <w:sz w:val="20"/>
                <w:szCs w:val="20"/>
              </w:rPr>
              <w:t>30% increase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180"/>
              <w:jc w:val="right"/>
              <w:rPr>
                <w:rFonts w:ascii="Times New Roman" w:hAnsi="Times New Roman" w:cs="Times New Roman"/>
                <w:sz w:val="24"/>
                <w:szCs w:val="24"/>
              </w:rPr>
            </w:pPr>
            <w:r>
              <w:rPr>
                <w:rFonts w:ascii="Times" w:hAnsi="Times" w:cs="Times"/>
                <w:sz w:val="20"/>
                <w:szCs w:val="20"/>
              </w:rPr>
              <w:t>2,802</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480"/>
              <w:jc w:val="right"/>
              <w:rPr>
                <w:rFonts w:ascii="Times New Roman" w:hAnsi="Times New Roman" w:cs="Times New Roman"/>
                <w:sz w:val="24"/>
                <w:szCs w:val="24"/>
              </w:rPr>
            </w:pPr>
            <w:r>
              <w:rPr>
                <w:rFonts w:ascii="Times" w:hAnsi="Times" w:cs="Times"/>
                <w:sz w:val="20"/>
                <w:szCs w:val="20"/>
              </w:rPr>
              <w:t>0.5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50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December 31, 2013</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center"/>
              <w:rPr>
                <w:rFonts w:ascii="Times New Roman" w:hAnsi="Times New Roman" w:cs="Times New Roman"/>
                <w:sz w:val="24"/>
                <w:szCs w:val="24"/>
              </w:rPr>
            </w:pPr>
            <w:r>
              <w:rPr>
                <w:rFonts w:ascii="Times" w:hAnsi="Times" w:cs="Times"/>
                <w:sz w:val="20"/>
                <w:szCs w:val="20"/>
              </w:rPr>
              <w:t>30% de</w:t>
            </w:r>
            <w:r>
              <w:rPr>
                <w:rFonts w:ascii="Times" w:hAnsi="Times" w:cs="Times"/>
                <w:sz w:val="20"/>
                <w:szCs w:val="20"/>
              </w:rPr>
              <w:t>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80"/>
              <w:jc w:val="right"/>
              <w:rPr>
                <w:rFonts w:ascii="Times New Roman" w:hAnsi="Times New Roman" w:cs="Times New Roman"/>
                <w:sz w:val="24"/>
                <w:szCs w:val="24"/>
              </w:rPr>
            </w:pPr>
            <w:r>
              <w:rPr>
                <w:rFonts w:ascii="Times" w:hAnsi="Times" w:cs="Times"/>
                <w:sz w:val="20"/>
                <w:szCs w:val="20"/>
              </w:rPr>
              <w:t>7,826</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420"/>
              <w:jc w:val="right"/>
              <w:rPr>
                <w:rFonts w:ascii="Times New Roman" w:hAnsi="Times New Roman" w:cs="Times New Roman"/>
                <w:sz w:val="24"/>
                <w:szCs w:val="24"/>
              </w:rPr>
            </w:pPr>
            <w:r>
              <w:rPr>
                <w:rFonts w:ascii="Times" w:hAnsi="Times" w:cs="Times"/>
                <w:sz w:val="20"/>
                <w:szCs w:val="20"/>
              </w:rPr>
              <w:t>(0.9)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6"/>
        </w:trPr>
        <w:tc>
          <w:tcPr>
            <w:tcW w:w="50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left="400"/>
              <w:rPr>
                <w:rFonts w:ascii="Times New Roman" w:hAnsi="Times New Roman" w:cs="Times New Roman"/>
                <w:sz w:val="24"/>
                <w:szCs w:val="24"/>
              </w:rPr>
            </w:pPr>
            <w:r>
              <w:rPr>
                <w:rFonts w:ascii="Times" w:hAnsi="Times" w:cs="Times"/>
                <w:sz w:val="20"/>
                <w:szCs w:val="20"/>
              </w:rPr>
              <w:t>Assets:</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left="800"/>
              <w:rPr>
                <w:rFonts w:ascii="Times New Roman" w:hAnsi="Times New Roman" w:cs="Times New Roman"/>
                <w:sz w:val="24"/>
                <w:szCs w:val="24"/>
              </w:rPr>
            </w:pPr>
            <w:r>
              <w:rPr>
                <w:rFonts w:ascii="Times" w:hAnsi="Times" w:cs="Times"/>
                <w:sz w:val="20"/>
                <w:szCs w:val="20"/>
              </w:rPr>
              <w:t>Equity securities . . . . . . . . . . . . . . . . . . . . . . .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right"/>
              <w:rPr>
                <w:rFonts w:ascii="Times New Roman" w:hAnsi="Times New Roman" w:cs="Times New Roman"/>
                <w:sz w:val="24"/>
                <w:szCs w:val="24"/>
              </w:rPr>
            </w:pPr>
            <w:r>
              <w:rPr>
                <w:rFonts w:ascii="Times" w:hAnsi="Times" w:cs="Times"/>
                <w:w w:val="95"/>
                <w:sz w:val="20"/>
                <w:szCs w:val="20"/>
              </w:rPr>
              <w:t>$117,505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Times" w:hAnsi="Times" w:cs="Times"/>
                <w:sz w:val="20"/>
                <w:szCs w:val="20"/>
              </w:rPr>
              <w:t>30% increase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180"/>
              <w:jc w:val="right"/>
              <w:rPr>
                <w:rFonts w:ascii="Times New Roman" w:hAnsi="Times New Roman" w:cs="Times New Roman"/>
                <w:sz w:val="24"/>
                <w:szCs w:val="24"/>
              </w:rPr>
            </w:pPr>
            <w:r>
              <w:rPr>
                <w:rFonts w:ascii="Times" w:hAnsi="Times" w:cs="Times"/>
                <w:sz w:val="20"/>
                <w:szCs w:val="20"/>
              </w:rPr>
              <w:t>$152,757</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480"/>
              <w:jc w:val="right"/>
              <w:rPr>
                <w:rFonts w:ascii="Times New Roman" w:hAnsi="Times New Roman" w:cs="Times New Roman"/>
                <w:sz w:val="24"/>
                <w:szCs w:val="24"/>
              </w:rPr>
            </w:pPr>
            <w:r>
              <w:rPr>
                <w:rFonts w:ascii="Times" w:hAnsi="Times" w:cs="Times"/>
                <w:sz w:val="20"/>
                <w:szCs w:val="20"/>
              </w:rPr>
              <w:t>10.3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Times" w:hAnsi="Times" w:cs="Times"/>
                <w:sz w:val="20"/>
                <w:szCs w:val="20"/>
              </w:rPr>
              <w:t>30% decrease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180"/>
              <w:jc w:val="right"/>
              <w:rPr>
                <w:rFonts w:ascii="Times New Roman" w:hAnsi="Times New Roman" w:cs="Times New Roman"/>
                <w:sz w:val="24"/>
                <w:szCs w:val="24"/>
              </w:rPr>
            </w:pPr>
            <w:r>
              <w:rPr>
                <w:rFonts w:ascii="Times" w:hAnsi="Times" w:cs="Times"/>
                <w:sz w:val="20"/>
                <w:szCs w:val="20"/>
              </w:rPr>
              <w:t>82,254</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420"/>
              <w:jc w:val="right"/>
              <w:rPr>
                <w:rFonts w:ascii="Times New Roman" w:hAnsi="Times New Roman" w:cs="Times New Roman"/>
                <w:sz w:val="24"/>
                <w:szCs w:val="24"/>
              </w:rPr>
            </w:pPr>
            <w:r>
              <w:rPr>
                <w:rFonts w:ascii="Times" w:hAnsi="Times" w:cs="Times"/>
                <w:sz w:val="20"/>
                <w:szCs w:val="20"/>
              </w:rPr>
              <w:t>(10.3)</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7" w:lineRule="exact"/>
              <w:ind w:left="800"/>
              <w:rPr>
                <w:rFonts w:ascii="Times New Roman" w:hAnsi="Times New Roman" w:cs="Times New Roman"/>
                <w:sz w:val="24"/>
                <w:szCs w:val="24"/>
              </w:rPr>
            </w:pPr>
            <w:r>
              <w:rPr>
                <w:rFonts w:ascii="Times" w:hAnsi="Times" w:cs="Times"/>
                <w:sz w:val="19"/>
                <w:szCs w:val="19"/>
              </w:rPr>
              <w:t xml:space="preserve">Other investments </w:t>
            </w:r>
            <w:r>
              <w:rPr>
                <w:rFonts w:ascii="Times" w:hAnsi="Times" w:cs="Times"/>
                <w:i/>
                <w:iCs/>
                <w:sz w:val="24"/>
                <w:szCs w:val="24"/>
                <w:vertAlign w:val="superscript"/>
              </w:rPr>
              <w:t>(1)</w:t>
            </w:r>
            <w:r>
              <w:rPr>
                <w:rFonts w:ascii="Times" w:hAnsi="Times" w:cs="Times"/>
                <w:sz w:val="19"/>
                <w:szCs w:val="19"/>
              </w:rPr>
              <w:t xml:space="preserve"> . . . . . . . . . . . . . . . . . . . .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right"/>
              <w:rPr>
                <w:rFonts w:ascii="Times New Roman" w:hAnsi="Times New Roman" w:cs="Times New Roman"/>
                <w:sz w:val="24"/>
                <w:szCs w:val="24"/>
              </w:rPr>
            </w:pPr>
            <w:r>
              <w:rPr>
                <w:rFonts w:ascii="Times" w:hAnsi="Times" w:cs="Times"/>
                <w:sz w:val="20"/>
                <w:szCs w:val="20"/>
              </w:rPr>
              <w:t>13,226</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Times" w:hAnsi="Times" w:cs="Times"/>
                <w:sz w:val="20"/>
                <w:szCs w:val="20"/>
              </w:rPr>
              <w:t>30% increase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180"/>
              <w:jc w:val="right"/>
              <w:rPr>
                <w:rFonts w:ascii="Times New Roman" w:hAnsi="Times New Roman" w:cs="Times New Roman"/>
                <w:sz w:val="24"/>
                <w:szCs w:val="24"/>
              </w:rPr>
            </w:pPr>
            <w:r>
              <w:rPr>
                <w:rFonts w:ascii="Times" w:hAnsi="Times" w:cs="Times"/>
                <w:sz w:val="20"/>
                <w:szCs w:val="20"/>
              </w:rPr>
              <w:t>17,172</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480"/>
              <w:jc w:val="right"/>
              <w:rPr>
                <w:rFonts w:ascii="Times New Roman" w:hAnsi="Times New Roman" w:cs="Times New Roman"/>
                <w:sz w:val="24"/>
                <w:szCs w:val="24"/>
              </w:rPr>
            </w:pPr>
            <w:r>
              <w:rPr>
                <w:rFonts w:ascii="Times" w:hAnsi="Times" w:cs="Times"/>
                <w:sz w:val="20"/>
                <w:szCs w:val="20"/>
              </w:rPr>
              <w:t>1.2</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50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rPr>
                <w:rFonts w:ascii="Times New Roman" w:hAnsi="Times New Roman" w:cs="Times New Roman"/>
                <w:sz w:val="24"/>
                <w:szCs w:val="24"/>
              </w:rPr>
            </w:pPr>
            <w:r>
              <w:rPr>
                <w:rFonts w:ascii="Times" w:hAnsi="Times" w:cs="Times"/>
                <w:sz w:val="20"/>
                <w:szCs w:val="20"/>
              </w:rPr>
              <w:t>Liabilities:</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center"/>
              <w:rPr>
                <w:rFonts w:ascii="Times New Roman" w:hAnsi="Times New Roman" w:cs="Times New Roman"/>
                <w:sz w:val="24"/>
                <w:szCs w:val="24"/>
              </w:rPr>
            </w:pPr>
            <w:r>
              <w:rPr>
                <w:rFonts w:ascii="Times" w:hAnsi="Times" w:cs="Times"/>
                <w:sz w:val="20"/>
                <w:szCs w:val="20"/>
              </w:rPr>
              <w:t>30% decrease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80"/>
              <w:jc w:val="right"/>
              <w:rPr>
                <w:rFonts w:ascii="Times New Roman" w:hAnsi="Times New Roman" w:cs="Times New Roman"/>
                <w:sz w:val="24"/>
                <w:szCs w:val="24"/>
              </w:rPr>
            </w:pPr>
            <w:r>
              <w:rPr>
                <w:rFonts w:ascii="Times" w:hAnsi="Times" w:cs="Times"/>
                <w:sz w:val="20"/>
                <w:szCs w:val="20"/>
              </w:rPr>
              <w:t>9,359</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420"/>
              <w:jc w:val="right"/>
              <w:rPr>
                <w:rFonts w:ascii="Times New Roman" w:hAnsi="Times New Roman" w:cs="Times New Roman"/>
                <w:sz w:val="24"/>
                <w:szCs w:val="24"/>
              </w:rPr>
            </w:pPr>
            <w:r>
              <w:rPr>
                <w:rFonts w:ascii="Times" w:hAnsi="Times" w:cs="Times"/>
                <w:sz w:val="20"/>
                <w:szCs w:val="20"/>
              </w:rPr>
              <w:t>(1.1)</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6"/>
        </w:trPr>
        <w:tc>
          <w:tcPr>
            <w:tcW w:w="50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8"/>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left="800"/>
              <w:rPr>
                <w:rFonts w:ascii="Times New Roman" w:hAnsi="Times New Roman" w:cs="Times New Roman"/>
                <w:sz w:val="24"/>
                <w:szCs w:val="24"/>
              </w:rPr>
            </w:pPr>
            <w:r>
              <w:rPr>
                <w:rFonts w:ascii="Times" w:hAnsi="Times" w:cs="Times"/>
                <w:sz w:val="20"/>
                <w:szCs w:val="20"/>
              </w:rPr>
              <w:t>Equity index put option contracts . . . . . . . . . .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right"/>
              <w:rPr>
                <w:rFonts w:ascii="Times New Roman" w:hAnsi="Times New Roman" w:cs="Times New Roman"/>
                <w:sz w:val="24"/>
                <w:szCs w:val="24"/>
              </w:rPr>
            </w:pPr>
            <w:r>
              <w:rPr>
                <w:rFonts w:ascii="Times" w:hAnsi="Times" w:cs="Times"/>
                <w:sz w:val="20"/>
                <w:szCs w:val="20"/>
              </w:rPr>
              <w:t>4,667</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jc w:val="center"/>
              <w:rPr>
                <w:rFonts w:ascii="Times New Roman" w:hAnsi="Times New Roman" w:cs="Times New Roman"/>
                <w:sz w:val="24"/>
                <w:szCs w:val="24"/>
              </w:rPr>
            </w:pPr>
            <w:r>
              <w:rPr>
                <w:rFonts w:ascii="Times" w:hAnsi="Times" w:cs="Times"/>
                <w:sz w:val="20"/>
                <w:szCs w:val="20"/>
              </w:rPr>
              <w:t>30% increase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180"/>
              <w:jc w:val="right"/>
              <w:rPr>
                <w:rFonts w:ascii="Times New Roman" w:hAnsi="Times New Roman" w:cs="Times New Roman"/>
                <w:sz w:val="24"/>
                <w:szCs w:val="24"/>
              </w:rPr>
            </w:pPr>
            <w:r>
              <w:rPr>
                <w:rFonts w:ascii="Times" w:hAnsi="Times" w:cs="Times"/>
                <w:sz w:val="20"/>
                <w:szCs w:val="20"/>
              </w:rPr>
              <w:t>2,873</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8" w:lineRule="exact"/>
              <w:ind w:right="480"/>
              <w:jc w:val="right"/>
              <w:rPr>
                <w:rFonts w:ascii="Times New Roman" w:hAnsi="Times New Roman" w:cs="Times New Roman"/>
                <w:sz w:val="24"/>
                <w:szCs w:val="24"/>
              </w:rPr>
            </w:pPr>
            <w:r>
              <w:rPr>
                <w:rFonts w:ascii="Times" w:hAnsi="Times" w:cs="Times"/>
                <w:sz w:val="20"/>
                <w:szCs w:val="20"/>
              </w:rPr>
              <w:t>0.5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0"/>
        </w:trPr>
        <w:tc>
          <w:tcPr>
            <w:tcW w:w="5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jc w:val="center"/>
              <w:rPr>
                <w:rFonts w:ascii="Times New Roman" w:hAnsi="Times New Roman" w:cs="Times New Roman"/>
                <w:sz w:val="24"/>
                <w:szCs w:val="24"/>
              </w:rPr>
            </w:pPr>
            <w:r>
              <w:rPr>
                <w:rFonts w:ascii="Times" w:hAnsi="Times" w:cs="Times"/>
                <w:sz w:val="20"/>
                <w:szCs w:val="20"/>
              </w:rPr>
              <w:t>30% decrease</w:t>
            </w:r>
          </w:p>
        </w:tc>
        <w:tc>
          <w:tcPr>
            <w:tcW w:w="1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180"/>
              <w:jc w:val="right"/>
              <w:rPr>
                <w:rFonts w:ascii="Times New Roman" w:hAnsi="Times New Roman" w:cs="Times New Roman"/>
                <w:sz w:val="24"/>
                <w:szCs w:val="24"/>
              </w:rPr>
            </w:pPr>
            <w:r>
              <w:rPr>
                <w:rFonts w:ascii="Times" w:hAnsi="Times" w:cs="Times"/>
                <w:sz w:val="20"/>
                <w:szCs w:val="20"/>
              </w:rPr>
              <w:t>7,987</w:t>
            </w:r>
          </w:p>
        </w:tc>
        <w:tc>
          <w:tcPr>
            <w:tcW w:w="17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9" w:lineRule="exact"/>
              <w:ind w:right="420"/>
              <w:jc w:val="right"/>
              <w:rPr>
                <w:rFonts w:ascii="Times New Roman" w:hAnsi="Times New Roman" w:cs="Times New Roman"/>
                <w:sz w:val="24"/>
                <w:szCs w:val="24"/>
              </w:rPr>
            </w:pPr>
            <w:r>
              <w:rPr>
                <w:rFonts w:ascii="Times" w:hAnsi="Times" w:cs="Times"/>
                <w:sz w:val="20"/>
                <w:szCs w:val="20"/>
              </w:rPr>
              <w:t>(1.0)</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101" w:lineRule="exact"/>
        <w:rPr>
          <w:rFonts w:ascii="Times New Roman" w:hAnsi="Times New Roman" w:cs="Times New Roman"/>
          <w:sz w:val="24"/>
          <w:szCs w:val="24"/>
        </w:rPr>
      </w:pPr>
      <w:r>
        <w:rPr>
          <w:noProof/>
        </w:rPr>
        <mc:AlternateContent>
          <mc:Choice Requires="wps">
            <w:drawing>
              <wp:anchor distT="0" distB="0" distL="114300" distR="114300" simplePos="0" relativeHeight="251715584" behindDoc="1" locked="0" layoutInCell="0" allowOverlap="1">
                <wp:simplePos x="0" y="0"/>
                <wp:positionH relativeFrom="column">
                  <wp:posOffset>0</wp:posOffset>
                </wp:positionH>
                <wp:positionV relativeFrom="paragraph">
                  <wp:posOffset>71120</wp:posOffset>
                </wp:positionV>
                <wp:extent cx="2247900" cy="0"/>
                <wp:effectExtent l="0" t="0" r="0" b="0"/>
                <wp:wrapNone/>
                <wp:docPr id="1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 o:spid="_x0000_s1026" style="position:absolute;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6pt" to="17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" o:allowincell="f" strokeweight=".5pt"/>
            </w:pict>
          </mc:Fallback>
        </mc:AlternateContent>
      </w:r>
    </w:p>
    <w:p w:rsidR="00000000" w:rsidRDefault="00A06965">
      <w:pPr>
        <w:pStyle w:val="DefaultParagraphFont"/>
        <w:widowControl w:val="0"/>
        <w:numPr>
          <w:ilvl w:val="0"/>
          <w:numId w:val="47"/>
        </w:numPr>
        <w:tabs>
          <w:tab w:val="clear" w:pos="720"/>
          <w:tab w:val="num" w:pos="400"/>
        </w:tabs>
        <w:overflowPunct w:val="0"/>
        <w:autoSpaceDE w:val="0"/>
        <w:autoSpaceDN w:val="0"/>
        <w:adjustRightInd w:val="0"/>
        <w:spacing w:after="0" w:line="240" w:lineRule="auto"/>
        <w:ind w:left="400" w:hanging="400"/>
        <w:jc w:val="both"/>
        <w:rPr>
          <w:rFonts w:ascii="Times" w:hAnsi="Times" w:cs="Times"/>
          <w:i/>
          <w:iCs/>
          <w:sz w:val="26"/>
          <w:szCs w:val="26"/>
          <w:vertAlign w:val="superscript"/>
        </w:rPr>
      </w:pPr>
      <w:r>
        <w:rPr>
          <w:rFonts w:ascii="Times" w:hAnsi="Times" w:cs="Times"/>
          <w:i/>
          <w:iCs/>
          <w:sz w:val="20"/>
          <w:szCs w:val="20"/>
        </w:rPr>
        <w:t>Excludes other investments that do not possess significant equity price risk.</w:t>
      </w:r>
    </w:p>
    <w:p w:rsidR="00000000" w:rsidRDefault="00A06965">
      <w:pPr>
        <w:pStyle w:val="DefaultParagraphFont"/>
        <w:widowControl w:val="0"/>
        <w:autoSpaceDE w:val="0"/>
        <w:autoSpaceDN w:val="0"/>
        <w:adjustRightInd w:val="0"/>
        <w:spacing w:after="0" w:line="170" w:lineRule="exact"/>
        <w:rPr>
          <w:rFonts w:ascii="Times" w:hAnsi="Times" w:cs="Times"/>
          <w:i/>
          <w:iCs/>
          <w:sz w:val="26"/>
          <w:szCs w:val="26"/>
          <w:vertAlign w:val="superscript"/>
        </w:rPr>
      </w:pPr>
    </w:p>
    <w:p w:rsidR="00000000" w:rsidRDefault="00A06965">
      <w:pPr>
        <w:pStyle w:val="DefaultParagraphFont"/>
        <w:widowControl w:val="0"/>
        <w:overflowPunct w:val="0"/>
        <w:autoSpaceDE w:val="0"/>
        <w:autoSpaceDN w:val="0"/>
        <w:adjustRightInd w:val="0"/>
        <w:spacing w:after="0" w:line="239" w:lineRule="auto"/>
        <w:ind w:left="400"/>
        <w:jc w:val="both"/>
        <w:rPr>
          <w:rFonts w:ascii="Times" w:hAnsi="Times" w:cs="Times"/>
          <w:i/>
          <w:iCs/>
          <w:sz w:val="26"/>
          <w:szCs w:val="26"/>
          <w:vertAlign w:val="superscript"/>
        </w:rPr>
      </w:pPr>
      <w:r>
        <w:rPr>
          <w:rFonts w:ascii="Times" w:hAnsi="Times" w:cs="Times"/>
          <w:b/>
          <w:bCs/>
          <w:i/>
          <w:iCs/>
          <w:sz w:val="20"/>
          <w:szCs w:val="20"/>
        </w:rPr>
        <w:t>Foreign Currency Risk</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We generally do not use derivative contracts to hedge foreign currency price changes primarily because of the natural hedging that occurs between assets and liabilities denominated in foreign currencies in our Consolidated Financial Statements. In addition</w:t>
      </w:r>
      <w:r>
        <w:rPr>
          <w:rFonts w:ascii="Times" w:hAnsi="Times" w:cs="Times"/>
          <w:sz w:val="20"/>
          <w:szCs w:val="20"/>
        </w:rPr>
        <w:t>, we hold investments in common stocks of major multinational companies such as The Coca-Cola Company that have significant foreign business and foreign currency risk of their own. Our net assets subject to translation are primarily in our insurance, utili</w:t>
      </w:r>
      <w:r>
        <w:rPr>
          <w:rFonts w:ascii="Times" w:hAnsi="Times" w:cs="Times"/>
          <w:sz w:val="20"/>
          <w:szCs w:val="20"/>
        </w:rPr>
        <w:t>ties and energy subsidiaries, and certain manufacturing and services subsidiaries, as well as through our investments in Heinz that are accounted for under the equity method. The translation impact is somewhat offset by transaction gains or losses on net r</w:t>
      </w:r>
      <w:r>
        <w:rPr>
          <w:rFonts w:ascii="Times" w:hAnsi="Times" w:cs="Times"/>
          <w:sz w:val="20"/>
          <w:szCs w:val="20"/>
        </w:rPr>
        <w:t>einsurance liabilities of certain U.S. subsidiaries that are denominated in foreign currencies as well as the equity index put option liabilities of U.S. subsidiaries relating to contracts that would be settled in foreign currencies.</w:t>
      </w:r>
    </w:p>
    <w:p w:rsidR="00000000" w:rsidRDefault="00A06965">
      <w:pPr>
        <w:pStyle w:val="DefaultParagraphFont"/>
        <w:widowControl w:val="0"/>
        <w:autoSpaceDE w:val="0"/>
        <w:autoSpaceDN w:val="0"/>
        <w:adjustRightInd w:val="0"/>
        <w:spacing w:after="0" w:line="16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Commodity Price Risk</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Our subsidiaries use commodities in various ways in manufacturing and providing services. As such, we are subject to price risks related to various commodities. In most instances, we attempt to manage these risks through the pricing of our products and se</w:t>
      </w:r>
      <w:r>
        <w:rPr>
          <w:rFonts w:ascii="Times" w:hAnsi="Times" w:cs="Times"/>
          <w:sz w:val="20"/>
          <w:szCs w:val="20"/>
        </w:rPr>
        <w:t>rvices to customers. To the extent that we are unable to sustain price increases in response to commodity price increases, our operating results will likely be adversely affected. We utilize derivative contracts to a limited degree in managing commodity pr</w:t>
      </w:r>
      <w:r>
        <w:rPr>
          <w:rFonts w:ascii="Times" w:hAnsi="Times" w:cs="Times"/>
          <w:sz w:val="20"/>
          <w:szCs w:val="20"/>
        </w:rPr>
        <w:t xml:space="preserve">ice risks, most notably at BHE. BHE’s exposures to commodities include variations in the price of fuel required to generate electricity, wholesale electricity that is purchased and sold and natural gas supply for customers. Commodity prices are subject to </w:t>
      </w:r>
      <w:r>
        <w:rPr>
          <w:rFonts w:ascii="Times" w:hAnsi="Times" w:cs="Times"/>
          <w:sz w:val="20"/>
          <w:szCs w:val="20"/>
        </w:rPr>
        <w:t>wide price swings as supply and demand are impacted by, among many other unpredictable items, weather, market liquidity, generating facility availability, customer usage, storage and transmission and transportation constraints.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0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115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 xml:space="preserve">Management’s Discussion </w:t>
      </w:r>
      <w:r>
        <w:rPr>
          <w:rFonts w:ascii="Times" w:hAnsi="Times" w:cs="Times"/>
          <w:i/>
          <w:iCs/>
          <w:sz w:val="20"/>
          <w:szCs w:val="20"/>
        </w:rPr>
        <w:t>(Continued)</w:t>
      </w:r>
    </w:p>
    <w:p w:rsidR="00000000" w:rsidRDefault="00A06965">
      <w:pPr>
        <w:pStyle w:val="DefaultParagraphFont"/>
        <w:widowControl w:val="0"/>
        <w:autoSpaceDE w:val="0"/>
        <w:autoSpaceDN w:val="0"/>
        <w:adjustRightInd w:val="0"/>
        <w:spacing w:after="0" w:line="13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00"/>
        <w:rPr>
          <w:rFonts w:ascii="Times New Roman" w:hAnsi="Times New Roman" w:cs="Times New Roman"/>
          <w:sz w:val="24"/>
          <w:szCs w:val="24"/>
        </w:rPr>
      </w:pPr>
      <w:r>
        <w:rPr>
          <w:rFonts w:ascii="Times" w:hAnsi="Times" w:cs="Times"/>
          <w:b/>
          <w:bCs/>
          <w:i/>
          <w:iCs/>
          <w:sz w:val="20"/>
          <w:szCs w:val="20"/>
        </w:rPr>
        <w:t>Commodity Price Risk (Continued)</w:t>
      </w:r>
    </w:p>
    <w:p w:rsidR="00000000" w:rsidRDefault="00A06965">
      <w:pPr>
        <w:pStyle w:val="DefaultParagraphFont"/>
        <w:widowControl w:val="0"/>
        <w:autoSpaceDE w:val="0"/>
        <w:autoSpaceDN w:val="0"/>
        <w:adjustRightInd w:val="0"/>
        <w:spacing w:after="0" w:line="14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 xml:space="preserve">To mitigate a portion of the risk, BHE uses derivative instruments, including forwards, futures, options, swaps and other agreements, to effectively secure </w:t>
      </w:r>
      <w:r>
        <w:rPr>
          <w:rFonts w:ascii="Times" w:hAnsi="Times" w:cs="Times"/>
          <w:sz w:val="20"/>
          <w:szCs w:val="20"/>
        </w:rPr>
        <w:t>future supply or sell future production generally at fixed prices. The settled cost of these contracts is generally recovered from customers in regulated rates. Financial results would be negatively impacted if the costs of wholesale electricity, fuel or n</w:t>
      </w:r>
      <w:r>
        <w:rPr>
          <w:rFonts w:ascii="Times" w:hAnsi="Times" w:cs="Times"/>
          <w:sz w:val="20"/>
          <w:szCs w:val="20"/>
        </w:rPr>
        <w:t xml:space="preserve">atural gas are higher than what is permitted to be recovered in rates. The table that follows summarizes commodity price risk on energy derivative contracts of BHE as of December 31, 2014 and 2013 and shows the effects of a hypothetical 10% increase and a </w:t>
      </w:r>
      <w:r>
        <w:rPr>
          <w:rFonts w:ascii="Times" w:hAnsi="Times" w:cs="Times"/>
          <w:sz w:val="20"/>
          <w:szCs w:val="20"/>
        </w:rPr>
        <w:t>10% decrease in forward market prices by the expected volumes for these contracts as of each date. The selected hypothetical change does not reflect what could be considered the best or worst case scenarios. Dollars are in millions.</w:t>
      </w:r>
    </w:p>
    <w:p w:rsidR="00000000" w:rsidRDefault="00A06965">
      <w:pPr>
        <w:pStyle w:val="DefaultParagraphFont"/>
        <w:widowControl w:val="0"/>
        <w:autoSpaceDE w:val="0"/>
        <w:autoSpaceDN w:val="0"/>
        <w:adjustRightInd w:val="0"/>
        <w:spacing w:after="0" w:line="185"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420"/>
        <w:gridCol w:w="820"/>
        <w:gridCol w:w="200"/>
        <w:gridCol w:w="1840"/>
        <w:gridCol w:w="200"/>
        <w:gridCol w:w="800"/>
        <w:gridCol w:w="1040"/>
      </w:tblGrid>
      <w:tr w:rsidR="00000000">
        <w:tblPrEx>
          <w:tblCellMar>
            <w:top w:w="0" w:type="dxa"/>
            <w:left w:w="0" w:type="dxa"/>
            <w:bottom w:w="0" w:type="dxa"/>
            <w:right w:w="0" w:type="dxa"/>
          </w:tblCellMar>
        </w:tblPrEx>
        <w:trPr>
          <w:trHeight w:val="184"/>
        </w:trPr>
        <w:tc>
          <w:tcPr>
            <w:tcW w:w="5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Fair Value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b/>
                <w:bCs/>
                <w:sz w:val="16"/>
                <w:szCs w:val="16"/>
              </w:rPr>
              <w:t>Estimated Fair Value after</w:t>
            </w:r>
          </w:p>
        </w:tc>
      </w:tr>
      <w:tr w:rsidR="00000000">
        <w:tblPrEx>
          <w:tblCellMar>
            <w:top w:w="0" w:type="dxa"/>
            <w:left w:w="0" w:type="dxa"/>
            <w:bottom w:w="0" w:type="dxa"/>
            <w:right w:w="0" w:type="dxa"/>
          </w:tblCellMar>
        </w:tblPrEx>
        <w:trPr>
          <w:trHeight w:val="160"/>
        </w:trPr>
        <w:tc>
          <w:tcPr>
            <w:tcW w:w="5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w w:val="99"/>
                <w:sz w:val="16"/>
                <w:szCs w:val="16"/>
              </w:rPr>
              <w:t>Net Assets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59" w:lineRule="exact"/>
              <w:jc w:val="center"/>
              <w:rPr>
                <w:rFonts w:ascii="Times New Roman" w:hAnsi="Times New Roman" w:cs="Times New Roman"/>
                <w:sz w:val="24"/>
                <w:szCs w:val="24"/>
              </w:rPr>
            </w:pPr>
            <w:r>
              <w:rPr>
                <w:rFonts w:ascii="Times" w:hAnsi="Times" w:cs="Times"/>
                <w:b/>
                <w:bCs/>
                <w:sz w:val="16"/>
                <w:szCs w:val="16"/>
              </w:rPr>
              <w:t>Hypothetical Change in</w:t>
            </w:r>
          </w:p>
        </w:tc>
      </w:tr>
      <w:tr w:rsidR="00000000">
        <w:tblPrEx>
          <w:tblCellMar>
            <w:top w:w="0" w:type="dxa"/>
            <w:left w:w="0" w:type="dxa"/>
            <w:bottom w:w="0" w:type="dxa"/>
            <w:right w:w="0" w:type="dxa"/>
          </w:tblCellMar>
        </w:tblPrEx>
        <w:trPr>
          <w:trHeight w:val="182"/>
        </w:trPr>
        <w:tc>
          <w:tcPr>
            <w:tcW w:w="5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sz w:val="16"/>
                <w:szCs w:val="16"/>
              </w:rPr>
              <w:t>(Liabilities)</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w w:val="99"/>
                <w:sz w:val="16"/>
                <w:szCs w:val="16"/>
              </w:rPr>
              <w:t>Hypothetical Price Change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82" w:lineRule="exact"/>
              <w:jc w:val="center"/>
              <w:rPr>
                <w:rFonts w:ascii="Times New Roman" w:hAnsi="Times New Roman" w:cs="Times New Roman"/>
                <w:sz w:val="24"/>
                <w:szCs w:val="24"/>
              </w:rPr>
            </w:pPr>
            <w:r>
              <w:rPr>
                <w:rFonts w:ascii="Times" w:hAnsi="Times" w:cs="Times"/>
                <w:b/>
                <w:bCs/>
                <w:sz w:val="16"/>
                <w:szCs w:val="16"/>
              </w:rPr>
              <w:t>Price</w:t>
            </w:r>
          </w:p>
        </w:tc>
      </w:tr>
      <w:tr w:rsidR="00000000">
        <w:tblPrEx>
          <w:tblCellMar>
            <w:top w:w="0" w:type="dxa"/>
            <w:left w:w="0" w:type="dxa"/>
            <w:bottom w:w="0" w:type="dxa"/>
            <w:right w:w="0" w:type="dxa"/>
          </w:tblCellMar>
        </w:tblPrEx>
        <w:trPr>
          <w:trHeight w:val="26"/>
        </w:trPr>
        <w:tc>
          <w:tcPr>
            <w:tcW w:w="5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8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5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December 31, 2014 . . . . . . . . . . . . . . . . . . . . . . . . . . . . . . . . . . . .</w:t>
            </w:r>
          </w:p>
        </w:tc>
        <w:tc>
          <w:tcPr>
            <w:tcW w:w="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
              <w:jc w:val="right"/>
              <w:rPr>
                <w:rFonts w:ascii="Times New Roman" w:hAnsi="Times New Roman" w:cs="Times New Roman"/>
                <w:sz w:val="24"/>
                <w:szCs w:val="24"/>
              </w:rPr>
            </w:pPr>
            <w:r>
              <w:rPr>
                <w:rFonts w:ascii="Times" w:hAnsi="Times" w:cs="Times"/>
                <w:sz w:val="20"/>
                <w:szCs w:val="20"/>
              </w:rPr>
              <w:t>$(192)</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center"/>
              <w:rPr>
                <w:rFonts w:ascii="Times New Roman" w:hAnsi="Times New Roman" w:cs="Times New Roman"/>
                <w:sz w:val="24"/>
                <w:szCs w:val="24"/>
              </w:rPr>
            </w:pPr>
            <w:r>
              <w:rPr>
                <w:rFonts w:ascii="Times" w:hAnsi="Times" w:cs="Times"/>
                <w:w w:val="98"/>
                <w:sz w:val="20"/>
                <w:szCs w:val="20"/>
              </w:rPr>
              <w:t>10% increase</w:t>
            </w:r>
          </w:p>
        </w:tc>
        <w:tc>
          <w:tcPr>
            <w:tcW w:w="10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520"/>
              <w:jc w:val="right"/>
              <w:rPr>
                <w:rFonts w:ascii="Times New Roman" w:hAnsi="Times New Roman" w:cs="Times New Roman"/>
                <w:sz w:val="24"/>
                <w:szCs w:val="24"/>
              </w:rPr>
            </w:pPr>
            <w:r>
              <w:rPr>
                <w:rFonts w:ascii="Times" w:hAnsi="Times" w:cs="Times"/>
                <w:w w:val="92"/>
                <w:sz w:val="20"/>
                <w:szCs w:val="20"/>
              </w:rPr>
              <w:t>(111)</w:t>
            </w:r>
          </w:p>
        </w:tc>
      </w:tr>
      <w:tr w:rsidR="00000000">
        <w:tblPrEx>
          <w:tblCellMar>
            <w:top w:w="0" w:type="dxa"/>
            <w:left w:w="0" w:type="dxa"/>
            <w:bottom w:w="0" w:type="dxa"/>
            <w:right w:w="0" w:type="dxa"/>
          </w:tblCellMar>
        </w:tblPrEx>
        <w:trPr>
          <w:trHeight w:val="240"/>
        </w:trPr>
        <w:tc>
          <w:tcPr>
            <w:tcW w:w="5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center"/>
              <w:rPr>
                <w:rFonts w:ascii="Times New Roman" w:hAnsi="Times New Roman" w:cs="Times New Roman"/>
                <w:sz w:val="24"/>
                <w:szCs w:val="24"/>
              </w:rPr>
            </w:pPr>
            <w:r>
              <w:rPr>
                <w:rFonts w:ascii="Times" w:hAnsi="Times" w:cs="Times"/>
                <w:w w:val="99"/>
                <w:sz w:val="20"/>
                <w:szCs w:val="20"/>
              </w:rPr>
              <w:t>10% decrease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520"/>
              <w:jc w:val="right"/>
              <w:rPr>
                <w:rFonts w:ascii="Times New Roman" w:hAnsi="Times New Roman" w:cs="Times New Roman"/>
                <w:sz w:val="24"/>
                <w:szCs w:val="24"/>
              </w:rPr>
            </w:pPr>
            <w:r>
              <w:rPr>
                <w:rFonts w:ascii="Times" w:hAnsi="Times" w:cs="Times"/>
                <w:w w:val="92"/>
                <w:sz w:val="20"/>
                <w:szCs w:val="20"/>
              </w:rPr>
              <w:t>(272)</w:t>
            </w:r>
          </w:p>
        </w:tc>
      </w:tr>
      <w:tr w:rsidR="00000000">
        <w:tblPrEx>
          <w:tblCellMar>
            <w:top w:w="0" w:type="dxa"/>
            <w:left w:w="0" w:type="dxa"/>
            <w:bottom w:w="0" w:type="dxa"/>
            <w:right w:w="0" w:type="dxa"/>
          </w:tblCellMar>
        </w:tblPrEx>
        <w:trPr>
          <w:trHeight w:val="240"/>
        </w:trPr>
        <w:tc>
          <w:tcPr>
            <w:tcW w:w="5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sz w:val="20"/>
                <w:szCs w:val="20"/>
              </w:rPr>
              <w:t>December 31, 2013 . . . . . . . . . . . . . . . . . . . . . . . . . . . . . . . . . . . .</w:t>
            </w:r>
          </w:p>
        </w:tc>
        <w:tc>
          <w:tcPr>
            <w:tcW w:w="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
              <w:jc w:val="right"/>
              <w:rPr>
                <w:rFonts w:ascii="Times New Roman" w:hAnsi="Times New Roman" w:cs="Times New Roman"/>
                <w:sz w:val="24"/>
                <w:szCs w:val="24"/>
              </w:rPr>
            </w:pPr>
            <w:r>
              <w:rPr>
                <w:rFonts w:ascii="Times" w:hAnsi="Times" w:cs="Times"/>
                <w:sz w:val="20"/>
                <w:szCs w:val="20"/>
              </w:rPr>
              <w:t>$(140)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center"/>
              <w:rPr>
                <w:rFonts w:ascii="Times New Roman" w:hAnsi="Times New Roman" w:cs="Times New Roman"/>
                <w:sz w:val="24"/>
                <w:szCs w:val="24"/>
              </w:rPr>
            </w:pPr>
            <w:r>
              <w:rPr>
                <w:rFonts w:ascii="Times" w:hAnsi="Times" w:cs="Times"/>
                <w:w w:val="98"/>
                <w:sz w:val="20"/>
                <w:szCs w:val="20"/>
              </w:rPr>
              <w:t>10% increase</w:t>
            </w:r>
          </w:p>
        </w:tc>
        <w:tc>
          <w:tcPr>
            <w:tcW w:w="10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w:hAnsi="Times" w:cs="Times"/>
                <w:sz w:val="20"/>
                <w:szCs w:val="20"/>
              </w:rPr>
              <w:t>$</w:t>
            </w: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520"/>
              <w:jc w:val="right"/>
              <w:rPr>
                <w:rFonts w:ascii="Times New Roman" w:hAnsi="Times New Roman" w:cs="Times New Roman"/>
                <w:sz w:val="24"/>
                <w:szCs w:val="24"/>
              </w:rPr>
            </w:pPr>
            <w:r>
              <w:rPr>
                <w:rFonts w:ascii="Times" w:hAnsi="Times" w:cs="Times"/>
                <w:sz w:val="20"/>
                <w:szCs w:val="20"/>
              </w:rPr>
              <w:t>(72)</w:t>
            </w:r>
          </w:p>
        </w:tc>
      </w:tr>
      <w:tr w:rsidR="00000000">
        <w:tblPrEx>
          <w:tblCellMar>
            <w:top w:w="0" w:type="dxa"/>
            <w:left w:w="0" w:type="dxa"/>
            <w:bottom w:w="0" w:type="dxa"/>
            <w:right w:w="0" w:type="dxa"/>
          </w:tblCellMar>
        </w:tblPrEx>
        <w:trPr>
          <w:trHeight w:val="240"/>
        </w:trPr>
        <w:tc>
          <w:tcPr>
            <w:tcW w:w="5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8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center"/>
              <w:rPr>
                <w:rFonts w:ascii="Times New Roman" w:hAnsi="Times New Roman" w:cs="Times New Roman"/>
                <w:sz w:val="24"/>
                <w:szCs w:val="24"/>
              </w:rPr>
            </w:pPr>
            <w:r>
              <w:rPr>
                <w:rFonts w:ascii="Times" w:hAnsi="Times" w:cs="Times"/>
                <w:w w:val="99"/>
                <w:sz w:val="20"/>
                <w:szCs w:val="20"/>
              </w:rPr>
              <w:t>10% decrease</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520"/>
              <w:jc w:val="right"/>
              <w:rPr>
                <w:rFonts w:ascii="Times New Roman" w:hAnsi="Times New Roman" w:cs="Times New Roman"/>
                <w:sz w:val="24"/>
                <w:szCs w:val="24"/>
              </w:rPr>
            </w:pPr>
            <w:r>
              <w:rPr>
                <w:rFonts w:ascii="Times" w:hAnsi="Times" w:cs="Times"/>
                <w:w w:val="92"/>
                <w:sz w:val="20"/>
                <w:szCs w:val="20"/>
              </w:rPr>
              <w:t>(208)</w:t>
            </w:r>
          </w:p>
        </w:tc>
      </w:tr>
    </w:tbl>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9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400"/>
        <w:rPr>
          <w:rFonts w:ascii="Times New Roman" w:hAnsi="Times New Roman" w:cs="Times New Roman"/>
          <w:sz w:val="24"/>
          <w:szCs w:val="24"/>
        </w:rPr>
      </w:pPr>
      <w:r>
        <w:rPr>
          <w:rFonts w:ascii="Times" w:hAnsi="Times" w:cs="Times"/>
          <w:b/>
          <w:bCs/>
          <w:sz w:val="20"/>
          <w:szCs w:val="20"/>
        </w:rPr>
        <w:t>FORWARD-LOOKING STATEMENTS</w:t>
      </w:r>
    </w:p>
    <w:p w:rsidR="00000000" w:rsidRDefault="00A06965">
      <w:pPr>
        <w:pStyle w:val="DefaultParagraphFont"/>
        <w:widowControl w:val="0"/>
        <w:autoSpaceDE w:val="0"/>
        <w:autoSpaceDN w:val="0"/>
        <w:adjustRightInd w:val="0"/>
        <w:spacing w:after="0" w:line="26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9" w:lineRule="auto"/>
        <w:ind w:firstLine="400"/>
        <w:jc w:val="both"/>
        <w:rPr>
          <w:rFonts w:ascii="Times New Roman" w:hAnsi="Times New Roman" w:cs="Times New Roman"/>
          <w:sz w:val="24"/>
          <w:szCs w:val="24"/>
        </w:rPr>
      </w:pPr>
      <w:r>
        <w:rPr>
          <w:rFonts w:ascii="Times" w:hAnsi="Times" w:cs="Times"/>
          <w:sz w:val="20"/>
          <w:szCs w:val="20"/>
        </w:rPr>
        <w:t xml:space="preserve">Investors are cautioned that certain statements contained in this document as well as some statements in periodic press releases and some oral statements of Berkshire officials during presentations about Berkshire or its subsidiaries are “forward-looking” </w:t>
      </w:r>
      <w:r>
        <w:rPr>
          <w:rFonts w:ascii="Times" w:hAnsi="Times" w:cs="Times"/>
          <w:sz w:val="20"/>
          <w:szCs w:val="20"/>
        </w:rPr>
        <w:t xml:space="preserve">statements within the meaning of the Private Securities Litigation Reform Act of 1995 (the “Act”). Forward-looking statements include statements which are predictive in nature, which depend upon or refer to future events or conditions, which include words </w:t>
      </w:r>
      <w:r>
        <w:rPr>
          <w:rFonts w:ascii="Times" w:hAnsi="Times" w:cs="Times"/>
          <w:sz w:val="20"/>
          <w:szCs w:val="20"/>
        </w:rPr>
        <w:t xml:space="preserve">such as “expects,” “anticipates,” “intends,” “plans,” “believes,” “estimates” or similar expressions. In addition, any statements concerning future financial performance (including future revenues, earnings or growth rates), ongoing business strategies or </w:t>
      </w:r>
      <w:r>
        <w:rPr>
          <w:rFonts w:ascii="Times" w:hAnsi="Times" w:cs="Times"/>
          <w:sz w:val="20"/>
          <w:szCs w:val="20"/>
        </w:rPr>
        <w:t>prospects and possible future Berkshire actions, which may be provided by management, are also forward-looking statements as defined by the Act. Forward-looking statements are based on current expectations and projections about future events and are subjec</w:t>
      </w:r>
      <w:r>
        <w:rPr>
          <w:rFonts w:ascii="Times" w:hAnsi="Times" w:cs="Times"/>
          <w:sz w:val="20"/>
          <w:szCs w:val="20"/>
        </w:rPr>
        <w:t>t to risks, uncertainties and assumptions about Berkshire and its subsidiaries, economic and market factors and the industries in which we do business, among other things. These statements are not guarantees of future performance and we have no specific in</w:t>
      </w:r>
      <w:r>
        <w:rPr>
          <w:rFonts w:ascii="Times" w:hAnsi="Times" w:cs="Times"/>
          <w:sz w:val="20"/>
          <w:szCs w:val="20"/>
        </w:rPr>
        <w:t>tention to update these statements.</w:t>
      </w:r>
    </w:p>
    <w:p w:rsidR="00000000" w:rsidRDefault="00A06965">
      <w:pPr>
        <w:pStyle w:val="DefaultParagraphFont"/>
        <w:widowControl w:val="0"/>
        <w:autoSpaceDE w:val="0"/>
        <w:autoSpaceDN w:val="0"/>
        <w:adjustRightInd w:val="0"/>
        <w:spacing w:after="0" w:line="255"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00"/>
        <w:jc w:val="both"/>
        <w:rPr>
          <w:rFonts w:ascii="Times New Roman" w:hAnsi="Times New Roman" w:cs="Times New Roman"/>
          <w:sz w:val="24"/>
          <w:szCs w:val="24"/>
        </w:rPr>
      </w:pPr>
      <w:r>
        <w:rPr>
          <w:rFonts w:ascii="Times" w:hAnsi="Times" w:cs="Times"/>
          <w:sz w:val="20"/>
          <w:szCs w:val="20"/>
        </w:rPr>
        <w:t>Actual events and results may differ materially from those expressed or forecasted in forward-looking statements due to a number of factors. The principal important risk factors that could cause our actual performance a</w:t>
      </w:r>
      <w:r>
        <w:rPr>
          <w:rFonts w:ascii="Times" w:hAnsi="Times" w:cs="Times"/>
          <w:sz w:val="20"/>
          <w:szCs w:val="20"/>
        </w:rPr>
        <w:t>nd future events and actions to differ materially from such forward-looking statements include, but are not limited to, changes in market prices of our investments in fixed maturity and equity securities, losses realized from derivative contracts, the occu</w:t>
      </w:r>
      <w:r>
        <w:rPr>
          <w:rFonts w:ascii="Times" w:hAnsi="Times" w:cs="Times"/>
          <w:sz w:val="20"/>
          <w:szCs w:val="20"/>
        </w:rPr>
        <w:t>rrence of one or more catastrophic events, such as an earthquake, hurricane or act of terrorism that causes losses insured by our insurance subsidiaries, changes in laws or regulations affecting our insurance, railroad, utilities and energy and finance sub</w:t>
      </w:r>
      <w:r>
        <w:rPr>
          <w:rFonts w:ascii="Times" w:hAnsi="Times" w:cs="Times"/>
          <w:sz w:val="20"/>
          <w:szCs w:val="20"/>
        </w:rPr>
        <w:t>sidiaries, changes in federal income tax laws, and changes in general economic and market factors that affect the prices of securities or the industries in which we do business.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960" w:bottom="523" w:left="960" w:header="720" w:footer="720" w:gutter="0"/>
          <w:cols w:space="720" w:equalWidth="0">
            <w:col w:w="1032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6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sz w:val="20"/>
          <w:szCs w:val="20"/>
        </w:rPr>
        <w:t>116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overflowPunct w:val="0"/>
        <w:autoSpaceDE w:val="0"/>
        <w:autoSpaceDN w:val="0"/>
        <w:adjustRightInd w:val="0"/>
        <w:spacing w:after="0" w:line="244" w:lineRule="auto"/>
        <w:jc w:val="both"/>
        <w:rPr>
          <w:rFonts w:ascii="Times New Roman" w:hAnsi="Times New Roman" w:cs="Times New Roman"/>
          <w:sz w:val="24"/>
          <w:szCs w:val="24"/>
        </w:rPr>
      </w:pPr>
      <w:r>
        <w:rPr>
          <w:rFonts w:ascii="Times New Roman" w:hAnsi="Times New Roman" w:cs="Times New Roman"/>
          <w:sz w:val="20"/>
          <w:szCs w:val="20"/>
        </w:rPr>
        <w:t xml:space="preserve">In June 1996, Berkshire’s Chairman, Warren E. Buffett, issued a booklet entitled </w:t>
      </w:r>
      <w:r>
        <w:rPr>
          <w:rFonts w:ascii="Times New Roman" w:hAnsi="Times New Roman" w:cs="Times New Roman"/>
          <w:b/>
          <w:bCs/>
          <w:sz w:val="20"/>
          <w:szCs w:val="20"/>
        </w:rPr>
        <w:t>“An Owner’s Manual*”</w:t>
      </w:r>
      <w:r>
        <w:rPr>
          <w:rFonts w:ascii="Times New Roman" w:hAnsi="Times New Roman" w:cs="Times New Roman"/>
          <w:sz w:val="20"/>
          <w:szCs w:val="20"/>
        </w:rPr>
        <w:t xml:space="preserve"> to Berkshire’s Class A and Class B shareholders. The purpose of the manual was to explain Berkshire’s broad economic principles of operation. An updated v</w:t>
      </w:r>
      <w:r>
        <w:rPr>
          <w:rFonts w:ascii="Times New Roman" w:hAnsi="Times New Roman" w:cs="Times New Roman"/>
          <w:sz w:val="20"/>
          <w:szCs w:val="20"/>
        </w:rPr>
        <w:t>ersion is reproduced on this and the following pages.</w:t>
      </w:r>
    </w:p>
    <w:p w:rsidR="00000000" w:rsidRDefault="00A06965">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OWNER-RELATED BUSINESS PRINCIPLES</w:t>
      </w:r>
    </w:p>
    <w:p w:rsidR="00000000" w:rsidRDefault="00A06965">
      <w:pPr>
        <w:pStyle w:val="DefaultParagraphFont"/>
        <w:widowControl w:val="0"/>
        <w:autoSpaceDE w:val="0"/>
        <w:autoSpaceDN w:val="0"/>
        <w:adjustRightInd w:val="0"/>
        <w:spacing w:after="0" w:line="10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firstLine="480"/>
        <w:jc w:val="both"/>
        <w:rPr>
          <w:rFonts w:ascii="Times New Roman" w:hAnsi="Times New Roman" w:cs="Times New Roman"/>
          <w:sz w:val="24"/>
          <w:szCs w:val="24"/>
        </w:rPr>
      </w:pPr>
      <w:r>
        <w:rPr>
          <w:rFonts w:ascii="Times New Roman" w:hAnsi="Times New Roman" w:cs="Times New Roman"/>
          <w:sz w:val="20"/>
          <w:szCs w:val="20"/>
        </w:rPr>
        <w:t>At the time of the Blue Chip merger in 1983, I set down 13 owner-related business principles that I thought would help new shareholders understand our managerial appr</w:t>
      </w:r>
      <w:r>
        <w:rPr>
          <w:rFonts w:ascii="Times New Roman" w:hAnsi="Times New Roman" w:cs="Times New Roman"/>
          <w:sz w:val="20"/>
          <w:szCs w:val="20"/>
        </w:rPr>
        <w:t>oach. As is appropriate for “principles,” all 13 remain alive and well today, and they are stated here in italics.</w:t>
      </w:r>
    </w:p>
    <w:p w:rsidR="00000000" w:rsidRDefault="00A06965">
      <w:pPr>
        <w:pStyle w:val="DefaultParagraphFont"/>
        <w:widowControl w:val="0"/>
        <w:autoSpaceDE w:val="0"/>
        <w:autoSpaceDN w:val="0"/>
        <w:adjustRightInd w:val="0"/>
        <w:spacing w:after="0" w:line="103" w:lineRule="exact"/>
        <w:rPr>
          <w:rFonts w:ascii="Times New Roman" w:hAnsi="Times New Roman" w:cs="Times New Roman"/>
          <w:sz w:val="24"/>
          <w:szCs w:val="24"/>
        </w:rPr>
      </w:pPr>
    </w:p>
    <w:p w:rsidR="00000000" w:rsidRDefault="00A06965">
      <w:pPr>
        <w:pStyle w:val="DefaultParagraphFont"/>
        <w:widowControl w:val="0"/>
        <w:numPr>
          <w:ilvl w:val="0"/>
          <w:numId w:val="48"/>
        </w:numPr>
        <w:tabs>
          <w:tab w:val="clear" w:pos="720"/>
          <w:tab w:val="num" w:pos="480"/>
        </w:tabs>
        <w:overflowPunct w:val="0"/>
        <w:autoSpaceDE w:val="0"/>
        <w:autoSpaceDN w:val="0"/>
        <w:adjustRightInd w:val="0"/>
        <w:spacing w:after="0" w:line="245"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Although our form is corporate, our attitude is partnership. Charlie Munger and I think of our shareholders as owner-partners, and of our</w:t>
      </w:r>
      <w:r>
        <w:rPr>
          <w:rFonts w:ascii="Times New Roman" w:hAnsi="Times New Roman" w:cs="Times New Roman"/>
          <w:i/>
          <w:iCs/>
          <w:sz w:val="20"/>
          <w:szCs w:val="20"/>
        </w:rPr>
        <w:t>selves as managing partners. (Because of the size of our shareholdings we are also, for better or worse, controlling partners.) We do not view the company itself as the ultimate owner of our business assets but instead view the company as a conduit through</w:t>
      </w:r>
      <w:r>
        <w:rPr>
          <w:rFonts w:ascii="Times New Roman" w:hAnsi="Times New Roman" w:cs="Times New Roman"/>
          <w:i/>
          <w:iCs/>
          <w:sz w:val="20"/>
          <w:szCs w:val="20"/>
        </w:rPr>
        <w:t xml:space="preserve"> which our shareholders own the assets.</w:t>
      </w:r>
    </w:p>
    <w:p w:rsidR="00000000" w:rsidRDefault="00A06965">
      <w:pPr>
        <w:pStyle w:val="DefaultParagraphFont"/>
        <w:widowControl w:val="0"/>
        <w:autoSpaceDE w:val="0"/>
        <w:autoSpaceDN w:val="0"/>
        <w:adjustRightInd w:val="0"/>
        <w:spacing w:after="0" w:line="98"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7" w:lineRule="auto"/>
        <w:ind w:left="480"/>
        <w:jc w:val="both"/>
        <w:rPr>
          <w:rFonts w:ascii="Times New Roman" w:hAnsi="Times New Roman" w:cs="Times New Roman"/>
          <w:sz w:val="20"/>
          <w:szCs w:val="20"/>
        </w:rPr>
      </w:pPr>
      <w:r>
        <w:rPr>
          <w:rFonts w:ascii="Times New Roman" w:hAnsi="Times New Roman" w:cs="Times New Roman"/>
          <w:sz w:val="20"/>
          <w:szCs w:val="20"/>
        </w:rPr>
        <w:t>Charlie and I hope that you do not think of yourself as merely owning a piece of paper whose price wiggles around daily and that is a candidate for sale when some economic or political event makes you nervous. We h</w:t>
      </w:r>
      <w:r>
        <w:rPr>
          <w:rFonts w:ascii="Times New Roman" w:hAnsi="Times New Roman" w:cs="Times New Roman"/>
          <w:sz w:val="20"/>
          <w:szCs w:val="20"/>
        </w:rPr>
        <w:t>ope you instead visualize yourself as a part owner of a business that you expect to stay with indefinitely, much as you might if you owned a farm or apartment house in partnership with members of your family. For our part, we do not view Berkshire sharehol</w:t>
      </w:r>
      <w:r>
        <w:rPr>
          <w:rFonts w:ascii="Times New Roman" w:hAnsi="Times New Roman" w:cs="Times New Roman"/>
          <w:sz w:val="20"/>
          <w:szCs w:val="20"/>
        </w:rPr>
        <w:t>ders as faceless members of an ever-shifting crowd, but rather as co-venturers who have entrusted their funds to us for what may well turn out to be the remainder of their lives.</w:t>
      </w:r>
    </w:p>
    <w:p w:rsidR="00000000" w:rsidRDefault="00A06965">
      <w:pPr>
        <w:pStyle w:val="DefaultParagraphFont"/>
        <w:widowControl w:val="0"/>
        <w:autoSpaceDE w:val="0"/>
        <w:autoSpaceDN w:val="0"/>
        <w:adjustRightInd w:val="0"/>
        <w:spacing w:after="0" w:line="99"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3" w:lineRule="auto"/>
        <w:ind w:left="480"/>
        <w:jc w:val="both"/>
        <w:rPr>
          <w:rFonts w:ascii="Times New Roman" w:hAnsi="Times New Roman" w:cs="Times New Roman"/>
          <w:sz w:val="20"/>
          <w:szCs w:val="20"/>
        </w:rPr>
      </w:pPr>
      <w:r>
        <w:rPr>
          <w:rFonts w:ascii="Times New Roman" w:hAnsi="Times New Roman" w:cs="Times New Roman"/>
          <w:sz w:val="20"/>
          <w:szCs w:val="20"/>
        </w:rPr>
        <w:t>The evidence suggests that most Berkshire shareholders have indeed embraced this long-term partnership concept. The annual percentage turnover in Berkshire’s shares is a fraction of that occurring in the stocks of other major American corporations, even wh</w:t>
      </w:r>
      <w:r>
        <w:rPr>
          <w:rFonts w:ascii="Times New Roman" w:hAnsi="Times New Roman" w:cs="Times New Roman"/>
          <w:sz w:val="20"/>
          <w:szCs w:val="20"/>
        </w:rPr>
        <w:t>en the shares I own are excluded from the calculation.</w:t>
      </w:r>
    </w:p>
    <w:p w:rsidR="00000000" w:rsidRDefault="00A06965">
      <w:pPr>
        <w:pStyle w:val="DefaultParagraphFont"/>
        <w:widowControl w:val="0"/>
        <w:autoSpaceDE w:val="0"/>
        <w:autoSpaceDN w:val="0"/>
        <w:adjustRightInd w:val="0"/>
        <w:spacing w:after="0" w:line="101"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8" w:lineRule="auto"/>
        <w:ind w:left="480"/>
        <w:jc w:val="both"/>
        <w:rPr>
          <w:rFonts w:ascii="Times New Roman" w:hAnsi="Times New Roman" w:cs="Times New Roman"/>
          <w:sz w:val="20"/>
          <w:szCs w:val="20"/>
        </w:rPr>
      </w:pPr>
      <w:r>
        <w:rPr>
          <w:rFonts w:ascii="Times New Roman" w:hAnsi="Times New Roman" w:cs="Times New Roman"/>
          <w:sz w:val="20"/>
          <w:szCs w:val="20"/>
        </w:rPr>
        <w:t>In effect, our shareholders behave in respect to their Berkshire stock much as Berkshire itself behaves in respect to companies in which it has an investment. As owners of, say, Coca-Cola or American</w:t>
      </w:r>
      <w:r>
        <w:rPr>
          <w:rFonts w:ascii="Times New Roman" w:hAnsi="Times New Roman" w:cs="Times New Roman"/>
          <w:sz w:val="20"/>
          <w:szCs w:val="20"/>
        </w:rPr>
        <w:t xml:space="preserve"> Express shares, we think of Berkshire as being a non-managing partner in two extraordinary businesses, in which we measure our success by the long-term progress of the companies rather than by the month-to-month movements of their stocks. In fact, we woul</w:t>
      </w:r>
      <w:r>
        <w:rPr>
          <w:rFonts w:ascii="Times New Roman" w:hAnsi="Times New Roman" w:cs="Times New Roman"/>
          <w:sz w:val="20"/>
          <w:szCs w:val="20"/>
        </w:rPr>
        <w:t>d not care in the least if several years went by in which there was no trading, or quotation of prices, in the stocks of those companies. If we have good long-term expectations, short-term price changes are meaningless for us except to the extent they offe</w:t>
      </w:r>
      <w:r>
        <w:rPr>
          <w:rFonts w:ascii="Times New Roman" w:hAnsi="Times New Roman" w:cs="Times New Roman"/>
          <w:sz w:val="20"/>
          <w:szCs w:val="20"/>
        </w:rPr>
        <w:t>r us an opportunity to increase our ownership at an attractive price.</w:t>
      </w:r>
    </w:p>
    <w:p w:rsidR="00000000" w:rsidRDefault="00A06965">
      <w:pPr>
        <w:pStyle w:val="DefaultParagraphFont"/>
        <w:widowControl w:val="0"/>
        <w:autoSpaceDE w:val="0"/>
        <w:autoSpaceDN w:val="0"/>
        <w:adjustRightInd w:val="0"/>
        <w:spacing w:after="0" w:line="98" w:lineRule="exact"/>
        <w:rPr>
          <w:rFonts w:ascii="Times New Roman" w:hAnsi="Times New Roman" w:cs="Times New Roman"/>
          <w:sz w:val="20"/>
          <w:szCs w:val="20"/>
        </w:rPr>
      </w:pPr>
    </w:p>
    <w:p w:rsidR="00000000" w:rsidRDefault="00A06965">
      <w:pPr>
        <w:pStyle w:val="DefaultParagraphFont"/>
        <w:widowControl w:val="0"/>
        <w:numPr>
          <w:ilvl w:val="0"/>
          <w:numId w:val="48"/>
        </w:numPr>
        <w:tabs>
          <w:tab w:val="clear" w:pos="720"/>
          <w:tab w:val="num" w:pos="480"/>
        </w:tabs>
        <w:overflowPunct w:val="0"/>
        <w:autoSpaceDE w:val="0"/>
        <w:autoSpaceDN w:val="0"/>
        <w:adjustRightInd w:val="0"/>
        <w:spacing w:after="0" w:line="237"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In line with Berkshire’s owner-orientation, most of our directors have a major portion of their net worth invested in the company. We eat our own cooking.</w:t>
      </w:r>
    </w:p>
    <w:p w:rsidR="00000000" w:rsidRDefault="00A06965">
      <w:pPr>
        <w:pStyle w:val="DefaultParagraphFont"/>
        <w:widowControl w:val="0"/>
        <w:autoSpaceDE w:val="0"/>
        <w:autoSpaceDN w:val="0"/>
        <w:adjustRightInd w:val="0"/>
        <w:spacing w:after="0" w:line="103"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38" w:lineRule="auto"/>
        <w:ind w:left="480"/>
        <w:jc w:val="both"/>
        <w:rPr>
          <w:rFonts w:ascii="Times New Roman" w:hAnsi="Times New Roman" w:cs="Times New Roman"/>
          <w:sz w:val="20"/>
          <w:szCs w:val="20"/>
        </w:rPr>
      </w:pPr>
      <w:r>
        <w:rPr>
          <w:rFonts w:ascii="Times New Roman" w:hAnsi="Times New Roman" w:cs="Times New Roman"/>
          <w:sz w:val="20"/>
          <w:szCs w:val="20"/>
        </w:rPr>
        <w:t xml:space="preserve">Charlie’s family has the </w:t>
      </w:r>
      <w:r>
        <w:rPr>
          <w:rFonts w:ascii="Times New Roman" w:hAnsi="Times New Roman" w:cs="Times New Roman"/>
          <w:sz w:val="20"/>
          <w:szCs w:val="20"/>
        </w:rPr>
        <w:t>majority of its net worth in Berkshire shares; I have more than 98%. In addition, many of my relatives – my sisters and cousins, for example – keep a huge portion of their net worth in Berkshire stock.</w:t>
      </w:r>
    </w:p>
    <w:p w:rsidR="00000000" w:rsidRDefault="00A06965">
      <w:pPr>
        <w:pStyle w:val="DefaultParagraphFont"/>
        <w:widowControl w:val="0"/>
        <w:autoSpaceDE w:val="0"/>
        <w:autoSpaceDN w:val="0"/>
        <w:adjustRightInd w:val="0"/>
        <w:spacing w:after="0" w:line="103"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3" w:lineRule="auto"/>
        <w:ind w:left="480"/>
        <w:jc w:val="both"/>
        <w:rPr>
          <w:rFonts w:ascii="Times New Roman" w:hAnsi="Times New Roman" w:cs="Times New Roman"/>
          <w:sz w:val="20"/>
          <w:szCs w:val="20"/>
        </w:rPr>
      </w:pPr>
      <w:r>
        <w:rPr>
          <w:rFonts w:ascii="Times New Roman" w:hAnsi="Times New Roman" w:cs="Times New Roman"/>
          <w:sz w:val="20"/>
          <w:szCs w:val="20"/>
        </w:rPr>
        <w:t>Charlie and</w:t>
      </w:r>
      <w:r>
        <w:rPr>
          <w:rFonts w:ascii="Times New Roman" w:hAnsi="Times New Roman" w:cs="Times New Roman"/>
          <w:sz w:val="20"/>
          <w:szCs w:val="20"/>
        </w:rPr>
        <w:t xml:space="preserve"> I feel totally comfortable with this eggs-in-one-basket situation because Berkshire itself owns a wide variety of truly extraordinary businesses. Indeed, we believe that Berkshire is close to being unique in the quality and diversity of the businesses in </w:t>
      </w:r>
      <w:r>
        <w:rPr>
          <w:rFonts w:ascii="Times New Roman" w:hAnsi="Times New Roman" w:cs="Times New Roman"/>
          <w:sz w:val="20"/>
          <w:szCs w:val="20"/>
        </w:rPr>
        <w:t>which it owns either a controlling interest or a minority interest of significance.</w:t>
      </w:r>
    </w:p>
    <w:p w:rsidR="00000000" w:rsidRDefault="00A06965">
      <w:pPr>
        <w:pStyle w:val="DefaultParagraphFont"/>
        <w:widowControl w:val="0"/>
        <w:autoSpaceDE w:val="0"/>
        <w:autoSpaceDN w:val="0"/>
        <w:adjustRightInd w:val="0"/>
        <w:spacing w:after="0" w:line="101"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5" w:lineRule="auto"/>
        <w:ind w:left="480"/>
        <w:jc w:val="both"/>
        <w:rPr>
          <w:rFonts w:ascii="Times New Roman" w:hAnsi="Times New Roman" w:cs="Times New Roman"/>
          <w:sz w:val="20"/>
          <w:szCs w:val="20"/>
        </w:rPr>
      </w:pPr>
      <w:r>
        <w:rPr>
          <w:rFonts w:ascii="Times New Roman" w:hAnsi="Times New Roman" w:cs="Times New Roman"/>
          <w:sz w:val="20"/>
          <w:szCs w:val="20"/>
        </w:rPr>
        <w:t>Charlie and I cannot promise you results. But we can guarantee that your financial fortunes will move in lockstep with ours for whatever period of time you elect to be ou</w:t>
      </w:r>
      <w:r>
        <w:rPr>
          <w:rFonts w:ascii="Times New Roman" w:hAnsi="Times New Roman" w:cs="Times New Roman"/>
          <w:sz w:val="20"/>
          <w:szCs w:val="20"/>
        </w:rPr>
        <w:t>r partner. We have no interest in large salaries or options or other means of gaining an “edge” over you. We want to make money only when our partners do and in exactly the same proportion. Moreover, when I do something dumb, I want you to be able to deriv</w:t>
      </w:r>
      <w:r>
        <w:rPr>
          <w:rFonts w:ascii="Times New Roman" w:hAnsi="Times New Roman" w:cs="Times New Roman"/>
          <w:sz w:val="20"/>
          <w:szCs w:val="20"/>
        </w:rPr>
        <w:t>e some solace from the fact that my financial suffering is proportional to yours.</w:t>
      </w:r>
    </w:p>
    <w:p w:rsidR="00000000" w:rsidRDefault="00A06965">
      <w:pPr>
        <w:pStyle w:val="DefaultParagraphFont"/>
        <w:widowControl w:val="0"/>
        <w:autoSpaceDE w:val="0"/>
        <w:autoSpaceDN w:val="0"/>
        <w:adjustRightInd w:val="0"/>
        <w:spacing w:after="0" w:line="102" w:lineRule="exact"/>
        <w:rPr>
          <w:rFonts w:ascii="Times New Roman" w:hAnsi="Times New Roman" w:cs="Times New Roman"/>
          <w:sz w:val="20"/>
          <w:szCs w:val="20"/>
        </w:rPr>
      </w:pPr>
    </w:p>
    <w:p w:rsidR="00000000" w:rsidRDefault="00A06965">
      <w:pPr>
        <w:pStyle w:val="DefaultParagraphFont"/>
        <w:widowControl w:val="0"/>
        <w:numPr>
          <w:ilvl w:val="0"/>
          <w:numId w:val="48"/>
        </w:numPr>
        <w:tabs>
          <w:tab w:val="clear" w:pos="720"/>
          <w:tab w:val="num" w:pos="480"/>
        </w:tabs>
        <w:overflowPunct w:val="0"/>
        <w:autoSpaceDE w:val="0"/>
        <w:autoSpaceDN w:val="0"/>
        <w:adjustRightInd w:val="0"/>
        <w:spacing w:after="0" w:line="246"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Our long-term economic goal (subject to some qualifications mentioned later) is to maximize Berkshire’s average annual rate of gain in intrinsic business value on a per-s</w:t>
      </w:r>
      <w:r>
        <w:rPr>
          <w:rFonts w:ascii="Times New Roman" w:hAnsi="Times New Roman" w:cs="Times New Roman"/>
          <w:i/>
          <w:iCs/>
          <w:sz w:val="20"/>
          <w:szCs w:val="20"/>
        </w:rPr>
        <w:t xml:space="preserve">hare basis. We do not measure the economic significance or performance of Berkshire by its size; we measure by per-share progress. We are certain that the rate of per-share progress will diminish in the future – a greatly enlarged capital base will see to </w:t>
      </w:r>
      <w:r>
        <w:rPr>
          <w:rFonts w:ascii="Times New Roman" w:hAnsi="Times New Roman" w:cs="Times New Roman"/>
          <w:i/>
          <w:iCs/>
          <w:sz w:val="20"/>
          <w:szCs w:val="20"/>
        </w:rPr>
        <w:t>that. But we will be disappointed if our rate does not exceed that of the average large American corporation.</w:t>
      </w:r>
    </w:p>
    <w:p w:rsidR="00000000" w:rsidRDefault="00A06965">
      <w:pPr>
        <w:pStyle w:val="DefaultParagraphFont"/>
        <w:widowControl w:val="0"/>
        <w:autoSpaceDE w:val="0"/>
        <w:autoSpaceDN w:val="0"/>
        <w:adjustRightInd w:val="0"/>
        <w:spacing w:after="0" w:line="101" w:lineRule="exact"/>
        <w:rPr>
          <w:rFonts w:ascii="Times New Roman" w:hAnsi="Times New Roman" w:cs="Times New Roman"/>
          <w:sz w:val="20"/>
          <w:szCs w:val="20"/>
        </w:rPr>
      </w:pPr>
    </w:p>
    <w:p w:rsidR="00000000" w:rsidRDefault="00A06965">
      <w:pPr>
        <w:pStyle w:val="DefaultParagraphFont"/>
        <w:widowControl w:val="0"/>
        <w:numPr>
          <w:ilvl w:val="0"/>
          <w:numId w:val="48"/>
        </w:numPr>
        <w:tabs>
          <w:tab w:val="clear" w:pos="720"/>
          <w:tab w:val="num" w:pos="480"/>
        </w:tabs>
        <w:overflowPunct w:val="0"/>
        <w:autoSpaceDE w:val="0"/>
        <w:autoSpaceDN w:val="0"/>
        <w:adjustRightInd w:val="0"/>
        <w:spacing w:after="0" w:line="245"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Our preference would be to reach our goal by directly owning a diversified group of businesses that generate cash and consistently earn above-</w:t>
      </w:r>
      <w:r>
        <w:rPr>
          <w:rFonts w:ascii="Times New Roman" w:hAnsi="Times New Roman" w:cs="Times New Roman"/>
          <w:i/>
          <w:iCs/>
          <w:sz w:val="20"/>
          <w:szCs w:val="20"/>
        </w:rPr>
        <w:t>average returns on capital. Our second choice is to own parts of similar businesses, attained primarily through purchases of marketable common stocks by our insurance subsidiaries. The price and availability of businesses and the need for insurance capital</w:t>
      </w:r>
      <w:r>
        <w:rPr>
          <w:rFonts w:ascii="Times New Roman" w:hAnsi="Times New Roman" w:cs="Times New Roman"/>
          <w:i/>
          <w:iCs/>
          <w:sz w:val="20"/>
          <w:szCs w:val="20"/>
        </w:rPr>
        <w:t xml:space="preserve"> determine any given year’s capital allocation.</w:t>
      </w:r>
    </w:p>
    <w:p w:rsidR="00000000" w:rsidRDefault="00A06965">
      <w:pPr>
        <w:pStyle w:val="DefaultParagraphFont"/>
        <w:widowControl w:val="0"/>
        <w:autoSpaceDE w:val="0"/>
        <w:autoSpaceDN w:val="0"/>
        <w:adjustRightInd w:val="0"/>
        <w:spacing w:after="0" w:line="174" w:lineRule="exact"/>
        <w:rPr>
          <w:rFonts w:ascii="Times New Roman" w:hAnsi="Times New Roman" w:cs="Times New Roman"/>
          <w:sz w:val="24"/>
          <w:szCs w:val="24"/>
        </w:rPr>
      </w:pPr>
      <w:r>
        <w:rPr>
          <w:noProof/>
        </w:rPr>
        <mc:AlternateContent>
          <mc:Choice Requires="wps">
            <w:drawing>
              <wp:anchor distT="0" distB="0" distL="114300" distR="114300" simplePos="0" relativeHeight="251716608" behindDoc="1" locked="0" layoutInCell="0" allowOverlap="1">
                <wp:simplePos x="0" y="0"/>
                <wp:positionH relativeFrom="column">
                  <wp:posOffset>0</wp:posOffset>
                </wp:positionH>
                <wp:positionV relativeFrom="paragraph">
                  <wp:posOffset>65405</wp:posOffset>
                </wp:positionV>
                <wp:extent cx="2336800" cy="0"/>
                <wp:effectExtent l="0" t="0" r="0" b="0"/>
                <wp:wrapNone/>
                <wp:docPr id="1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68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15pt" to="18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" o:allowincell="f" strokeweight="1pt"/>
            </w:pict>
          </mc:Fallback>
        </mc:AlternateContent>
      </w:r>
    </w:p>
    <w:p w:rsidR="00000000" w:rsidRDefault="00A06965">
      <w:pPr>
        <w:pStyle w:val="DefaultParagraphFont"/>
        <w:widowControl w:val="0"/>
        <w:numPr>
          <w:ilvl w:val="0"/>
          <w:numId w:val="49"/>
        </w:numPr>
        <w:tabs>
          <w:tab w:val="clear" w:pos="720"/>
          <w:tab w:val="num" w:pos="240"/>
        </w:tabs>
        <w:overflowPunct w:val="0"/>
        <w:autoSpaceDE w:val="0"/>
        <w:autoSpaceDN w:val="0"/>
        <w:adjustRightInd w:val="0"/>
        <w:spacing w:after="0" w:line="192" w:lineRule="auto"/>
        <w:ind w:left="240" w:right="7360" w:hanging="240"/>
        <w:jc w:val="both"/>
        <w:rPr>
          <w:rFonts w:ascii="Times New Roman" w:hAnsi="Times New Roman" w:cs="Times New Roman"/>
          <w:sz w:val="20"/>
          <w:szCs w:val="20"/>
        </w:rPr>
      </w:pPr>
      <w:r>
        <w:rPr>
          <w:rFonts w:ascii="Times New Roman" w:hAnsi="Times New Roman" w:cs="Times New Roman"/>
          <w:sz w:val="20"/>
          <w:szCs w:val="20"/>
        </w:rPr>
        <w:t xml:space="preserve">Copyright </w:t>
      </w:r>
      <w:r>
        <w:rPr>
          <w:rFonts w:ascii="Times New Roman" w:hAnsi="Times New Roman" w:cs="Times New Roman"/>
          <w:sz w:val="30"/>
          <w:szCs w:val="30"/>
          <w:vertAlign w:val="superscript"/>
        </w:rPr>
        <w:t>©</w:t>
      </w:r>
      <w:r>
        <w:rPr>
          <w:rFonts w:ascii="Times New Roman" w:hAnsi="Times New Roman" w:cs="Times New Roman"/>
          <w:sz w:val="20"/>
          <w:szCs w:val="20"/>
        </w:rPr>
        <w:t xml:space="preserve"> 1996 By Warren E. Buffett All Rights Reserved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902" w:right="720" w:bottom="523" w:left="720" w:header="720" w:footer="720" w:gutter="0"/>
          <w:cols w:space="720" w:equalWidth="0">
            <w:col w:w="108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5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117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902" w:right="5960" w:bottom="523" w:left="5980" w:header="720" w:footer="720" w:gutter="0"/>
          <w:cols w:space="720" w:equalWidth="0">
            <w:col w:w="300"/>
          </w:cols>
          <w:noEndnote/>
        </w:sectPr>
      </w:pPr>
    </w:p>
    <w:p w:rsidR="00000000" w:rsidRDefault="00A06965">
      <w:pPr>
        <w:pStyle w:val="DefaultParagraphFont"/>
        <w:widowControl w:val="0"/>
        <w:overflowPunct w:val="0"/>
        <w:autoSpaceDE w:val="0"/>
        <w:autoSpaceDN w:val="0"/>
        <w:adjustRightInd w:val="0"/>
        <w:spacing w:after="0" w:line="243" w:lineRule="auto"/>
        <w:ind w:left="480"/>
        <w:jc w:val="both"/>
        <w:rPr>
          <w:rFonts w:ascii="Times New Roman" w:hAnsi="Times New Roman" w:cs="Times New Roman"/>
          <w:sz w:val="24"/>
          <w:szCs w:val="24"/>
        </w:rPr>
      </w:pPr>
      <w:r>
        <w:rPr>
          <w:rFonts w:ascii="Times New Roman" w:hAnsi="Times New Roman" w:cs="Times New Roman"/>
          <w:sz w:val="20"/>
          <w:szCs w:val="20"/>
        </w:rPr>
        <w:t>In recent years we have made a nu</w:t>
      </w:r>
      <w:r>
        <w:rPr>
          <w:rFonts w:ascii="Times New Roman" w:hAnsi="Times New Roman" w:cs="Times New Roman"/>
          <w:sz w:val="20"/>
          <w:szCs w:val="20"/>
        </w:rPr>
        <w:t>mber of acquisitions. Though there will be dry years, we expect to make many more in the decades to come, and our hope is that they will be large. If these purchases approach the quality of those we have made in the past, Berkshire will be well served.</w:t>
      </w:r>
    </w:p>
    <w:p w:rsidR="00000000" w:rsidRDefault="00A06965">
      <w:pPr>
        <w:pStyle w:val="DefaultParagraphFont"/>
        <w:widowControl w:val="0"/>
        <w:autoSpaceDE w:val="0"/>
        <w:autoSpaceDN w:val="0"/>
        <w:adjustRightInd w:val="0"/>
        <w:spacing w:after="0" w:line="10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left="480"/>
        <w:jc w:val="both"/>
        <w:rPr>
          <w:rFonts w:ascii="Times New Roman" w:hAnsi="Times New Roman" w:cs="Times New Roman"/>
          <w:sz w:val="24"/>
          <w:szCs w:val="24"/>
        </w:rPr>
      </w:pPr>
      <w:r>
        <w:rPr>
          <w:rFonts w:ascii="Times New Roman" w:hAnsi="Times New Roman" w:cs="Times New Roman"/>
          <w:sz w:val="20"/>
          <w:szCs w:val="20"/>
        </w:rPr>
        <w:t>Th</w:t>
      </w:r>
      <w:r>
        <w:rPr>
          <w:rFonts w:ascii="Times New Roman" w:hAnsi="Times New Roman" w:cs="Times New Roman"/>
          <w:sz w:val="20"/>
          <w:szCs w:val="20"/>
        </w:rPr>
        <w:t>e challenge for us is to generate ideas as rapidly as we generate cash. In this respect, a depressed stock market is likely to present us with significant advantages. For one thing, it tends to reduce the prices at which entire companies become available f</w:t>
      </w:r>
      <w:r>
        <w:rPr>
          <w:rFonts w:ascii="Times New Roman" w:hAnsi="Times New Roman" w:cs="Times New Roman"/>
          <w:sz w:val="20"/>
          <w:szCs w:val="20"/>
        </w:rPr>
        <w:t>or purchase. Second, a depressed market makes it easier for our insurance companies to buy small pieces of wonderful businesses – including additional pieces of businesses we already own – at attractive prices. And third, some of those same wonderful busin</w:t>
      </w:r>
      <w:r>
        <w:rPr>
          <w:rFonts w:ascii="Times New Roman" w:hAnsi="Times New Roman" w:cs="Times New Roman"/>
          <w:sz w:val="20"/>
          <w:szCs w:val="20"/>
        </w:rPr>
        <w:t>esses, such as Coca-Cola, are consistent buyers of their own shares, which means that they, and we, gain from the cheaper prices at which they can buy.</w:t>
      </w:r>
    </w:p>
    <w:p w:rsidR="00000000" w:rsidRDefault="00A06965">
      <w:pPr>
        <w:pStyle w:val="DefaultParagraphFont"/>
        <w:widowControl w:val="0"/>
        <w:autoSpaceDE w:val="0"/>
        <w:autoSpaceDN w:val="0"/>
        <w:adjustRightInd w:val="0"/>
        <w:spacing w:after="0" w:line="10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left="480"/>
        <w:jc w:val="both"/>
        <w:rPr>
          <w:rFonts w:ascii="Times New Roman" w:hAnsi="Times New Roman" w:cs="Times New Roman"/>
          <w:sz w:val="24"/>
          <w:szCs w:val="24"/>
        </w:rPr>
      </w:pPr>
      <w:r>
        <w:rPr>
          <w:rFonts w:ascii="Times New Roman" w:hAnsi="Times New Roman" w:cs="Times New Roman"/>
          <w:sz w:val="20"/>
          <w:szCs w:val="20"/>
        </w:rPr>
        <w:t>Overall, Berkshire and its long-term shareholders benefit from a sinking stock market much as a regular purchaser of food benefits from declining food prices. So when the market plummets – as it will from time to time – neither panic nor mourn. It’s good n</w:t>
      </w:r>
      <w:r>
        <w:rPr>
          <w:rFonts w:ascii="Times New Roman" w:hAnsi="Times New Roman" w:cs="Times New Roman"/>
          <w:sz w:val="20"/>
          <w:szCs w:val="20"/>
        </w:rPr>
        <w:t>ews for Berkshire.</w:t>
      </w:r>
    </w:p>
    <w:p w:rsidR="00000000" w:rsidRDefault="00A06965">
      <w:pPr>
        <w:pStyle w:val="DefaultParagraphFont"/>
        <w:widowControl w:val="0"/>
        <w:autoSpaceDE w:val="0"/>
        <w:autoSpaceDN w:val="0"/>
        <w:adjustRightInd w:val="0"/>
        <w:spacing w:after="0" w:line="103" w:lineRule="exact"/>
        <w:rPr>
          <w:rFonts w:ascii="Times New Roman" w:hAnsi="Times New Roman" w:cs="Times New Roman"/>
          <w:sz w:val="24"/>
          <w:szCs w:val="24"/>
        </w:rPr>
      </w:pPr>
    </w:p>
    <w:p w:rsidR="00000000" w:rsidRDefault="00A06965">
      <w:pPr>
        <w:pStyle w:val="DefaultParagraphFont"/>
        <w:widowControl w:val="0"/>
        <w:numPr>
          <w:ilvl w:val="0"/>
          <w:numId w:val="50"/>
        </w:numPr>
        <w:tabs>
          <w:tab w:val="clear" w:pos="720"/>
          <w:tab w:val="num" w:pos="480"/>
        </w:tabs>
        <w:overflowPunct w:val="0"/>
        <w:autoSpaceDE w:val="0"/>
        <w:autoSpaceDN w:val="0"/>
        <w:adjustRightInd w:val="0"/>
        <w:spacing w:after="0" w:line="246"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Because of our two-pronged approach to business ownership and because of the limitations of conventional accounting, consolidated reported earnings may reveal relatively little about our true economic performance. Charlie and I, both</w:t>
      </w:r>
      <w:r>
        <w:rPr>
          <w:rFonts w:ascii="Times New Roman" w:hAnsi="Times New Roman" w:cs="Times New Roman"/>
          <w:i/>
          <w:iCs/>
          <w:sz w:val="20"/>
          <w:szCs w:val="20"/>
        </w:rPr>
        <w:t xml:space="preserve"> as owners and managers, virtually ignore such consolidated numbers. However, we will also report to you the earnings of each major business we control, numbers we consider of great importance. These figures, along with other information we will supply abo</w:t>
      </w:r>
      <w:r>
        <w:rPr>
          <w:rFonts w:ascii="Times New Roman" w:hAnsi="Times New Roman" w:cs="Times New Roman"/>
          <w:i/>
          <w:iCs/>
          <w:sz w:val="20"/>
          <w:szCs w:val="20"/>
        </w:rPr>
        <w:t>ut the individual businesses, should generally aid you in making judgments about them.</w:t>
      </w:r>
    </w:p>
    <w:p w:rsidR="00000000" w:rsidRDefault="00A06965">
      <w:pPr>
        <w:pStyle w:val="DefaultParagraphFont"/>
        <w:widowControl w:val="0"/>
        <w:autoSpaceDE w:val="0"/>
        <w:autoSpaceDN w:val="0"/>
        <w:adjustRightInd w:val="0"/>
        <w:spacing w:after="0" w:line="99"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7" w:lineRule="auto"/>
        <w:ind w:left="480"/>
        <w:jc w:val="both"/>
        <w:rPr>
          <w:rFonts w:ascii="Times New Roman" w:hAnsi="Times New Roman" w:cs="Times New Roman"/>
          <w:sz w:val="20"/>
          <w:szCs w:val="20"/>
        </w:rPr>
      </w:pPr>
      <w:r>
        <w:rPr>
          <w:rFonts w:ascii="Times New Roman" w:hAnsi="Times New Roman" w:cs="Times New Roman"/>
          <w:sz w:val="20"/>
          <w:szCs w:val="20"/>
        </w:rPr>
        <w:t>To state things simply, we try to give you in the annual report the numbers and other information that really matter. Charlie and I pay a great deal of attention to ho</w:t>
      </w:r>
      <w:r>
        <w:rPr>
          <w:rFonts w:ascii="Times New Roman" w:hAnsi="Times New Roman" w:cs="Times New Roman"/>
          <w:sz w:val="20"/>
          <w:szCs w:val="20"/>
        </w:rPr>
        <w:t>w well our businesses are doing, and we also work to understand the environment in which each business is operating. For example, is one of our businesses enjoying an industry tailwind or is it facing a headwind? Charlie and I need to know exactly which si</w:t>
      </w:r>
      <w:r>
        <w:rPr>
          <w:rFonts w:ascii="Times New Roman" w:hAnsi="Times New Roman" w:cs="Times New Roman"/>
          <w:sz w:val="20"/>
          <w:szCs w:val="20"/>
        </w:rPr>
        <w:t>tuation prevails and to adjust our expectations accordingly. We will also pass along our conclusions to you.</w:t>
      </w:r>
    </w:p>
    <w:p w:rsidR="00000000" w:rsidRDefault="00A06965">
      <w:pPr>
        <w:pStyle w:val="DefaultParagraphFont"/>
        <w:widowControl w:val="0"/>
        <w:autoSpaceDE w:val="0"/>
        <w:autoSpaceDN w:val="0"/>
        <w:adjustRightInd w:val="0"/>
        <w:spacing w:after="0" w:line="96"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7" w:lineRule="auto"/>
        <w:ind w:left="480"/>
        <w:jc w:val="both"/>
        <w:rPr>
          <w:rFonts w:ascii="Times New Roman" w:hAnsi="Times New Roman" w:cs="Times New Roman"/>
          <w:sz w:val="20"/>
          <w:szCs w:val="20"/>
        </w:rPr>
      </w:pPr>
      <w:r>
        <w:rPr>
          <w:rFonts w:ascii="Times New Roman" w:hAnsi="Times New Roman" w:cs="Times New Roman"/>
          <w:sz w:val="20"/>
          <w:szCs w:val="20"/>
        </w:rPr>
        <w:t>Over time, the large majority of our businesses have exceeded our expectations. But sometimes we have disappointments, and we will try to be as c</w:t>
      </w:r>
      <w:r>
        <w:rPr>
          <w:rFonts w:ascii="Times New Roman" w:hAnsi="Times New Roman" w:cs="Times New Roman"/>
          <w:sz w:val="20"/>
          <w:szCs w:val="20"/>
        </w:rPr>
        <w:t>andid in informing you about those as we are in describing the happier experiences. When we use unconventional measures to chart our progress – for instance, you will be reading in our annual reports about insurance “float” – we will try to explain these c</w:t>
      </w:r>
      <w:r>
        <w:rPr>
          <w:rFonts w:ascii="Times New Roman" w:hAnsi="Times New Roman" w:cs="Times New Roman"/>
          <w:sz w:val="20"/>
          <w:szCs w:val="20"/>
        </w:rPr>
        <w:t>oncepts and why we regard them as important. In other words, we believe in telling you how we think so that you can evaluate not only Berkshire’s businesses but also assess our approach to management and capital allocation.</w:t>
      </w:r>
    </w:p>
    <w:p w:rsidR="00000000" w:rsidRDefault="00A06965">
      <w:pPr>
        <w:pStyle w:val="DefaultParagraphFont"/>
        <w:widowControl w:val="0"/>
        <w:autoSpaceDE w:val="0"/>
        <w:autoSpaceDN w:val="0"/>
        <w:adjustRightInd w:val="0"/>
        <w:spacing w:after="0" w:line="101" w:lineRule="exact"/>
        <w:rPr>
          <w:rFonts w:ascii="Times New Roman" w:hAnsi="Times New Roman" w:cs="Times New Roman"/>
          <w:sz w:val="20"/>
          <w:szCs w:val="20"/>
        </w:rPr>
      </w:pPr>
    </w:p>
    <w:p w:rsidR="00000000" w:rsidRDefault="00A06965">
      <w:pPr>
        <w:pStyle w:val="DefaultParagraphFont"/>
        <w:widowControl w:val="0"/>
        <w:numPr>
          <w:ilvl w:val="0"/>
          <w:numId w:val="50"/>
        </w:numPr>
        <w:tabs>
          <w:tab w:val="clear" w:pos="720"/>
          <w:tab w:val="num" w:pos="480"/>
        </w:tabs>
        <w:overflowPunct w:val="0"/>
        <w:autoSpaceDE w:val="0"/>
        <w:autoSpaceDN w:val="0"/>
        <w:adjustRightInd w:val="0"/>
        <w:spacing w:after="0" w:line="247"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Accounting consequences do n</w:t>
      </w:r>
      <w:r>
        <w:rPr>
          <w:rFonts w:ascii="Times New Roman" w:hAnsi="Times New Roman" w:cs="Times New Roman"/>
          <w:i/>
          <w:iCs/>
          <w:sz w:val="20"/>
          <w:szCs w:val="20"/>
        </w:rPr>
        <w:t xml:space="preserve">ot influence our operating or capital-allocation decisions. When acquisition costs are similar, we much prefer to purchase $2 of earnings that is not reportable by us under standard accounting principles than to purchase $1 of earnings that is reportable. </w:t>
      </w:r>
      <w:r>
        <w:rPr>
          <w:rFonts w:ascii="Times New Roman" w:hAnsi="Times New Roman" w:cs="Times New Roman"/>
          <w:i/>
          <w:iCs/>
          <w:sz w:val="20"/>
          <w:szCs w:val="20"/>
        </w:rPr>
        <w:t>This is precisely the choice that often faces us since entire businesses (whose earnings will be fully reportable) frequently sell for double the pro-rata price of small portions (whose earnings will be largely unreportable). In aggregate and over time, we</w:t>
      </w:r>
      <w:r>
        <w:rPr>
          <w:rFonts w:ascii="Times New Roman" w:hAnsi="Times New Roman" w:cs="Times New Roman"/>
          <w:i/>
          <w:iCs/>
          <w:sz w:val="20"/>
          <w:szCs w:val="20"/>
        </w:rPr>
        <w:t xml:space="preserve"> expect the unreported earnings to be fully reflected in our intrinsic business value through capital gains.</w:t>
      </w:r>
    </w:p>
    <w:p w:rsidR="00000000" w:rsidRDefault="00A06965">
      <w:pPr>
        <w:pStyle w:val="DefaultParagraphFont"/>
        <w:widowControl w:val="0"/>
        <w:autoSpaceDE w:val="0"/>
        <w:autoSpaceDN w:val="0"/>
        <w:adjustRightInd w:val="0"/>
        <w:spacing w:after="0" w:line="97"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8" w:lineRule="auto"/>
        <w:ind w:left="480"/>
        <w:jc w:val="both"/>
        <w:rPr>
          <w:rFonts w:ascii="Times New Roman" w:hAnsi="Times New Roman" w:cs="Times New Roman"/>
          <w:sz w:val="20"/>
          <w:szCs w:val="20"/>
        </w:rPr>
      </w:pPr>
      <w:r>
        <w:rPr>
          <w:rFonts w:ascii="Times New Roman" w:hAnsi="Times New Roman" w:cs="Times New Roman"/>
          <w:sz w:val="20"/>
          <w:szCs w:val="20"/>
        </w:rPr>
        <w:t>We have found over time that the undistributed earnings of our investees, in aggregate, have been fully as beneficial to Berkshire as if they had been distributed to us (and therefore had been included in the earnings we officially report). This pleasant r</w:t>
      </w:r>
      <w:r>
        <w:rPr>
          <w:rFonts w:ascii="Times New Roman" w:hAnsi="Times New Roman" w:cs="Times New Roman"/>
          <w:sz w:val="20"/>
          <w:szCs w:val="20"/>
        </w:rPr>
        <w:t>esult has occurred because most of our investees are engaged in truly outstanding businesses that can often employ incremental capital to great advantage, either by putting it to work in their businesses or by repurchasing their shares. Obviously, every ca</w:t>
      </w:r>
      <w:r>
        <w:rPr>
          <w:rFonts w:ascii="Times New Roman" w:hAnsi="Times New Roman" w:cs="Times New Roman"/>
          <w:sz w:val="20"/>
          <w:szCs w:val="20"/>
        </w:rPr>
        <w:t>pital decision that our investees have made has not benefitted us as shareholders, but overall we have garnered far more than a dollar of value for each dollar they have retained. We consequently regard look-through earnings as realistically portraying our</w:t>
      </w:r>
      <w:r>
        <w:rPr>
          <w:rFonts w:ascii="Times New Roman" w:hAnsi="Times New Roman" w:cs="Times New Roman"/>
          <w:sz w:val="20"/>
          <w:szCs w:val="20"/>
        </w:rPr>
        <w:t xml:space="preserve"> yearly gain from operations.</w:t>
      </w:r>
    </w:p>
    <w:p w:rsidR="00000000" w:rsidRDefault="00A06965">
      <w:pPr>
        <w:pStyle w:val="DefaultParagraphFont"/>
        <w:widowControl w:val="0"/>
        <w:autoSpaceDE w:val="0"/>
        <w:autoSpaceDN w:val="0"/>
        <w:adjustRightInd w:val="0"/>
        <w:spacing w:after="0" w:line="98" w:lineRule="exact"/>
        <w:rPr>
          <w:rFonts w:ascii="Times New Roman" w:hAnsi="Times New Roman" w:cs="Times New Roman"/>
          <w:sz w:val="20"/>
          <w:szCs w:val="20"/>
        </w:rPr>
      </w:pPr>
    </w:p>
    <w:p w:rsidR="00000000" w:rsidRDefault="00A06965">
      <w:pPr>
        <w:pStyle w:val="DefaultParagraphFont"/>
        <w:widowControl w:val="0"/>
        <w:numPr>
          <w:ilvl w:val="0"/>
          <w:numId w:val="50"/>
        </w:numPr>
        <w:tabs>
          <w:tab w:val="clear" w:pos="720"/>
          <w:tab w:val="num" w:pos="480"/>
        </w:tabs>
        <w:overflowPunct w:val="0"/>
        <w:autoSpaceDE w:val="0"/>
        <w:autoSpaceDN w:val="0"/>
        <w:adjustRightInd w:val="0"/>
        <w:spacing w:after="0" w:line="246"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We use debt sparingly and, when we do borrow, we attempt to structure our loans on a long-term fixed-rate basis. We will reject interesting opportunities rather than over-leverage our balance sheet. This conservatism has p</w:t>
      </w:r>
      <w:r>
        <w:rPr>
          <w:rFonts w:ascii="Times New Roman" w:hAnsi="Times New Roman" w:cs="Times New Roman"/>
          <w:i/>
          <w:iCs/>
          <w:sz w:val="20"/>
          <w:szCs w:val="20"/>
        </w:rPr>
        <w:t xml:space="preserve">enalized our results but it is the only behavior that leaves us comfortable, considering our fiduciary obligations to policyholders, lenders and the many equity holders who have committed unusually large portions of their net worth to our care. (As one of </w:t>
      </w:r>
      <w:r>
        <w:rPr>
          <w:rFonts w:ascii="Times New Roman" w:hAnsi="Times New Roman" w:cs="Times New Roman"/>
          <w:i/>
          <w:iCs/>
          <w:sz w:val="20"/>
          <w:szCs w:val="20"/>
        </w:rPr>
        <w:t>the Indianapolis “500” winners said: “To finish first, you must first finish.”)</w:t>
      </w:r>
    </w:p>
    <w:p w:rsidR="00000000" w:rsidRDefault="00A06965">
      <w:pPr>
        <w:pStyle w:val="DefaultParagraphFont"/>
        <w:widowControl w:val="0"/>
        <w:autoSpaceDE w:val="0"/>
        <w:autoSpaceDN w:val="0"/>
        <w:adjustRightInd w:val="0"/>
        <w:spacing w:after="0" w:line="99"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3" w:lineRule="auto"/>
        <w:ind w:left="480"/>
        <w:jc w:val="both"/>
        <w:rPr>
          <w:rFonts w:ascii="Times New Roman" w:hAnsi="Times New Roman" w:cs="Times New Roman"/>
          <w:sz w:val="20"/>
          <w:szCs w:val="20"/>
        </w:rPr>
      </w:pPr>
      <w:r>
        <w:rPr>
          <w:rFonts w:ascii="Times New Roman" w:hAnsi="Times New Roman" w:cs="Times New Roman"/>
          <w:sz w:val="20"/>
          <w:szCs w:val="20"/>
        </w:rPr>
        <w:t>The financial calculus that Charlie and I employ would never permit our trading a good night’s sleep for a shot at a few extra percentage points of return. I’ve never believe</w:t>
      </w:r>
      <w:r>
        <w:rPr>
          <w:rFonts w:ascii="Times New Roman" w:hAnsi="Times New Roman" w:cs="Times New Roman"/>
          <w:sz w:val="20"/>
          <w:szCs w:val="20"/>
        </w:rPr>
        <w:t>d in risking what my family and friends have and need in order to pursue what they don’t have and don’t need.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904" w:right="720" w:bottom="523" w:left="720" w:header="720" w:footer="720" w:gutter="0"/>
          <w:cols w:space="720" w:equalWidth="0">
            <w:col w:w="108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118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904" w:right="5960" w:bottom="523" w:left="5980" w:header="720" w:footer="720" w:gutter="0"/>
          <w:cols w:space="720" w:equalWidth="0">
            <w:col w:w="300"/>
          </w:cols>
          <w:noEndnote/>
        </w:sectPr>
      </w:pPr>
    </w:p>
    <w:p w:rsidR="00000000" w:rsidRDefault="00A06965">
      <w:pPr>
        <w:pStyle w:val="DefaultParagraphFont"/>
        <w:widowControl w:val="0"/>
        <w:overflowPunct w:val="0"/>
        <w:autoSpaceDE w:val="0"/>
        <w:autoSpaceDN w:val="0"/>
        <w:adjustRightInd w:val="0"/>
        <w:spacing w:after="0" w:line="245" w:lineRule="auto"/>
        <w:ind w:left="480"/>
        <w:jc w:val="both"/>
        <w:rPr>
          <w:rFonts w:ascii="Times New Roman" w:hAnsi="Times New Roman" w:cs="Times New Roman"/>
          <w:sz w:val="24"/>
          <w:szCs w:val="24"/>
        </w:rPr>
      </w:pPr>
      <w:r>
        <w:rPr>
          <w:rFonts w:ascii="Times New Roman" w:hAnsi="Times New Roman" w:cs="Times New Roman"/>
          <w:sz w:val="20"/>
          <w:szCs w:val="20"/>
        </w:rPr>
        <w:t>Besides, Berkshire has access to two low-cost, non-perilous sources of leverage that allow us to safely own far more assets than our equity capital alone would permit: deferred taxes and “float,” the funds of others that our insurance business holds becaus</w:t>
      </w:r>
      <w:r>
        <w:rPr>
          <w:rFonts w:ascii="Times New Roman" w:hAnsi="Times New Roman" w:cs="Times New Roman"/>
          <w:sz w:val="20"/>
          <w:szCs w:val="20"/>
        </w:rPr>
        <w:t>e it receives premiums before needing to pay out losses. Both of these funding sources have grown rapidly and now total about $146 billion.</w:t>
      </w:r>
    </w:p>
    <w:p w:rsidR="00000000" w:rsidRDefault="00A0696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left="480"/>
        <w:jc w:val="both"/>
        <w:rPr>
          <w:rFonts w:ascii="Times New Roman" w:hAnsi="Times New Roman" w:cs="Times New Roman"/>
          <w:sz w:val="24"/>
          <w:szCs w:val="24"/>
        </w:rPr>
      </w:pPr>
      <w:r>
        <w:rPr>
          <w:rFonts w:ascii="Times New Roman" w:hAnsi="Times New Roman" w:cs="Times New Roman"/>
          <w:sz w:val="20"/>
          <w:szCs w:val="20"/>
        </w:rPr>
        <w:t>Better yet, this funding to date has often been cost-free. Deferred tax liabilities bear no interest. And as long a</w:t>
      </w:r>
      <w:r>
        <w:rPr>
          <w:rFonts w:ascii="Times New Roman" w:hAnsi="Times New Roman" w:cs="Times New Roman"/>
          <w:sz w:val="20"/>
          <w:szCs w:val="20"/>
        </w:rPr>
        <w:t>s we can break even in our insurance underwriting the cost of the float developed from that operation is zero. Neither item, of course, is equity; these are real liabilities. But they are liabilities without covenants or due dates attached to them. In effe</w:t>
      </w:r>
      <w:r>
        <w:rPr>
          <w:rFonts w:ascii="Times New Roman" w:hAnsi="Times New Roman" w:cs="Times New Roman"/>
          <w:sz w:val="20"/>
          <w:szCs w:val="20"/>
        </w:rPr>
        <w:t>ct, they give us the benefit of debt – an ability to have more assets working for us – but saddle us with none of its drawbacks.</w:t>
      </w:r>
    </w:p>
    <w:p w:rsidR="00000000" w:rsidRDefault="00A0696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left="480"/>
        <w:jc w:val="both"/>
        <w:rPr>
          <w:rFonts w:ascii="Times New Roman" w:hAnsi="Times New Roman" w:cs="Times New Roman"/>
          <w:sz w:val="24"/>
          <w:szCs w:val="24"/>
        </w:rPr>
      </w:pPr>
      <w:r>
        <w:rPr>
          <w:rFonts w:ascii="Times New Roman" w:hAnsi="Times New Roman" w:cs="Times New Roman"/>
          <w:sz w:val="20"/>
          <w:szCs w:val="20"/>
        </w:rPr>
        <w:t>Of course, there is no guarantee that we can obtain our float in the future at no cost. But we feel our chances of attaining t</w:t>
      </w:r>
      <w:r>
        <w:rPr>
          <w:rFonts w:ascii="Times New Roman" w:hAnsi="Times New Roman" w:cs="Times New Roman"/>
          <w:sz w:val="20"/>
          <w:szCs w:val="20"/>
        </w:rPr>
        <w:t>hat goal are as good as those of anyone in the insurance business. Not only have we reached the goal in the past (despite a number of important mistakes by your Chairman), our 1996 acquisition of GEICO, materially improved our prospects for getting there i</w:t>
      </w:r>
      <w:r>
        <w:rPr>
          <w:rFonts w:ascii="Times New Roman" w:hAnsi="Times New Roman" w:cs="Times New Roman"/>
          <w:sz w:val="20"/>
          <w:szCs w:val="20"/>
        </w:rPr>
        <w:t>n the future.</w:t>
      </w:r>
    </w:p>
    <w:p w:rsidR="00000000" w:rsidRDefault="00A06965">
      <w:pPr>
        <w:pStyle w:val="DefaultParagraphFont"/>
        <w:widowControl w:val="0"/>
        <w:autoSpaceDE w:val="0"/>
        <w:autoSpaceDN w:val="0"/>
        <w:adjustRightInd w:val="0"/>
        <w:spacing w:after="0" w:line="12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left="480"/>
        <w:jc w:val="both"/>
        <w:rPr>
          <w:rFonts w:ascii="Times New Roman" w:hAnsi="Times New Roman" w:cs="Times New Roman"/>
          <w:sz w:val="24"/>
          <w:szCs w:val="24"/>
        </w:rPr>
      </w:pPr>
      <w:r>
        <w:rPr>
          <w:rFonts w:ascii="Times New Roman" w:hAnsi="Times New Roman" w:cs="Times New Roman"/>
          <w:sz w:val="20"/>
          <w:szCs w:val="20"/>
        </w:rPr>
        <w:t>In our present configuration (2014) we expect additional borrowings to be concentrated in our utilities and railroad businesses, loans that are non-recourse to Berkshire. Here, we will favor long-term, fixed-rate loans.</w:t>
      </w:r>
    </w:p>
    <w:p w:rsidR="00000000" w:rsidRDefault="00A06965">
      <w:pPr>
        <w:pStyle w:val="DefaultParagraphFont"/>
        <w:widowControl w:val="0"/>
        <w:autoSpaceDE w:val="0"/>
        <w:autoSpaceDN w:val="0"/>
        <w:adjustRightInd w:val="0"/>
        <w:spacing w:after="0" w:line="126" w:lineRule="exact"/>
        <w:rPr>
          <w:rFonts w:ascii="Times New Roman" w:hAnsi="Times New Roman" w:cs="Times New Roman"/>
          <w:sz w:val="24"/>
          <w:szCs w:val="24"/>
        </w:rPr>
      </w:pPr>
    </w:p>
    <w:p w:rsidR="00000000" w:rsidRDefault="00A06965">
      <w:pPr>
        <w:pStyle w:val="DefaultParagraphFont"/>
        <w:widowControl w:val="0"/>
        <w:numPr>
          <w:ilvl w:val="0"/>
          <w:numId w:val="51"/>
        </w:numPr>
        <w:tabs>
          <w:tab w:val="clear" w:pos="720"/>
          <w:tab w:val="num" w:pos="480"/>
        </w:tabs>
        <w:overflowPunct w:val="0"/>
        <w:autoSpaceDE w:val="0"/>
        <w:autoSpaceDN w:val="0"/>
        <w:adjustRightInd w:val="0"/>
        <w:spacing w:after="0" w:line="245"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A managerial “</w:t>
      </w:r>
      <w:r>
        <w:rPr>
          <w:rFonts w:ascii="Times New Roman" w:hAnsi="Times New Roman" w:cs="Times New Roman"/>
          <w:i/>
          <w:iCs/>
          <w:sz w:val="20"/>
          <w:szCs w:val="20"/>
        </w:rPr>
        <w:t>wish list” will not be filled at shareholder expense. We will not diversify by purchasing entire businesses at control prices that ignore long-term economic consequences to our shareholders. We will only do with your money what we would do with our own, we</w:t>
      </w:r>
      <w:r>
        <w:rPr>
          <w:rFonts w:ascii="Times New Roman" w:hAnsi="Times New Roman" w:cs="Times New Roman"/>
          <w:i/>
          <w:iCs/>
          <w:sz w:val="20"/>
          <w:szCs w:val="20"/>
        </w:rPr>
        <w:t>ighing fully the values you can obtain by diversifying your own portfolios through direct purchases in the stock market.</w:t>
      </w:r>
    </w:p>
    <w:p w:rsidR="00000000" w:rsidRDefault="00A06965">
      <w:pPr>
        <w:pStyle w:val="DefaultParagraphFont"/>
        <w:widowControl w:val="0"/>
        <w:autoSpaceDE w:val="0"/>
        <w:autoSpaceDN w:val="0"/>
        <w:adjustRightInd w:val="0"/>
        <w:spacing w:after="0" w:line="118"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38" w:lineRule="auto"/>
        <w:ind w:left="480"/>
        <w:jc w:val="both"/>
        <w:rPr>
          <w:rFonts w:ascii="Times New Roman" w:hAnsi="Times New Roman" w:cs="Times New Roman"/>
          <w:sz w:val="20"/>
          <w:szCs w:val="20"/>
        </w:rPr>
      </w:pPr>
      <w:r>
        <w:rPr>
          <w:rFonts w:ascii="Times New Roman" w:hAnsi="Times New Roman" w:cs="Times New Roman"/>
          <w:sz w:val="20"/>
          <w:szCs w:val="20"/>
        </w:rPr>
        <w:t xml:space="preserve">Charlie and I are interested only in acquisitions that we believe will raise the </w:t>
      </w:r>
      <w:r>
        <w:rPr>
          <w:rFonts w:ascii="Times New Roman" w:hAnsi="Times New Roman" w:cs="Times New Roman"/>
          <w:i/>
          <w:iCs/>
          <w:sz w:val="20"/>
          <w:szCs w:val="20"/>
        </w:rPr>
        <w:t>per-share</w:t>
      </w:r>
      <w:r>
        <w:rPr>
          <w:rFonts w:ascii="Times New Roman" w:hAnsi="Times New Roman" w:cs="Times New Roman"/>
          <w:sz w:val="20"/>
          <w:szCs w:val="20"/>
        </w:rPr>
        <w:t xml:space="preserve"> intrinsic value of Berkshire’s stock. The </w:t>
      </w:r>
      <w:r>
        <w:rPr>
          <w:rFonts w:ascii="Times New Roman" w:hAnsi="Times New Roman" w:cs="Times New Roman"/>
          <w:sz w:val="20"/>
          <w:szCs w:val="20"/>
        </w:rPr>
        <w:t>size of our paychecks or our offices will never be related to the size of Berkshire’s balance sheet.</w:t>
      </w:r>
    </w:p>
    <w:p w:rsidR="00000000" w:rsidRDefault="00A06965">
      <w:pPr>
        <w:pStyle w:val="DefaultParagraphFont"/>
        <w:widowControl w:val="0"/>
        <w:autoSpaceDE w:val="0"/>
        <w:autoSpaceDN w:val="0"/>
        <w:adjustRightInd w:val="0"/>
        <w:spacing w:after="0" w:line="125" w:lineRule="exact"/>
        <w:rPr>
          <w:rFonts w:ascii="Times New Roman" w:hAnsi="Times New Roman" w:cs="Times New Roman"/>
          <w:sz w:val="20"/>
          <w:szCs w:val="20"/>
        </w:rPr>
      </w:pPr>
    </w:p>
    <w:p w:rsidR="00000000" w:rsidRDefault="00A06965">
      <w:pPr>
        <w:pStyle w:val="DefaultParagraphFont"/>
        <w:widowControl w:val="0"/>
        <w:numPr>
          <w:ilvl w:val="0"/>
          <w:numId w:val="51"/>
        </w:numPr>
        <w:tabs>
          <w:tab w:val="clear" w:pos="720"/>
          <w:tab w:val="num" w:pos="480"/>
        </w:tabs>
        <w:overflowPunct w:val="0"/>
        <w:autoSpaceDE w:val="0"/>
        <w:autoSpaceDN w:val="0"/>
        <w:adjustRightInd w:val="0"/>
        <w:spacing w:after="0" w:line="245"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 xml:space="preserve">We feel noble intentions should be checked periodically against results. We test the wisdom of retaining earnings by assessing whether retention, over </w:t>
      </w:r>
      <w:r>
        <w:rPr>
          <w:rFonts w:ascii="Times New Roman" w:hAnsi="Times New Roman" w:cs="Times New Roman"/>
          <w:i/>
          <w:iCs/>
          <w:sz w:val="20"/>
          <w:szCs w:val="20"/>
        </w:rPr>
        <w:t>time, delivers shareholders at least $1 of market value for each $1 retained. To date, this test has been met. We will continue to apply it on a five-year rolling basis. As our net worth grows, it is more difficult to use retained earnings wisely.</w:t>
      </w:r>
    </w:p>
    <w:p w:rsidR="00000000" w:rsidRDefault="00A06965">
      <w:pPr>
        <w:pStyle w:val="DefaultParagraphFont"/>
        <w:widowControl w:val="0"/>
        <w:autoSpaceDE w:val="0"/>
        <w:autoSpaceDN w:val="0"/>
        <w:adjustRightInd w:val="0"/>
        <w:spacing w:after="0" w:line="118"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38" w:lineRule="auto"/>
        <w:ind w:left="480"/>
        <w:jc w:val="both"/>
        <w:rPr>
          <w:rFonts w:ascii="Times New Roman" w:hAnsi="Times New Roman" w:cs="Times New Roman"/>
          <w:sz w:val="20"/>
          <w:szCs w:val="20"/>
        </w:rPr>
      </w:pPr>
      <w:r>
        <w:rPr>
          <w:rFonts w:ascii="Times New Roman" w:hAnsi="Times New Roman" w:cs="Times New Roman"/>
          <w:sz w:val="20"/>
          <w:szCs w:val="20"/>
        </w:rPr>
        <w:t>I shou</w:t>
      </w:r>
      <w:r>
        <w:rPr>
          <w:rFonts w:ascii="Times New Roman" w:hAnsi="Times New Roman" w:cs="Times New Roman"/>
          <w:sz w:val="20"/>
          <w:szCs w:val="20"/>
        </w:rPr>
        <w:t>ld have written the “five-year rolling basis” sentence differently, an error I didn’t realize until I received a question about this subject at the 2009 annual meeting.</w:t>
      </w:r>
    </w:p>
    <w:p w:rsidR="00000000" w:rsidRDefault="00A06965">
      <w:pPr>
        <w:pStyle w:val="DefaultParagraphFont"/>
        <w:widowControl w:val="0"/>
        <w:autoSpaceDE w:val="0"/>
        <w:autoSpaceDN w:val="0"/>
        <w:adjustRightInd w:val="0"/>
        <w:spacing w:after="0" w:line="123"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3" w:lineRule="auto"/>
        <w:ind w:left="480"/>
        <w:jc w:val="both"/>
        <w:rPr>
          <w:rFonts w:ascii="Times New Roman" w:hAnsi="Times New Roman" w:cs="Times New Roman"/>
          <w:sz w:val="20"/>
          <w:szCs w:val="20"/>
        </w:rPr>
      </w:pPr>
      <w:r>
        <w:rPr>
          <w:rFonts w:ascii="Times New Roman" w:hAnsi="Times New Roman" w:cs="Times New Roman"/>
          <w:sz w:val="20"/>
          <w:szCs w:val="20"/>
        </w:rPr>
        <w:t>When the stock market has declined sharply over a five-year stretch, our market-price</w:t>
      </w:r>
      <w:r>
        <w:rPr>
          <w:rFonts w:ascii="Times New Roman" w:hAnsi="Times New Roman" w:cs="Times New Roman"/>
          <w:sz w:val="20"/>
          <w:szCs w:val="20"/>
        </w:rPr>
        <w:t xml:space="preserve"> premium to book value has sometimes shrunk. And when that happens, we fail the test as I improperly formulated it. In fact, we fell far short as early as 1971-75, well before I wrote this principle in 1983.</w:t>
      </w:r>
    </w:p>
    <w:p w:rsidR="00000000" w:rsidRDefault="00A06965">
      <w:pPr>
        <w:pStyle w:val="DefaultParagraphFont"/>
        <w:widowControl w:val="0"/>
        <w:autoSpaceDE w:val="0"/>
        <w:autoSpaceDN w:val="0"/>
        <w:adjustRightInd w:val="0"/>
        <w:spacing w:after="0" w:line="121"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3" w:lineRule="auto"/>
        <w:ind w:left="480"/>
        <w:jc w:val="both"/>
        <w:rPr>
          <w:rFonts w:ascii="Times New Roman" w:hAnsi="Times New Roman" w:cs="Times New Roman"/>
          <w:sz w:val="20"/>
          <w:szCs w:val="20"/>
        </w:rPr>
      </w:pPr>
      <w:r>
        <w:rPr>
          <w:rFonts w:ascii="Times New Roman" w:hAnsi="Times New Roman" w:cs="Times New Roman"/>
          <w:sz w:val="20"/>
          <w:szCs w:val="20"/>
        </w:rPr>
        <w:t>The five-year test should be: (1) during the p</w:t>
      </w:r>
      <w:r>
        <w:rPr>
          <w:rFonts w:ascii="Times New Roman" w:hAnsi="Times New Roman" w:cs="Times New Roman"/>
          <w:sz w:val="20"/>
          <w:szCs w:val="20"/>
        </w:rPr>
        <w:t>eriod did our book-value gain exceed the performance of the S&amp;P; and (2) did our stock consistently sell at a premium to book, meaning that every $1 of retained earnings was always worth more than $1? If these tests are met, retaining earnings has made sen</w:t>
      </w:r>
      <w:r>
        <w:rPr>
          <w:rFonts w:ascii="Times New Roman" w:hAnsi="Times New Roman" w:cs="Times New Roman"/>
          <w:sz w:val="20"/>
          <w:szCs w:val="20"/>
        </w:rPr>
        <w:t>se.</w:t>
      </w:r>
    </w:p>
    <w:p w:rsidR="00000000" w:rsidRDefault="00A06965">
      <w:pPr>
        <w:pStyle w:val="DefaultParagraphFont"/>
        <w:widowControl w:val="0"/>
        <w:autoSpaceDE w:val="0"/>
        <w:autoSpaceDN w:val="0"/>
        <w:adjustRightInd w:val="0"/>
        <w:spacing w:after="0" w:line="123" w:lineRule="exact"/>
        <w:rPr>
          <w:rFonts w:ascii="Times New Roman" w:hAnsi="Times New Roman" w:cs="Times New Roman"/>
          <w:sz w:val="20"/>
          <w:szCs w:val="20"/>
        </w:rPr>
      </w:pPr>
    </w:p>
    <w:p w:rsidR="00000000" w:rsidRDefault="00A06965">
      <w:pPr>
        <w:pStyle w:val="DefaultParagraphFont"/>
        <w:widowControl w:val="0"/>
        <w:numPr>
          <w:ilvl w:val="0"/>
          <w:numId w:val="51"/>
        </w:numPr>
        <w:tabs>
          <w:tab w:val="clear" w:pos="720"/>
          <w:tab w:val="num" w:pos="480"/>
        </w:tabs>
        <w:overflowPunct w:val="0"/>
        <w:autoSpaceDE w:val="0"/>
        <w:autoSpaceDN w:val="0"/>
        <w:adjustRightInd w:val="0"/>
        <w:spacing w:after="0" w:line="245"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We will issue common stock only when we receive as much in business value as we give. This rule applies to all forms of issuance – not only mergers or public stock offerings, but stock-for-debt swaps, stock options, and convertible securities as w</w:t>
      </w:r>
      <w:r>
        <w:rPr>
          <w:rFonts w:ascii="Times New Roman" w:hAnsi="Times New Roman" w:cs="Times New Roman"/>
          <w:i/>
          <w:iCs/>
          <w:sz w:val="20"/>
          <w:szCs w:val="20"/>
        </w:rPr>
        <w:t>ell. We will not sell small portions of your company – and that is what the issuance of shares amounts to – on a basis inconsistent with the value of the entire enterprise.</w:t>
      </w:r>
    </w:p>
    <w:p w:rsidR="00000000" w:rsidRDefault="00A06965">
      <w:pPr>
        <w:pStyle w:val="DefaultParagraphFont"/>
        <w:widowControl w:val="0"/>
        <w:autoSpaceDE w:val="0"/>
        <w:autoSpaceDN w:val="0"/>
        <w:adjustRightInd w:val="0"/>
        <w:spacing w:after="0" w:line="118"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8" w:lineRule="auto"/>
        <w:ind w:left="480"/>
        <w:jc w:val="both"/>
        <w:rPr>
          <w:rFonts w:ascii="Times New Roman" w:hAnsi="Times New Roman" w:cs="Times New Roman"/>
          <w:sz w:val="20"/>
          <w:szCs w:val="20"/>
        </w:rPr>
      </w:pPr>
      <w:r>
        <w:rPr>
          <w:rFonts w:ascii="Times New Roman" w:hAnsi="Times New Roman" w:cs="Times New Roman"/>
          <w:sz w:val="20"/>
          <w:szCs w:val="20"/>
        </w:rPr>
        <w:t xml:space="preserve">When we sold the Class B shares in 1996, we stated that Berkshire stock was not undervalued – and some people found that shocking. That reaction was not well-founded. Shock should have registered instead had we issued shares when our stock </w:t>
      </w:r>
      <w:r>
        <w:rPr>
          <w:rFonts w:ascii="Times New Roman" w:hAnsi="Times New Roman" w:cs="Times New Roman"/>
          <w:i/>
          <w:iCs/>
          <w:sz w:val="20"/>
          <w:szCs w:val="20"/>
        </w:rPr>
        <w:t>was</w:t>
      </w:r>
      <w:r>
        <w:rPr>
          <w:rFonts w:ascii="Times New Roman" w:hAnsi="Times New Roman" w:cs="Times New Roman"/>
          <w:sz w:val="20"/>
          <w:szCs w:val="20"/>
        </w:rPr>
        <w:t xml:space="preserve"> undervalued.</w:t>
      </w:r>
      <w:r>
        <w:rPr>
          <w:rFonts w:ascii="Times New Roman" w:hAnsi="Times New Roman" w:cs="Times New Roman"/>
          <w:sz w:val="20"/>
          <w:szCs w:val="20"/>
        </w:rPr>
        <w:t xml:space="preserve"> Managements that say or imply during a public offering that their stock is undervalued are usually being economical with the truth or uneconomical with their existing shareholders’ money: Owners unfairly lose if their managers deliberately sell assets for</w:t>
      </w:r>
      <w:r>
        <w:rPr>
          <w:rFonts w:ascii="Times New Roman" w:hAnsi="Times New Roman" w:cs="Times New Roman"/>
          <w:sz w:val="20"/>
          <w:szCs w:val="20"/>
        </w:rPr>
        <w:t xml:space="preserve"> 80¢ that in fact are worth $1. We didn’t commit that kind of crime in our offering of Class B shares and we never will. (We did </w:t>
      </w:r>
      <w:r>
        <w:rPr>
          <w:rFonts w:ascii="Times New Roman" w:hAnsi="Times New Roman" w:cs="Times New Roman"/>
          <w:i/>
          <w:iCs/>
          <w:sz w:val="20"/>
          <w:szCs w:val="20"/>
        </w:rPr>
        <w:t>not</w:t>
      </w:r>
      <w:r>
        <w:rPr>
          <w:rFonts w:ascii="Times New Roman" w:hAnsi="Times New Roman" w:cs="Times New Roman"/>
          <w:sz w:val="20"/>
          <w:szCs w:val="20"/>
        </w:rPr>
        <w:t>, however, say at the time of the sale that our stock was overvalued, though many media have reported that we did.)</w:t>
      </w:r>
    </w:p>
    <w:p w:rsidR="00000000" w:rsidRDefault="00A06965">
      <w:pPr>
        <w:pStyle w:val="DefaultParagraphFont"/>
        <w:widowControl w:val="0"/>
        <w:autoSpaceDE w:val="0"/>
        <w:autoSpaceDN w:val="0"/>
        <w:adjustRightInd w:val="0"/>
        <w:spacing w:after="0" w:line="118" w:lineRule="exact"/>
        <w:rPr>
          <w:rFonts w:ascii="Times New Roman" w:hAnsi="Times New Roman" w:cs="Times New Roman"/>
          <w:sz w:val="20"/>
          <w:szCs w:val="20"/>
        </w:rPr>
      </w:pPr>
    </w:p>
    <w:p w:rsidR="00000000" w:rsidRDefault="00A06965">
      <w:pPr>
        <w:pStyle w:val="DefaultParagraphFont"/>
        <w:widowControl w:val="0"/>
        <w:numPr>
          <w:ilvl w:val="0"/>
          <w:numId w:val="51"/>
        </w:numPr>
        <w:tabs>
          <w:tab w:val="clear" w:pos="720"/>
          <w:tab w:val="num" w:pos="480"/>
        </w:tabs>
        <w:overflowPunct w:val="0"/>
        <w:autoSpaceDE w:val="0"/>
        <w:autoSpaceDN w:val="0"/>
        <w:adjustRightInd w:val="0"/>
        <w:spacing w:after="0" w:line="248"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You</w:t>
      </w:r>
      <w:r>
        <w:rPr>
          <w:rFonts w:ascii="Times New Roman" w:hAnsi="Times New Roman" w:cs="Times New Roman"/>
          <w:i/>
          <w:iCs/>
          <w:sz w:val="20"/>
          <w:szCs w:val="20"/>
        </w:rPr>
        <w:t xml:space="preserve"> should be fully aware of one attitude Charlie and I share that hurts our financial performance: Regardless of price, we have no interest at all in selling any good businesses that Berkshire owns. We are also very reluctant to sell sub-par businesses as lo</w:t>
      </w:r>
      <w:r>
        <w:rPr>
          <w:rFonts w:ascii="Times New Roman" w:hAnsi="Times New Roman" w:cs="Times New Roman"/>
          <w:i/>
          <w:iCs/>
          <w:sz w:val="20"/>
          <w:szCs w:val="20"/>
        </w:rPr>
        <w:t>ng as we expect them to generate at least some cash and as long as we feel good about their managers and labor relations. We hope not to repeat the capital-allocation mistakes that led us into such sub-par businesses. And we react with great caution to sug</w:t>
      </w:r>
      <w:r>
        <w:rPr>
          <w:rFonts w:ascii="Times New Roman" w:hAnsi="Times New Roman" w:cs="Times New Roman"/>
          <w:i/>
          <w:iCs/>
          <w:sz w:val="20"/>
          <w:szCs w:val="20"/>
        </w:rPr>
        <w:t>gestions that our poor businesses can be restored to satisfactory profitability by major capital expenditures. (The projections will be dazzling and the advocates sincere, but, in the end, major additional investment in a terrible industry usually is about</w:t>
      </w:r>
      <w:r>
        <w:rPr>
          <w:rFonts w:ascii="Times New Roman" w:hAnsi="Times New Roman" w:cs="Times New Roman"/>
          <w:i/>
          <w:iCs/>
          <w:sz w:val="20"/>
          <w:szCs w:val="20"/>
        </w:rPr>
        <w:t xml:space="preserve"> as rewarding as struggling in quicksand.) Nevertheless, gin rummy managerial behavior (discard your least promising business at each turn) is not our style. We would rather have our overall results penalized a bit than engage in that kind of behavior.</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904" w:right="720" w:bottom="523" w:left="720" w:header="720" w:footer="720" w:gutter="0"/>
          <w:cols w:space="720" w:equalWidth="0">
            <w:col w:w="10800"/>
          </w:cols>
          <w:noEndnote/>
        </w:sectPr>
      </w:pPr>
    </w:p>
    <w:p w:rsidR="00000000" w:rsidRDefault="00A06965">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119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904" w:right="5960" w:bottom="523" w:left="5980" w:header="720" w:footer="720" w:gutter="0"/>
          <w:cols w:space="720" w:equalWidth="0">
            <w:col w:w="300"/>
          </w:cols>
          <w:noEndnote/>
        </w:sectPr>
      </w:pPr>
    </w:p>
    <w:p w:rsidR="00000000" w:rsidRDefault="00A06965">
      <w:pPr>
        <w:pStyle w:val="DefaultParagraphFont"/>
        <w:widowControl w:val="0"/>
        <w:overflowPunct w:val="0"/>
        <w:autoSpaceDE w:val="0"/>
        <w:autoSpaceDN w:val="0"/>
        <w:adjustRightInd w:val="0"/>
        <w:spacing w:after="0" w:line="245" w:lineRule="auto"/>
        <w:ind w:left="480"/>
        <w:jc w:val="both"/>
        <w:rPr>
          <w:rFonts w:ascii="Times New Roman" w:hAnsi="Times New Roman" w:cs="Times New Roman"/>
          <w:sz w:val="24"/>
          <w:szCs w:val="24"/>
        </w:rPr>
      </w:pPr>
      <w:r>
        <w:rPr>
          <w:rFonts w:ascii="Times New Roman" w:hAnsi="Times New Roman" w:cs="Times New Roman"/>
          <w:sz w:val="20"/>
          <w:szCs w:val="20"/>
        </w:rPr>
        <w:t>We continue to avoid gin rummy behavior. True, we closed our textile business in the mid-1980’s after 20 years of struggling with it, but only because we felt it was doomed to run never-ending operating losse</w:t>
      </w:r>
      <w:r>
        <w:rPr>
          <w:rFonts w:ascii="Times New Roman" w:hAnsi="Times New Roman" w:cs="Times New Roman"/>
          <w:sz w:val="20"/>
          <w:szCs w:val="20"/>
        </w:rPr>
        <w:t>s. We have not, however, given thought to selling operations that would command very fancy prices nor have we dumped our laggards, though we focus hard on curing the problems that cause them to lag.</w:t>
      </w:r>
    </w:p>
    <w:p w:rsidR="00000000" w:rsidRDefault="00A06965">
      <w:pPr>
        <w:pStyle w:val="DefaultParagraphFont"/>
        <w:widowControl w:val="0"/>
        <w:autoSpaceDE w:val="0"/>
        <w:autoSpaceDN w:val="0"/>
        <w:adjustRightInd w:val="0"/>
        <w:spacing w:after="0" w:line="103" w:lineRule="exact"/>
        <w:rPr>
          <w:rFonts w:ascii="Times New Roman" w:hAnsi="Times New Roman" w:cs="Times New Roman"/>
          <w:sz w:val="24"/>
          <w:szCs w:val="24"/>
        </w:rPr>
      </w:pPr>
    </w:p>
    <w:p w:rsidR="00000000" w:rsidRDefault="00A06965">
      <w:pPr>
        <w:pStyle w:val="DefaultParagraphFont"/>
        <w:widowControl w:val="0"/>
        <w:numPr>
          <w:ilvl w:val="0"/>
          <w:numId w:val="52"/>
        </w:numPr>
        <w:tabs>
          <w:tab w:val="clear" w:pos="720"/>
          <w:tab w:val="num" w:pos="480"/>
        </w:tabs>
        <w:overflowPunct w:val="0"/>
        <w:autoSpaceDE w:val="0"/>
        <w:autoSpaceDN w:val="0"/>
        <w:adjustRightInd w:val="0"/>
        <w:spacing w:after="0" w:line="247"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We will be candid in our reporting to you, emphasizing the pluses and minuses important in appraising business value. Our guideline is to tell you the business facts that we would want to know if our positions were reversed. We owe you no less. Moreover, a</w:t>
      </w:r>
      <w:r>
        <w:rPr>
          <w:rFonts w:ascii="Times New Roman" w:hAnsi="Times New Roman" w:cs="Times New Roman"/>
          <w:i/>
          <w:iCs/>
          <w:sz w:val="20"/>
          <w:szCs w:val="20"/>
        </w:rPr>
        <w:t>s a company with a major communications business, it would be inexcusable for us to apply lesser standards of accuracy, balance and incisiveness when reporting on ourselves than we would expect our news people to apply when reporting on others. We also bel</w:t>
      </w:r>
      <w:r>
        <w:rPr>
          <w:rFonts w:ascii="Times New Roman" w:hAnsi="Times New Roman" w:cs="Times New Roman"/>
          <w:i/>
          <w:iCs/>
          <w:sz w:val="20"/>
          <w:szCs w:val="20"/>
        </w:rPr>
        <w:t>ieve candor benefits us as managers: The CEO who misleads others in public may eventually mislead himself in private.</w:t>
      </w:r>
    </w:p>
    <w:p w:rsidR="00000000" w:rsidRDefault="00A06965">
      <w:pPr>
        <w:pStyle w:val="DefaultParagraphFont"/>
        <w:widowControl w:val="0"/>
        <w:autoSpaceDE w:val="0"/>
        <w:autoSpaceDN w:val="0"/>
        <w:adjustRightInd w:val="0"/>
        <w:spacing w:after="0" w:line="97"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5" w:lineRule="auto"/>
        <w:ind w:left="480"/>
        <w:jc w:val="both"/>
        <w:rPr>
          <w:rFonts w:ascii="Times New Roman" w:hAnsi="Times New Roman" w:cs="Times New Roman"/>
          <w:sz w:val="20"/>
          <w:szCs w:val="20"/>
        </w:rPr>
      </w:pPr>
      <w:r>
        <w:rPr>
          <w:rFonts w:ascii="Times New Roman" w:hAnsi="Times New Roman" w:cs="Times New Roman"/>
          <w:sz w:val="20"/>
          <w:szCs w:val="20"/>
        </w:rPr>
        <w:t>At Berkshire you will find no “big bath” accounting maneuvers or restructurings nor any “smoothing” of quarterly or annual results. We w</w:t>
      </w:r>
      <w:r>
        <w:rPr>
          <w:rFonts w:ascii="Times New Roman" w:hAnsi="Times New Roman" w:cs="Times New Roman"/>
          <w:sz w:val="20"/>
          <w:szCs w:val="20"/>
        </w:rPr>
        <w:t>ill always tell you how many strokes we have taken on each hole and never play around with the scorecard. When the numbers are a very rough “guesstimate,” as they necessarily must be in insurance reserving, we will try to be both consistent and conservativ</w:t>
      </w:r>
      <w:r>
        <w:rPr>
          <w:rFonts w:ascii="Times New Roman" w:hAnsi="Times New Roman" w:cs="Times New Roman"/>
          <w:sz w:val="20"/>
          <w:szCs w:val="20"/>
        </w:rPr>
        <w:t>e in our approach.</w:t>
      </w:r>
    </w:p>
    <w:p w:rsidR="00000000" w:rsidRDefault="00A06965">
      <w:pPr>
        <w:pStyle w:val="DefaultParagraphFont"/>
        <w:widowControl w:val="0"/>
        <w:autoSpaceDE w:val="0"/>
        <w:autoSpaceDN w:val="0"/>
        <w:adjustRightInd w:val="0"/>
        <w:spacing w:after="0" w:line="100"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7" w:lineRule="auto"/>
        <w:ind w:left="480"/>
        <w:jc w:val="both"/>
        <w:rPr>
          <w:rFonts w:ascii="Times New Roman" w:hAnsi="Times New Roman" w:cs="Times New Roman"/>
          <w:sz w:val="20"/>
          <w:szCs w:val="20"/>
        </w:rPr>
      </w:pPr>
      <w:r>
        <w:rPr>
          <w:rFonts w:ascii="Times New Roman" w:hAnsi="Times New Roman" w:cs="Times New Roman"/>
          <w:sz w:val="20"/>
          <w:szCs w:val="20"/>
        </w:rPr>
        <w:t>We will be communicating with you in several ways. Through the annual report, I try to give all shareholders as much value-defining information as can be conveyed in a document kept to reasonable length. We also try to convey a liberal</w:t>
      </w:r>
      <w:r>
        <w:rPr>
          <w:rFonts w:ascii="Times New Roman" w:hAnsi="Times New Roman" w:cs="Times New Roman"/>
          <w:sz w:val="20"/>
          <w:szCs w:val="20"/>
        </w:rPr>
        <w:t xml:space="preserve"> quantity of condensed but important information in the quarterly reports we post on the internet, though I don’t write those (one recital a year is enough). Still another important occasion for communication is our Annual Meeting, at which Charlie and I a</w:t>
      </w:r>
      <w:r>
        <w:rPr>
          <w:rFonts w:ascii="Times New Roman" w:hAnsi="Times New Roman" w:cs="Times New Roman"/>
          <w:sz w:val="20"/>
          <w:szCs w:val="20"/>
        </w:rPr>
        <w:t xml:space="preserve">re delighted to spend five hours or more answering questions about Berkshire. But there is one way we </w:t>
      </w:r>
      <w:r>
        <w:rPr>
          <w:rFonts w:ascii="Times New Roman" w:hAnsi="Times New Roman" w:cs="Times New Roman"/>
          <w:i/>
          <w:iCs/>
          <w:sz w:val="20"/>
          <w:szCs w:val="20"/>
        </w:rPr>
        <w:t>can’t</w:t>
      </w:r>
      <w:r>
        <w:rPr>
          <w:rFonts w:ascii="Times New Roman" w:hAnsi="Times New Roman" w:cs="Times New Roman"/>
          <w:sz w:val="20"/>
          <w:szCs w:val="20"/>
        </w:rPr>
        <w:t xml:space="preserve"> communicate: on a one-on-one basis. That isn’t feasible given Berkshire’s many thousands of owners.</w:t>
      </w:r>
    </w:p>
    <w:p w:rsidR="00000000" w:rsidRDefault="00A06965">
      <w:pPr>
        <w:pStyle w:val="DefaultParagraphFont"/>
        <w:widowControl w:val="0"/>
        <w:autoSpaceDE w:val="0"/>
        <w:autoSpaceDN w:val="0"/>
        <w:adjustRightInd w:val="0"/>
        <w:spacing w:after="0" w:line="99"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3" w:lineRule="auto"/>
        <w:ind w:left="480"/>
        <w:jc w:val="both"/>
        <w:rPr>
          <w:rFonts w:ascii="Times New Roman" w:hAnsi="Times New Roman" w:cs="Times New Roman"/>
          <w:sz w:val="20"/>
          <w:szCs w:val="20"/>
        </w:rPr>
      </w:pPr>
      <w:r>
        <w:rPr>
          <w:rFonts w:ascii="Times New Roman" w:hAnsi="Times New Roman" w:cs="Times New Roman"/>
          <w:sz w:val="20"/>
          <w:szCs w:val="20"/>
        </w:rPr>
        <w:t>In all of our communications, we try to make s</w:t>
      </w:r>
      <w:r>
        <w:rPr>
          <w:rFonts w:ascii="Times New Roman" w:hAnsi="Times New Roman" w:cs="Times New Roman"/>
          <w:sz w:val="20"/>
          <w:szCs w:val="20"/>
        </w:rPr>
        <w:t>ure that no single shareholder gets an edge: We do not follow the usual practice of giving earnings “guidance” or other information of value to analysts or large shareholders. Our goal is to have all of our owners updated at the same time.</w:t>
      </w:r>
    </w:p>
    <w:p w:rsidR="00000000" w:rsidRDefault="00A06965">
      <w:pPr>
        <w:pStyle w:val="DefaultParagraphFont"/>
        <w:widowControl w:val="0"/>
        <w:autoSpaceDE w:val="0"/>
        <w:autoSpaceDN w:val="0"/>
        <w:adjustRightInd w:val="0"/>
        <w:spacing w:after="0" w:line="103" w:lineRule="exact"/>
        <w:rPr>
          <w:rFonts w:ascii="Times New Roman" w:hAnsi="Times New Roman" w:cs="Times New Roman"/>
          <w:sz w:val="20"/>
          <w:szCs w:val="20"/>
        </w:rPr>
      </w:pPr>
    </w:p>
    <w:p w:rsidR="00000000" w:rsidRDefault="00A06965">
      <w:pPr>
        <w:pStyle w:val="DefaultParagraphFont"/>
        <w:widowControl w:val="0"/>
        <w:numPr>
          <w:ilvl w:val="0"/>
          <w:numId w:val="52"/>
        </w:numPr>
        <w:tabs>
          <w:tab w:val="clear" w:pos="720"/>
          <w:tab w:val="num" w:pos="480"/>
        </w:tabs>
        <w:overflowPunct w:val="0"/>
        <w:autoSpaceDE w:val="0"/>
        <w:autoSpaceDN w:val="0"/>
        <w:adjustRightInd w:val="0"/>
        <w:spacing w:after="0" w:line="246"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Despite our</w:t>
      </w:r>
      <w:r>
        <w:rPr>
          <w:rFonts w:ascii="Times New Roman" w:hAnsi="Times New Roman" w:cs="Times New Roman"/>
          <w:i/>
          <w:iCs/>
          <w:sz w:val="20"/>
          <w:szCs w:val="20"/>
        </w:rPr>
        <w:t xml:space="preserve"> policy of candor, we will discuss our activities in marketable securities only to the extent legally required. Good investment ideas are rare, valuable and subject to competitive appropriation just as good product or business acquisition ideas are. Theref</w:t>
      </w:r>
      <w:r>
        <w:rPr>
          <w:rFonts w:ascii="Times New Roman" w:hAnsi="Times New Roman" w:cs="Times New Roman"/>
          <w:i/>
          <w:iCs/>
          <w:sz w:val="20"/>
          <w:szCs w:val="20"/>
        </w:rPr>
        <w:t>ore we normally will not talk about our investment ideas. This ban extends even to securities we have sold (because we may purchase them again) and to stocks we are incorrectly rumored to be buying. If we deny those reports but say “no comment” on other oc</w:t>
      </w:r>
      <w:r>
        <w:rPr>
          <w:rFonts w:ascii="Times New Roman" w:hAnsi="Times New Roman" w:cs="Times New Roman"/>
          <w:i/>
          <w:iCs/>
          <w:sz w:val="20"/>
          <w:szCs w:val="20"/>
        </w:rPr>
        <w:t>casions, the no-comments become confirmation.</w:t>
      </w:r>
    </w:p>
    <w:p w:rsidR="00000000" w:rsidRDefault="00A06965">
      <w:pPr>
        <w:pStyle w:val="DefaultParagraphFont"/>
        <w:widowControl w:val="0"/>
        <w:autoSpaceDE w:val="0"/>
        <w:autoSpaceDN w:val="0"/>
        <w:adjustRightInd w:val="0"/>
        <w:spacing w:after="0" w:line="99" w:lineRule="exact"/>
        <w:rPr>
          <w:rFonts w:ascii="Times New Roman" w:hAnsi="Times New Roman" w:cs="Times New Roman"/>
          <w:sz w:val="20"/>
          <w:szCs w:val="20"/>
        </w:rPr>
      </w:pPr>
    </w:p>
    <w:p w:rsidR="00000000" w:rsidRDefault="00A06965">
      <w:pPr>
        <w:pStyle w:val="DefaultParagraphFont"/>
        <w:widowControl w:val="0"/>
        <w:overflowPunct w:val="0"/>
        <w:autoSpaceDE w:val="0"/>
        <w:autoSpaceDN w:val="0"/>
        <w:adjustRightInd w:val="0"/>
        <w:spacing w:after="0" w:line="245" w:lineRule="auto"/>
        <w:ind w:left="480"/>
        <w:jc w:val="both"/>
        <w:rPr>
          <w:rFonts w:ascii="Times New Roman" w:hAnsi="Times New Roman" w:cs="Times New Roman"/>
          <w:sz w:val="20"/>
          <w:szCs w:val="20"/>
        </w:rPr>
      </w:pPr>
      <w:r>
        <w:rPr>
          <w:rFonts w:ascii="Times New Roman" w:hAnsi="Times New Roman" w:cs="Times New Roman"/>
          <w:sz w:val="20"/>
          <w:szCs w:val="20"/>
        </w:rPr>
        <w:t>Though we continue to be unwilling to talk about specific stocks, we freely discuss our business and investment philosophy. I benefitted enormously from the intellectual generosity of Ben Graham, the greatest teacher in the history of finance, and I believ</w:t>
      </w:r>
      <w:r>
        <w:rPr>
          <w:rFonts w:ascii="Times New Roman" w:hAnsi="Times New Roman" w:cs="Times New Roman"/>
          <w:sz w:val="20"/>
          <w:szCs w:val="20"/>
        </w:rPr>
        <w:t>e it appropriate to pass along what I learned from him, even if that creates new and able investment competitors for Berkshire just as Ben’s teachings did for him.</w:t>
      </w:r>
    </w:p>
    <w:p w:rsidR="00000000" w:rsidRDefault="00A06965">
      <w:pPr>
        <w:pStyle w:val="DefaultParagraphFont"/>
        <w:widowControl w:val="0"/>
        <w:autoSpaceDE w:val="0"/>
        <w:autoSpaceDN w:val="0"/>
        <w:adjustRightInd w:val="0"/>
        <w:spacing w:after="0" w:line="18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TWO ADDED PRINCIPLES</w:t>
      </w:r>
    </w:p>
    <w:p w:rsidR="00000000" w:rsidRDefault="00A06965">
      <w:pPr>
        <w:pStyle w:val="DefaultParagraphFont"/>
        <w:widowControl w:val="0"/>
        <w:autoSpaceDE w:val="0"/>
        <w:autoSpaceDN w:val="0"/>
        <w:adjustRightInd w:val="0"/>
        <w:spacing w:after="0" w:line="106" w:lineRule="exact"/>
        <w:rPr>
          <w:rFonts w:ascii="Times New Roman" w:hAnsi="Times New Roman" w:cs="Times New Roman"/>
          <w:sz w:val="24"/>
          <w:szCs w:val="24"/>
        </w:rPr>
      </w:pPr>
    </w:p>
    <w:p w:rsidR="00000000" w:rsidRDefault="00A06965">
      <w:pPr>
        <w:pStyle w:val="DefaultParagraphFont"/>
        <w:widowControl w:val="0"/>
        <w:numPr>
          <w:ilvl w:val="0"/>
          <w:numId w:val="53"/>
        </w:numPr>
        <w:tabs>
          <w:tab w:val="clear" w:pos="720"/>
          <w:tab w:val="num" w:pos="480"/>
        </w:tabs>
        <w:overflowPunct w:val="0"/>
        <w:autoSpaceDE w:val="0"/>
        <w:autoSpaceDN w:val="0"/>
        <w:adjustRightInd w:val="0"/>
        <w:spacing w:after="0" w:line="248"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 xml:space="preserve">To the extent possible, we would like each Berkshire shareholder </w:t>
      </w:r>
      <w:r>
        <w:rPr>
          <w:rFonts w:ascii="Times New Roman" w:hAnsi="Times New Roman" w:cs="Times New Roman"/>
          <w:i/>
          <w:iCs/>
          <w:sz w:val="20"/>
          <w:szCs w:val="20"/>
        </w:rPr>
        <w:t>to record a gain or loss in market value during his period of ownership that is proportional to the gain or loss in per-share intrinsic value recorded by the company during that holding period. For this to come about, the relationship between the intrinsic</w:t>
      </w:r>
      <w:r>
        <w:rPr>
          <w:rFonts w:ascii="Times New Roman" w:hAnsi="Times New Roman" w:cs="Times New Roman"/>
          <w:i/>
          <w:iCs/>
          <w:sz w:val="20"/>
          <w:szCs w:val="20"/>
        </w:rPr>
        <w:t xml:space="preserve"> value and the market price of a Berkshire share would need to remain constant, and by our preferences at 1-to-1. As that implies, we would rather see Berkshire’s stock price at a </w:t>
      </w:r>
      <w:r>
        <w:rPr>
          <w:rFonts w:ascii="Times New Roman" w:hAnsi="Times New Roman" w:cs="Times New Roman"/>
          <w:b/>
          <w:bCs/>
          <w:i/>
          <w:iCs/>
          <w:sz w:val="20"/>
          <w:szCs w:val="20"/>
        </w:rPr>
        <w:t>fair</w:t>
      </w:r>
      <w:r>
        <w:rPr>
          <w:rFonts w:ascii="Times New Roman" w:hAnsi="Times New Roman" w:cs="Times New Roman"/>
          <w:i/>
          <w:iCs/>
          <w:sz w:val="20"/>
          <w:szCs w:val="20"/>
        </w:rPr>
        <w:t xml:space="preserve"> level than a </w:t>
      </w:r>
      <w:r>
        <w:rPr>
          <w:rFonts w:ascii="Times New Roman" w:hAnsi="Times New Roman" w:cs="Times New Roman"/>
          <w:b/>
          <w:bCs/>
          <w:i/>
          <w:iCs/>
          <w:sz w:val="20"/>
          <w:szCs w:val="20"/>
        </w:rPr>
        <w:t>high</w:t>
      </w:r>
      <w:r>
        <w:rPr>
          <w:rFonts w:ascii="Times New Roman" w:hAnsi="Times New Roman" w:cs="Times New Roman"/>
          <w:i/>
          <w:iCs/>
          <w:sz w:val="20"/>
          <w:szCs w:val="20"/>
        </w:rPr>
        <w:t xml:space="preserve"> level. Obviously, Charlie and I can’</w:t>
      </w:r>
      <w:r>
        <w:rPr>
          <w:rFonts w:ascii="Times New Roman" w:hAnsi="Times New Roman" w:cs="Times New Roman"/>
          <w:i/>
          <w:iCs/>
          <w:sz w:val="20"/>
          <w:szCs w:val="20"/>
        </w:rPr>
        <w:t>t control Berkshire’s price. But by our policies and communications, we can encourage informed, rational behavior by owners that, in turn, will tend to produce a stock price that is also rational. Our it’s-as-bad-to-be-overvalued-as-to-be-undervalued appro</w:t>
      </w:r>
      <w:r>
        <w:rPr>
          <w:rFonts w:ascii="Times New Roman" w:hAnsi="Times New Roman" w:cs="Times New Roman"/>
          <w:i/>
          <w:iCs/>
          <w:sz w:val="20"/>
          <w:szCs w:val="20"/>
        </w:rPr>
        <w:t>ach may disappoint some shareholders. We believe, however, that it affords Berkshire the best prospect of attracting long-term investors who seek to profit from the progress of the company rather than from the investment mistakes of their partners.</w:t>
      </w:r>
    </w:p>
    <w:p w:rsidR="00000000" w:rsidRDefault="00A06965">
      <w:pPr>
        <w:pStyle w:val="DefaultParagraphFont"/>
        <w:widowControl w:val="0"/>
        <w:autoSpaceDE w:val="0"/>
        <w:autoSpaceDN w:val="0"/>
        <w:adjustRightInd w:val="0"/>
        <w:spacing w:after="0" w:line="101" w:lineRule="exact"/>
        <w:rPr>
          <w:rFonts w:ascii="Times New Roman" w:hAnsi="Times New Roman" w:cs="Times New Roman"/>
          <w:sz w:val="20"/>
          <w:szCs w:val="20"/>
        </w:rPr>
      </w:pPr>
    </w:p>
    <w:p w:rsidR="00000000" w:rsidRDefault="00A06965">
      <w:pPr>
        <w:pStyle w:val="DefaultParagraphFont"/>
        <w:widowControl w:val="0"/>
        <w:numPr>
          <w:ilvl w:val="0"/>
          <w:numId w:val="53"/>
        </w:numPr>
        <w:tabs>
          <w:tab w:val="clear" w:pos="720"/>
          <w:tab w:val="num" w:pos="480"/>
        </w:tabs>
        <w:overflowPunct w:val="0"/>
        <w:autoSpaceDE w:val="0"/>
        <w:autoSpaceDN w:val="0"/>
        <w:adjustRightInd w:val="0"/>
        <w:spacing w:after="0" w:line="247"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We</w:t>
      </w:r>
      <w:r>
        <w:rPr>
          <w:rFonts w:ascii="Times New Roman" w:hAnsi="Times New Roman" w:cs="Times New Roman"/>
          <w:i/>
          <w:iCs/>
          <w:sz w:val="20"/>
          <w:szCs w:val="20"/>
        </w:rPr>
        <w:t xml:space="preserve"> regularly compare the gain in Berkshire’s per-share book value to the performance of the S&amp;P 500. Over time, we hope to outpace this yardstick. Otherwise, why do our investors need us? The measurement, however, has certain shortcomings that are described </w:t>
      </w:r>
      <w:r>
        <w:rPr>
          <w:rFonts w:ascii="Times New Roman" w:hAnsi="Times New Roman" w:cs="Times New Roman"/>
          <w:i/>
          <w:iCs/>
          <w:sz w:val="20"/>
          <w:szCs w:val="20"/>
        </w:rPr>
        <w:t>in the next section. Moreover, it now is less meaningful on a year-to-year basis than was formerly the case. That is because our equity holdings, whose value tends to move with the S&amp;P 500, are a far smaller portion of our net worth than they were in earli</w:t>
      </w:r>
      <w:r>
        <w:rPr>
          <w:rFonts w:ascii="Times New Roman" w:hAnsi="Times New Roman" w:cs="Times New Roman"/>
          <w:i/>
          <w:iCs/>
          <w:sz w:val="20"/>
          <w:szCs w:val="20"/>
        </w:rPr>
        <w:t>er years. Additionally, gains in the S&amp;P stocks are counted in full in calculating that index, whereas gains in Berkshire’s equity holdings are counted at 65% because of the federal tax we incur. We, therefore, expect to outperform the S&amp;P in lackluster ye</w:t>
      </w:r>
      <w:r>
        <w:rPr>
          <w:rFonts w:ascii="Times New Roman" w:hAnsi="Times New Roman" w:cs="Times New Roman"/>
          <w:i/>
          <w:iCs/>
          <w:sz w:val="20"/>
          <w:szCs w:val="20"/>
        </w:rPr>
        <w:t>ars for the stock market and underperform when the market has a strong year.</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904" w:right="720" w:bottom="523" w:left="720" w:header="720" w:footer="720" w:gutter="0"/>
          <w:cols w:space="720" w:equalWidth="0">
            <w:col w:w="108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48"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120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904"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INTRINSIC VALUE</w:t>
      </w:r>
    </w:p>
    <w:p w:rsidR="00000000" w:rsidRDefault="00A06965">
      <w:pPr>
        <w:pStyle w:val="DefaultParagraphFont"/>
        <w:widowControl w:val="0"/>
        <w:autoSpaceDE w:val="0"/>
        <w:autoSpaceDN w:val="0"/>
        <w:adjustRightInd w:val="0"/>
        <w:spacing w:after="0" w:line="10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80"/>
        <w:rPr>
          <w:rFonts w:ascii="Times New Roman" w:hAnsi="Times New Roman" w:cs="Times New Roman"/>
          <w:sz w:val="24"/>
          <w:szCs w:val="24"/>
        </w:rPr>
      </w:pPr>
      <w:r>
        <w:rPr>
          <w:rFonts w:ascii="Times New Roman" w:hAnsi="Times New Roman" w:cs="Times New Roman"/>
          <w:sz w:val="20"/>
          <w:szCs w:val="20"/>
        </w:rPr>
        <w:t>Now let’s focus on a term that I mentioned earlier and that you will encounter in future annual reports.</w:t>
      </w:r>
    </w:p>
    <w:p w:rsidR="00000000" w:rsidRDefault="00A06965">
      <w:pPr>
        <w:pStyle w:val="DefaultParagraphFont"/>
        <w:widowControl w:val="0"/>
        <w:autoSpaceDE w:val="0"/>
        <w:autoSpaceDN w:val="0"/>
        <w:adjustRightInd w:val="0"/>
        <w:spacing w:after="0" w:line="246"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firstLine="480"/>
        <w:jc w:val="both"/>
        <w:rPr>
          <w:rFonts w:ascii="Times New Roman" w:hAnsi="Times New Roman" w:cs="Times New Roman"/>
          <w:sz w:val="24"/>
          <w:szCs w:val="24"/>
        </w:rPr>
      </w:pPr>
      <w:r>
        <w:rPr>
          <w:rFonts w:ascii="Times New Roman" w:hAnsi="Times New Roman" w:cs="Times New Roman"/>
          <w:sz w:val="20"/>
          <w:szCs w:val="20"/>
        </w:rPr>
        <w:t>Intrinsic value is an all-important concept that offers the only logical approach to evaluating the relative attractiveness of investments and businesses. Intrinsic value can be defined simply: It is the discounted value of the cash that can be taken out o</w:t>
      </w:r>
      <w:r>
        <w:rPr>
          <w:rFonts w:ascii="Times New Roman" w:hAnsi="Times New Roman" w:cs="Times New Roman"/>
          <w:sz w:val="20"/>
          <w:szCs w:val="20"/>
        </w:rPr>
        <w:t>f a business during its remaining life.</w:t>
      </w:r>
    </w:p>
    <w:p w:rsidR="00000000" w:rsidRDefault="00A06965">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80"/>
        <w:jc w:val="both"/>
        <w:rPr>
          <w:rFonts w:ascii="Times New Roman" w:hAnsi="Times New Roman" w:cs="Times New Roman"/>
          <w:sz w:val="24"/>
          <w:szCs w:val="24"/>
        </w:rPr>
      </w:pPr>
      <w:r>
        <w:rPr>
          <w:rFonts w:ascii="Times New Roman" w:hAnsi="Times New Roman" w:cs="Times New Roman"/>
          <w:sz w:val="20"/>
          <w:szCs w:val="20"/>
        </w:rPr>
        <w:t>The calculation of intrinsic value, though, is not so simple. As our definition suggests, intrinsic value is an estimate rather than a precise figure, and it is additionally an estimate that must be changed if interest rates move or forecasts of future cas</w:t>
      </w:r>
      <w:r>
        <w:rPr>
          <w:rFonts w:ascii="Times New Roman" w:hAnsi="Times New Roman" w:cs="Times New Roman"/>
          <w:sz w:val="20"/>
          <w:szCs w:val="20"/>
        </w:rPr>
        <w:t>h flows are revised. Two people looking at the same set of facts, moreover – and this would apply even to Charlie and me – will almost inevitably come up with at least slightly different intrinsic value figures. That is one reason we never give you our est</w:t>
      </w:r>
      <w:r>
        <w:rPr>
          <w:rFonts w:ascii="Times New Roman" w:hAnsi="Times New Roman" w:cs="Times New Roman"/>
          <w:sz w:val="20"/>
          <w:szCs w:val="20"/>
        </w:rPr>
        <w:t>imates of intrinsic value. What our annual reports do supply, though, are the facts that we ourselves use to calculate this value.</w:t>
      </w:r>
    </w:p>
    <w:p w:rsidR="00000000" w:rsidRDefault="00A0696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80"/>
        <w:jc w:val="both"/>
        <w:rPr>
          <w:rFonts w:ascii="Times New Roman" w:hAnsi="Times New Roman" w:cs="Times New Roman"/>
          <w:sz w:val="24"/>
          <w:szCs w:val="24"/>
        </w:rPr>
      </w:pPr>
      <w:r>
        <w:rPr>
          <w:rFonts w:ascii="Times New Roman" w:hAnsi="Times New Roman" w:cs="Times New Roman"/>
          <w:sz w:val="20"/>
          <w:szCs w:val="20"/>
        </w:rPr>
        <w:t>Meanwhile, we regularly report our per-share book value, an easily calculable number, though one of limited use. The limitat</w:t>
      </w:r>
      <w:r>
        <w:rPr>
          <w:rFonts w:ascii="Times New Roman" w:hAnsi="Times New Roman" w:cs="Times New Roman"/>
          <w:sz w:val="20"/>
          <w:szCs w:val="20"/>
        </w:rPr>
        <w:t>ions do not arise from our holdings of marketable securities, which are carried on our books at their current prices. Rather the inadequacies of book value have to do with the companies we control, whose values as stated on our books may be far different f</w:t>
      </w:r>
      <w:r>
        <w:rPr>
          <w:rFonts w:ascii="Times New Roman" w:hAnsi="Times New Roman" w:cs="Times New Roman"/>
          <w:sz w:val="20"/>
          <w:szCs w:val="20"/>
        </w:rPr>
        <w:t>rom their intrinsic values.</w:t>
      </w:r>
    </w:p>
    <w:p w:rsidR="00000000" w:rsidRDefault="00A06965">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80"/>
        <w:jc w:val="both"/>
        <w:rPr>
          <w:rFonts w:ascii="Times New Roman" w:hAnsi="Times New Roman" w:cs="Times New Roman"/>
          <w:sz w:val="24"/>
          <w:szCs w:val="24"/>
        </w:rPr>
      </w:pPr>
      <w:r>
        <w:rPr>
          <w:rFonts w:ascii="Times New Roman" w:hAnsi="Times New Roman" w:cs="Times New Roman"/>
          <w:sz w:val="20"/>
          <w:szCs w:val="20"/>
        </w:rPr>
        <w:t>The disparity can go in either direction. For example, in 1964 we could state with certitude that Berkshire’s per-share book value was $19.46. However, that figure considerably overstated the company’s intrinsic value, since al</w:t>
      </w:r>
      <w:r>
        <w:rPr>
          <w:rFonts w:ascii="Times New Roman" w:hAnsi="Times New Roman" w:cs="Times New Roman"/>
          <w:sz w:val="20"/>
          <w:szCs w:val="20"/>
        </w:rPr>
        <w:t xml:space="preserve">l of the company’s resources were tied up in a sub-profitable textile business. Our textile assets had neither going-concern nor liquidation values equal to their carrying values. Today, however, Berkshire’s situation is reversed: Now, our book value </w:t>
      </w:r>
      <w:r>
        <w:rPr>
          <w:rFonts w:ascii="Times New Roman" w:hAnsi="Times New Roman" w:cs="Times New Roman"/>
          <w:i/>
          <w:iCs/>
          <w:sz w:val="20"/>
          <w:szCs w:val="20"/>
        </w:rPr>
        <w:t>far</w:t>
      </w:r>
      <w:r>
        <w:rPr>
          <w:rFonts w:ascii="Times New Roman" w:hAnsi="Times New Roman" w:cs="Times New Roman"/>
          <w:sz w:val="20"/>
          <w:szCs w:val="20"/>
        </w:rPr>
        <w:t xml:space="preserve"> u</w:t>
      </w:r>
      <w:r>
        <w:rPr>
          <w:rFonts w:ascii="Times New Roman" w:hAnsi="Times New Roman" w:cs="Times New Roman"/>
          <w:sz w:val="20"/>
          <w:szCs w:val="20"/>
        </w:rPr>
        <w:t>nderstates Berkshire’s intrinsic value, a point true because many of the businesses we control are worth much more than their carrying value.</w:t>
      </w:r>
    </w:p>
    <w:p w:rsidR="00000000" w:rsidRDefault="00A06965">
      <w:pPr>
        <w:pStyle w:val="DefaultParagraphFont"/>
        <w:widowControl w:val="0"/>
        <w:autoSpaceDE w:val="0"/>
        <w:autoSpaceDN w:val="0"/>
        <w:adjustRightInd w:val="0"/>
        <w:spacing w:after="0" w:line="23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firstLine="480"/>
        <w:jc w:val="both"/>
        <w:rPr>
          <w:rFonts w:ascii="Times New Roman" w:hAnsi="Times New Roman" w:cs="Times New Roman"/>
          <w:sz w:val="24"/>
          <w:szCs w:val="24"/>
        </w:rPr>
      </w:pPr>
      <w:r>
        <w:rPr>
          <w:rFonts w:ascii="Times New Roman" w:hAnsi="Times New Roman" w:cs="Times New Roman"/>
          <w:sz w:val="20"/>
          <w:szCs w:val="20"/>
        </w:rPr>
        <w:t>Inadequate though they are in telling the story, we give you Berkshire’s book-value figures because they today se</w:t>
      </w:r>
      <w:r>
        <w:rPr>
          <w:rFonts w:ascii="Times New Roman" w:hAnsi="Times New Roman" w:cs="Times New Roman"/>
          <w:sz w:val="20"/>
          <w:szCs w:val="20"/>
        </w:rPr>
        <w:t>rve as a rough, albeit significantly understated, tracking measure for Berkshire’s intrinsic value. In other words, the percentage change in book value in any given year is likely to be reasonably close to that year’s change in intrinsic value.</w:t>
      </w:r>
    </w:p>
    <w:p w:rsidR="00000000" w:rsidRDefault="00A06965">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firstLine="480"/>
        <w:jc w:val="both"/>
        <w:rPr>
          <w:rFonts w:ascii="Times New Roman" w:hAnsi="Times New Roman" w:cs="Times New Roman"/>
          <w:sz w:val="24"/>
          <w:szCs w:val="24"/>
        </w:rPr>
      </w:pPr>
      <w:r>
        <w:rPr>
          <w:rFonts w:ascii="Times New Roman" w:hAnsi="Times New Roman" w:cs="Times New Roman"/>
          <w:sz w:val="20"/>
          <w:szCs w:val="20"/>
        </w:rPr>
        <w:t>You can ga</w:t>
      </w:r>
      <w:r>
        <w:rPr>
          <w:rFonts w:ascii="Times New Roman" w:hAnsi="Times New Roman" w:cs="Times New Roman"/>
          <w:sz w:val="20"/>
          <w:szCs w:val="20"/>
        </w:rPr>
        <w:t>in some insight into the differences between book value and intrinsic value by looking at one form of investment, a college education. Think of the education’s cost as its “book value.” If this cost is to be accurate, it should include the earnings that we</w:t>
      </w:r>
      <w:r>
        <w:rPr>
          <w:rFonts w:ascii="Times New Roman" w:hAnsi="Times New Roman" w:cs="Times New Roman"/>
          <w:sz w:val="20"/>
          <w:szCs w:val="20"/>
        </w:rPr>
        <w:t>re foregone by the student because he chose college rather than a job.</w:t>
      </w:r>
    </w:p>
    <w:p w:rsidR="00000000" w:rsidRDefault="00A06965">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80"/>
        <w:jc w:val="both"/>
        <w:rPr>
          <w:rFonts w:ascii="Times New Roman" w:hAnsi="Times New Roman" w:cs="Times New Roman"/>
          <w:sz w:val="24"/>
          <w:szCs w:val="24"/>
        </w:rPr>
      </w:pPr>
      <w:r>
        <w:rPr>
          <w:rFonts w:ascii="Times New Roman" w:hAnsi="Times New Roman" w:cs="Times New Roman"/>
          <w:sz w:val="20"/>
          <w:szCs w:val="20"/>
        </w:rPr>
        <w:t>For this exercise, we will ignore the important non-economic benefits of an education and focus strictly on its economic value. First, we must estimate the earnings that the graduate w</w:t>
      </w:r>
      <w:r>
        <w:rPr>
          <w:rFonts w:ascii="Times New Roman" w:hAnsi="Times New Roman" w:cs="Times New Roman"/>
          <w:sz w:val="20"/>
          <w:szCs w:val="20"/>
        </w:rPr>
        <w:t>ill receive over his lifetime and subtract from that figure an estimate of what he would have earned had he lacked his education. That gives us an excess earnings figure, which must then be discounted, at an appropriate interest rate, back to graduation da</w:t>
      </w:r>
      <w:r>
        <w:rPr>
          <w:rFonts w:ascii="Times New Roman" w:hAnsi="Times New Roman" w:cs="Times New Roman"/>
          <w:sz w:val="20"/>
          <w:szCs w:val="20"/>
        </w:rPr>
        <w:t>y. The dollar result equals the intrinsic economic value of the education.</w:t>
      </w:r>
    </w:p>
    <w:p w:rsidR="00000000" w:rsidRDefault="00A06965">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firstLine="480"/>
        <w:jc w:val="both"/>
        <w:rPr>
          <w:rFonts w:ascii="Times New Roman" w:hAnsi="Times New Roman" w:cs="Times New Roman"/>
          <w:sz w:val="24"/>
          <w:szCs w:val="24"/>
        </w:rPr>
      </w:pPr>
      <w:r>
        <w:rPr>
          <w:rFonts w:ascii="Times New Roman" w:hAnsi="Times New Roman" w:cs="Times New Roman"/>
          <w:sz w:val="20"/>
          <w:szCs w:val="20"/>
        </w:rPr>
        <w:t xml:space="preserve">Some graduates will find that the book value of their education exceeds its intrinsic value, which means that whoever paid for the education didn’t get his money’s worth. In other </w:t>
      </w:r>
      <w:r>
        <w:rPr>
          <w:rFonts w:ascii="Times New Roman" w:hAnsi="Times New Roman" w:cs="Times New Roman"/>
          <w:sz w:val="20"/>
          <w:szCs w:val="20"/>
        </w:rPr>
        <w:t>cases, the intrinsic value of an education will far exceed its book value, a result that proves capital was wisely deployed. In all cases, what is clear is that book value is meaningless as an indicator of intrinsic value.</w:t>
      </w:r>
    </w:p>
    <w:p w:rsidR="00000000" w:rsidRDefault="00A06965">
      <w:pPr>
        <w:pStyle w:val="DefaultParagraphFont"/>
        <w:widowControl w:val="0"/>
        <w:autoSpaceDE w:val="0"/>
        <w:autoSpaceDN w:val="0"/>
        <w:adjustRightInd w:val="0"/>
        <w:spacing w:after="0" w:line="23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THE MANAGING OF BERKSHIRE</w:t>
      </w:r>
    </w:p>
    <w:p w:rsidR="00000000" w:rsidRDefault="00A06965">
      <w:pPr>
        <w:pStyle w:val="DefaultParagraphFont"/>
        <w:widowControl w:val="0"/>
        <w:autoSpaceDE w:val="0"/>
        <w:autoSpaceDN w:val="0"/>
        <w:adjustRightInd w:val="0"/>
        <w:spacing w:after="0" w:line="12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80"/>
        <w:jc w:val="both"/>
        <w:rPr>
          <w:rFonts w:ascii="Times New Roman" w:hAnsi="Times New Roman" w:cs="Times New Roman"/>
          <w:sz w:val="24"/>
          <w:szCs w:val="24"/>
        </w:rPr>
      </w:pPr>
      <w:r>
        <w:rPr>
          <w:rFonts w:ascii="Times New Roman" w:hAnsi="Times New Roman" w:cs="Times New Roman"/>
          <w:sz w:val="20"/>
          <w:szCs w:val="20"/>
        </w:rPr>
        <w:t>I think it’s appropriate that I conclude with a discussion of Berkshire’s management, today and in the future. As our first owner-related principle tells you, Charlie and I are the managing partners of Berkshire. But we subcontract all of the heavy lifting</w:t>
      </w:r>
      <w:r>
        <w:rPr>
          <w:rFonts w:ascii="Times New Roman" w:hAnsi="Times New Roman" w:cs="Times New Roman"/>
          <w:sz w:val="20"/>
          <w:szCs w:val="20"/>
        </w:rPr>
        <w:t xml:space="preserve"> in this business to the managers of our subsidiaries. In fact, we delegate almost to the point of abdication: Though Berkshire has about 340,000 employees, only 25 of these are at headquarters.</w:t>
      </w:r>
    </w:p>
    <w:p w:rsidR="00000000" w:rsidRDefault="00A06965">
      <w:pPr>
        <w:pStyle w:val="DefaultParagraphFont"/>
        <w:widowControl w:val="0"/>
        <w:autoSpaceDE w:val="0"/>
        <w:autoSpaceDN w:val="0"/>
        <w:adjustRightInd w:val="0"/>
        <w:spacing w:after="0" w:line="24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80"/>
        <w:jc w:val="both"/>
        <w:rPr>
          <w:rFonts w:ascii="Times New Roman" w:hAnsi="Times New Roman" w:cs="Times New Roman"/>
          <w:sz w:val="24"/>
          <w:szCs w:val="24"/>
        </w:rPr>
      </w:pPr>
      <w:r>
        <w:rPr>
          <w:rFonts w:ascii="Times New Roman" w:hAnsi="Times New Roman" w:cs="Times New Roman"/>
          <w:sz w:val="20"/>
          <w:szCs w:val="20"/>
        </w:rPr>
        <w:t>Charlie and I mainly attend to capital allocation and the ca</w:t>
      </w:r>
      <w:r>
        <w:rPr>
          <w:rFonts w:ascii="Times New Roman" w:hAnsi="Times New Roman" w:cs="Times New Roman"/>
          <w:sz w:val="20"/>
          <w:szCs w:val="20"/>
        </w:rPr>
        <w:t>re and feeding of our key managers. Most of these managers are happiest when they are left alone to run their businesses, and that is customarily just how we leave them. That puts them in charge of all operating decisions and of dispatching the excess cash</w:t>
      </w:r>
      <w:r>
        <w:rPr>
          <w:rFonts w:ascii="Times New Roman" w:hAnsi="Times New Roman" w:cs="Times New Roman"/>
          <w:sz w:val="20"/>
          <w:szCs w:val="20"/>
        </w:rPr>
        <w:t xml:space="preserve"> they generate to headquarters. By sending it to us, they don’t get diverted by the various enticements that would come their way were they responsible for deploying the cash their businesses throw off. Furthermore, Charlie and I are exposed to a much wide</w:t>
      </w:r>
      <w:r>
        <w:rPr>
          <w:rFonts w:ascii="Times New Roman" w:hAnsi="Times New Roman" w:cs="Times New Roman"/>
          <w:sz w:val="20"/>
          <w:szCs w:val="20"/>
        </w:rPr>
        <w:t>r range of possibilities for investing these funds than any of our managers could find in his or her own industry.</w:t>
      </w:r>
    </w:p>
    <w:p w:rsidR="00000000" w:rsidRDefault="00A06965">
      <w:pPr>
        <w:pStyle w:val="DefaultParagraphFont"/>
        <w:widowControl w:val="0"/>
        <w:autoSpaceDE w:val="0"/>
        <w:autoSpaceDN w:val="0"/>
        <w:adjustRightInd w:val="0"/>
        <w:spacing w:after="0" w:line="24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firstLine="480"/>
        <w:jc w:val="both"/>
        <w:rPr>
          <w:rFonts w:ascii="Times New Roman" w:hAnsi="Times New Roman" w:cs="Times New Roman"/>
          <w:sz w:val="24"/>
          <w:szCs w:val="24"/>
        </w:rPr>
      </w:pPr>
      <w:r>
        <w:rPr>
          <w:rFonts w:ascii="Times New Roman" w:hAnsi="Times New Roman" w:cs="Times New Roman"/>
          <w:sz w:val="20"/>
          <w:szCs w:val="20"/>
        </w:rPr>
        <w:t xml:space="preserve">Most of our managers are independently wealthy, and it’s therefore up to us to create a climate that encourages them to choose working with </w:t>
      </w:r>
      <w:r>
        <w:rPr>
          <w:rFonts w:ascii="Times New Roman" w:hAnsi="Times New Roman" w:cs="Times New Roman"/>
          <w:sz w:val="20"/>
          <w:szCs w:val="20"/>
        </w:rPr>
        <w:t>Berkshire over golfing or fishing. This leaves us needing to treat them fairly and in the manner that we would wish to be treated if our positions were reversed.</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720" w:bottom="523" w:left="720" w:header="720" w:footer="720" w:gutter="0"/>
          <w:cols w:space="720" w:equalWidth="0">
            <w:col w:w="10800"/>
          </w:cols>
          <w:noEndnote/>
        </w:sectPr>
      </w:pPr>
    </w:p>
    <w:p w:rsidR="00000000" w:rsidRDefault="00A06965">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121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1" w:right="5960" w:bottom="523" w:left="5980" w:header="720" w:footer="720" w:gutter="0"/>
          <w:cols w:space="720" w:equalWidth="0">
            <w:col w:w="300"/>
          </w:cols>
          <w:noEndnote/>
        </w:sectPr>
      </w:pPr>
    </w:p>
    <w:p w:rsidR="00000000" w:rsidRDefault="00A06965">
      <w:pPr>
        <w:pStyle w:val="DefaultParagraphFont"/>
        <w:widowControl w:val="0"/>
        <w:overflowPunct w:val="0"/>
        <w:autoSpaceDE w:val="0"/>
        <w:autoSpaceDN w:val="0"/>
        <w:adjustRightInd w:val="0"/>
        <w:spacing w:after="0" w:line="245" w:lineRule="auto"/>
        <w:ind w:firstLine="480"/>
        <w:jc w:val="both"/>
        <w:rPr>
          <w:rFonts w:ascii="Times New Roman" w:hAnsi="Times New Roman" w:cs="Times New Roman"/>
          <w:sz w:val="24"/>
          <w:szCs w:val="24"/>
        </w:rPr>
      </w:pPr>
      <w:r>
        <w:rPr>
          <w:rFonts w:ascii="Times New Roman" w:hAnsi="Times New Roman" w:cs="Times New Roman"/>
          <w:sz w:val="20"/>
          <w:szCs w:val="20"/>
        </w:rPr>
        <w:t>As for the allocation of capital, that’s an ac</w:t>
      </w:r>
      <w:r>
        <w:rPr>
          <w:rFonts w:ascii="Times New Roman" w:hAnsi="Times New Roman" w:cs="Times New Roman"/>
          <w:sz w:val="20"/>
          <w:szCs w:val="20"/>
        </w:rPr>
        <w:t>tivity both Charlie and I enjoy and in which we have acquired some useful experience. In a general sense, grey hair doesn’t hurt on this playing field: You don’t need good hand-eye coordination or well-toned muscles to push money around (thank heavens). As</w:t>
      </w:r>
      <w:r>
        <w:rPr>
          <w:rFonts w:ascii="Times New Roman" w:hAnsi="Times New Roman" w:cs="Times New Roman"/>
          <w:sz w:val="20"/>
          <w:szCs w:val="20"/>
        </w:rPr>
        <w:t xml:space="preserve"> long as our minds continue to function effectively, Charlie and I can keep on doing our jobs pretty much as we have in the past.</w:t>
      </w:r>
    </w:p>
    <w:p w:rsidR="00000000" w:rsidRDefault="00A06965">
      <w:pPr>
        <w:pStyle w:val="DefaultParagraphFont"/>
        <w:widowControl w:val="0"/>
        <w:autoSpaceDE w:val="0"/>
        <w:autoSpaceDN w:val="0"/>
        <w:adjustRightInd w:val="0"/>
        <w:spacing w:after="0" w:line="19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firstLine="480"/>
        <w:jc w:val="both"/>
        <w:rPr>
          <w:rFonts w:ascii="Times New Roman" w:hAnsi="Times New Roman" w:cs="Times New Roman"/>
          <w:sz w:val="24"/>
          <w:szCs w:val="24"/>
        </w:rPr>
      </w:pPr>
      <w:r>
        <w:rPr>
          <w:rFonts w:ascii="Times New Roman" w:hAnsi="Times New Roman" w:cs="Times New Roman"/>
          <w:sz w:val="20"/>
          <w:szCs w:val="20"/>
        </w:rPr>
        <w:t>On my death, Berkshire’s ownership picture will change but not in a disruptive way: None of my st</w:t>
      </w:r>
      <w:r>
        <w:rPr>
          <w:rFonts w:ascii="Times New Roman" w:hAnsi="Times New Roman" w:cs="Times New Roman"/>
          <w:sz w:val="20"/>
          <w:szCs w:val="20"/>
        </w:rPr>
        <w:t>ock will have to be sold to take care of the cash bequests I have made or for taxes. Other assets of mine will take care of these requirements. All Berkshire shares will be left to foundations that will likely receive the stock in roughly equal installment</w:t>
      </w:r>
      <w:r>
        <w:rPr>
          <w:rFonts w:ascii="Times New Roman" w:hAnsi="Times New Roman" w:cs="Times New Roman"/>
          <w:sz w:val="20"/>
          <w:szCs w:val="20"/>
        </w:rPr>
        <w:t>s over a dozen or so years.</w:t>
      </w:r>
    </w:p>
    <w:p w:rsidR="00000000" w:rsidRDefault="00A06965">
      <w:pPr>
        <w:pStyle w:val="DefaultParagraphFont"/>
        <w:widowControl w:val="0"/>
        <w:autoSpaceDE w:val="0"/>
        <w:autoSpaceDN w:val="0"/>
        <w:adjustRightInd w:val="0"/>
        <w:spacing w:after="0" w:line="19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480"/>
        <w:jc w:val="both"/>
        <w:rPr>
          <w:rFonts w:ascii="Times New Roman" w:hAnsi="Times New Roman" w:cs="Times New Roman"/>
          <w:sz w:val="24"/>
          <w:szCs w:val="24"/>
        </w:rPr>
      </w:pPr>
      <w:r>
        <w:rPr>
          <w:rFonts w:ascii="Times New Roman" w:hAnsi="Times New Roman" w:cs="Times New Roman"/>
          <w:sz w:val="20"/>
          <w:szCs w:val="20"/>
        </w:rPr>
        <w:t>At my death, the Buffett family will not be involved in managing the business but, as very substantial shareholders, will help in picking and overseeing the managers who do. Just who those managers will be, of course, depends o</w:t>
      </w:r>
      <w:r>
        <w:rPr>
          <w:rFonts w:ascii="Times New Roman" w:hAnsi="Times New Roman" w:cs="Times New Roman"/>
          <w:sz w:val="20"/>
          <w:szCs w:val="20"/>
        </w:rPr>
        <w:t>n the date of my death. But I can anticipate what the management structure will be: Essentially my job will be split into two parts. One executive will become CEO and responsible for operations. The responsibility for investments will be given to one or mo</w:t>
      </w:r>
      <w:r>
        <w:rPr>
          <w:rFonts w:ascii="Times New Roman" w:hAnsi="Times New Roman" w:cs="Times New Roman"/>
          <w:sz w:val="20"/>
          <w:szCs w:val="20"/>
        </w:rPr>
        <w:t>re executives. If the acquisition of new businesses is in prospect, these executives will cooperate in making the decisions needed, subject, of course, to board approval. We will continue to have an extraordinarily shareholder-minded board, one whose inter</w:t>
      </w:r>
      <w:r>
        <w:rPr>
          <w:rFonts w:ascii="Times New Roman" w:hAnsi="Times New Roman" w:cs="Times New Roman"/>
          <w:sz w:val="20"/>
          <w:szCs w:val="20"/>
        </w:rPr>
        <w:t>ests are solidly aligned with yours.</w:t>
      </w:r>
    </w:p>
    <w:p w:rsidR="00000000" w:rsidRDefault="00A06965">
      <w:pPr>
        <w:pStyle w:val="DefaultParagraphFont"/>
        <w:widowControl w:val="0"/>
        <w:autoSpaceDE w:val="0"/>
        <w:autoSpaceDN w:val="0"/>
        <w:adjustRightInd w:val="0"/>
        <w:spacing w:after="0" w:line="19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firstLine="480"/>
        <w:jc w:val="both"/>
        <w:rPr>
          <w:rFonts w:ascii="Times New Roman" w:hAnsi="Times New Roman" w:cs="Times New Roman"/>
          <w:sz w:val="24"/>
          <w:szCs w:val="24"/>
        </w:rPr>
      </w:pPr>
      <w:r>
        <w:rPr>
          <w:rFonts w:ascii="Times New Roman" w:hAnsi="Times New Roman" w:cs="Times New Roman"/>
          <w:sz w:val="20"/>
          <w:szCs w:val="20"/>
        </w:rPr>
        <w:t>Were we to need the management structure I have just described on an immediate basis, our directors know my recommendations for both posts. All candidates currently work for or are available to Berkshire and are people</w:t>
      </w:r>
      <w:r>
        <w:rPr>
          <w:rFonts w:ascii="Times New Roman" w:hAnsi="Times New Roman" w:cs="Times New Roman"/>
          <w:sz w:val="20"/>
          <w:szCs w:val="20"/>
        </w:rPr>
        <w:t xml:space="preserve"> in whom I have total confidence. Our managerial roster has never been stronger.</w:t>
      </w:r>
    </w:p>
    <w:p w:rsidR="00000000" w:rsidRDefault="00A06965">
      <w:pPr>
        <w:pStyle w:val="DefaultParagraphFont"/>
        <w:widowControl w:val="0"/>
        <w:autoSpaceDE w:val="0"/>
        <w:autoSpaceDN w:val="0"/>
        <w:adjustRightInd w:val="0"/>
        <w:spacing w:after="0" w:line="19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8" w:lineRule="auto"/>
        <w:ind w:firstLine="480"/>
        <w:jc w:val="both"/>
        <w:rPr>
          <w:rFonts w:ascii="Times New Roman" w:hAnsi="Times New Roman" w:cs="Times New Roman"/>
          <w:sz w:val="24"/>
          <w:szCs w:val="24"/>
        </w:rPr>
      </w:pPr>
      <w:r>
        <w:rPr>
          <w:rFonts w:ascii="Times New Roman" w:hAnsi="Times New Roman" w:cs="Times New Roman"/>
          <w:sz w:val="20"/>
          <w:szCs w:val="20"/>
        </w:rPr>
        <w:t xml:space="preserve">I will continue to keep the directors posted on the succession issue. Since Berkshire stock will make up virtually my entire estate and will account for a similar portion of </w:t>
      </w:r>
      <w:r>
        <w:rPr>
          <w:rFonts w:ascii="Times New Roman" w:hAnsi="Times New Roman" w:cs="Times New Roman"/>
          <w:sz w:val="20"/>
          <w:szCs w:val="20"/>
        </w:rPr>
        <w:t>the assets of various foundations for a considerable period after my death, you can be sure that the directors and I have thought through the succession question carefully and that we are well prepared. You can be equally sure that the principles we have e</w:t>
      </w:r>
      <w:r>
        <w:rPr>
          <w:rFonts w:ascii="Times New Roman" w:hAnsi="Times New Roman" w:cs="Times New Roman"/>
          <w:sz w:val="20"/>
          <w:szCs w:val="20"/>
        </w:rPr>
        <w:t>mployed to date in running Berkshire will continue to guide the managers who succeed me and that our unusually strong and well-defined culture will remain intact. As an added assurance that this will be the case, I believe it would be wise when I am no lon</w:t>
      </w:r>
      <w:r>
        <w:rPr>
          <w:rFonts w:ascii="Times New Roman" w:hAnsi="Times New Roman" w:cs="Times New Roman"/>
          <w:sz w:val="20"/>
          <w:szCs w:val="20"/>
        </w:rPr>
        <w:t>ger CEO to have a member of the Buffett family serve as the non-paid, non-executive Chairman of the Board. That decision, however, will be the responsibility of the then Board of Directors.</w:t>
      </w:r>
    </w:p>
    <w:p w:rsidR="00000000" w:rsidRDefault="00A06965">
      <w:pPr>
        <w:pStyle w:val="DefaultParagraphFont"/>
        <w:widowControl w:val="0"/>
        <w:autoSpaceDE w:val="0"/>
        <w:autoSpaceDN w:val="0"/>
        <w:adjustRightInd w:val="0"/>
        <w:spacing w:after="0" w:line="18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480"/>
        <w:jc w:val="both"/>
        <w:rPr>
          <w:rFonts w:ascii="Times New Roman" w:hAnsi="Times New Roman" w:cs="Times New Roman"/>
          <w:sz w:val="24"/>
          <w:szCs w:val="24"/>
        </w:rPr>
      </w:pPr>
      <w:r>
        <w:rPr>
          <w:rFonts w:ascii="Times New Roman" w:hAnsi="Times New Roman" w:cs="Times New Roman"/>
          <w:sz w:val="20"/>
          <w:szCs w:val="20"/>
        </w:rPr>
        <w:t>Lest we end on a morbid note, I also want to assure you that I ha</w:t>
      </w:r>
      <w:r>
        <w:rPr>
          <w:rFonts w:ascii="Times New Roman" w:hAnsi="Times New Roman" w:cs="Times New Roman"/>
          <w:sz w:val="20"/>
          <w:szCs w:val="20"/>
        </w:rPr>
        <w:t>ve never felt better. I love running Berkshire, and if enjoying life promotes longevity, Methuselah’s record is in jeopardy.</w:t>
      </w:r>
    </w:p>
    <w:p w:rsidR="00000000" w:rsidRDefault="00A06965">
      <w:pPr>
        <w:pStyle w:val="DefaultParagraphFont"/>
        <w:widowControl w:val="0"/>
        <w:autoSpaceDE w:val="0"/>
        <w:autoSpaceDN w:val="0"/>
        <w:adjustRightInd w:val="0"/>
        <w:spacing w:after="0" w:line="18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6120"/>
        <w:rPr>
          <w:rFonts w:ascii="Times New Roman" w:hAnsi="Times New Roman" w:cs="Times New Roman"/>
          <w:sz w:val="24"/>
          <w:szCs w:val="24"/>
        </w:rPr>
      </w:pPr>
      <w:r>
        <w:rPr>
          <w:rFonts w:ascii="Times New Roman" w:hAnsi="Times New Roman" w:cs="Times New Roman"/>
          <w:sz w:val="20"/>
          <w:szCs w:val="20"/>
        </w:rPr>
        <w:t>Warren E. Buffett</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6120"/>
        <w:rPr>
          <w:rFonts w:ascii="Times New Roman" w:hAnsi="Times New Roman" w:cs="Times New Roman"/>
          <w:sz w:val="24"/>
          <w:szCs w:val="24"/>
        </w:rPr>
      </w:pPr>
      <w:r>
        <w:rPr>
          <w:rFonts w:ascii="Times New Roman" w:hAnsi="Times New Roman" w:cs="Times New Roman"/>
          <w:sz w:val="20"/>
          <w:szCs w:val="20"/>
        </w:rPr>
        <w:t>Chairman</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717632" behindDoc="1" locked="0" layoutInCell="0" allowOverlap="1">
                <wp:simplePos x="0" y="0"/>
                <wp:positionH relativeFrom="column">
                  <wp:posOffset>0</wp:posOffset>
                </wp:positionH>
                <wp:positionV relativeFrom="paragraph">
                  <wp:posOffset>121285</wp:posOffset>
                </wp:positionV>
                <wp:extent cx="6858000" cy="0"/>
                <wp:effectExtent l="0" t="0" r="0" b="0"/>
                <wp:wrapNone/>
                <wp:docPr id="11"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5pt" to="540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" o:allowincell="f" strokeweight=".5pt"/>
            </w:pict>
          </mc:Fallback>
        </mc:AlternateContent>
      </w:r>
    </w:p>
    <w:p w:rsidR="00000000" w:rsidRDefault="00A06965">
      <w:pPr>
        <w:pStyle w:val="DefaultParagraphFont"/>
        <w:widowControl w:val="0"/>
        <w:autoSpaceDE w:val="0"/>
        <w:autoSpaceDN w:val="0"/>
        <w:adjustRightInd w:val="0"/>
        <w:spacing w:after="0" w:line="27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820"/>
        <w:rPr>
          <w:rFonts w:ascii="Times New Roman" w:hAnsi="Times New Roman" w:cs="Times New Roman"/>
          <w:sz w:val="24"/>
          <w:szCs w:val="24"/>
        </w:rPr>
      </w:pPr>
      <w:r>
        <w:rPr>
          <w:rFonts w:ascii="Times New Roman" w:hAnsi="Times New Roman" w:cs="Times New Roman"/>
          <w:b/>
          <w:bCs/>
          <w:sz w:val="20"/>
          <w:szCs w:val="20"/>
        </w:rPr>
        <w:t>STOCK PERFORMANCE GRAPH</w:t>
      </w:r>
    </w:p>
    <w:p w:rsidR="00000000" w:rsidRDefault="00A06965">
      <w:pPr>
        <w:pStyle w:val="DefaultParagraphFont"/>
        <w:widowControl w:val="0"/>
        <w:autoSpaceDE w:val="0"/>
        <w:autoSpaceDN w:val="0"/>
        <w:adjustRightInd w:val="0"/>
        <w:spacing w:after="0" w:line="364"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480"/>
        <w:jc w:val="both"/>
        <w:rPr>
          <w:rFonts w:ascii="Times New Roman" w:hAnsi="Times New Roman" w:cs="Times New Roman"/>
          <w:sz w:val="24"/>
          <w:szCs w:val="24"/>
        </w:rPr>
      </w:pPr>
      <w:r>
        <w:rPr>
          <w:rFonts w:ascii="Times New Roman" w:hAnsi="Times New Roman" w:cs="Times New Roman"/>
          <w:sz w:val="20"/>
          <w:szCs w:val="20"/>
        </w:rPr>
        <w:t>The following chart compares the subsequent value of $100 invested in Berkshire common stock on December 31, 2009 with a similar investment in the Standard and Poor’s 500 Stock Index and in the Standard and Poor’s Property—Casualty Insurance Index.**</w:t>
      </w:r>
    </w:p>
    <w:p w:rsidR="00000000" w:rsidRDefault="00A06965">
      <w:pPr>
        <w:pStyle w:val="DefaultParagraphFont"/>
        <w:widowControl w:val="0"/>
        <w:autoSpaceDE w:val="0"/>
        <w:autoSpaceDN w:val="0"/>
        <w:adjustRightInd w:val="0"/>
        <w:spacing w:after="0" w:line="72" w:lineRule="exact"/>
        <w:rPr>
          <w:rFonts w:ascii="Times New Roman" w:hAnsi="Times New Roman" w:cs="Times New Roman"/>
          <w:sz w:val="24"/>
          <w:szCs w:val="24"/>
        </w:rPr>
      </w:pPr>
    </w:p>
    <w:tbl>
      <w:tblPr>
        <w:tblW w:w="0" w:type="auto"/>
        <w:tblInd w:w="2620" w:type="dxa"/>
        <w:tblLayout w:type="fixed"/>
        <w:tblCellMar>
          <w:left w:w="0" w:type="dxa"/>
          <w:right w:w="0" w:type="dxa"/>
        </w:tblCellMar>
        <w:tblLook w:val="0000" w:firstRow="0" w:lastRow="0" w:firstColumn="0" w:lastColumn="0" w:noHBand="0" w:noVBand="0"/>
      </w:tblPr>
      <w:tblGrid>
        <w:gridCol w:w="160"/>
        <w:gridCol w:w="880"/>
        <w:gridCol w:w="960"/>
        <w:gridCol w:w="1120"/>
        <w:gridCol w:w="800"/>
        <w:gridCol w:w="1060"/>
        <w:gridCol w:w="600"/>
        <w:gridCol w:w="20"/>
      </w:tblGrid>
      <w:tr w:rsidR="00000000">
        <w:tblPrEx>
          <w:tblCellMar>
            <w:top w:w="0" w:type="dxa"/>
            <w:left w:w="0" w:type="dxa"/>
            <w:bottom w:w="0" w:type="dxa"/>
            <w:right w:w="0" w:type="dxa"/>
          </w:tblCellMar>
        </w:tblPrEx>
        <w:trPr>
          <w:trHeight w:val="215"/>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6"/>
              <w:jc w:val="right"/>
              <w:rPr>
                <w:rFonts w:ascii="Times New Roman" w:hAnsi="Times New Roman" w:cs="Times New Roman"/>
                <w:sz w:val="24"/>
                <w:szCs w:val="24"/>
              </w:rPr>
            </w:pPr>
            <w:r>
              <w:rPr>
                <w:rFonts w:ascii="Arial" w:hAnsi="Arial" w:cs="Arial"/>
                <w:sz w:val="18"/>
                <w:szCs w:val="18"/>
              </w:rPr>
              <w:t>H</w:t>
            </w:r>
          </w:p>
        </w:tc>
        <w:tc>
          <w:tcPr>
            <w:tcW w:w="1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100"/>
              <w:rPr>
                <w:rFonts w:ascii="Times New Roman" w:hAnsi="Times New Roman" w:cs="Times New Roman"/>
                <w:sz w:val="24"/>
                <w:szCs w:val="24"/>
              </w:rPr>
            </w:pPr>
            <w:r>
              <w:rPr>
                <w:rFonts w:ascii="Times" w:hAnsi="Times" w:cs="Times"/>
                <w:b/>
                <w:bCs/>
                <w:sz w:val="13"/>
                <w:szCs w:val="13"/>
              </w:rPr>
              <w:t>Berkshire Hathaway Inc.</w:t>
            </w: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1"/>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8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522"/>
              <w:jc w:val="right"/>
              <w:rPr>
                <w:rFonts w:ascii="Times New Roman" w:hAnsi="Times New Roman" w:cs="Times New Roman"/>
                <w:sz w:val="24"/>
                <w:szCs w:val="24"/>
              </w:rPr>
            </w:pPr>
            <w:r>
              <w:rPr>
                <w:rFonts w:ascii="Times" w:hAnsi="Times" w:cs="Times"/>
                <w:sz w:val="16"/>
                <w:szCs w:val="16"/>
              </w:rPr>
              <w:t>240</w:t>
            </w: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6"/>
              <w:jc w:val="right"/>
              <w:rPr>
                <w:rFonts w:ascii="Times New Roman" w:hAnsi="Times New Roman" w:cs="Times New Roman"/>
                <w:sz w:val="24"/>
                <w:szCs w:val="24"/>
              </w:rPr>
            </w:pPr>
            <w:r>
              <w:rPr>
                <w:rFonts w:ascii="Arial" w:hAnsi="Arial" w:cs="Arial"/>
                <w:sz w:val="18"/>
                <w:szCs w:val="18"/>
              </w:rPr>
              <w:t>E</w:t>
            </w: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0" w:lineRule="exact"/>
              <w:ind w:left="100"/>
              <w:rPr>
                <w:rFonts w:ascii="Times New Roman" w:hAnsi="Times New Roman" w:cs="Times New Roman"/>
                <w:sz w:val="24"/>
                <w:szCs w:val="24"/>
              </w:rPr>
            </w:pPr>
            <w:r>
              <w:rPr>
                <w:rFonts w:ascii="Times" w:hAnsi="Times" w:cs="Times"/>
                <w:b/>
                <w:bCs/>
                <w:sz w:val="12"/>
                <w:szCs w:val="12"/>
              </w:rPr>
              <w:t>S&amp;P 500 Index</w:t>
            </w:r>
            <w:r>
              <w:rPr>
                <w:rFonts w:ascii="Times" w:hAnsi="Times" w:cs="Times"/>
                <w:b/>
                <w:bCs/>
                <w:sz w:val="24"/>
                <w:szCs w:val="24"/>
                <w:vertAlign w:val="superscript"/>
              </w:rPr>
              <w:t>*</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9"/>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8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9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6"/>
              <w:jc w:val="right"/>
              <w:rPr>
                <w:rFonts w:ascii="Times New Roman" w:hAnsi="Times New Roman" w:cs="Times New Roman"/>
                <w:sz w:val="24"/>
                <w:szCs w:val="24"/>
              </w:rPr>
            </w:pPr>
            <w:r>
              <w:rPr>
                <w:rFonts w:ascii="Arial" w:hAnsi="Arial" w:cs="Arial"/>
                <w:sz w:val="16"/>
                <w:szCs w:val="16"/>
              </w:rPr>
              <w:t>B</w:t>
            </w:r>
          </w:p>
        </w:tc>
        <w:tc>
          <w:tcPr>
            <w:tcW w:w="2980" w:type="dxa"/>
            <w:gridSpan w:val="3"/>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71" w:lineRule="exact"/>
              <w:ind w:left="100"/>
              <w:rPr>
                <w:rFonts w:ascii="Times New Roman" w:hAnsi="Times New Roman" w:cs="Times New Roman"/>
                <w:sz w:val="24"/>
                <w:szCs w:val="24"/>
              </w:rPr>
            </w:pPr>
            <w:r>
              <w:rPr>
                <w:rFonts w:ascii="Times" w:hAnsi="Times" w:cs="Times"/>
                <w:b/>
                <w:bCs/>
                <w:sz w:val="13"/>
                <w:szCs w:val="13"/>
              </w:rPr>
              <w:t>S&amp;P 500 Property &amp; Casualty Insurance Index</w:t>
            </w:r>
            <w:r>
              <w:rPr>
                <w:rFonts w:ascii="Times" w:hAnsi="Times" w:cs="Times"/>
                <w:b/>
                <w:bCs/>
                <w:sz w:val="25"/>
                <w:szCs w:val="25"/>
                <w:vertAlign w:val="superscript"/>
              </w:rPr>
              <w:t>*</w:t>
            </w:r>
          </w:p>
        </w:tc>
        <w:tc>
          <w:tcPr>
            <w:tcW w:w="60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55"/>
              <w:jc w:val="right"/>
              <w:rPr>
                <w:rFonts w:ascii="Times New Roman" w:hAnsi="Times New Roman" w:cs="Times New Roman"/>
                <w:sz w:val="24"/>
                <w:szCs w:val="24"/>
              </w:rPr>
            </w:pPr>
            <w:r>
              <w:rPr>
                <w:rFonts w:ascii="Times" w:hAnsi="Times" w:cs="Times"/>
                <w:sz w:val="12"/>
                <w:szCs w:val="12"/>
              </w:rPr>
              <w:t>228</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2"/>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9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2980" w:type="dxa"/>
            <w:gridSpan w:val="3"/>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6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522"/>
              <w:jc w:val="right"/>
              <w:rPr>
                <w:rFonts w:ascii="Times New Roman" w:hAnsi="Times New Roman" w:cs="Times New Roman"/>
                <w:sz w:val="24"/>
                <w:szCs w:val="24"/>
              </w:rPr>
            </w:pPr>
            <w:r>
              <w:rPr>
                <w:rFonts w:ascii="Times" w:hAnsi="Times" w:cs="Times"/>
                <w:sz w:val="16"/>
                <w:szCs w:val="16"/>
              </w:rPr>
              <w:t>220</w:t>
            </w: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0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55"/>
              <w:jc w:val="right"/>
              <w:rPr>
                <w:rFonts w:ascii="Times New Roman" w:hAnsi="Times New Roman" w:cs="Times New Roman"/>
                <w:sz w:val="24"/>
                <w:szCs w:val="24"/>
              </w:rPr>
            </w:pPr>
            <w:r>
              <w:rPr>
                <w:rFonts w:ascii="Times" w:hAnsi="Times" w:cs="Times"/>
                <w:sz w:val="12"/>
                <w:szCs w:val="12"/>
              </w:rPr>
              <w:t>209</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5"/>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160" w:type="dxa"/>
            <w:vMerge w:val="restart"/>
            <w:tcBorders>
              <w:top w:val="nil"/>
              <w:left w:val="nil"/>
              <w:bottom w:val="nil"/>
              <w:right w:val="nil"/>
            </w:tcBorders>
            <w:textDirection w:val="btLr"/>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w w:val="98"/>
                <w:sz w:val="16"/>
                <w:szCs w:val="16"/>
              </w:rPr>
              <w:t>DOLLARS</w:t>
            </w: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522"/>
              <w:jc w:val="right"/>
              <w:rPr>
                <w:rFonts w:ascii="Times New Roman" w:hAnsi="Times New Roman" w:cs="Times New Roman"/>
                <w:sz w:val="24"/>
                <w:szCs w:val="24"/>
              </w:rPr>
            </w:pPr>
            <w:r>
              <w:rPr>
                <w:rFonts w:ascii="Times" w:hAnsi="Times" w:cs="Times"/>
                <w:sz w:val="16"/>
                <w:szCs w:val="16"/>
              </w:rPr>
              <w:t>200</w:t>
            </w: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w w:val="99"/>
                <w:sz w:val="12"/>
                <w:szCs w:val="12"/>
              </w:rPr>
              <w:t>180</w:t>
            </w:r>
          </w:p>
        </w:tc>
        <w:tc>
          <w:tcPr>
            <w:tcW w:w="60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55"/>
              <w:jc w:val="right"/>
              <w:rPr>
                <w:rFonts w:ascii="Times New Roman" w:hAnsi="Times New Roman" w:cs="Times New Roman"/>
                <w:sz w:val="24"/>
                <w:szCs w:val="24"/>
              </w:rPr>
            </w:pPr>
            <w:r>
              <w:rPr>
                <w:rFonts w:ascii="Times" w:hAnsi="Times" w:cs="Times"/>
                <w:sz w:val="12"/>
                <w:szCs w:val="12"/>
              </w:rPr>
              <w:t>205</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2"/>
        </w:trPr>
        <w:tc>
          <w:tcPr>
            <w:tcW w:w="1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32" w:lineRule="exact"/>
              <w:jc w:val="center"/>
              <w:rPr>
                <w:rFonts w:ascii="Times New Roman" w:hAnsi="Times New Roman" w:cs="Times New Roman"/>
                <w:sz w:val="24"/>
                <w:szCs w:val="24"/>
              </w:rPr>
            </w:pPr>
            <w:r>
              <w:rPr>
                <w:rFonts w:ascii="Times" w:hAnsi="Times" w:cs="Times"/>
                <w:w w:val="99"/>
                <w:sz w:val="12"/>
                <w:szCs w:val="12"/>
              </w:rPr>
              <w:t>180</w:t>
            </w:r>
          </w:p>
        </w:tc>
        <w:tc>
          <w:tcPr>
            <w:tcW w:w="6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1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522"/>
              <w:jc w:val="right"/>
              <w:rPr>
                <w:rFonts w:ascii="Times New Roman" w:hAnsi="Times New Roman" w:cs="Times New Roman"/>
                <w:sz w:val="24"/>
                <w:szCs w:val="24"/>
              </w:rPr>
            </w:pPr>
            <w:r>
              <w:rPr>
                <w:rFonts w:ascii="Times" w:hAnsi="Times" w:cs="Times"/>
                <w:sz w:val="16"/>
                <w:szCs w:val="16"/>
              </w:rPr>
              <w:t>180</w:t>
            </w: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center"/>
              <w:rPr>
                <w:rFonts w:ascii="Times New Roman" w:hAnsi="Times New Roman" w:cs="Times New Roman"/>
                <w:sz w:val="24"/>
                <w:szCs w:val="24"/>
              </w:rPr>
            </w:pPr>
            <w:r>
              <w:rPr>
                <w:rFonts w:ascii="Times" w:hAnsi="Times" w:cs="Times"/>
                <w:w w:val="99"/>
                <w:sz w:val="12"/>
                <w:szCs w:val="12"/>
              </w:rPr>
              <w:t>180</w:t>
            </w: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0"/>
        </w:trPr>
        <w:tc>
          <w:tcPr>
            <w:tcW w:w="1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10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8"/>
        </w:trPr>
        <w:tc>
          <w:tcPr>
            <w:tcW w:w="1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522"/>
              <w:jc w:val="right"/>
              <w:rPr>
                <w:rFonts w:ascii="Times New Roman" w:hAnsi="Times New Roman" w:cs="Times New Roman"/>
                <w:sz w:val="24"/>
                <w:szCs w:val="24"/>
              </w:rPr>
            </w:pPr>
            <w:r>
              <w:rPr>
                <w:rFonts w:ascii="Times" w:hAnsi="Times" w:cs="Times"/>
                <w:sz w:val="16"/>
                <w:szCs w:val="16"/>
              </w:rPr>
              <w:t>160</w:t>
            </w: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80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15"/>
              <w:jc w:val="center"/>
              <w:rPr>
                <w:rFonts w:ascii="Times New Roman" w:hAnsi="Times New Roman" w:cs="Times New Roman"/>
                <w:sz w:val="24"/>
                <w:szCs w:val="24"/>
              </w:rPr>
            </w:pPr>
            <w:r>
              <w:rPr>
                <w:rFonts w:ascii="Times" w:hAnsi="Times" w:cs="Times"/>
                <w:w w:val="99"/>
                <w:sz w:val="12"/>
                <w:szCs w:val="12"/>
              </w:rPr>
              <w:t>136</w:t>
            </w: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3"/>
        </w:trPr>
        <w:tc>
          <w:tcPr>
            <w:tcW w:w="1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0"/>
        </w:trPr>
        <w:tc>
          <w:tcPr>
            <w:tcW w:w="1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0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32" w:lineRule="exact"/>
              <w:ind w:right="115"/>
              <w:jc w:val="center"/>
              <w:rPr>
                <w:rFonts w:ascii="Times New Roman" w:hAnsi="Times New Roman" w:cs="Times New Roman"/>
                <w:sz w:val="24"/>
                <w:szCs w:val="24"/>
              </w:rPr>
            </w:pPr>
            <w:r>
              <w:rPr>
                <w:rFonts w:ascii="Times" w:hAnsi="Times" w:cs="Times"/>
                <w:w w:val="99"/>
                <w:sz w:val="12"/>
                <w:szCs w:val="12"/>
              </w:rPr>
              <w:t>136</w:t>
            </w: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1"/>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8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522"/>
              <w:jc w:val="right"/>
              <w:rPr>
                <w:rFonts w:ascii="Times New Roman" w:hAnsi="Times New Roman" w:cs="Times New Roman"/>
                <w:sz w:val="24"/>
                <w:szCs w:val="24"/>
              </w:rPr>
            </w:pPr>
            <w:r>
              <w:rPr>
                <w:rFonts w:ascii="Times" w:hAnsi="Times" w:cs="Times"/>
                <w:sz w:val="16"/>
                <w:szCs w:val="16"/>
              </w:rPr>
              <w:t>140</w:t>
            </w: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8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8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9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w:hAnsi="Times" w:cs="Times"/>
                <w:w w:val="99"/>
                <w:sz w:val="12"/>
                <w:szCs w:val="12"/>
              </w:rPr>
              <w:t>122</w:t>
            </w:r>
          </w:p>
        </w:tc>
        <w:tc>
          <w:tcPr>
            <w:tcW w:w="11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56"/>
              <w:jc w:val="center"/>
              <w:rPr>
                <w:rFonts w:ascii="Times New Roman" w:hAnsi="Times New Roman" w:cs="Times New Roman"/>
                <w:sz w:val="24"/>
                <w:szCs w:val="24"/>
              </w:rPr>
            </w:pPr>
            <w:r>
              <w:rPr>
                <w:rFonts w:ascii="Times" w:hAnsi="Times" w:cs="Times"/>
                <w:w w:val="99"/>
                <w:sz w:val="12"/>
                <w:szCs w:val="12"/>
              </w:rPr>
              <w:t>117</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5"/>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9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11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80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15"/>
              <w:jc w:val="center"/>
              <w:rPr>
                <w:rFonts w:ascii="Times New Roman" w:hAnsi="Times New Roman" w:cs="Times New Roman"/>
                <w:sz w:val="24"/>
                <w:szCs w:val="24"/>
              </w:rPr>
            </w:pPr>
            <w:r>
              <w:rPr>
                <w:rFonts w:ascii="Times" w:hAnsi="Times" w:cs="Times"/>
                <w:w w:val="99"/>
                <w:sz w:val="12"/>
                <w:szCs w:val="12"/>
              </w:rPr>
              <w:t>131</w:t>
            </w: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2"/>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8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522"/>
              <w:jc w:val="right"/>
              <w:rPr>
                <w:rFonts w:ascii="Times New Roman" w:hAnsi="Times New Roman" w:cs="Times New Roman"/>
                <w:sz w:val="24"/>
                <w:szCs w:val="24"/>
              </w:rPr>
            </w:pPr>
            <w:r>
              <w:rPr>
                <w:rFonts w:ascii="Times" w:hAnsi="Times" w:cs="Times"/>
                <w:sz w:val="16"/>
                <w:szCs w:val="16"/>
              </w:rPr>
              <w:t>120</w:t>
            </w: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32" w:lineRule="exact"/>
              <w:ind w:right="156"/>
              <w:jc w:val="center"/>
              <w:rPr>
                <w:rFonts w:ascii="Times New Roman" w:hAnsi="Times New Roman" w:cs="Times New Roman"/>
                <w:sz w:val="24"/>
                <w:szCs w:val="24"/>
              </w:rPr>
            </w:pPr>
            <w:r>
              <w:rPr>
                <w:rFonts w:ascii="Times" w:hAnsi="Times" w:cs="Times"/>
                <w:w w:val="99"/>
                <w:sz w:val="12"/>
                <w:szCs w:val="12"/>
              </w:rPr>
              <w:t>116</w:t>
            </w:r>
          </w:p>
        </w:tc>
        <w:tc>
          <w:tcPr>
            <w:tcW w:w="80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1"/>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8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9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66"/>
              <w:jc w:val="right"/>
              <w:rPr>
                <w:rFonts w:ascii="Times New Roman" w:hAnsi="Times New Roman" w:cs="Times New Roman"/>
                <w:sz w:val="24"/>
                <w:szCs w:val="24"/>
              </w:rPr>
            </w:pPr>
            <w:r>
              <w:rPr>
                <w:rFonts w:ascii="Times" w:hAnsi="Times" w:cs="Times"/>
                <w:sz w:val="12"/>
                <w:szCs w:val="12"/>
              </w:rPr>
              <w:t>115</w:t>
            </w: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3"/>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88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62"/>
              <w:jc w:val="right"/>
              <w:rPr>
                <w:rFonts w:ascii="Times New Roman" w:hAnsi="Times New Roman" w:cs="Times New Roman"/>
                <w:sz w:val="24"/>
                <w:szCs w:val="24"/>
              </w:rPr>
            </w:pPr>
            <w:r>
              <w:rPr>
                <w:rFonts w:ascii="Times" w:hAnsi="Times" w:cs="Times"/>
                <w:sz w:val="12"/>
                <w:szCs w:val="12"/>
              </w:rPr>
              <w:t>100</w:t>
            </w:r>
          </w:p>
        </w:tc>
        <w:tc>
          <w:tcPr>
            <w:tcW w:w="9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1"/>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8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522"/>
              <w:jc w:val="right"/>
              <w:rPr>
                <w:rFonts w:ascii="Times New Roman" w:hAnsi="Times New Roman" w:cs="Times New Roman"/>
                <w:sz w:val="24"/>
                <w:szCs w:val="24"/>
              </w:rPr>
            </w:pPr>
            <w:r>
              <w:rPr>
                <w:rFonts w:ascii="Times" w:hAnsi="Times" w:cs="Times"/>
                <w:sz w:val="16"/>
                <w:szCs w:val="16"/>
              </w:rPr>
              <w:t>100</w:t>
            </w:r>
          </w:p>
        </w:tc>
        <w:tc>
          <w:tcPr>
            <w:tcW w:w="96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6"/>
              <w:jc w:val="center"/>
              <w:rPr>
                <w:rFonts w:ascii="Times New Roman" w:hAnsi="Times New Roman" w:cs="Times New Roman"/>
                <w:sz w:val="24"/>
                <w:szCs w:val="24"/>
              </w:rPr>
            </w:pPr>
            <w:r>
              <w:rPr>
                <w:rFonts w:ascii="Times" w:hAnsi="Times" w:cs="Times"/>
                <w:w w:val="99"/>
                <w:sz w:val="12"/>
                <w:szCs w:val="12"/>
              </w:rPr>
              <w:t>109</w:t>
            </w:r>
          </w:p>
        </w:tc>
        <w:tc>
          <w:tcPr>
            <w:tcW w:w="11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56"/>
              <w:jc w:val="center"/>
              <w:rPr>
                <w:rFonts w:ascii="Times New Roman" w:hAnsi="Times New Roman" w:cs="Times New Roman"/>
                <w:sz w:val="24"/>
                <w:szCs w:val="24"/>
              </w:rPr>
            </w:pPr>
            <w:r>
              <w:rPr>
                <w:rFonts w:ascii="Times" w:hAnsi="Times" w:cs="Times"/>
                <w:w w:val="99"/>
                <w:sz w:val="12"/>
                <w:szCs w:val="12"/>
              </w:rPr>
              <w:t>109</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8"/>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96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1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4"/>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522"/>
              <w:jc w:val="right"/>
              <w:rPr>
                <w:rFonts w:ascii="Times New Roman" w:hAnsi="Times New Roman" w:cs="Times New Roman"/>
                <w:sz w:val="24"/>
                <w:szCs w:val="24"/>
              </w:rPr>
            </w:pPr>
            <w:r>
              <w:rPr>
                <w:rFonts w:ascii="Times" w:hAnsi="Times" w:cs="Times"/>
                <w:sz w:val="16"/>
                <w:szCs w:val="16"/>
              </w:rPr>
              <w:t>80</w:t>
            </w: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1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5"/>
                <w:szCs w:val="15"/>
              </w:rPr>
            </w:pPr>
          </w:p>
        </w:tc>
        <w:tc>
          <w:tcPr>
            <w:tcW w:w="8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82"/>
              <w:jc w:val="right"/>
              <w:rPr>
                <w:rFonts w:ascii="Times New Roman" w:hAnsi="Times New Roman" w:cs="Times New Roman"/>
                <w:sz w:val="24"/>
                <w:szCs w:val="24"/>
              </w:rPr>
            </w:pPr>
            <w:r>
              <w:rPr>
                <w:rFonts w:ascii="Times" w:hAnsi="Times" w:cs="Times"/>
                <w:sz w:val="16"/>
                <w:szCs w:val="16"/>
              </w:rPr>
              <w:t>2009</w:t>
            </w:r>
          </w:p>
        </w:tc>
        <w:tc>
          <w:tcPr>
            <w:tcW w:w="9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6"/>
              <w:jc w:val="center"/>
              <w:rPr>
                <w:rFonts w:ascii="Times New Roman" w:hAnsi="Times New Roman" w:cs="Times New Roman"/>
                <w:sz w:val="24"/>
                <w:szCs w:val="24"/>
              </w:rPr>
            </w:pPr>
            <w:r>
              <w:rPr>
                <w:rFonts w:ascii="Times" w:hAnsi="Times" w:cs="Times"/>
                <w:w w:val="99"/>
                <w:sz w:val="16"/>
                <w:szCs w:val="16"/>
              </w:rPr>
              <w:t>2010</w:t>
            </w:r>
          </w:p>
        </w:tc>
        <w:tc>
          <w:tcPr>
            <w:tcW w:w="1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36"/>
              <w:jc w:val="center"/>
              <w:rPr>
                <w:rFonts w:ascii="Times New Roman" w:hAnsi="Times New Roman" w:cs="Times New Roman"/>
                <w:sz w:val="24"/>
                <w:szCs w:val="24"/>
              </w:rPr>
            </w:pPr>
            <w:r>
              <w:rPr>
                <w:rFonts w:ascii="Times" w:hAnsi="Times" w:cs="Times"/>
                <w:w w:val="99"/>
                <w:sz w:val="16"/>
                <w:szCs w:val="16"/>
              </w:rPr>
              <w:t>2011</w:t>
            </w:r>
          </w:p>
        </w:tc>
        <w:tc>
          <w:tcPr>
            <w:tcW w:w="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ind w:right="135"/>
              <w:jc w:val="center"/>
              <w:rPr>
                <w:rFonts w:ascii="Times New Roman" w:hAnsi="Times New Roman" w:cs="Times New Roman"/>
                <w:sz w:val="24"/>
                <w:szCs w:val="24"/>
              </w:rPr>
            </w:pPr>
            <w:r>
              <w:rPr>
                <w:rFonts w:ascii="Times" w:hAnsi="Times" w:cs="Times"/>
                <w:w w:val="99"/>
                <w:sz w:val="16"/>
                <w:szCs w:val="16"/>
              </w:rPr>
              <w:t>2012</w:t>
            </w:r>
          </w:p>
        </w:tc>
        <w:tc>
          <w:tcPr>
            <w:tcW w:w="10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center"/>
              <w:rPr>
                <w:rFonts w:ascii="Times New Roman" w:hAnsi="Times New Roman" w:cs="Times New Roman"/>
                <w:sz w:val="24"/>
                <w:szCs w:val="24"/>
              </w:rPr>
            </w:pPr>
            <w:r>
              <w:rPr>
                <w:rFonts w:ascii="Times" w:hAnsi="Times" w:cs="Times"/>
                <w:w w:val="99"/>
                <w:sz w:val="16"/>
                <w:szCs w:val="16"/>
              </w:rPr>
              <w:t>2013</w:t>
            </w:r>
          </w:p>
        </w:tc>
        <w:tc>
          <w:tcPr>
            <w:tcW w:w="6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76" w:lineRule="exact"/>
              <w:jc w:val="right"/>
              <w:rPr>
                <w:rFonts w:ascii="Times New Roman" w:hAnsi="Times New Roman" w:cs="Times New Roman"/>
                <w:sz w:val="24"/>
                <w:szCs w:val="24"/>
              </w:rPr>
            </w:pPr>
            <w:r>
              <w:rPr>
                <w:rFonts w:ascii="Times" w:hAnsi="Times" w:cs="Times"/>
                <w:sz w:val="16"/>
                <w:szCs w:val="16"/>
              </w:rPr>
              <w:t>2014</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327" w:lineRule="exact"/>
        <w:rPr>
          <w:rFonts w:ascii="Times New Roman" w:hAnsi="Times New Roman" w:cs="Times New Roman"/>
          <w:sz w:val="24"/>
          <w:szCs w:val="24"/>
        </w:rPr>
      </w:pPr>
      <w:r>
        <w:rPr>
          <w:noProof/>
        </w:rPr>
        <w:drawing>
          <wp:anchor distT="0" distB="0" distL="114300" distR="114300" simplePos="0" relativeHeight="251718656" behindDoc="1" locked="0" layoutInCell="0" allowOverlap="1">
            <wp:simplePos x="0" y="0"/>
            <wp:positionH relativeFrom="column">
              <wp:posOffset>1976120</wp:posOffset>
            </wp:positionH>
            <wp:positionV relativeFrom="paragraph">
              <wp:posOffset>-2055495</wp:posOffset>
            </wp:positionV>
            <wp:extent cx="3231515" cy="1958975"/>
            <wp:effectExtent l="0" t="0" r="698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1515" cy="19589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1" locked="0" layoutInCell="0" allowOverlap="1">
                <wp:simplePos x="0" y="0"/>
                <wp:positionH relativeFrom="column">
                  <wp:posOffset>0</wp:posOffset>
                </wp:positionH>
                <wp:positionV relativeFrom="paragraph">
                  <wp:posOffset>170815</wp:posOffset>
                </wp:positionV>
                <wp:extent cx="1892300" cy="0"/>
                <wp:effectExtent l="0" t="0" r="0" b="0"/>
                <wp:wrapNone/>
                <wp:docPr id="10"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23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45pt" to="14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" o:allowincell="f" strokeweight=".5pt"/>
            </w:pict>
          </mc:Fallback>
        </mc:AlternateContent>
      </w:r>
    </w:p>
    <w:p w:rsidR="00000000" w:rsidRDefault="00A06965">
      <w:pPr>
        <w:pStyle w:val="DefaultParagraphFont"/>
        <w:widowControl w:val="0"/>
        <w:numPr>
          <w:ilvl w:val="0"/>
          <w:numId w:val="54"/>
        </w:numPr>
        <w:tabs>
          <w:tab w:val="clear" w:pos="720"/>
          <w:tab w:val="num" w:pos="480"/>
        </w:tabs>
        <w:overflowPunct w:val="0"/>
        <w:autoSpaceDE w:val="0"/>
        <w:autoSpaceDN w:val="0"/>
        <w:adjustRightInd w:val="0"/>
        <w:spacing w:after="0" w:line="239"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Cumulative return for the Standard and Poor’s indices based on reinvestment of dividends.</w:t>
      </w:r>
    </w:p>
    <w:p w:rsidR="00000000" w:rsidRDefault="00A06965">
      <w:pPr>
        <w:pStyle w:val="DefaultParagraphFont"/>
        <w:widowControl w:val="0"/>
        <w:autoSpaceDE w:val="0"/>
        <w:autoSpaceDN w:val="0"/>
        <w:adjustRightInd w:val="0"/>
        <w:spacing w:after="0" w:line="64" w:lineRule="exact"/>
        <w:rPr>
          <w:rFonts w:ascii="Times New Roman" w:hAnsi="Times New Roman" w:cs="Times New Roman"/>
          <w:sz w:val="20"/>
          <w:szCs w:val="20"/>
        </w:rPr>
      </w:pPr>
    </w:p>
    <w:p w:rsidR="00000000" w:rsidRDefault="00A06965">
      <w:pPr>
        <w:pStyle w:val="DefaultParagraphFont"/>
        <w:widowControl w:val="0"/>
        <w:numPr>
          <w:ilvl w:val="0"/>
          <w:numId w:val="55"/>
        </w:numPr>
        <w:tabs>
          <w:tab w:val="clear" w:pos="720"/>
          <w:tab w:val="num" w:pos="480"/>
        </w:tabs>
        <w:overflowPunct w:val="0"/>
        <w:autoSpaceDE w:val="0"/>
        <w:autoSpaceDN w:val="0"/>
        <w:adjustRightInd w:val="0"/>
        <w:spacing w:after="0" w:line="242" w:lineRule="auto"/>
        <w:ind w:left="480" w:hanging="480"/>
        <w:jc w:val="both"/>
        <w:rPr>
          <w:rFonts w:ascii="Times New Roman" w:hAnsi="Times New Roman" w:cs="Times New Roman"/>
          <w:sz w:val="20"/>
          <w:szCs w:val="20"/>
        </w:rPr>
      </w:pPr>
      <w:r>
        <w:rPr>
          <w:rFonts w:ascii="Times New Roman" w:hAnsi="Times New Roman" w:cs="Times New Roman"/>
          <w:i/>
          <w:iCs/>
          <w:sz w:val="20"/>
          <w:szCs w:val="20"/>
        </w:rPr>
        <w:t>It would be difficult to develop a peer group of companies similar to Berkshire. The Corporation owns subsidiaries engaged in a number of diverse business activities of which the most important is the property and casualty insurance business and, according</w:t>
      </w:r>
      <w:r>
        <w:rPr>
          <w:rFonts w:ascii="Times New Roman" w:hAnsi="Times New Roman" w:cs="Times New Roman"/>
          <w:i/>
          <w:iCs/>
          <w:sz w:val="20"/>
          <w:szCs w:val="20"/>
        </w:rPr>
        <w:t>ly, management has used the Standard and Poor’s Property—Casualty Insurance Index for comparative purposes.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904" w:right="720" w:bottom="523" w:left="720" w:header="720" w:footer="720" w:gutter="0"/>
          <w:cols w:space="720" w:equalWidth="0">
            <w:col w:w="10800"/>
          </w:cols>
          <w:noEndnote/>
        </w:sectPr>
      </w:pPr>
    </w:p>
    <w:p w:rsidR="00000000" w:rsidRDefault="00A06965">
      <w:pPr>
        <w:pStyle w:val="DefaultParagraphFont"/>
        <w:widowControl w:val="0"/>
        <w:autoSpaceDE w:val="0"/>
        <w:autoSpaceDN w:val="0"/>
        <w:adjustRightInd w:val="0"/>
        <w:spacing w:after="0" w:line="24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122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904"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ind w:left="3940"/>
        <w:rPr>
          <w:rFonts w:ascii="Times New Roman" w:hAnsi="Times New Roman" w:cs="Times New Roman"/>
          <w:sz w:val="24"/>
          <w:szCs w:val="24"/>
        </w:rPr>
      </w:pPr>
      <w:r>
        <w:rPr>
          <w:rFonts w:ascii="Times New Roman" w:hAnsi="Times New Roman" w:cs="Times New Roman"/>
          <w:b/>
          <w:bC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060"/>
        <w:rPr>
          <w:rFonts w:ascii="Times New Roman" w:hAnsi="Times New Roman" w:cs="Times New Roman"/>
          <w:sz w:val="24"/>
          <w:szCs w:val="24"/>
        </w:rPr>
      </w:pPr>
      <w:r>
        <w:rPr>
          <w:rFonts w:ascii="Times New Roman" w:hAnsi="Times New Roman" w:cs="Times New Roman"/>
          <w:b/>
          <w:bCs/>
          <w:sz w:val="20"/>
          <w:szCs w:val="20"/>
        </w:rPr>
        <w:t>INTRINSIC VALUE – TODAY AND TOMORROW *</w:t>
      </w:r>
    </w:p>
    <w:p w:rsidR="00000000" w:rsidRDefault="00A06965">
      <w:pPr>
        <w:pStyle w:val="DefaultParagraphFont"/>
        <w:widowControl w:val="0"/>
        <w:autoSpaceDE w:val="0"/>
        <w:autoSpaceDN w:val="0"/>
        <w:adjustRightInd w:val="0"/>
        <w:spacing w:after="0" w:line="269"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1240"/>
        <w:jc w:val="both"/>
        <w:rPr>
          <w:rFonts w:ascii="Times New Roman" w:hAnsi="Times New Roman" w:cs="Times New Roman"/>
          <w:sz w:val="24"/>
          <w:szCs w:val="24"/>
        </w:rPr>
      </w:pPr>
      <w:r>
        <w:rPr>
          <w:rFonts w:ascii="Times New Roman" w:hAnsi="Times New Roman" w:cs="Times New Roman"/>
          <w:sz w:val="20"/>
          <w:szCs w:val="20"/>
        </w:rPr>
        <w:t>Though Berkshire’</w:t>
      </w:r>
      <w:r>
        <w:rPr>
          <w:rFonts w:ascii="Times New Roman" w:hAnsi="Times New Roman" w:cs="Times New Roman"/>
          <w:sz w:val="20"/>
          <w:szCs w:val="20"/>
        </w:rPr>
        <w:t>s intrinsic value cannot be precisely calculated, two of its three key pillars can be measured. Charlie and I rely heavily on these measurements when we make our own estimates of Berkshire’s value.</w:t>
      </w:r>
    </w:p>
    <w:p w:rsidR="00000000" w:rsidRDefault="00A0696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1240"/>
        <w:jc w:val="both"/>
        <w:rPr>
          <w:rFonts w:ascii="Times New Roman" w:hAnsi="Times New Roman" w:cs="Times New Roman"/>
          <w:sz w:val="24"/>
          <w:szCs w:val="24"/>
        </w:rPr>
      </w:pPr>
      <w:r>
        <w:rPr>
          <w:rFonts w:ascii="Times New Roman" w:hAnsi="Times New Roman" w:cs="Times New Roman"/>
          <w:sz w:val="20"/>
          <w:szCs w:val="20"/>
        </w:rPr>
        <w:t xml:space="preserve">The first component of value is our investments: stocks, </w:t>
      </w:r>
      <w:r>
        <w:rPr>
          <w:rFonts w:ascii="Times New Roman" w:hAnsi="Times New Roman" w:cs="Times New Roman"/>
          <w:sz w:val="20"/>
          <w:szCs w:val="20"/>
        </w:rPr>
        <w:t>bonds and cash equivalents. At yearend these totaled $158 billion at market value.</w:t>
      </w:r>
    </w:p>
    <w:p w:rsidR="00000000" w:rsidRDefault="00A0696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7" w:lineRule="auto"/>
        <w:ind w:firstLine="1240"/>
        <w:jc w:val="both"/>
        <w:rPr>
          <w:rFonts w:ascii="Times New Roman" w:hAnsi="Times New Roman" w:cs="Times New Roman"/>
          <w:sz w:val="24"/>
          <w:szCs w:val="24"/>
        </w:rPr>
      </w:pPr>
      <w:r>
        <w:rPr>
          <w:rFonts w:ascii="Times New Roman" w:hAnsi="Times New Roman" w:cs="Times New Roman"/>
          <w:sz w:val="20"/>
          <w:szCs w:val="20"/>
        </w:rPr>
        <w:t>Insurance float – money we temporarily hold in our insurance operations that does not belong to us – funds $66 billion of our investments. This float is “free” as long as i</w:t>
      </w:r>
      <w:r>
        <w:rPr>
          <w:rFonts w:ascii="Times New Roman" w:hAnsi="Times New Roman" w:cs="Times New Roman"/>
          <w:sz w:val="20"/>
          <w:szCs w:val="20"/>
        </w:rPr>
        <w:t>nsurance underwriting breaks even, meaning that the premiums we receive equal the losses and expenses we incur. Of course, underwriting results are volatile, swinging erratically between profits and losses. Over our entire history, though, we’ve been signi</w:t>
      </w:r>
      <w:r>
        <w:rPr>
          <w:rFonts w:ascii="Times New Roman" w:hAnsi="Times New Roman" w:cs="Times New Roman"/>
          <w:sz w:val="20"/>
          <w:szCs w:val="20"/>
        </w:rPr>
        <w:t>ficantly profitable, and I also expect us to average breakeven results or better in the future. If we do that, all of our investments – those funded both by float and by retained earnings – can be viewed as an element of value for Berkshire shareholders.</w:t>
      </w:r>
    </w:p>
    <w:p w:rsidR="00000000" w:rsidRDefault="00A06965">
      <w:pPr>
        <w:pStyle w:val="DefaultParagraphFont"/>
        <w:widowControl w:val="0"/>
        <w:autoSpaceDE w:val="0"/>
        <w:autoSpaceDN w:val="0"/>
        <w:adjustRightInd w:val="0"/>
        <w:spacing w:after="0" w:line="267"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1240"/>
        <w:jc w:val="both"/>
        <w:rPr>
          <w:rFonts w:ascii="Times New Roman" w:hAnsi="Times New Roman" w:cs="Times New Roman"/>
          <w:sz w:val="24"/>
          <w:szCs w:val="24"/>
        </w:rPr>
      </w:pPr>
      <w:r>
        <w:rPr>
          <w:rFonts w:ascii="Times New Roman" w:hAnsi="Times New Roman" w:cs="Times New Roman"/>
          <w:sz w:val="20"/>
          <w:szCs w:val="20"/>
        </w:rPr>
        <w:t xml:space="preserve">Berkshire’s second component of value is earnings that come from sources other than investments and insurance underwriting. These earnings are delivered by our 68 non-insurance companies, itemized on page 106. In Berkshire’s early years, we focused on the </w:t>
      </w:r>
      <w:r>
        <w:rPr>
          <w:rFonts w:ascii="Times New Roman" w:hAnsi="Times New Roman" w:cs="Times New Roman"/>
          <w:sz w:val="20"/>
          <w:szCs w:val="20"/>
        </w:rPr>
        <w:t>investment side. During the past two decades, however, we’ve increasingly emphasized the development of earnings from non-insurance businesses, a practice that will continue.</w:t>
      </w:r>
    </w:p>
    <w:p w:rsidR="00000000" w:rsidRDefault="00A06965">
      <w:pPr>
        <w:pStyle w:val="DefaultParagraphFont"/>
        <w:widowControl w:val="0"/>
        <w:autoSpaceDE w:val="0"/>
        <w:autoSpaceDN w:val="0"/>
        <w:adjustRightInd w:val="0"/>
        <w:spacing w:after="0" w:line="26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1240"/>
        <w:jc w:val="both"/>
        <w:rPr>
          <w:rFonts w:ascii="Times New Roman" w:hAnsi="Times New Roman" w:cs="Times New Roman"/>
          <w:sz w:val="24"/>
          <w:szCs w:val="24"/>
        </w:rPr>
      </w:pPr>
      <w:r>
        <w:rPr>
          <w:rFonts w:ascii="Times New Roman" w:hAnsi="Times New Roman" w:cs="Times New Roman"/>
          <w:sz w:val="20"/>
          <w:szCs w:val="20"/>
        </w:rPr>
        <w:t>The following tables illustrate this shift. In the first table, we present per-s</w:t>
      </w:r>
      <w:r>
        <w:rPr>
          <w:rFonts w:ascii="Times New Roman" w:hAnsi="Times New Roman" w:cs="Times New Roman"/>
          <w:sz w:val="20"/>
          <w:szCs w:val="20"/>
        </w:rPr>
        <w:t>hare investments at decade intervals beginning in 1970, three years after we entered the insurance business. We exclude those investments applicable to minority interests.</w:t>
      </w:r>
    </w:p>
    <w:p w:rsidR="00000000" w:rsidRDefault="00A06965">
      <w:pPr>
        <w:pStyle w:val="DefaultParagraphFont"/>
        <w:widowControl w:val="0"/>
        <w:autoSpaceDE w:val="0"/>
        <w:autoSpaceDN w:val="0"/>
        <w:adjustRightInd w:val="0"/>
        <w:spacing w:after="0" w:line="203" w:lineRule="exact"/>
        <w:rPr>
          <w:rFonts w:ascii="Times New Roman" w:hAnsi="Times New Roman" w:cs="Times New Roman"/>
          <w:sz w:val="24"/>
          <w:szCs w:val="24"/>
        </w:rPr>
      </w:pPr>
    </w:p>
    <w:tbl>
      <w:tblPr>
        <w:tblW w:w="0" w:type="auto"/>
        <w:tblInd w:w="1280" w:type="dxa"/>
        <w:tblLayout w:type="fixed"/>
        <w:tblCellMar>
          <w:left w:w="0" w:type="dxa"/>
          <w:right w:w="0" w:type="dxa"/>
        </w:tblCellMar>
        <w:tblLook w:val="0000" w:firstRow="0" w:lastRow="0" w:firstColumn="0" w:lastColumn="0" w:noHBand="0" w:noVBand="0"/>
      </w:tblPr>
      <w:tblGrid>
        <w:gridCol w:w="660"/>
        <w:gridCol w:w="2200"/>
        <w:gridCol w:w="240"/>
        <w:gridCol w:w="700"/>
        <w:gridCol w:w="500"/>
        <w:gridCol w:w="980"/>
        <w:gridCol w:w="500"/>
        <w:gridCol w:w="2460"/>
      </w:tblGrid>
      <w:tr w:rsidR="00000000">
        <w:tblPrEx>
          <w:tblCellMar>
            <w:top w:w="0" w:type="dxa"/>
            <w:left w:w="0" w:type="dxa"/>
            <w:bottom w:w="0" w:type="dxa"/>
            <w:right w:w="0" w:type="dxa"/>
          </w:tblCellMar>
        </w:tblPrEx>
        <w:trPr>
          <w:trHeight w:val="230"/>
        </w:trPr>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sz w:val="20"/>
                <w:szCs w:val="20"/>
              </w:rPr>
              <w:t>Per-Share</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w w:val="99"/>
                <w:sz w:val="20"/>
                <w:szCs w:val="20"/>
              </w:rPr>
              <w:t>Compounded Annual Increase</w:t>
            </w:r>
          </w:p>
        </w:tc>
      </w:tr>
      <w:tr w:rsidR="00000000">
        <w:tblPrEx>
          <w:tblCellMar>
            <w:top w:w="0" w:type="dxa"/>
            <w:left w:w="0" w:type="dxa"/>
            <w:bottom w:w="0" w:type="dxa"/>
            <w:right w:w="0" w:type="dxa"/>
          </w:tblCellMar>
        </w:tblPrEx>
        <w:trPr>
          <w:trHeight w:val="233"/>
        </w:trPr>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r>
              <w:rPr>
                <w:rFonts w:ascii="Times New Roman" w:hAnsi="Times New Roman" w:cs="Times New Roman"/>
                <w:i/>
                <w:iCs/>
                <w:w w:val="95"/>
                <w:sz w:val="20"/>
                <w:szCs w:val="20"/>
              </w:rPr>
              <w:t>Yearend</w:t>
            </w:r>
          </w:p>
        </w:tc>
        <w:tc>
          <w:tcPr>
            <w:tcW w:w="2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4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15" w:lineRule="exact"/>
              <w:jc w:val="right"/>
              <w:rPr>
                <w:rFonts w:ascii="Times New Roman" w:hAnsi="Times New Roman" w:cs="Times New Roman"/>
                <w:sz w:val="24"/>
                <w:szCs w:val="24"/>
              </w:rPr>
            </w:pPr>
            <w:r>
              <w:rPr>
                <w:rFonts w:ascii="Times New Roman" w:hAnsi="Times New Roman" w:cs="Times New Roman"/>
                <w:i/>
                <w:iCs/>
                <w:w w:val="97"/>
                <w:sz w:val="20"/>
                <w:szCs w:val="20"/>
              </w:rPr>
              <w:t>Investments</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9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15" w:lineRule="exact"/>
              <w:jc w:val="center"/>
              <w:rPr>
                <w:rFonts w:ascii="Times New Roman" w:hAnsi="Times New Roman" w:cs="Times New Roman"/>
                <w:sz w:val="24"/>
                <w:szCs w:val="24"/>
              </w:rPr>
            </w:pPr>
            <w:r>
              <w:rPr>
                <w:rFonts w:ascii="Times New Roman" w:hAnsi="Times New Roman" w:cs="Times New Roman"/>
                <w:i/>
                <w:iCs/>
                <w:w w:val="99"/>
                <w:sz w:val="20"/>
                <w:szCs w:val="20"/>
              </w:rPr>
              <w:t>Period</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4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15" w:lineRule="exact"/>
              <w:ind w:right="120"/>
              <w:jc w:val="right"/>
              <w:rPr>
                <w:rFonts w:ascii="Times New Roman" w:hAnsi="Times New Roman" w:cs="Times New Roman"/>
                <w:sz w:val="24"/>
                <w:szCs w:val="24"/>
              </w:rPr>
            </w:pPr>
            <w:r>
              <w:rPr>
                <w:rFonts w:ascii="Times New Roman" w:hAnsi="Times New Roman" w:cs="Times New Roman"/>
                <w:i/>
                <w:iCs/>
                <w:sz w:val="20"/>
                <w:szCs w:val="20"/>
              </w:rPr>
              <w:t>in Per-Share Investments</w:t>
            </w:r>
          </w:p>
        </w:tc>
      </w:tr>
      <w:tr w:rsidR="00000000">
        <w:tblPrEx>
          <w:tblCellMar>
            <w:top w:w="0" w:type="dxa"/>
            <w:left w:w="0" w:type="dxa"/>
            <w:bottom w:w="0" w:type="dxa"/>
            <w:right w:w="0" w:type="dxa"/>
          </w:tblCellMar>
        </w:tblPrEx>
        <w:trPr>
          <w:trHeight w:val="282"/>
        </w:trPr>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1970 . .</w:t>
            </w:r>
          </w:p>
        </w:tc>
        <w:tc>
          <w:tcPr>
            <w:tcW w:w="24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 . . . . . . . . . . . . .    $</w:t>
            </w: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66</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4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1980 . .</w:t>
            </w:r>
          </w:p>
        </w:tc>
        <w:tc>
          <w:tcPr>
            <w:tcW w:w="2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 . . . . . . . . . . . . .</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754</w:t>
            </w:r>
          </w:p>
        </w:tc>
        <w:tc>
          <w:tcPr>
            <w:tcW w:w="1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jc w:val="center"/>
              <w:rPr>
                <w:rFonts w:ascii="Times New Roman" w:hAnsi="Times New Roman" w:cs="Times New Roman"/>
                <w:sz w:val="24"/>
                <w:szCs w:val="24"/>
              </w:rPr>
            </w:pPr>
            <w:r>
              <w:rPr>
                <w:rFonts w:ascii="Times New Roman" w:hAnsi="Times New Roman" w:cs="Times New Roman"/>
                <w:w w:val="99"/>
                <w:sz w:val="20"/>
                <w:szCs w:val="20"/>
              </w:rPr>
              <w:t>1970-1980</w:t>
            </w:r>
          </w:p>
        </w:tc>
        <w:tc>
          <w:tcPr>
            <w:tcW w:w="2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780"/>
              <w:jc w:val="right"/>
              <w:rPr>
                <w:rFonts w:ascii="Times New Roman" w:hAnsi="Times New Roman" w:cs="Times New Roman"/>
                <w:sz w:val="24"/>
                <w:szCs w:val="24"/>
              </w:rPr>
            </w:pPr>
            <w:r>
              <w:rPr>
                <w:rFonts w:ascii="Times New Roman" w:hAnsi="Times New Roman" w:cs="Times New Roman"/>
                <w:sz w:val="20"/>
                <w:szCs w:val="20"/>
              </w:rPr>
              <w:t>27.5%</w:t>
            </w:r>
          </w:p>
        </w:tc>
      </w:tr>
      <w:tr w:rsidR="00000000">
        <w:tblPrEx>
          <w:tblCellMar>
            <w:top w:w="0" w:type="dxa"/>
            <w:left w:w="0" w:type="dxa"/>
            <w:bottom w:w="0" w:type="dxa"/>
            <w:right w:w="0" w:type="dxa"/>
          </w:tblCellMar>
        </w:tblPrEx>
        <w:trPr>
          <w:trHeight w:val="240"/>
        </w:trPr>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1990 . .</w:t>
            </w:r>
          </w:p>
        </w:tc>
        <w:tc>
          <w:tcPr>
            <w:tcW w:w="2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 . . . . . . . . . . . . .</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sz w:val="20"/>
                <w:szCs w:val="20"/>
              </w:rPr>
              <w:t>7,798</w:t>
            </w:r>
          </w:p>
        </w:tc>
        <w:tc>
          <w:tcPr>
            <w:tcW w:w="1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jc w:val="center"/>
              <w:rPr>
                <w:rFonts w:ascii="Times New Roman" w:hAnsi="Times New Roman" w:cs="Times New Roman"/>
                <w:sz w:val="24"/>
                <w:szCs w:val="24"/>
              </w:rPr>
            </w:pPr>
            <w:r>
              <w:rPr>
                <w:rFonts w:ascii="Times New Roman" w:hAnsi="Times New Roman" w:cs="Times New Roman"/>
                <w:w w:val="99"/>
                <w:sz w:val="20"/>
                <w:szCs w:val="20"/>
              </w:rPr>
              <w:t>1980-1990</w:t>
            </w:r>
          </w:p>
        </w:tc>
        <w:tc>
          <w:tcPr>
            <w:tcW w:w="2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780"/>
              <w:jc w:val="right"/>
              <w:rPr>
                <w:rFonts w:ascii="Times New Roman" w:hAnsi="Times New Roman" w:cs="Times New Roman"/>
                <w:sz w:val="24"/>
                <w:szCs w:val="24"/>
              </w:rPr>
            </w:pPr>
            <w:r>
              <w:rPr>
                <w:rFonts w:ascii="Times New Roman" w:hAnsi="Times New Roman" w:cs="Times New Roman"/>
                <w:sz w:val="20"/>
                <w:szCs w:val="20"/>
              </w:rPr>
              <w:t>26.3%</w:t>
            </w:r>
          </w:p>
        </w:tc>
      </w:tr>
      <w:tr w:rsidR="00000000">
        <w:tblPrEx>
          <w:tblCellMar>
            <w:top w:w="0" w:type="dxa"/>
            <w:left w:w="0" w:type="dxa"/>
            <w:bottom w:w="0" w:type="dxa"/>
            <w:right w:w="0" w:type="dxa"/>
          </w:tblCellMar>
        </w:tblPrEx>
        <w:trPr>
          <w:trHeight w:val="240"/>
        </w:trPr>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2000 . .</w:t>
            </w:r>
          </w:p>
        </w:tc>
        <w:tc>
          <w:tcPr>
            <w:tcW w:w="2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 . . . . . . . . . . . . .</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w w:val="98"/>
                <w:sz w:val="20"/>
                <w:szCs w:val="20"/>
              </w:rPr>
              <w:t>50,229</w:t>
            </w:r>
          </w:p>
        </w:tc>
        <w:tc>
          <w:tcPr>
            <w:tcW w:w="1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jc w:val="center"/>
              <w:rPr>
                <w:rFonts w:ascii="Times New Roman" w:hAnsi="Times New Roman" w:cs="Times New Roman"/>
                <w:sz w:val="24"/>
                <w:szCs w:val="24"/>
              </w:rPr>
            </w:pPr>
            <w:r>
              <w:rPr>
                <w:rFonts w:ascii="Times New Roman" w:hAnsi="Times New Roman" w:cs="Times New Roman"/>
                <w:w w:val="99"/>
                <w:sz w:val="20"/>
                <w:szCs w:val="20"/>
              </w:rPr>
              <w:t>1990-2000</w:t>
            </w:r>
          </w:p>
        </w:tc>
        <w:tc>
          <w:tcPr>
            <w:tcW w:w="2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780"/>
              <w:jc w:val="right"/>
              <w:rPr>
                <w:rFonts w:ascii="Times New Roman" w:hAnsi="Times New Roman" w:cs="Times New Roman"/>
                <w:sz w:val="24"/>
                <w:szCs w:val="24"/>
              </w:rPr>
            </w:pPr>
            <w:r>
              <w:rPr>
                <w:rFonts w:ascii="Times New Roman" w:hAnsi="Times New Roman" w:cs="Times New Roman"/>
                <w:sz w:val="20"/>
                <w:szCs w:val="20"/>
              </w:rPr>
              <w:t>20.5%</w:t>
            </w:r>
          </w:p>
        </w:tc>
      </w:tr>
      <w:tr w:rsidR="00000000">
        <w:tblPrEx>
          <w:tblCellMar>
            <w:top w:w="0" w:type="dxa"/>
            <w:left w:w="0" w:type="dxa"/>
            <w:bottom w:w="0" w:type="dxa"/>
            <w:right w:w="0" w:type="dxa"/>
          </w:tblCellMar>
        </w:tblPrEx>
        <w:trPr>
          <w:trHeight w:val="240"/>
        </w:trPr>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2010 . .</w:t>
            </w:r>
          </w:p>
        </w:tc>
        <w:tc>
          <w:tcPr>
            <w:tcW w:w="2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
              <w:rPr>
                <w:rFonts w:ascii="Times New Roman" w:hAnsi="Times New Roman" w:cs="Times New Roman"/>
                <w:sz w:val="24"/>
                <w:szCs w:val="24"/>
              </w:rPr>
            </w:pPr>
            <w:r>
              <w:rPr>
                <w:rFonts w:ascii="Times New Roman" w:hAnsi="Times New Roman" w:cs="Times New Roman"/>
                <w:sz w:val="20"/>
                <w:szCs w:val="20"/>
              </w:rPr>
              <w:t>. . . . . . . . . . . . . . . . . . . .</w:t>
            </w:r>
          </w:p>
        </w:tc>
        <w:tc>
          <w:tcPr>
            <w:tcW w:w="2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0"/>
              <w:jc w:val="right"/>
              <w:rPr>
                <w:rFonts w:ascii="Times New Roman" w:hAnsi="Times New Roman" w:cs="Times New Roman"/>
                <w:sz w:val="24"/>
                <w:szCs w:val="24"/>
              </w:rPr>
            </w:pPr>
            <w:r>
              <w:rPr>
                <w:rFonts w:ascii="Times New Roman" w:hAnsi="Times New Roman" w:cs="Times New Roman"/>
                <w:w w:val="98"/>
                <w:sz w:val="20"/>
                <w:szCs w:val="20"/>
              </w:rPr>
              <w:t>94,730</w:t>
            </w:r>
          </w:p>
        </w:tc>
        <w:tc>
          <w:tcPr>
            <w:tcW w:w="1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00"/>
              <w:jc w:val="center"/>
              <w:rPr>
                <w:rFonts w:ascii="Times New Roman" w:hAnsi="Times New Roman" w:cs="Times New Roman"/>
                <w:sz w:val="24"/>
                <w:szCs w:val="24"/>
              </w:rPr>
            </w:pPr>
            <w:r>
              <w:rPr>
                <w:rFonts w:ascii="Times New Roman" w:hAnsi="Times New Roman" w:cs="Times New Roman"/>
                <w:w w:val="99"/>
                <w:sz w:val="20"/>
                <w:szCs w:val="20"/>
              </w:rPr>
              <w:t>2000-2010</w:t>
            </w:r>
          </w:p>
        </w:tc>
        <w:tc>
          <w:tcPr>
            <w:tcW w:w="2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780"/>
              <w:jc w:val="right"/>
              <w:rPr>
                <w:rFonts w:ascii="Times New Roman" w:hAnsi="Times New Roman" w:cs="Times New Roman"/>
                <w:sz w:val="24"/>
                <w:szCs w:val="24"/>
              </w:rPr>
            </w:pPr>
            <w:r>
              <w:rPr>
                <w:rFonts w:ascii="Times New Roman" w:hAnsi="Times New Roman" w:cs="Times New Roman"/>
                <w:sz w:val="20"/>
                <w:szCs w:val="20"/>
              </w:rPr>
              <w:t>6.6%</w:t>
            </w:r>
          </w:p>
        </w:tc>
      </w:tr>
    </w:tbl>
    <w:p w:rsidR="00000000" w:rsidRDefault="00A06965">
      <w:pPr>
        <w:pStyle w:val="DefaultParagraphFont"/>
        <w:widowControl w:val="0"/>
        <w:autoSpaceDE w:val="0"/>
        <w:autoSpaceDN w:val="0"/>
        <w:adjustRightInd w:val="0"/>
        <w:spacing w:after="0" w:line="27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1240"/>
        <w:jc w:val="both"/>
        <w:rPr>
          <w:rFonts w:ascii="Times New Roman" w:hAnsi="Times New Roman" w:cs="Times New Roman"/>
          <w:sz w:val="24"/>
          <w:szCs w:val="24"/>
        </w:rPr>
      </w:pPr>
      <w:r>
        <w:rPr>
          <w:rFonts w:ascii="Times New Roman" w:hAnsi="Times New Roman" w:cs="Times New Roman"/>
          <w:sz w:val="20"/>
          <w:szCs w:val="20"/>
        </w:rPr>
        <w:t>Though our compounded annual increase in per-sha</w:t>
      </w:r>
      <w:r>
        <w:rPr>
          <w:rFonts w:ascii="Times New Roman" w:hAnsi="Times New Roman" w:cs="Times New Roman"/>
          <w:sz w:val="20"/>
          <w:szCs w:val="20"/>
        </w:rPr>
        <w:t>re investments was a healthy 19.9% over the 40-year period, our rate of increase has slowed sharply as we have focused on using funds to buy operating businesses.</w:t>
      </w:r>
    </w:p>
    <w:p w:rsidR="00000000" w:rsidRDefault="00A06965">
      <w:pPr>
        <w:pStyle w:val="DefaultParagraphFont"/>
        <w:widowControl w:val="0"/>
        <w:autoSpaceDE w:val="0"/>
        <w:autoSpaceDN w:val="0"/>
        <w:adjustRightInd w:val="0"/>
        <w:spacing w:after="0" w:line="27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1240"/>
        <w:jc w:val="both"/>
        <w:rPr>
          <w:rFonts w:ascii="Times New Roman" w:hAnsi="Times New Roman" w:cs="Times New Roman"/>
          <w:sz w:val="24"/>
          <w:szCs w:val="24"/>
        </w:rPr>
      </w:pPr>
      <w:r>
        <w:rPr>
          <w:rFonts w:ascii="Times New Roman" w:hAnsi="Times New Roman" w:cs="Times New Roman"/>
          <w:sz w:val="20"/>
          <w:szCs w:val="20"/>
        </w:rPr>
        <w:t>The payoff from this shift is shown in the following table, which illustrates how earnings o</w:t>
      </w:r>
      <w:r>
        <w:rPr>
          <w:rFonts w:ascii="Times New Roman" w:hAnsi="Times New Roman" w:cs="Times New Roman"/>
          <w:sz w:val="20"/>
          <w:szCs w:val="20"/>
        </w:rPr>
        <w:t>f our non-insurance businesses have increased, again on a per-share basis and after applicable minority interests.</w:t>
      </w:r>
    </w:p>
    <w:p w:rsidR="00000000" w:rsidRDefault="00A06965">
      <w:pPr>
        <w:pStyle w:val="DefaultParagraphFont"/>
        <w:widowControl w:val="0"/>
        <w:autoSpaceDE w:val="0"/>
        <w:autoSpaceDN w:val="0"/>
        <w:adjustRightInd w:val="0"/>
        <w:spacing w:after="0" w:line="203" w:lineRule="exact"/>
        <w:rPr>
          <w:rFonts w:ascii="Times New Roman" w:hAnsi="Times New Roman" w:cs="Times New Roman"/>
          <w:sz w:val="24"/>
          <w:szCs w:val="24"/>
        </w:rPr>
      </w:pPr>
    </w:p>
    <w:tbl>
      <w:tblPr>
        <w:tblW w:w="0" w:type="auto"/>
        <w:tblInd w:w="1280" w:type="dxa"/>
        <w:tblLayout w:type="fixed"/>
        <w:tblCellMar>
          <w:left w:w="0" w:type="dxa"/>
          <w:right w:w="0" w:type="dxa"/>
        </w:tblCellMar>
        <w:tblLook w:val="0000" w:firstRow="0" w:lastRow="0" w:firstColumn="0" w:lastColumn="0" w:noHBand="0" w:noVBand="0"/>
      </w:tblPr>
      <w:tblGrid>
        <w:gridCol w:w="380"/>
        <w:gridCol w:w="2180"/>
        <w:gridCol w:w="420"/>
        <w:gridCol w:w="1040"/>
        <w:gridCol w:w="500"/>
        <w:gridCol w:w="760"/>
        <w:gridCol w:w="300"/>
        <w:gridCol w:w="2660"/>
      </w:tblGrid>
      <w:tr w:rsidR="00000000">
        <w:tblPrEx>
          <w:tblCellMar>
            <w:top w:w="0" w:type="dxa"/>
            <w:left w:w="0" w:type="dxa"/>
            <w:bottom w:w="0" w:type="dxa"/>
            <w:right w:w="0" w:type="dxa"/>
          </w:tblCellMar>
        </w:tblPrEx>
        <w:trPr>
          <w:trHeight w:val="230"/>
        </w:trPr>
        <w:tc>
          <w:tcPr>
            <w:tcW w:w="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14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20"/>
              <w:rPr>
                <w:rFonts w:ascii="Times New Roman" w:hAnsi="Times New Roman" w:cs="Times New Roman"/>
                <w:sz w:val="24"/>
                <w:szCs w:val="24"/>
              </w:rPr>
            </w:pPr>
            <w:r>
              <w:rPr>
                <w:rFonts w:ascii="Times New Roman" w:hAnsi="Times New Roman" w:cs="Times New Roman"/>
                <w:i/>
                <w:iCs/>
                <w:sz w:val="20"/>
                <w:szCs w:val="20"/>
              </w:rPr>
              <w:t>Per-Share</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2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i/>
                <w:iCs/>
                <w:w w:val="99"/>
                <w:sz w:val="20"/>
                <w:szCs w:val="20"/>
              </w:rPr>
              <w:t>Compounded Annual Increase in</w:t>
            </w:r>
          </w:p>
        </w:tc>
      </w:tr>
      <w:tr w:rsidR="00000000">
        <w:tblPrEx>
          <w:tblCellMar>
            <w:top w:w="0" w:type="dxa"/>
            <w:left w:w="0" w:type="dxa"/>
            <w:bottom w:w="0" w:type="dxa"/>
            <w:right w:w="0" w:type="dxa"/>
          </w:tblCellMar>
        </w:tblPrEx>
        <w:trPr>
          <w:trHeight w:val="233"/>
        </w:trPr>
        <w:tc>
          <w:tcPr>
            <w:tcW w:w="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15" w:lineRule="exact"/>
              <w:rPr>
                <w:rFonts w:ascii="Times New Roman" w:hAnsi="Times New Roman" w:cs="Times New Roman"/>
                <w:sz w:val="24"/>
                <w:szCs w:val="24"/>
              </w:rPr>
            </w:pPr>
            <w:r>
              <w:rPr>
                <w:rFonts w:ascii="Times New Roman" w:hAnsi="Times New Roman" w:cs="Times New Roman"/>
                <w:i/>
                <w:iCs/>
                <w:w w:val="95"/>
                <w:sz w:val="20"/>
                <w:szCs w:val="20"/>
              </w:rPr>
              <w:t>Year</w:t>
            </w:r>
          </w:p>
        </w:tc>
        <w:tc>
          <w:tcPr>
            <w:tcW w:w="21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4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15" w:lineRule="exact"/>
              <w:jc w:val="right"/>
              <w:rPr>
                <w:rFonts w:ascii="Times New Roman" w:hAnsi="Times New Roman" w:cs="Times New Roman"/>
                <w:sz w:val="24"/>
                <w:szCs w:val="24"/>
              </w:rPr>
            </w:pPr>
            <w:r>
              <w:rPr>
                <w:rFonts w:ascii="Times New Roman" w:hAnsi="Times New Roman" w:cs="Times New Roman"/>
                <w:i/>
                <w:iCs/>
                <w:w w:val="98"/>
                <w:sz w:val="20"/>
                <w:szCs w:val="20"/>
              </w:rPr>
              <w:t>Pre-Tax Earnings</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15" w:lineRule="exact"/>
              <w:jc w:val="center"/>
              <w:rPr>
                <w:rFonts w:ascii="Times New Roman" w:hAnsi="Times New Roman" w:cs="Times New Roman"/>
                <w:sz w:val="24"/>
                <w:szCs w:val="24"/>
              </w:rPr>
            </w:pPr>
            <w:r>
              <w:rPr>
                <w:rFonts w:ascii="Times New Roman" w:hAnsi="Times New Roman" w:cs="Times New Roman"/>
                <w:i/>
                <w:iCs/>
                <w:w w:val="99"/>
                <w:sz w:val="20"/>
                <w:szCs w:val="20"/>
              </w:rPr>
              <w:t>Period</w:t>
            </w: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15" w:lineRule="exact"/>
              <w:ind w:right="80"/>
              <w:jc w:val="right"/>
              <w:rPr>
                <w:rFonts w:ascii="Times New Roman" w:hAnsi="Times New Roman" w:cs="Times New Roman"/>
                <w:sz w:val="24"/>
                <w:szCs w:val="24"/>
              </w:rPr>
            </w:pPr>
            <w:r>
              <w:rPr>
                <w:rFonts w:ascii="Times New Roman" w:hAnsi="Times New Roman" w:cs="Times New Roman"/>
                <w:i/>
                <w:iCs/>
                <w:sz w:val="20"/>
                <w:szCs w:val="20"/>
              </w:rPr>
              <w:t>Per-Share Pre-Tax Earnings</w:t>
            </w:r>
          </w:p>
        </w:tc>
      </w:tr>
      <w:tr w:rsidR="00000000">
        <w:tblPrEx>
          <w:tblCellMar>
            <w:top w:w="0" w:type="dxa"/>
            <w:left w:w="0" w:type="dxa"/>
            <w:bottom w:w="0" w:type="dxa"/>
            <w:right w:w="0" w:type="dxa"/>
          </w:tblCellMar>
        </w:tblPrEx>
        <w:trPr>
          <w:trHeight w:val="282"/>
        </w:trPr>
        <w:tc>
          <w:tcPr>
            <w:tcW w:w="2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1970 . . . . . . . . . . . . . . . . . . .</w:t>
            </w: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320"/>
              <w:rPr>
                <w:rFonts w:ascii="Times New Roman" w:hAnsi="Times New Roman" w:cs="Times New Roman"/>
                <w:sz w:val="24"/>
                <w:szCs w:val="24"/>
              </w:rPr>
            </w:pPr>
            <w:r>
              <w:rPr>
                <w:rFonts w:ascii="Times New Roman" w:hAnsi="Times New Roman" w:cs="Times New Roman"/>
                <w:w w:val="79"/>
                <w:sz w:val="20"/>
                <w:szCs w:val="20"/>
              </w:rPr>
              <w:t>$</w:t>
            </w: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240"/>
              <w:jc w:val="right"/>
              <w:rPr>
                <w:rFonts w:ascii="Times New Roman" w:hAnsi="Times New Roman" w:cs="Times New Roman"/>
                <w:sz w:val="24"/>
                <w:szCs w:val="24"/>
              </w:rPr>
            </w:pPr>
            <w:r>
              <w:rPr>
                <w:rFonts w:ascii="Times New Roman" w:hAnsi="Times New Roman" w:cs="Times New Roman"/>
                <w:sz w:val="20"/>
                <w:szCs w:val="20"/>
              </w:rPr>
              <w:t>2.87</w:t>
            </w:r>
          </w:p>
        </w:tc>
        <w:tc>
          <w:tcPr>
            <w:tcW w:w="5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2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1980 . . . . . . . . . . . . . . . . . . .</w:t>
            </w: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40"/>
              <w:jc w:val="right"/>
              <w:rPr>
                <w:rFonts w:ascii="Times New Roman" w:hAnsi="Times New Roman" w:cs="Times New Roman"/>
                <w:sz w:val="24"/>
                <w:szCs w:val="24"/>
              </w:rPr>
            </w:pPr>
            <w:r>
              <w:rPr>
                <w:rFonts w:ascii="Times New Roman" w:hAnsi="Times New Roman" w:cs="Times New Roman"/>
                <w:sz w:val="20"/>
                <w:szCs w:val="20"/>
              </w:rPr>
              <w:t>19.01</w:t>
            </w:r>
          </w:p>
        </w:tc>
        <w:tc>
          <w:tcPr>
            <w:tcW w:w="15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jc w:val="center"/>
              <w:rPr>
                <w:rFonts w:ascii="Times New Roman" w:hAnsi="Times New Roman" w:cs="Times New Roman"/>
                <w:sz w:val="24"/>
                <w:szCs w:val="24"/>
              </w:rPr>
            </w:pPr>
            <w:r>
              <w:rPr>
                <w:rFonts w:ascii="Times New Roman" w:hAnsi="Times New Roman" w:cs="Times New Roman"/>
                <w:w w:val="99"/>
                <w:sz w:val="20"/>
                <w:szCs w:val="20"/>
              </w:rPr>
              <w:t>1970-1980</w:t>
            </w:r>
          </w:p>
        </w:tc>
        <w:tc>
          <w:tcPr>
            <w:tcW w:w="2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80"/>
              <w:jc w:val="right"/>
              <w:rPr>
                <w:rFonts w:ascii="Times New Roman" w:hAnsi="Times New Roman" w:cs="Times New Roman"/>
                <w:sz w:val="24"/>
                <w:szCs w:val="24"/>
              </w:rPr>
            </w:pPr>
            <w:r>
              <w:rPr>
                <w:rFonts w:ascii="Times New Roman" w:hAnsi="Times New Roman" w:cs="Times New Roman"/>
                <w:sz w:val="20"/>
                <w:szCs w:val="20"/>
              </w:rPr>
              <w:t>20.8%</w:t>
            </w:r>
          </w:p>
        </w:tc>
      </w:tr>
      <w:tr w:rsidR="00000000">
        <w:tblPrEx>
          <w:tblCellMar>
            <w:top w:w="0" w:type="dxa"/>
            <w:left w:w="0" w:type="dxa"/>
            <w:bottom w:w="0" w:type="dxa"/>
            <w:right w:w="0" w:type="dxa"/>
          </w:tblCellMar>
        </w:tblPrEx>
        <w:trPr>
          <w:trHeight w:val="240"/>
        </w:trPr>
        <w:tc>
          <w:tcPr>
            <w:tcW w:w="2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1990 . . . . . . . . . . . . . . . . . . .</w:t>
            </w: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40"/>
              <w:jc w:val="right"/>
              <w:rPr>
                <w:rFonts w:ascii="Times New Roman" w:hAnsi="Times New Roman" w:cs="Times New Roman"/>
                <w:sz w:val="24"/>
                <w:szCs w:val="24"/>
              </w:rPr>
            </w:pPr>
            <w:r>
              <w:rPr>
                <w:rFonts w:ascii="Times New Roman" w:hAnsi="Times New Roman" w:cs="Times New Roman"/>
                <w:sz w:val="20"/>
                <w:szCs w:val="20"/>
              </w:rPr>
              <w:t>102.58</w:t>
            </w:r>
          </w:p>
        </w:tc>
        <w:tc>
          <w:tcPr>
            <w:tcW w:w="15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jc w:val="center"/>
              <w:rPr>
                <w:rFonts w:ascii="Times New Roman" w:hAnsi="Times New Roman" w:cs="Times New Roman"/>
                <w:sz w:val="24"/>
                <w:szCs w:val="24"/>
              </w:rPr>
            </w:pPr>
            <w:r>
              <w:rPr>
                <w:rFonts w:ascii="Times New Roman" w:hAnsi="Times New Roman" w:cs="Times New Roman"/>
                <w:w w:val="99"/>
                <w:sz w:val="20"/>
                <w:szCs w:val="20"/>
              </w:rPr>
              <w:t>1980-1990</w:t>
            </w:r>
          </w:p>
        </w:tc>
        <w:tc>
          <w:tcPr>
            <w:tcW w:w="2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80"/>
              <w:jc w:val="right"/>
              <w:rPr>
                <w:rFonts w:ascii="Times New Roman" w:hAnsi="Times New Roman" w:cs="Times New Roman"/>
                <w:sz w:val="24"/>
                <w:szCs w:val="24"/>
              </w:rPr>
            </w:pPr>
            <w:r>
              <w:rPr>
                <w:rFonts w:ascii="Times New Roman" w:hAnsi="Times New Roman" w:cs="Times New Roman"/>
                <w:sz w:val="20"/>
                <w:szCs w:val="20"/>
              </w:rPr>
              <w:t>18.4%</w:t>
            </w:r>
          </w:p>
        </w:tc>
      </w:tr>
      <w:tr w:rsidR="00000000">
        <w:tblPrEx>
          <w:tblCellMar>
            <w:top w:w="0" w:type="dxa"/>
            <w:left w:w="0" w:type="dxa"/>
            <w:bottom w:w="0" w:type="dxa"/>
            <w:right w:w="0" w:type="dxa"/>
          </w:tblCellMar>
        </w:tblPrEx>
        <w:trPr>
          <w:trHeight w:val="240"/>
        </w:trPr>
        <w:tc>
          <w:tcPr>
            <w:tcW w:w="2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2000 . . . . . . . . . . . . . . . . . . .</w:t>
            </w: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40"/>
              <w:jc w:val="right"/>
              <w:rPr>
                <w:rFonts w:ascii="Times New Roman" w:hAnsi="Times New Roman" w:cs="Times New Roman"/>
                <w:sz w:val="24"/>
                <w:szCs w:val="24"/>
              </w:rPr>
            </w:pPr>
            <w:r>
              <w:rPr>
                <w:rFonts w:ascii="Times New Roman" w:hAnsi="Times New Roman" w:cs="Times New Roman"/>
                <w:sz w:val="20"/>
                <w:szCs w:val="20"/>
              </w:rPr>
              <w:t>918.66</w:t>
            </w:r>
          </w:p>
        </w:tc>
        <w:tc>
          <w:tcPr>
            <w:tcW w:w="15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jc w:val="center"/>
              <w:rPr>
                <w:rFonts w:ascii="Times New Roman" w:hAnsi="Times New Roman" w:cs="Times New Roman"/>
                <w:sz w:val="24"/>
                <w:szCs w:val="24"/>
              </w:rPr>
            </w:pPr>
            <w:r>
              <w:rPr>
                <w:rFonts w:ascii="Times New Roman" w:hAnsi="Times New Roman" w:cs="Times New Roman"/>
                <w:w w:val="99"/>
                <w:sz w:val="20"/>
                <w:szCs w:val="20"/>
              </w:rPr>
              <w:t>1990-2000</w:t>
            </w:r>
          </w:p>
        </w:tc>
        <w:tc>
          <w:tcPr>
            <w:tcW w:w="2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80"/>
              <w:jc w:val="right"/>
              <w:rPr>
                <w:rFonts w:ascii="Times New Roman" w:hAnsi="Times New Roman" w:cs="Times New Roman"/>
                <w:sz w:val="24"/>
                <w:szCs w:val="24"/>
              </w:rPr>
            </w:pPr>
            <w:r>
              <w:rPr>
                <w:rFonts w:ascii="Times New Roman" w:hAnsi="Times New Roman" w:cs="Times New Roman"/>
                <w:sz w:val="20"/>
                <w:szCs w:val="20"/>
              </w:rPr>
              <w:t>24.5%</w:t>
            </w:r>
          </w:p>
        </w:tc>
      </w:tr>
      <w:tr w:rsidR="00000000">
        <w:tblPrEx>
          <w:tblCellMar>
            <w:top w:w="0" w:type="dxa"/>
            <w:left w:w="0" w:type="dxa"/>
            <w:bottom w:w="0" w:type="dxa"/>
            <w:right w:w="0" w:type="dxa"/>
          </w:tblCellMar>
        </w:tblPrEx>
        <w:trPr>
          <w:trHeight w:val="240"/>
        </w:trPr>
        <w:tc>
          <w:tcPr>
            <w:tcW w:w="25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2010 . . . . . . . . . . . . . . . . . . .</w:t>
            </w:r>
          </w:p>
        </w:tc>
        <w:tc>
          <w:tcPr>
            <w:tcW w:w="4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40"/>
              <w:jc w:val="right"/>
              <w:rPr>
                <w:rFonts w:ascii="Times New Roman" w:hAnsi="Times New Roman" w:cs="Times New Roman"/>
                <w:sz w:val="24"/>
                <w:szCs w:val="24"/>
              </w:rPr>
            </w:pPr>
            <w:r>
              <w:rPr>
                <w:rFonts w:ascii="Times New Roman" w:hAnsi="Times New Roman" w:cs="Times New Roman"/>
                <w:w w:val="97"/>
                <w:sz w:val="20"/>
                <w:szCs w:val="20"/>
              </w:rPr>
              <w:t>5,926.04</w:t>
            </w:r>
          </w:p>
        </w:tc>
        <w:tc>
          <w:tcPr>
            <w:tcW w:w="156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80"/>
              <w:jc w:val="center"/>
              <w:rPr>
                <w:rFonts w:ascii="Times New Roman" w:hAnsi="Times New Roman" w:cs="Times New Roman"/>
                <w:sz w:val="24"/>
                <w:szCs w:val="24"/>
              </w:rPr>
            </w:pPr>
            <w:r>
              <w:rPr>
                <w:rFonts w:ascii="Times New Roman" w:hAnsi="Times New Roman" w:cs="Times New Roman"/>
                <w:w w:val="99"/>
                <w:sz w:val="20"/>
                <w:szCs w:val="20"/>
              </w:rPr>
              <w:t>2000-2010</w:t>
            </w:r>
          </w:p>
        </w:tc>
        <w:tc>
          <w:tcPr>
            <w:tcW w:w="2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880"/>
              <w:jc w:val="right"/>
              <w:rPr>
                <w:rFonts w:ascii="Times New Roman" w:hAnsi="Times New Roman" w:cs="Times New Roman"/>
                <w:sz w:val="24"/>
                <w:szCs w:val="24"/>
              </w:rPr>
            </w:pPr>
            <w:r>
              <w:rPr>
                <w:rFonts w:ascii="Times New Roman" w:hAnsi="Times New Roman" w:cs="Times New Roman"/>
                <w:sz w:val="20"/>
                <w:szCs w:val="20"/>
              </w:rPr>
              <w:t>20.5%</w:t>
            </w:r>
          </w:p>
        </w:tc>
      </w:tr>
    </w:tbl>
    <w:p w:rsidR="00000000" w:rsidRDefault="00A06965">
      <w:pPr>
        <w:pStyle w:val="DefaultParagraphFont"/>
        <w:widowControl w:val="0"/>
        <w:autoSpaceDE w:val="0"/>
        <w:autoSpaceDN w:val="0"/>
        <w:adjustRightInd w:val="0"/>
        <w:spacing w:after="0" w:line="270"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1240"/>
        <w:jc w:val="both"/>
        <w:rPr>
          <w:rFonts w:ascii="Times New Roman" w:hAnsi="Times New Roman" w:cs="Times New Roman"/>
          <w:sz w:val="24"/>
          <w:szCs w:val="24"/>
        </w:rPr>
      </w:pPr>
      <w:r>
        <w:rPr>
          <w:rFonts w:ascii="Times New Roman" w:hAnsi="Times New Roman" w:cs="Times New Roman"/>
          <w:sz w:val="20"/>
          <w:szCs w:val="20"/>
        </w:rPr>
        <w:t>For the forty years, our compounded annual gain in pre-tax, non-insurance earnings per share is 21.0%. During the same period, Berkshire’</w:t>
      </w:r>
      <w:r>
        <w:rPr>
          <w:rFonts w:ascii="Times New Roman" w:hAnsi="Times New Roman" w:cs="Times New Roman"/>
          <w:sz w:val="20"/>
          <w:szCs w:val="20"/>
        </w:rPr>
        <w:t>s stock price increased at a rate of 22.1% annually. Over time, you can expect our stock price to move in rough tandem with Berkshire’s investments and earnings. Market price and intrinsic value often follow very different paths – sometimes for extended pe</w:t>
      </w:r>
      <w:r>
        <w:rPr>
          <w:rFonts w:ascii="Times New Roman" w:hAnsi="Times New Roman" w:cs="Times New Roman"/>
          <w:sz w:val="20"/>
          <w:szCs w:val="20"/>
        </w:rPr>
        <w:t>riods – but eventually they meet.</w:t>
      </w:r>
    </w:p>
    <w:p w:rsidR="00000000" w:rsidRDefault="00A06965">
      <w:pPr>
        <w:pStyle w:val="DefaultParagraphFont"/>
        <w:widowControl w:val="0"/>
        <w:autoSpaceDE w:val="0"/>
        <w:autoSpaceDN w:val="0"/>
        <w:adjustRightInd w:val="0"/>
        <w:spacing w:after="0" w:line="268"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1240"/>
        <w:jc w:val="both"/>
        <w:rPr>
          <w:rFonts w:ascii="Times New Roman" w:hAnsi="Times New Roman" w:cs="Times New Roman"/>
          <w:sz w:val="24"/>
          <w:szCs w:val="24"/>
        </w:rPr>
      </w:pPr>
      <w:r>
        <w:rPr>
          <w:rFonts w:ascii="Times New Roman" w:hAnsi="Times New Roman" w:cs="Times New Roman"/>
          <w:sz w:val="20"/>
          <w:szCs w:val="20"/>
        </w:rPr>
        <w:t>There is a third, more subjective, element to an intrinsic value calculation that can be either positive or negative: the efficacy with which retained earnings will be deployed in the future. We, as well as many other businesses, are likely to retain earni</w:t>
      </w:r>
      <w:r>
        <w:rPr>
          <w:rFonts w:ascii="Times New Roman" w:hAnsi="Times New Roman" w:cs="Times New Roman"/>
          <w:sz w:val="20"/>
          <w:szCs w:val="20"/>
        </w:rPr>
        <w:t>ngs over the next decade that will equal, or even exceed, the capital we presently employ. Some companies will turn these retained dollars into fifty-cent pieces, others into two-dollar bills.</w:t>
      </w:r>
    </w:p>
    <w:p w:rsidR="00000000" w:rsidRDefault="00A06965">
      <w:pPr>
        <w:pStyle w:val="DefaultParagraphFont"/>
        <w:widowControl w:val="0"/>
        <w:autoSpaceDE w:val="0"/>
        <w:autoSpaceDN w:val="0"/>
        <w:adjustRightInd w:val="0"/>
        <w:spacing w:after="0" w:line="168" w:lineRule="exact"/>
        <w:rPr>
          <w:rFonts w:ascii="Times New Roman" w:hAnsi="Times New Roman" w:cs="Times New Roman"/>
          <w:sz w:val="24"/>
          <w:szCs w:val="24"/>
        </w:rPr>
      </w:pPr>
      <w:r>
        <w:rPr>
          <w:noProof/>
        </w:rPr>
        <mc:AlternateContent>
          <mc:Choice Requires="wps">
            <w:drawing>
              <wp:anchor distT="0" distB="0" distL="114300" distR="114300" simplePos="0" relativeHeight="251720704" behindDoc="1" locked="0" layoutInCell="0" allowOverlap="1">
                <wp:simplePos x="0" y="0"/>
                <wp:positionH relativeFrom="column">
                  <wp:posOffset>0</wp:posOffset>
                </wp:positionH>
                <wp:positionV relativeFrom="paragraph">
                  <wp:posOffset>66675</wp:posOffset>
                </wp:positionV>
                <wp:extent cx="2336800" cy="0"/>
                <wp:effectExtent l="0" t="0" r="0" b="0"/>
                <wp:wrapNone/>
                <wp:docPr id="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68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25pt" to="184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" o:allowincell="f" strokeweight="1pt"/>
            </w:pict>
          </mc:Fallback>
        </mc:AlternateContent>
      </w: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 xml:space="preserve">*  </w:t>
      </w:r>
      <w:r>
        <w:rPr>
          <w:rFonts w:ascii="Times New Roman" w:hAnsi="Times New Roman" w:cs="Times New Roman"/>
          <w:i/>
          <w:iCs/>
          <w:sz w:val="20"/>
          <w:szCs w:val="20"/>
        </w:rPr>
        <w:t>Reproduced from Berkshire Hathaway Inc. 2010 Annual Report</w:t>
      </w:r>
      <w:r>
        <w:rPr>
          <w:rFonts w:ascii="Times New Roman" w:hAnsi="Times New Roman" w:cs="Times New Roman"/>
          <w:i/>
          <w:iCs/>
          <w:sz w:val="20"/>
          <w:szCs w:val="20"/>
        </w:rPr>
        <w:t>.</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3" w:right="720" w:bottom="523" w:left="720" w:header="720" w:footer="720" w:gutter="0"/>
          <w:cols w:space="720" w:equalWidth="0">
            <w:col w:w="10800"/>
          </w:cols>
          <w:noEndnote/>
        </w:sectPr>
      </w:pPr>
    </w:p>
    <w:p w:rsidR="00000000" w:rsidRDefault="00A06965">
      <w:pPr>
        <w:pStyle w:val="DefaultParagraphFont"/>
        <w:widowControl w:val="0"/>
        <w:autoSpaceDE w:val="0"/>
        <w:autoSpaceDN w:val="0"/>
        <w:adjustRightInd w:val="0"/>
        <w:spacing w:after="0" w:line="25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123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3" w:right="5960" w:bottom="523" w:left="5980" w:header="720" w:footer="720" w:gutter="0"/>
          <w:cols w:space="720" w:equalWidth="0">
            <w:col w:w="300"/>
          </w:cols>
          <w:noEndnote/>
        </w:sectPr>
      </w:pPr>
    </w:p>
    <w:p w:rsidR="00000000" w:rsidRDefault="00A06965">
      <w:pPr>
        <w:pStyle w:val="DefaultParagraphFont"/>
        <w:widowControl w:val="0"/>
        <w:overflowPunct w:val="0"/>
        <w:autoSpaceDE w:val="0"/>
        <w:autoSpaceDN w:val="0"/>
        <w:adjustRightInd w:val="0"/>
        <w:spacing w:after="0" w:line="247" w:lineRule="auto"/>
        <w:ind w:firstLine="480"/>
        <w:jc w:val="both"/>
        <w:rPr>
          <w:rFonts w:ascii="Times New Roman" w:hAnsi="Times New Roman" w:cs="Times New Roman"/>
          <w:sz w:val="24"/>
          <w:szCs w:val="24"/>
        </w:rPr>
      </w:pPr>
      <w:r>
        <w:rPr>
          <w:rFonts w:ascii="Times New Roman" w:hAnsi="Times New Roman" w:cs="Times New Roman"/>
          <w:sz w:val="20"/>
          <w:szCs w:val="20"/>
        </w:rPr>
        <w:t>This “what-will-they-do-with-the-money” factor must always be evaluated along with the “what-do-we-have-now” calculation in order for us, or anybody, to arrive at a sensible estimate of a company’s intrinsi</w:t>
      </w:r>
      <w:r>
        <w:rPr>
          <w:rFonts w:ascii="Times New Roman" w:hAnsi="Times New Roman" w:cs="Times New Roman"/>
          <w:sz w:val="20"/>
          <w:szCs w:val="20"/>
        </w:rPr>
        <w:t xml:space="preserve">c value. That’s because an outside investor stands by helplessly as management reinvests his share of the company’s earnings. If a CEO can be expected to do this job well, the reinvestment prospects add to the company’s current value; if the CEO’s talents </w:t>
      </w:r>
      <w:r>
        <w:rPr>
          <w:rFonts w:ascii="Times New Roman" w:hAnsi="Times New Roman" w:cs="Times New Roman"/>
          <w:sz w:val="20"/>
          <w:szCs w:val="20"/>
        </w:rPr>
        <w:t>or motives are suspect, today’s value must be discounted. The difference in outcome can be huge. A dollar of then-value in the hands of Sears Roebuck’s or Montgomery Ward’s CEOs in the late 1960s had a far different destiny than did a dollar entrusted to S</w:t>
      </w:r>
      <w:r>
        <w:rPr>
          <w:rFonts w:ascii="Times New Roman" w:hAnsi="Times New Roman" w:cs="Times New Roman"/>
          <w:sz w:val="20"/>
          <w:szCs w:val="20"/>
        </w:rPr>
        <w:t>am Walton.</w:t>
      </w:r>
    </w:p>
    <w:p w:rsidR="00000000" w:rsidRDefault="00A06965">
      <w:pPr>
        <w:pStyle w:val="DefaultParagraphFont"/>
        <w:widowControl w:val="0"/>
        <w:autoSpaceDE w:val="0"/>
        <w:autoSpaceDN w:val="0"/>
        <w:adjustRightInd w:val="0"/>
        <w:spacing w:after="0" w:line="127"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520"/>
        <w:rPr>
          <w:rFonts w:ascii="Times New Roman" w:hAnsi="Times New Roman" w:cs="Times New Roman"/>
          <w:sz w:val="24"/>
          <w:szCs w:val="24"/>
        </w:rPr>
      </w:pPr>
      <w:r>
        <w:rPr>
          <w:rFonts w:ascii="Times" w:hAnsi="Times" w:cs="Times"/>
          <w:sz w:val="20"/>
          <w:szCs w:val="20"/>
        </w:rPr>
        <w:t>* * * * * * * * * * * *</w:t>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mc:AlternateContent>
          <mc:Choice Requires="wps">
            <w:drawing>
              <wp:anchor distT="0" distB="0" distL="114300" distR="114300" simplePos="0" relativeHeight="251721728" behindDoc="1" locked="0" layoutInCell="0" allowOverlap="1">
                <wp:simplePos x="0" y="0"/>
                <wp:positionH relativeFrom="column">
                  <wp:posOffset>0</wp:posOffset>
                </wp:positionH>
                <wp:positionV relativeFrom="paragraph">
                  <wp:posOffset>128905</wp:posOffset>
                </wp:positionV>
                <wp:extent cx="6858000" cy="0"/>
                <wp:effectExtent l="0" t="0" r="0" b="0"/>
                <wp:wrapNone/>
                <wp:docPr id="8"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15pt" to="540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7YYHAIAAEIEAAAOAAAAZHJzL2Uyb0RvYy54bWysU8GO2jAQvVfqP1i+QxI2U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" o:allowincell="f" strokeweight=".5pt"/>
            </w:pict>
          </mc:Fallback>
        </mc:AlternateContent>
      </w:r>
    </w:p>
    <w:p w:rsidR="00000000" w:rsidRDefault="00A06965">
      <w:pPr>
        <w:pStyle w:val="DefaultParagraphFont"/>
        <w:widowControl w:val="0"/>
        <w:autoSpaceDE w:val="0"/>
        <w:autoSpaceDN w:val="0"/>
        <w:adjustRightInd w:val="0"/>
        <w:spacing w:after="0" w:line="30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940"/>
        <w:rPr>
          <w:rFonts w:ascii="Times New Roman" w:hAnsi="Times New Roman" w:cs="Times New Roman"/>
          <w:sz w:val="24"/>
          <w:szCs w:val="24"/>
        </w:rPr>
      </w:pPr>
      <w:r>
        <w:rPr>
          <w:rFonts w:ascii="Times New Roman" w:hAnsi="Times New Roman" w:cs="Times New Roman"/>
          <w:b/>
          <w:bC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540"/>
        <w:rPr>
          <w:rFonts w:ascii="Times New Roman" w:hAnsi="Times New Roman" w:cs="Times New Roman"/>
          <w:sz w:val="24"/>
          <w:szCs w:val="24"/>
        </w:rPr>
      </w:pPr>
      <w:r>
        <w:rPr>
          <w:rFonts w:ascii="Times New Roman" w:hAnsi="Times New Roman" w:cs="Times New Roman"/>
          <w:b/>
          <w:bCs/>
          <w:sz w:val="20"/>
          <w:szCs w:val="20"/>
        </w:rPr>
        <w:t>COMMON STOCK</w:t>
      </w:r>
    </w:p>
    <w:p w:rsidR="00000000" w:rsidRDefault="00A06965">
      <w:pPr>
        <w:pStyle w:val="DefaultParagraphFont"/>
        <w:widowControl w:val="0"/>
        <w:autoSpaceDE w:val="0"/>
        <w:autoSpaceDN w:val="0"/>
        <w:adjustRightInd w:val="0"/>
        <w:spacing w:after="0" w:line="9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General</w:t>
      </w:r>
    </w:p>
    <w:p w:rsidR="00000000" w:rsidRDefault="00A06965">
      <w:pPr>
        <w:pStyle w:val="DefaultParagraphFont"/>
        <w:widowControl w:val="0"/>
        <w:autoSpaceDE w:val="0"/>
        <w:autoSpaceDN w:val="0"/>
        <w:adjustRightInd w:val="0"/>
        <w:spacing w:after="0" w:line="1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firstLine="480"/>
        <w:jc w:val="both"/>
        <w:rPr>
          <w:rFonts w:ascii="Times New Roman" w:hAnsi="Times New Roman" w:cs="Times New Roman"/>
          <w:sz w:val="24"/>
          <w:szCs w:val="24"/>
        </w:rPr>
      </w:pPr>
      <w:r>
        <w:rPr>
          <w:rFonts w:ascii="Times New Roman" w:hAnsi="Times New Roman" w:cs="Times New Roman"/>
          <w:sz w:val="20"/>
          <w:szCs w:val="20"/>
        </w:rPr>
        <w:t>Berkshire has two classes of common stock designated Class A common stock and Class B common stock. Each share of Class A common stock is convertible, at the option of the holder, into 1,500 shares of Class B common stock. Shares of Class B common stock ar</w:t>
      </w:r>
      <w:r>
        <w:rPr>
          <w:rFonts w:ascii="Times New Roman" w:hAnsi="Times New Roman" w:cs="Times New Roman"/>
          <w:sz w:val="20"/>
          <w:szCs w:val="20"/>
        </w:rPr>
        <w:t>e not convertible into shares of Class A common stock.</w:t>
      </w:r>
    </w:p>
    <w:p w:rsidR="00000000" w:rsidRDefault="00A06965">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Stock Transfer Agent</w:t>
      </w:r>
    </w:p>
    <w:p w:rsidR="00000000" w:rsidRDefault="00A06965">
      <w:pPr>
        <w:pStyle w:val="DefaultParagraphFont"/>
        <w:widowControl w:val="0"/>
        <w:autoSpaceDE w:val="0"/>
        <w:autoSpaceDN w:val="0"/>
        <w:adjustRightInd w:val="0"/>
        <w:spacing w:after="0" w:line="14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80"/>
        <w:jc w:val="both"/>
        <w:rPr>
          <w:rFonts w:ascii="Times New Roman" w:hAnsi="Times New Roman" w:cs="Times New Roman"/>
          <w:sz w:val="24"/>
          <w:szCs w:val="24"/>
        </w:rPr>
      </w:pPr>
      <w:r>
        <w:rPr>
          <w:rFonts w:ascii="Times New Roman" w:hAnsi="Times New Roman" w:cs="Times New Roman"/>
          <w:sz w:val="20"/>
          <w:szCs w:val="20"/>
        </w:rPr>
        <w:t>Wells Fargo Bank, N.A., P. O. Box 64854, St. Paul, MN 55164-0854 serves as Transfer Agent and Registrar for the Company’</w:t>
      </w:r>
      <w:r>
        <w:rPr>
          <w:rFonts w:ascii="Times New Roman" w:hAnsi="Times New Roman" w:cs="Times New Roman"/>
          <w:sz w:val="20"/>
          <w:szCs w:val="20"/>
        </w:rPr>
        <w:t xml:space="preserve">s common stock. Correspondence may be directed to Wells Fargo at the address indicated or at </w:t>
      </w:r>
      <w:r>
        <w:rPr>
          <w:rFonts w:ascii="Times New Roman" w:hAnsi="Times New Roman" w:cs="Times New Roman"/>
          <w:i/>
          <w:iCs/>
          <w:sz w:val="20"/>
          <w:szCs w:val="20"/>
        </w:rPr>
        <w:t>wellsfargo.com/shareownerservices</w:t>
      </w:r>
      <w:r>
        <w:rPr>
          <w:rFonts w:ascii="Times New Roman" w:hAnsi="Times New Roman" w:cs="Times New Roman"/>
          <w:sz w:val="20"/>
          <w:szCs w:val="20"/>
        </w:rPr>
        <w:t xml:space="preserve">. Telephone inquiries should be directed to the Shareowner Relations Department at 1-877-602-7411 between 7:00 A.M. and 7:00 P.M. </w:t>
      </w:r>
      <w:r>
        <w:rPr>
          <w:rFonts w:ascii="Times New Roman" w:hAnsi="Times New Roman" w:cs="Times New Roman"/>
          <w:sz w:val="20"/>
          <w:szCs w:val="20"/>
        </w:rPr>
        <w:t>Central Time. Certificates for re-issue or transfer should be directed to the Transfer Department at the address indicated.</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5" w:lineRule="auto"/>
        <w:ind w:firstLine="480"/>
        <w:jc w:val="both"/>
        <w:rPr>
          <w:rFonts w:ascii="Times New Roman" w:hAnsi="Times New Roman" w:cs="Times New Roman"/>
          <w:sz w:val="24"/>
          <w:szCs w:val="24"/>
        </w:rPr>
      </w:pPr>
      <w:r>
        <w:rPr>
          <w:rFonts w:ascii="Times New Roman" w:hAnsi="Times New Roman" w:cs="Times New Roman"/>
          <w:sz w:val="20"/>
          <w:szCs w:val="20"/>
        </w:rPr>
        <w:t xml:space="preserve">Shareholders of record wishing to convert Class A common stock into Class B common stock may contact Wells Fargo in writing. Along </w:t>
      </w:r>
      <w:r>
        <w:rPr>
          <w:rFonts w:ascii="Times New Roman" w:hAnsi="Times New Roman" w:cs="Times New Roman"/>
          <w:sz w:val="20"/>
          <w:szCs w:val="20"/>
        </w:rPr>
        <w:t>with the underlying stock certificate, shareholders should provide Wells Fargo with specific written instructions regarding the number of shares to be converted and the manner in which the Class B shares are to be registered. We recommend that you use cert</w:t>
      </w:r>
      <w:r>
        <w:rPr>
          <w:rFonts w:ascii="Times New Roman" w:hAnsi="Times New Roman" w:cs="Times New Roman"/>
          <w:sz w:val="20"/>
          <w:szCs w:val="20"/>
        </w:rPr>
        <w:t>ified or registered mail when delivering the stock certificates and written instructions.</w:t>
      </w:r>
    </w:p>
    <w:p w:rsidR="00000000" w:rsidRDefault="00A06965">
      <w:pPr>
        <w:pStyle w:val="DefaultParagraphFont"/>
        <w:widowControl w:val="0"/>
        <w:autoSpaceDE w:val="0"/>
        <w:autoSpaceDN w:val="0"/>
        <w:adjustRightInd w:val="0"/>
        <w:spacing w:after="0" w:line="20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firstLine="480"/>
        <w:jc w:val="both"/>
        <w:rPr>
          <w:rFonts w:ascii="Times New Roman" w:hAnsi="Times New Roman" w:cs="Times New Roman"/>
          <w:sz w:val="24"/>
          <w:szCs w:val="24"/>
        </w:rPr>
      </w:pPr>
      <w:r>
        <w:rPr>
          <w:rFonts w:ascii="Times New Roman" w:hAnsi="Times New Roman" w:cs="Times New Roman"/>
          <w:sz w:val="20"/>
          <w:szCs w:val="20"/>
        </w:rPr>
        <w:t>If Class A shares are held in “street name,” shareholders wishing to convert all or a portion of their holding should contact their broker or bank nominee. It will b</w:t>
      </w:r>
      <w:r>
        <w:rPr>
          <w:rFonts w:ascii="Times New Roman" w:hAnsi="Times New Roman" w:cs="Times New Roman"/>
          <w:sz w:val="20"/>
          <w:szCs w:val="20"/>
        </w:rPr>
        <w:t>e necessary for the nominee to make the request for conversion.</w:t>
      </w:r>
    </w:p>
    <w:p w:rsidR="00000000" w:rsidRDefault="00A06965">
      <w:pPr>
        <w:pStyle w:val="DefaultParagraphFont"/>
        <w:widowControl w:val="0"/>
        <w:autoSpaceDE w:val="0"/>
        <w:autoSpaceDN w:val="0"/>
        <w:adjustRightInd w:val="0"/>
        <w:spacing w:after="0" w:line="25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Shareholders</w:t>
      </w:r>
    </w:p>
    <w:p w:rsidR="00000000" w:rsidRDefault="00A06965">
      <w:pPr>
        <w:pStyle w:val="DefaultParagraphFont"/>
        <w:widowControl w:val="0"/>
        <w:autoSpaceDE w:val="0"/>
        <w:autoSpaceDN w:val="0"/>
        <w:adjustRightInd w:val="0"/>
        <w:spacing w:after="0" w:line="1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firstLine="480"/>
        <w:jc w:val="both"/>
        <w:rPr>
          <w:rFonts w:ascii="Times New Roman" w:hAnsi="Times New Roman" w:cs="Times New Roman"/>
          <w:sz w:val="24"/>
          <w:szCs w:val="24"/>
        </w:rPr>
      </w:pPr>
      <w:r>
        <w:rPr>
          <w:rFonts w:ascii="Times New Roman" w:hAnsi="Times New Roman" w:cs="Times New Roman"/>
          <w:sz w:val="20"/>
          <w:szCs w:val="20"/>
        </w:rPr>
        <w:t>Berkshire had approximately 2,700 record holders of its Class A common stock and 21,500 record holders of its Class B common stock at February 16, 2015. Record owners included n</w:t>
      </w:r>
      <w:r>
        <w:rPr>
          <w:rFonts w:ascii="Times New Roman" w:hAnsi="Times New Roman" w:cs="Times New Roman"/>
          <w:sz w:val="20"/>
          <w:szCs w:val="20"/>
        </w:rPr>
        <w:t>ominees holding at least 445,000 shares of Class A common stock and 1,220,000,000 shares of Class B common stock on behalf of beneficial-but-not-of-record owners.</w:t>
      </w:r>
    </w:p>
    <w:p w:rsidR="00000000" w:rsidRDefault="00A06965">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Price Range of Common Stock</w:t>
      </w:r>
    </w:p>
    <w:p w:rsidR="00000000" w:rsidRDefault="00A06965">
      <w:pPr>
        <w:pStyle w:val="DefaultParagraphFont"/>
        <w:widowControl w:val="0"/>
        <w:autoSpaceDE w:val="0"/>
        <w:autoSpaceDN w:val="0"/>
        <w:adjustRightInd w:val="0"/>
        <w:spacing w:after="0" w:line="102"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3" w:lineRule="auto"/>
        <w:ind w:firstLine="480"/>
        <w:jc w:val="both"/>
        <w:rPr>
          <w:rFonts w:ascii="Times New Roman" w:hAnsi="Times New Roman" w:cs="Times New Roman"/>
          <w:sz w:val="24"/>
          <w:szCs w:val="24"/>
        </w:rPr>
      </w:pPr>
      <w:r>
        <w:rPr>
          <w:rFonts w:ascii="Times New Roman" w:hAnsi="Times New Roman" w:cs="Times New Roman"/>
          <w:sz w:val="20"/>
          <w:szCs w:val="20"/>
        </w:rPr>
        <w:t>Berkshire’s Class A and Class B common stock are listed for tra</w:t>
      </w:r>
      <w:r>
        <w:rPr>
          <w:rFonts w:ascii="Times New Roman" w:hAnsi="Times New Roman" w:cs="Times New Roman"/>
          <w:sz w:val="20"/>
          <w:szCs w:val="20"/>
        </w:rPr>
        <w:t>ding on the New York Stock Exchange, trading symbol: BRK.A and BRK.B. The following table sets forth the high and low sales prices per share, as reported on the New York Stock Exchange Composite List during the periods indicated:</w:t>
      </w:r>
    </w:p>
    <w:p w:rsidR="00000000" w:rsidRDefault="00A06965">
      <w:pPr>
        <w:pStyle w:val="DefaultParagraphFont"/>
        <w:widowControl w:val="0"/>
        <w:autoSpaceDE w:val="0"/>
        <w:autoSpaceDN w:val="0"/>
        <w:adjustRightInd w:val="0"/>
        <w:spacing w:after="0" w:line="148"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3800"/>
        <w:gridCol w:w="760"/>
        <w:gridCol w:w="200"/>
        <w:gridCol w:w="740"/>
        <w:gridCol w:w="200"/>
        <w:gridCol w:w="660"/>
        <w:gridCol w:w="200"/>
        <w:gridCol w:w="640"/>
        <w:gridCol w:w="200"/>
        <w:gridCol w:w="760"/>
        <w:gridCol w:w="200"/>
        <w:gridCol w:w="740"/>
        <w:gridCol w:w="200"/>
        <w:gridCol w:w="660"/>
        <w:gridCol w:w="200"/>
        <w:gridCol w:w="640"/>
      </w:tblGrid>
      <w:tr w:rsidR="00000000">
        <w:tblPrEx>
          <w:tblCellMar>
            <w:top w:w="0" w:type="dxa"/>
            <w:left w:w="0" w:type="dxa"/>
            <w:bottom w:w="0" w:type="dxa"/>
            <w:right w:w="0" w:type="dxa"/>
          </w:tblCellMar>
        </w:tblPrEx>
        <w:trPr>
          <w:trHeight w:val="184"/>
        </w:trPr>
        <w:tc>
          <w:tcPr>
            <w:tcW w:w="3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New Roman" w:hAnsi="Times New Roman" w:cs="Times New Roman"/>
                <w:b/>
                <w:bCs/>
                <w:sz w:val="16"/>
                <w:szCs w:val="16"/>
              </w:rPr>
              <w:t>2014</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1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0"/>
              <w:jc w:val="right"/>
              <w:rPr>
                <w:rFonts w:ascii="Times New Roman" w:hAnsi="Times New Roman" w:cs="Times New Roman"/>
                <w:sz w:val="24"/>
                <w:szCs w:val="24"/>
              </w:rPr>
            </w:pPr>
            <w:r>
              <w:rPr>
                <w:rFonts w:ascii="Times New Roman" w:hAnsi="Times New Roman" w:cs="Times New Roman"/>
                <w:b/>
                <w:bCs/>
                <w:sz w:val="16"/>
                <w:szCs w:val="16"/>
              </w:rPr>
              <w:t>2013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r>
      <w:tr w:rsidR="00000000">
        <w:tblPrEx>
          <w:tblCellMar>
            <w:top w:w="0" w:type="dxa"/>
            <w:left w:w="0" w:type="dxa"/>
            <w:bottom w:w="0" w:type="dxa"/>
            <w:right w:w="0" w:type="dxa"/>
          </w:tblCellMar>
        </w:tblPrEx>
        <w:trPr>
          <w:trHeight w:val="24"/>
        </w:trPr>
        <w:tc>
          <w:tcPr>
            <w:tcW w:w="3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860" w:type="dxa"/>
            <w:gridSpan w:val="2"/>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6"/>
        </w:trPr>
        <w:tc>
          <w:tcPr>
            <w:tcW w:w="3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9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00"/>
              <w:jc w:val="right"/>
              <w:rPr>
                <w:rFonts w:ascii="Times New Roman" w:hAnsi="Times New Roman" w:cs="Times New Roman"/>
                <w:sz w:val="24"/>
                <w:szCs w:val="24"/>
              </w:rPr>
            </w:pPr>
            <w:r>
              <w:rPr>
                <w:rFonts w:ascii="Times New Roman" w:hAnsi="Times New Roman" w:cs="Times New Roman"/>
                <w:b/>
                <w:bCs/>
                <w:sz w:val="16"/>
                <w:szCs w:val="16"/>
              </w:rPr>
              <w:t>Class A</w:t>
            </w:r>
          </w:p>
        </w:tc>
        <w:tc>
          <w:tcPr>
            <w:tcW w:w="1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20"/>
              <w:jc w:val="right"/>
              <w:rPr>
                <w:rFonts w:ascii="Times New Roman" w:hAnsi="Times New Roman" w:cs="Times New Roman"/>
                <w:sz w:val="24"/>
                <w:szCs w:val="24"/>
              </w:rPr>
            </w:pPr>
            <w:r>
              <w:rPr>
                <w:rFonts w:ascii="Times New Roman" w:hAnsi="Times New Roman" w:cs="Times New Roman"/>
                <w:b/>
                <w:bCs/>
                <w:sz w:val="16"/>
                <w:szCs w:val="16"/>
              </w:rPr>
              <w:t>Class B</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190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800"/>
              <w:jc w:val="right"/>
              <w:rPr>
                <w:rFonts w:ascii="Times New Roman" w:hAnsi="Times New Roman" w:cs="Times New Roman"/>
                <w:sz w:val="24"/>
                <w:szCs w:val="24"/>
              </w:rPr>
            </w:pPr>
            <w:r>
              <w:rPr>
                <w:rFonts w:ascii="Times New Roman" w:hAnsi="Times New Roman" w:cs="Times New Roman"/>
                <w:b/>
                <w:bCs/>
                <w:sz w:val="16"/>
                <w:szCs w:val="16"/>
              </w:rPr>
              <w:t>Class A</w:t>
            </w:r>
          </w:p>
        </w:tc>
        <w:tc>
          <w:tcPr>
            <w:tcW w:w="150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20"/>
              <w:jc w:val="right"/>
              <w:rPr>
                <w:rFonts w:ascii="Times New Roman" w:hAnsi="Times New Roman" w:cs="Times New Roman"/>
                <w:sz w:val="24"/>
                <w:szCs w:val="24"/>
              </w:rPr>
            </w:pPr>
            <w:r>
              <w:rPr>
                <w:rFonts w:ascii="Times New Roman" w:hAnsi="Times New Roman" w:cs="Times New Roman"/>
                <w:b/>
                <w:bCs/>
                <w:sz w:val="16"/>
                <w:szCs w:val="16"/>
              </w:rPr>
              <w:t>Class B</w:t>
            </w:r>
          </w:p>
        </w:tc>
      </w:tr>
      <w:tr w:rsidR="00000000">
        <w:tblPrEx>
          <w:tblCellMar>
            <w:top w:w="0" w:type="dxa"/>
            <w:left w:w="0" w:type="dxa"/>
            <w:bottom w:w="0" w:type="dxa"/>
            <w:right w:w="0" w:type="dxa"/>
          </w:tblCellMar>
        </w:tblPrEx>
        <w:trPr>
          <w:trHeight w:val="24"/>
        </w:trPr>
        <w:tc>
          <w:tcPr>
            <w:tcW w:w="3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6"/>
        </w:trPr>
        <w:tc>
          <w:tcPr>
            <w:tcW w:w="3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27"/>
              <w:jc w:val="right"/>
              <w:rPr>
                <w:rFonts w:ascii="Times New Roman" w:hAnsi="Times New Roman" w:cs="Times New Roman"/>
                <w:sz w:val="24"/>
                <w:szCs w:val="24"/>
              </w:rPr>
            </w:pPr>
            <w:r>
              <w:rPr>
                <w:rFonts w:ascii="Times New Roman" w:hAnsi="Times New Roman" w:cs="Times New Roman"/>
                <w:b/>
                <w:bCs/>
                <w:sz w:val="16"/>
                <w:szCs w:val="16"/>
              </w:rPr>
              <w:t>High</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20"/>
              <w:jc w:val="right"/>
              <w:rPr>
                <w:rFonts w:ascii="Times New Roman" w:hAnsi="Times New Roman" w:cs="Times New Roman"/>
                <w:sz w:val="24"/>
                <w:szCs w:val="24"/>
              </w:rPr>
            </w:pPr>
            <w:r>
              <w:rPr>
                <w:rFonts w:ascii="Times New Roman" w:hAnsi="Times New Roman" w:cs="Times New Roman"/>
                <w:b/>
                <w:bCs/>
                <w:sz w:val="16"/>
                <w:szCs w:val="16"/>
              </w:rPr>
              <w:t>Low</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7"/>
              <w:jc w:val="right"/>
              <w:rPr>
                <w:rFonts w:ascii="Times New Roman" w:hAnsi="Times New Roman" w:cs="Times New Roman"/>
                <w:sz w:val="24"/>
                <w:szCs w:val="24"/>
              </w:rPr>
            </w:pPr>
            <w:r>
              <w:rPr>
                <w:rFonts w:ascii="Times New Roman" w:hAnsi="Times New Roman" w:cs="Times New Roman"/>
                <w:b/>
                <w:bCs/>
                <w:sz w:val="16"/>
                <w:szCs w:val="16"/>
              </w:rPr>
              <w:t>High</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b/>
                <w:bCs/>
                <w:sz w:val="16"/>
                <w:szCs w:val="16"/>
              </w:rPr>
              <w:t>Low</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40"/>
              <w:jc w:val="right"/>
              <w:rPr>
                <w:rFonts w:ascii="Times New Roman" w:hAnsi="Times New Roman" w:cs="Times New Roman"/>
                <w:sz w:val="24"/>
                <w:szCs w:val="24"/>
              </w:rPr>
            </w:pPr>
            <w:r>
              <w:rPr>
                <w:rFonts w:ascii="Times New Roman" w:hAnsi="Times New Roman" w:cs="Times New Roman"/>
                <w:b/>
                <w:bCs/>
                <w:sz w:val="16"/>
                <w:szCs w:val="16"/>
              </w:rPr>
              <w:t>High</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20"/>
              <w:jc w:val="right"/>
              <w:rPr>
                <w:rFonts w:ascii="Times New Roman" w:hAnsi="Times New Roman" w:cs="Times New Roman"/>
                <w:sz w:val="24"/>
                <w:szCs w:val="24"/>
              </w:rPr>
            </w:pPr>
            <w:r>
              <w:rPr>
                <w:rFonts w:ascii="Times New Roman" w:hAnsi="Times New Roman" w:cs="Times New Roman"/>
                <w:b/>
                <w:bCs/>
                <w:sz w:val="16"/>
                <w:szCs w:val="16"/>
              </w:rPr>
              <w:t>Low</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7"/>
              <w:jc w:val="right"/>
              <w:rPr>
                <w:rFonts w:ascii="Times New Roman" w:hAnsi="Times New Roman" w:cs="Times New Roman"/>
                <w:sz w:val="24"/>
                <w:szCs w:val="24"/>
              </w:rPr>
            </w:pPr>
            <w:r>
              <w:rPr>
                <w:rFonts w:ascii="Times New Roman" w:hAnsi="Times New Roman" w:cs="Times New Roman"/>
                <w:b/>
                <w:bCs/>
                <w:sz w:val="16"/>
                <w:szCs w:val="16"/>
              </w:rPr>
              <w:t>High</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7"/>
                <w:szCs w:val="17"/>
              </w:rPr>
            </w:pPr>
          </w:p>
        </w:tc>
        <w:tc>
          <w:tcPr>
            <w:tcW w:w="6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b/>
                <w:bCs/>
                <w:sz w:val="16"/>
                <w:szCs w:val="16"/>
              </w:rPr>
              <w:t>Low</w:t>
            </w:r>
          </w:p>
        </w:tc>
      </w:tr>
      <w:tr w:rsidR="00000000">
        <w:tblPrEx>
          <w:tblCellMar>
            <w:top w:w="0" w:type="dxa"/>
            <w:left w:w="0" w:type="dxa"/>
            <w:bottom w:w="0" w:type="dxa"/>
            <w:right w:w="0" w:type="dxa"/>
          </w:tblCellMar>
        </w:tblPrEx>
        <w:trPr>
          <w:trHeight w:val="24"/>
        </w:trPr>
        <w:tc>
          <w:tcPr>
            <w:tcW w:w="3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3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First Quarter .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$188,853</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$163,039</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$125.91</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$108.12</w:t>
            </w: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$156,634</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$136,850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$104.48</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$ 91.29</w:t>
            </w:r>
          </w:p>
        </w:tc>
      </w:tr>
      <w:tr w:rsidR="00000000">
        <w:tblPrEx>
          <w:tblCellMar>
            <w:top w:w="0" w:type="dxa"/>
            <w:left w:w="0" w:type="dxa"/>
            <w:bottom w:w="0" w:type="dxa"/>
            <w:right w:w="0" w:type="dxa"/>
          </w:tblCellMar>
        </w:tblPrEx>
        <w:trPr>
          <w:trHeight w:val="240"/>
        </w:trPr>
        <w:tc>
          <w:tcPr>
            <w:tcW w:w="3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Second Quarter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194,670</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181,785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129.73</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121.09</w:t>
            </w: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173,810</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154,145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115.98</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102.69</w:t>
            </w:r>
          </w:p>
        </w:tc>
      </w:tr>
      <w:tr w:rsidR="00000000">
        <w:tblPrEx>
          <w:tblCellMar>
            <w:top w:w="0" w:type="dxa"/>
            <w:left w:w="0" w:type="dxa"/>
            <w:bottom w:w="0" w:type="dxa"/>
            <w:right w:w="0" w:type="dxa"/>
          </w:tblCellMar>
        </w:tblPrEx>
        <w:trPr>
          <w:trHeight w:val="240"/>
        </w:trPr>
        <w:tc>
          <w:tcPr>
            <w:tcW w:w="3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Third Quarter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213,612</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185,005</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142.45</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122.72</w:t>
            </w: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178,900</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166,168</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119.30</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110.72</w:t>
            </w:r>
          </w:p>
        </w:tc>
      </w:tr>
      <w:tr w:rsidR="00000000">
        <w:tblPrEx>
          <w:tblCellMar>
            <w:top w:w="0" w:type="dxa"/>
            <w:left w:w="0" w:type="dxa"/>
            <w:bottom w:w="0" w:type="dxa"/>
            <w:right w:w="0" w:type="dxa"/>
          </w:tblCellMar>
        </w:tblPrEx>
        <w:trPr>
          <w:trHeight w:val="240"/>
        </w:trPr>
        <w:tc>
          <w:tcPr>
            <w:tcW w:w="38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Fourth Quarter . . . . . . . . . . . . . . . . . . . . . . . .</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229,374</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198,000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152.94</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132.03</w:t>
            </w:r>
          </w:p>
        </w:tc>
        <w:tc>
          <w:tcPr>
            <w:tcW w:w="9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177,950</w:t>
            </w:r>
          </w:p>
        </w:tc>
        <w:tc>
          <w:tcPr>
            <w:tcW w:w="9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166,510</w:t>
            </w:r>
          </w:p>
        </w:tc>
        <w:tc>
          <w:tcPr>
            <w:tcW w:w="2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118.66</w:t>
            </w:r>
          </w:p>
        </w:tc>
        <w:tc>
          <w:tcPr>
            <w:tcW w:w="8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110.84</w:t>
            </w:r>
          </w:p>
        </w:tc>
      </w:tr>
    </w:tbl>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Dividends</w:t>
      </w:r>
    </w:p>
    <w:p w:rsidR="00000000" w:rsidRDefault="00A06965">
      <w:pPr>
        <w:pStyle w:val="DefaultParagraphFont"/>
        <w:widowControl w:val="0"/>
        <w:autoSpaceDE w:val="0"/>
        <w:autoSpaceDN w:val="0"/>
        <w:adjustRightInd w:val="0"/>
        <w:spacing w:after="0" w:line="8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20"/>
          <w:szCs w:val="20"/>
        </w:rPr>
        <w:t>Berkshire has not declared a cash dividend since 1967.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904" w:right="720" w:bottom="523" w:left="720" w:header="720" w:footer="720" w:gutter="0"/>
          <w:cols w:space="720" w:equalWidth="0">
            <w:col w:w="108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124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904"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ind w:left="3940"/>
        <w:rPr>
          <w:rFonts w:ascii="Times New Roman" w:hAnsi="Times New Roman" w:cs="Times New Roman"/>
          <w:sz w:val="24"/>
          <w:szCs w:val="24"/>
        </w:rPr>
      </w:pPr>
      <w:r>
        <w:rPr>
          <w:rFonts w:ascii="Times New Roman" w:hAnsi="Times New Roman" w:cs="Times New Roman"/>
          <w:b/>
          <w:bCs/>
          <w:sz w:val="20"/>
          <w:szCs w:val="20"/>
        </w:rPr>
        <w:t>BERKSHIRE HATHAWAY INC.</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60"/>
        <w:rPr>
          <w:rFonts w:ascii="Times New Roman" w:hAnsi="Times New Roman" w:cs="Times New Roman"/>
          <w:sz w:val="24"/>
          <w:szCs w:val="24"/>
        </w:rPr>
      </w:pPr>
      <w:r>
        <w:rPr>
          <w:rFonts w:ascii="Times New Roman" w:hAnsi="Times New Roman" w:cs="Times New Roman"/>
          <w:b/>
          <w:bCs/>
          <w:sz w:val="20"/>
          <w:szCs w:val="20"/>
        </w:rPr>
        <w:t>OPERATING COMPANIES</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180"/>
        <w:rPr>
          <w:rFonts w:ascii="Times New Roman" w:hAnsi="Times New Roman" w:cs="Times New Roman"/>
          <w:sz w:val="24"/>
          <w:szCs w:val="24"/>
        </w:rPr>
      </w:pPr>
      <w:r>
        <w:rPr>
          <w:rFonts w:ascii="Times New Roman" w:hAnsi="Times New Roman" w:cs="Times New Roman"/>
          <w:b/>
          <w:bCs/>
          <w:sz w:val="20"/>
          <w:szCs w:val="20"/>
        </w:rPr>
        <w:t>INSURANCE BUSINESSES</w:t>
      </w:r>
    </w:p>
    <w:p w:rsidR="00000000" w:rsidRDefault="00A06965">
      <w:pPr>
        <w:pStyle w:val="DefaultParagraphFont"/>
        <w:widowControl w:val="0"/>
        <w:autoSpaceDE w:val="0"/>
        <w:autoSpaceDN w:val="0"/>
        <w:adjustRightInd w:val="0"/>
        <w:spacing w:after="0" w:line="32"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660"/>
        <w:gridCol w:w="3920"/>
        <w:gridCol w:w="740"/>
        <w:gridCol w:w="280"/>
        <w:gridCol w:w="660"/>
        <w:gridCol w:w="3720"/>
        <w:gridCol w:w="100"/>
        <w:gridCol w:w="540"/>
        <w:gridCol w:w="100"/>
        <w:gridCol w:w="20"/>
      </w:tblGrid>
      <w:tr w:rsidR="00000000">
        <w:tblPrEx>
          <w:tblCellMar>
            <w:top w:w="0" w:type="dxa"/>
            <w:left w:w="0" w:type="dxa"/>
            <w:bottom w:w="0" w:type="dxa"/>
            <w:right w:w="0" w:type="dxa"/>
          </w:tblCellMar>
        </w:tblPrEx>
        <w:trPr>
          <w:trHeight w:val="184"/>
        </w:trPr>
        <w:tc>
          <w:tcPr>
            <w:tcW w:w="4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Company</w:t>
            </w:r>
          </w:p>
        </w:tc>
        <w:tc>
          <w:tcPr>
            <w:tcW w:w="1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Employees</w:t>
            </w: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Company</w:t>
            </w:r>
          </w:p>
        </w:tc>
        <w:tc>
          <w:tcPr>
            <w:tcW w:w="7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w w:val="97"/>
                <w:sz w:val="16"/>
                <w:szCs w:val="16"/>
              </w:rPr>
              <w:t>Employees</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1"/>
        </w:trPr>
        <w:tc>
          <w:tcPr>
            <w:tcW w:w="4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 xml:space="preserve">Applied Underwriters </w:t>
            </w:r>
            <w:r>
              <w:rPr>
                <w:rFonts w:ascii="Times New Roman" w:hAnsi="Times New Roman" w:cs="Times New Roman"/>
                <w:sz w:val="20"/>
                <w:szCs w:val="20"/>
              </w:rPr>
              <w:t>. . . . . . . . . . . . . . . . . . . .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125"/>
              <w:jc w:val="right"/>
              <w:rPr>
                <w:rFonts w:ascii="Times New Roman" w:hAnsi="Times New Roman" w:cs="Times New Roman"/>
                <w:sz w:val="24"/>
                <w:szCs w:val="24"/>
              </w:rPr>
            </w:pPr>
            <w:r>
              <w:rPr>
                <w:rFonts w:ascii="Times New Roman" w:hAnsi="Times New Roman" w:cs="Times New Roman"/>
                <w:sz w:val="20"/>
                <w:szCs w:val="20"/>
              </w:rPr>
              <w:t>679</w:t>
            </w: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 xml:space="preserve">GEICO </w:t>
            </w:r>
            <w:r>
              <w:rPr>
                <w:rFonts w:ascii="Times New Roman" w:hAnsi="Times New Roman" w:cs="Times New Roman"/>
                <w:sz w:val="20"/>
                <w:szCs w:val="20"/>
              </w:rPr>
              <w:t>. . . . . . . . . . . . . . . . . . . . . . . . . . . . . . . . . .</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32,295</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9"/>
        </w:trPr>
        <w:tc>
          <w:tcPr>
            <w:tcW w:w="4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r>
              <w:rPr>
                <w:rFonts w:ascii="Times New Roman" w:hAnsi="Times New Roman" w:cs="Times New Roman"/>
                <w:b/>
                <w:bCs/>
                <w:sz w:val="20"/>
                <w:szCs w:val="20"/>
              </w:rPr>
              <w:t xml:space="preserve">Berkshire Hathaway Homestate Companies </w:t>
            </w:r>
            <w:r>
              <w:rPr>
                <w:rFonts w:ascii="Times New Roman" w:hAnsi="Times New Roman" w:cs="Times New Roman"/>
                <w:sz w:val="20"/>
                <w:szCs w:val="20"/>
              </w:rPr>
              <w:t>.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ind w:right="125"/>
              <w:jc w:val="right"/>
              <w:rPr>
                <w:rFonts w:ascii="Times New Roman" w:hAnsi="Times New Roman" w:cs="Times New Roman"/>
                <w:sz w:val="24"/>
                <w:szCs w:val="24"/>
              </w:rPr>
            </w:pPr>
            <w:r>
              <w:rPr>
                <w:rFonts w:ascii="Times New Roman" w:hAnsi="Times New Roman" w:cs="Times New Roman"/>
                <w:sz w:val="20"/>
                <w:szCs w:val="20"/>
              </w:rPr>
              <w:t>833</w:t>
            </w: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r>
              <w:rPr>
                <w:rFonts w:ascii="Times New Roman" w:hAnsi="Times New Roman" w:cs="Times New Roman"/>
                <w:b/>
                <w:bCs/>
                <w:sz w:val="20"/>
                <w:szCs w:val="20"/>
              </w:rPr>
              <w:t xml:space="preserve">General Re </w:t>
            </w:r>
            <w:r>
              <w:rPr>
                <w:rFonts w:ascii="Times New Roman" w:hAnsi="Times New Roman" w:cs="Times New Roman"/>
                <w:sz w:val="20"/>
                <w:szCs w:val="20"/>
              </w:rPr>
              <w:t>. . . . . . . . . . . . . . . . . . . . . . . . . . . . . . .</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jc w:val="right"/>
              <w:rPr>
                <w:rFonts w:ascii="Times New Roman" w:hAnsi="Times New Roman" w:cs="Times New Roman"/>
                <w:sz w:val="24"/>
                <w:szCs w:val="24"/>
              </w:rPr>
            </w:pPr>
            <w:r>
              <w:rPr>
                <w:rFonts w:ascii="Times New Roman" w:hAnsi="Times New Roman" w:cs="Times New Roman"/>
                <w:sz w:val="20"/>
                <w:szCs w:val="20"/>
              </w:rPr>
              <w:t>2,317</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9"/>
        </w:trPr>
        <w:tc>
          <w:tcPr>
            <w:tcW w:w="4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r>
              <w:rPr>
                <w:rFonts w:ascii="Times New Roman" w:hAnsi="Times New Roman" w:cs="Times New Roman"/>
                <w:b/>
                <w:bCs/>
                <w:sz w:val="20"/>
                <w:szCs w:val="20"/>
              </w:rPr>
              <w:t xml:space="preserve">Berkshire Hathaway Reinsurance Group  </w:t>
            </w:r>
            <w:r>
              <w:rPr>
                <w:rFonts w:ascii="Times New Roman" w:hAnsi="Times New Roman" w:cs="Times New Roman"/>
                <w:sz w:val="20"/>
                <w:szCs w:val="20"/>
              </w:rPr>
              <w:t>. . .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ind w:right="125"/>
              <w:jc w:val="right"/>
              <w:rPr>
                <w:rFonts w:ascii="Times New Roman" w:hAnsi="Times New Roman" w:cs="Times New Roman"/>
                <w:sz w:val="24"/>
                <w:szCs w:val="24"/>
              </w:rPr>
            </w:pPr>
            <w:r>
              <w:rPr>
                <w:rFonts w:ascii="Times New Roman" w:hAnsi="Times New Roman" w:cs="Times New Roman"/>
                <w:sz w:val="20"/>
                <w:szCs w:val="20"/>
              </w:rPr>
              <w:t>626</w:t>
            </w: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r>
              <w:rPr>
                <w:rFonts w:ascii="Times New Roman" w:hAnsi="Times New Roman" w:cs="Times New Roman"/>
                <w:b/>
                <w:bCs/>
                <w:sz w:val="20"/>
                <w:szCs w:val="20"/>
              </w:rPr>
              <w:t xml:space="preserve">Guard Insurance Group </w:t>
            </w:r>
            <w:r>
              <w:rPr>
                <w:rFonts w:ascii="Times New Roman" w:hAnsi="Times New Roman" w:cs="Times New Roman"/>
                <w:sz w:val="20"/>
                <w:szCs w:val="20"/>
              </w:rPr>
              <w:t>. . . . . . . . . . . . . . . . . . . .</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jc w:val="right"/>
              <w:rPr>
                <w:rFonts w:ascii="Times New Roman" w:hAnsi="Times New Roman" w:cs="Times New Roman"/>
                <w:sz w:val="24"/>
                <w:szCs w:val="24"/>
              </w:rPr>
            </w:pPr>
            <w:r>
              <w:rPr>
                <w:rFonts w:ascii="Times New Roman" w:hAnsi="Times New Roman" w:cs="Times New Roman"/>
                <w:sz w:val="20"/>
                <w:szCs w:val="20"/>
              </w:rPr>
              <w:t>346</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9"/>
        </w:trPr>
        <w:tc>
          <w:tcPr>
            <w:tcW w:w="4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r>
              <w:rPr>
                <w:rFonts w:ascii="Times New Roman" w:hAnsi="Times New Roman" w:cs="Times New Roman"/>
                <w:b/>
                <w:bCs/>
                <w:sz w:val="20"/>
                <w:szCs w:val="20"/>
              </w:rPr>
              <w:t xml:space="preserve">Berkshire Hathaway Specialty  </w:t>
            </w:r>
            <w:r>
              <w:rPr>
                <w:rFonts w:ascii="Times New Roman" w:hAnsi="Times New Roman" w:cs="Times New Roman"/>
                <w:sz w:val="20"/>
                <w:szCs w:val="20"/>
              </w:rPr>
              <w:t>. . . . . . . . . . . .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ind w:right="125"/>
              <w:jc w:val="right"/>
              <w:rPr>
                <w:rFonts w:ascii="Times New Roman" w:hAnsi="Times New Roman" w:cs="Times New Roman"/>
                <w:sz w:val="24"/>
                <w:szCs w:val="24"/>
              </w:rPr>
            </w:pPr>
            <w:r>
              <w:rPr>
                <w:rFonts w:ascii="Times New Roman" w:hAnsi="Times New Roman" w:cs="Times New Roman"/>
                <w:sz w:val="20"/>
                <w:szCs w:val="20"/>
              </w:rPr>
              <w:t>521</w:t>
            </w: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r>
              <w:rPr>
                <w:rFonts w:ascii="Times New Roman" w:hAnsi="Times New Roman" w:cs="Times New Roman"/>
                <w:b/>
                <w:bCs/>
                <w:sz w:val="20"/>
                <w:szCs w:val="20"/>
              </w:rPr>
              <w:t xml:space="preserve">Medical Protective  </w:t>
            </w:r>
            <w:r>
              <w:rPr>
                <w:rFonts w:ascii="Times New Roman" w:hAnsi="Times New Roman" w:cs="Times New Roman"/>
                <w:sz w:val="20"/>
                <w:szCs w:val="20"/>
              </w:rPr>
              <w:t>. . . . . . . . . . . . . . . . . . . . . . . .</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jc w:val="right"/>
              <w:rPr>
                <w:rFonts w:ascii="Times New Roman" w:hAnsi="Times New Roman" w:cs="Times New Roman"/>
                <w:sz w:val="24"/>
                <w:szCs w:val="24"/>
              </w:rPr>
            </w:pPr>
            <w:r>
              <w:rPr>
                <w:rFonts w:ascii="Times New Roman" w:hAnsi="Times New Roman" w:cs="Times New Roman"/>
                <w:sz w:val="20"/>
                <w:szCs w:val="20"/>
              </w:rPr>
              <w:t>614</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9"/>
        </w:trPr>
        <w:tc>
          <w:tcPr>
            <w:tcW w:w="4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r>
              <w:rPr>
                <w:rFonts w:ascii="Times New Roman" w:hAnsi="Times New Roman" w:cs="Times New Roman"/>
                <w:b/>
                <w:bCs/>
                <w:sz w:val="20"/>
                <w:szCs w:val="20"/>
              </w:rPr>
              <w:t xml:space="preserve">BoatU.S. </w:t>
            </w:r>
            <w:r>
              <w:rPr>
                <w:rFonts w:ascii="Times New Roman" w:hAnsi="Times New Roman" w:cs="Times New Roman"/>
                <w:sz w:val="20"/>
                <w:szCs w:val="20"/>
              </w:rPr>
              <w:t>. . . . . . . . . . . . . . . . . . . . . . . . . . . . . . .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ind w:right="125"/>
              <w:jc w:val="right"/>
              <w:rPr>
                <w:rFonts w:ascii="Times New Roman" w:hAnsi="Times New Roman" w:cs="Times New Roman"/>
                <w:sz w:val="24"/>
                <w:szCs w:val="24"/>
              </w:rPr>
            </w:pPr>
            <w:r>
              <w:rPr>
                <w:rFonts w:ascii="Times New Roman" w:hAnsi="Times New Roman" w:cs="Times New Roman"/>
                <w:sz w:val="20"/>
                <w:szCs w:val="20"/>
              </w:rPr>
              <w:t>457</w:t>
            </w: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rPr>
                <w:rFonts w:ascii="Times New Roman" w:hAnsi="Times New Roman" w:cs="Times New Roman"/>
                <w:sz w:val="24"/>
                <w:szCs w:val="24"/>
              </w:rPr>
            </w:pPr>
            <w:r>
              <w:rPr>
                <w:rFonts w:ascii="Times New Roman" w:hAnsi="Times New Roman" w:cs="Times New Roman"/>
                <w:b/>
                <w:bCs/>
                <w:sz w:val="20"/>
                <w:szCs w:val="20"/>
              </w:rPr>
              <w:t xml:space="preserve">National Indemnity Primary Group </w:t>
            </w:r>
            <w:r>
              <w:rPr>
                <w:rFonts w:ascii="Times New Roman" w:hAnsi="Times New Roman" w:cs="Times New Roman"/>
                <w:sz w:val="20"/>
                <w:szCs w:val="20"/>
              </w:rPr>
              <w:t>. . . . . . . . . .</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09" w:lineRule="exact"/>
              <w:jc w:val="right"/>
              <w:rPr>
                <w:rFonts w:ascii="Times New Roman" w:hAnsi="Times New Roman" w:cs="Times New Roman"/>
                <w:sz w:val="24"/>
                <w:szCs w:val="24"/>
              </w:rPr>
            </w:pPr>
            <w:r>
              <w:rPr>
                <w:rFonts w:ascii="Times New Roman" w:hAnsi="Times New Roman" w:cs="Times New Roman"/>
                <w:sz w:val="20"/>
                <w:szCs w:val="20"/>
              </w:rPr>
              <w:t>553</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1"/>
        </w:trPr>
        <w:tc>
          <w:tcPr>
            <w:tcW w:w="4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1" w:lineRule="exact"/>
              <w:rPr>
                <w:rFonts w:ascii="Times New Roman" w:hAnsi="Times New Roman" w:cs="Times New Roman"/>
                <w:sz w:val="24"/>
                <w:szCs w:val="24"/>
              </w:rPr>
            </w:pPr>
            <w:r>
              <w:rPr>
                <w:rFonts w:ascii="Times New Roman" w:hAnsi="Times New Roman" w:cs="Times New Roman"/>
                <w:b/>
                <w:bCs/>
                <w:sz w:val="20"/>
                <w:szCs w:val="20"/>
              </w:rPr>
              <w:t xml:space="preserve">Central States Indemnity </w:t>
            </w:r>
            <w:r>
              <w:rPr>
                <w:rFonts w:ascii="Times New Roman" w:hAnsi="Times New Roman" w:cs="Times New Roman"/>
                <w:sz w:val="20"/>
                <w:szCs w:val="20"/>
              </w:rPr>
              <w:t>. . . . . . . . . . . . . . . . . . . . .</w:t>
            </w: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8" w:lineRule="exact"/>
              <w:ind w:right="125"/>
              <w:jc w:val="right"/>
              <w:rPr>
                <w:rFonts w:ascii="Times New Roman" w:hAnsi="Times New Roman" w:cs="Times New Roman"/>
                <w:sz w:val="24"/>
                <w:szCs w:val="24"/>
              </w:rPr>
            </w:pPr>
            <w:r>
              <w:rPr>
                <w:rFonts w:ascii="Times New Roman" w:hAnsi="Times New Roman" w:cs="Times New Roman"/>
                <w:sz w:val="20"/>
                <w:szCs w:val="20"/>
              </w:rPr>
              <w:t>76</w:t>
            </w: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1" w:lineRule="exact"/>
              <w:rPr>
                <w:rFonts w:ascii="Times New Roman" w:hAnsi="Times New Roman" w:cs="Times New Roman"/>
                <w:sz w:val="24"/>
                <w:szCs w:val="24"/>
              </w:rPr>
            </w:pPr>
            <w:r>
              <w:rPr>
                <w:rFonts w:ascii="Times New Roman" w:hAnsi="Times New Roman" w:cs="Times New Roman"/>
                <w:b/>
                <w:bCs/>
                <w:sz w:val="20"/>
                <w:szCs w:val="20"/>
              </w:rPr>
              <w:t xml:space="preserve">United States Liability Insurance Group </w:t>
            </w:r>
            <w:r>
              <w:rPr>
                <w:rFonts w:ascii="Times New Roman" w:hAnsi="Times New Roman" w:cs="Times New Roman"/>
                <w:sz w:val="20"/>
                <w:szCs w:val="20"/>
              </w:rPr>
              <w:t>. . . . . .</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8" w:lineRule="exact"/>
              <w:jc w:val="right"/>
              <w:rPr>
                <w:rFonts w:ascii="Times New Roman" w:hAnsi="Times New Roman" w:cs="Times New Roman"/>
                <w:sz w:val="24"/>
                <w:szCs w:val="24"/>
              </w:rPr>
            </w:pPr>
            <w:r>
              <w:rPr>
                <w:rFonts w:ascii="Times New Roman" w:hAnsi="Times New Roman" w:cs="Times New Roman"/>
                <w:sz w:val="20"/>
                <w:szCs w:val="20"/>
              </w:rPr>
              <w:t>744</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4380" w:type="dxa"/>
            <w:gridSpan w:val="2"/>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Insurance total</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3"/>
        </w:trPr>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3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7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4380" w:type="dxa"/>
            <w:gridSpan w:val="2"/>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198" w:lineRule="exact"/>
              <w:ind w:left="1340"/>
              <w:rPr>
                <w:rFonts w:ascii="Times New Roman" w:hAnsi="Times New Roman" w:cs="Times New Roman"/>
                <w:sz w:val="24"/>
                <w:szCs w:val="24"/>
              </w:rPr>
            </w:pPr>
            <w:r>
              <w:rPr>
                <w:rFonts w:ascii="Times New Roman" w:hAnsi="Times New Roman" w:cs="Times New Roman"/>
                <w:sz w:val="20"/>
                <w:szCs w:val="20"/>
              </w:rPr>
              <w:t>. . . . . . . . . . . . . . . . . . . . . . . . . . . .</w:t>
            </w:r>
          </w:p>
        </w:tc>
        <w:tc>
          <w:tcPr>
            <w:tcW w:w="64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40,061</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9320" w:type="dxa"/>
            <w:gridSpan w:val="5"/>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260"/>
              <w:rPr>
                <w:rFonts w:ascii="Times New Roman" w:hAnsi="Times New Roman" w:cs="Times New Roman"/>
                <w:sz w:val="24"/>
                <w:szCs w:val="24"/>
              </w:rPr>
            </w:pPr>
            <w:r>
              <w:rPr>
                <w:rFonts w:ascii="Times" w:hAnsi="Times" w:cs="Times"/>
                <w:b/>
                <w:bCs/>
                <w:sz w:val="20"/>
                <w:szCs w:val="20"/>
              </w:rPr>
              <w:t>NON-INSURANCE BUSINESSES</w:t>
            </w: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2"/>
        </w:trPr>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9320" w:type="dxa"/>
            <w:gridSpan w:val="5"/>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7"/>
        </w:trPr>
        <w:tc>
          <w:tcPr>
            <w:tcW w:w="45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Company</w:t>
            </w:r>
          </w:p>
        </w:tc>
        <w:tc>
          <w:tcPr>
            <w:tcW w:w="10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Employees</w:t>
            </w:r>
          </w:p>
        </w:tc>
        <w:tc>
          <w:tcPr>
            <w:tcW w:w="43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Company</w:t>
            </w:r>
          </w:p>
        </w:tc>
        <w:tc>
          <w:tcPr>
            <w:tcW w:w="74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w w:val="97"/>
                <w:sz w:val="16"/>
                <w:szCs w:val="16"/>
              </w:rPr>
              <w:t>Employees</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9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7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0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3" w:right="800" w:bottom="523" w:left="720" w:header="720" w:footer="720" w:gutter="0"/>
          <w:cols w:space="720" w:equalWidth="0">
            <w:col w:w="10720"/>
          </w:cols>
          <w:noEndnote/>
        </w:sectPr>
      </w:pPr>
    </w:p>
    <w:p w:rsidR="00000000" w:rsidRDefault="00A06965">
      <w:pPr>
        <w:pStyle w:val="DefaultParagraphFont"/>
        <w:widowControl w:val="0"/>
        <w:autoSpaceDE w:val="0"/>
        <w:autoSpaceDN w:val="0"/>
        <w:adjustRightInd w:val="0"/>
        <w:spacing w:after="0" w:line="20" w:lineRule="exact"/>
        <w:rPr>
          <w:rFonts w:ascii="Times New Roman" w:hAnsi="Times New Roman" w:cs="Times New Roman"/>
          <w:sz w:val="24"/>
          <w:szCs w:val="24"/>
        </w:rPr>
      </w:pPr>
    </w:p>
    <w:p w:rsidR="00000000" w:rsidRDefault="00A06965">
      <w:pPr>
        <w:pStyle w:val="DefaultParagraphFont"/>
        <w:widowControl w:val="0"/>
        <w:tabs>
          <w:tab w:val="left" w:pos="476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 xml:space="preserve">Acme </w:t>
      </w:r>
      <w:r>
        <w:rPr>
          <w:rFonts w:ascii="Times New Roman" w:hAnsi="Times New Roman" w:cs="Times New Roman"/>
          <w:sz w:val="20"/>
          <w:szCs w:val="20"/>
        </w:rPr>
        <w:t>. . . . . . . . . . . . . . . . . . . . . . . . . . . . . . . . . . . . . .</w:t>
      </w:r>
      <w:r>
        <w:rPr>
          <w:rFonts w:ascii="Times New Roman" w:hAnsi="Times New Roman" w:cs="Times New Roman"/>
          <w:sz w:val="24"/>
          <w:szCs w:val="24"/>
        </w:rPr>
        <w:tab/>
      </w:r>
      <w:r>
        <w:rPr>
          <w:rFonts w:ascii="Times New Roman" w:hAnsi="Times New Roman" w:cs="Times New Roman"/>
          <w:sz w:val="19"/>
          <w:szCs w:val="19"/>
        </w:rPr>
        <w:t>2,257</w:t>
      </w:r>
    </w:p>
    <w:p w:rsidR="00000000" w:rsidRDefault="00A06965">
      <w:pPr>
        <w:pStyle w:val="DefaultParagraphFont"/>
        <w:widowControl w:val="0"/>
        <w:tabs>
          <w:tab w:val="left" w:pos="49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Adalet </w:t>
      </w:r>
      <w:r>
        <w:rPr>
          <w:rFonts w:ascii="Times New Roman" w:hAnsi="Times New Roman" w:cs="Times New Roman"/>
          <w:b/>
          <w:bCs/>
          <w:sz w:val="26"/>
          <w:szCs w:val="26"/>
          <w:vertAlign w:val="superscript"/>
        </w:rPr>
        <w:t>(1)</w:t>
      </w:r>
      <w:r>
        <w:rPr>
          <w:rFonts w:ascii="Times New Roman" w:hAnsi="Times New Roman" w:cs="Times New Roman"/>
          <w:b/>
          <w:bCs/>
          <w:sz w:val="20"/>
          <w:szCs w:val="20"/>
        </w:rPr>
        <w:t xml:space="preserve"> </w:t>
      </w:r>
      <w:r>
        <w:rPr>
          <w:rFonts w:ascii="Times New Roman" w:hAnsi="Times New Roman" w:cs="Times New Roman"/>
          <w:sz w:val="20"/>
          <w:szCs w:val="20"/>
        </w:rPr>
        <w:t>. . . . . . . . . . . . . . . . . . . . . . . . . . . . . . . . . . .</w:t>
      </w:r>
      <w:r>
        <w:rPr>
          <w:rFonts w:ascii="Times New Roman" w:hAnsi="Times New Roman" w:cs="Times New Roman"/>
          <w:sz w:val="24"/>
          <w:szCs w:val="24"/>
        </w:rPr>
        <w:tab/>
      </w:r>
      <w:r>
        <w:rPr>
          <w:rFonts w:ascii="Times New Roman" w:hAnsi="Times New Roman" w:cs="Times New Roman"/>
          <w:sz w:val="20"/>
          <w:szCs w:val="20"/>
        </w:rPr>
        <w:t>260</w:t>
      </w:r>
    </w:p>
    <w:p w:rsidR="00000000" w:rsidRDefault="00A06965">
      <w:pPr>
        <w:pStyle w:val="DefaultParagraphFont"/>
        <w:widowControl w:val="0"/>
        <w:tabs>
          <w:tab w:val="left" w:pos="50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20"/>
          <w:szCs w:val="20"/>
        </w:rPr>
        <w:t xml:space="preserve">Affordable Housing Partners, Inc. </w:t>
      </w:r>
      <w:r>
        <w:rPr>
          <w:rFonts w:ascii="Times New Roman" w:hAnsi="Times New Roman" w:cs="Times New Roman"/>
          <w:sz w:val="20"/>
          <w:szCs w:val="20"/>
        </w:rPr>
        <w:t>. . . . . . . . . . . . .</w:t>
      </w:r>
      <w:r>
        <w:rPr>
          <w:rFonts w:ascii="Times New Roman" w:hAnsi="Times New Roman" w:cs="Times New Roman"/>
          <w:sz w:val="24"/>
          <w:szCs w:val="24"/>
        </w:rPr>
        <w:tab/>
      </w:r>
      <w:r>
        <w:rPr>
          <w:rFonts w:ascii="Times New Roman" w:hAnsi="Times New Roman" w:cs="Times New Roman"/>
          <w:sz w:val="20"/>
          <w:szCs w:val="20"/>
        </w:rPr>
        <w:t>12</w:t>
      </w:r>
    </w:p>
    <w:p w:rsidR="00000000" w:rsidRDefault="00A06965">
      <w:pPr>
        <w:pStyle w:val="DefaultParagraphFont"/>
        <w:widowControl w:val="0"/>
        <w:tabs>
          <w:tab w:val="left" w:pos="49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AltaLink </w:t>
      </w:r>
      <w:r>
        <w:rPr>
          <w:rFonts w:ascii="Times New Roman" w:hAnsi="Times New Roman" w:cs="Times New Roman"/>
          <w:b/>
          <w:bCs/>
          <w:sz w:val="26"/>
          <w:szCs w:val="26"/>
          <w:vertAlign w:val="superscript"/>
        </w:rPr>
        <w:t>(2)</w:t>
      </w:r>
      <w:r>
        <w:rPr>
          <w:rFonts w:ascii="Times New Roman" w:hAnsi="Times New Roman" w:cs="Times New Roman"/>
          <w:b/>
          <w:bCs/>
          <w:sz w:val="20"/>
          <w:szCs w:val="20"/>
        </w:rPr>
        <w:t xml:space="preserve"> </w:t>
      </w:r>
      <w:r>
        <w:rPr>
          <w:rFonts w:ascii="Times New Roman" w:hAnsi="Times New Roman" w:cs="Times New Roman"/>
          <w:sz w:val="20"/>
          <w:szCs w:val="20"/>
        </w:rPr>
        <w:t>. . . . . . .</w:t>
      </w:r>
      <w:r>
        <w:rPr>
          <w:rFonts w:ascii="Times New Roman" w:hAnsi="Times New Roman" w:cs="Times New Roman"/>
          <w:sz w:val="20"/>
          <w:szCs w:val="20"/>
        </w:rPr>
        <w:t xml:space="preserve"> . . . . . . . . . . . . . . . . . . . . . . . . . .</w:t>
      </w:r>
      <w:r>
        <w:rPr>
          <w:rFonts w:ascii="Times New Roman" w:hAnsi="Times New Roman" w:cs="Times New Roman"/>
          <w:sz w:val="24"/>
          <w:szCs w:val="24"/>
        </w:rPr>
        <w:tab/>
      </w:r>
      <w:r>
        <w:rPr>
          <w:rFonts w:ascii="Times New Roman" w:hAnsi="Times New Roman" w:cs="Times New Roman"/>
          <w:sz w:val="20"/>
          <w:szCs w:val="20"/>
        </w:rPr>
        <w:t>816</w:t>
      </w:r>
    </w:p>
    <w:p w:rsidR="00000000" w:rsidRDefault="00A06965">
      <w:pPr>
        <w:pStyle w:val="DefaultParagraphFont"/>
        <w:widowControl w:val="0"/>
        <w:tabs>
          <w:tab w:val="left" w:pos="49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18"/>
          <w:szCs w:val="18"/>
        </w:rPr>
        <w:t xml:space="preserve">Altaquip </w:t>
      </w:r>
      <w:r>
        <w:rPr>
          <w:rFonts w:ascii="Times New Roman" w:hAnsi="Times New Roman" w:cs="Times New Roman"/>
          <w:b/>
          <w:bCs/>
          <w:sz w:val="23"/>
          <w:szCs w:val="23"/>
          <w:vertAlign w:val="superscript"/>
        </w:rPr>
        <w:t>(1)</w:t>
      </w:r>
      <w:r>
        <w:rPr>
          <w:rFonts w:ascii="Times New Roman" w:hAnsi="Times New Roman" w:cs="Times New Roman"/>
          <w:b/>
          <w:bCs/>
          <w:sz w:val="18"/>
          <w:szCs w:val="18"/>
        </w:rPr>
        <w:t xml:space="preserve"> </w:t>
      </w:r>
      <w:r>
        <w:rPr>
          <w:rFonts w:ascii="Times New Roman" w:hAnsi="Times New Roman" w:cs="Times New Roman"/>
          <w:sz w:val="18"/>
          <w:szCs w:val="18"/>
        </w:rPr>
        <w:t>. . . . . . . . . . . . . . . . . . . . . . . . . . . . . . . . .</w:t>
      </w:r>
      <w:r>
        <w:rPr>
          <w:rFonts w:ascii="Times New Roman" w:hAnsi="Times New Roman" w:cs="Times New Roman"/>
          <w:sz w:val="24"/>
          <w:szCs w:val="24"/>
        </w:rPr>
        <w:tab/>
      </w:r>
      <w:r>
        <w:rPr>
          <w:rFonts w:ascii="Times New Roman" w:hAnsi="Times New Roman" w:cs="Times New Roman"/>
          <w:sz w:val="20"/>
          <w:szCs w:val="20"/>
        </w:rPr>
        <w:t>321</w:t>
      </w:r>
    </w:p>
    <w:p w:rsidR="00000000" w:rsidRDefault="00A06965">
      <w:pPr>
        <w:pStyle w:val="DefaultParagraphFont"/>
        <w:widowControl w:val="0"/>
        <w:tabs>
          <w:tab w:val="left" w:pos="49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20"/>
          <w:szCs w:val="20"/>
        </w:rPr>
        <w:t xml:space="preserve">Ben Bridge Jeweler </w:t>
      </w:r>
      <w:r>
        <w:rPr>
          <w:rFonts w:ascii="Times New Roman" w:hAnsi="Times New Roman" w:cs="Times New Roman"/>
          <w:sz w:val="20"/>
          <w:szCs w:val="20"/>
        </w:rPr>
        <w:t>. . . . . . . . . . . . . . . . . . . . . . . . . .</w:t>
      </w:r>
      <w:r>
        <w:rPr>
          <w:rFonts w:ascii="Times New Roman" w:hAnsi="Times New Roman" w:cs="Times New Roman"/>
          <w:sz w:val="24"/>
          <w:szCs w:val="24"/>
        </w:rPr>
        <w:tab/>
      </w:r>
      <w:r>
        <w:rPr>
          <w:rFonts w:ascii="Times New Roman" w:hAnsi="Times New Roman" w:cs="Times New Roman"/>
          <w:sz w:val="20"/>
          <w:szCs w:val="20"/>
        </w:rPr>
        <w:t>859</w:t>
      </w:r>
    </w:p>
    <w:p w:rsidR="00000000" w:rsidRDefault="00A06965">
      <w:pPr>
        <w:pStyle w:val="DefaultParagraphFont"/>
        <w:widowControl w:val="0"/>
        <w:tabs>
          <w:tab w:val="left" w:pos="4760"/>
        </w:tabs>
        <w:autoSpaceDE w:val="0"/>
        <w:autoSpaceDN w:val="0"/>
        <w:adjustRightInd w:val="0"/>
        <w:spacing w:after="0" w:line="224" w:lineRule="auto"/>
        <w:rPr>
          <w:rFonts w:ascii="Times New Roman" w:hAnsi="Times New Roman" w:cs="Times New Roman"/>
          <w:sz w:val="24"/>
          <w:szCs w:val="24"/>
        </w:rPr>
      </w:pPr>
      <w:r>
        <w:rPr>
          <w:rFonts w:ascii="Times New Roman" w:hAnsi="Times New Roman" w:cs="Times New Roman"/>
          <w:b/>
          <w:bCs/>
          <w:sz w:val="20"/>
          <w:szCs w:val="20"/>
        </w:rPr>
        <w:t xml:space="preserve">Benjamin Moore </w:t>
      </w:r>
      <w:r>
        <w:rPr>
          <w:rFonts w:ascii="Times New Roman" w:hAnsi="Times New Roman" w:cs="Times New Roman"/>
          <w:sz w:val="20"/>
          <w:szCs w:val="20"/>
        </w:rPr>
        <w:t>. . . . . . . . . . . . . . . . . . . . . . . . . . . .</w:t>
      </w:r>
      <w:r>
        <w:rPr>
          <w:rFonts w:ascii="Times New Roman" w:hAnsi="Times New Roman" w:cs="Times New Roman"/>
          <w:sz w:val="24"/>
          <w:szCs w:val="24"/>
        </w:rPr>
        <w:tab/>
      </w:r>
      <w:r>
        <w:rPr>
          <w:rFonts w:ascii="Times New Roman" w:hAnsi="Times New Roman" w:cs="Times New Roman"/>
          <w:sz w:val="19"/>
          <w:szCs w:val="19"/>
        </w:rPr>
        <w:t>1,908</w:t>
      </w:r>
    </w:p>
    <w:p w:rsidR="00000000" w:rsidRDefault="00A06965">
      <w:pPr>
        <w:pStyle w:val="DefaultParagraphFont"/>
        <w:widowControl w:val="0"/>
        <w:tabs>
          <w:tab w:val="left" w:pos="50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BH Energy </w:t>
      </w:r>
      <w:r>
        <w:rPr>
          <w:rFonts w:ascii="Times New Roman" w:hAnsi="Times New Roman" w:cs="Times New Roman"/>
          <w:b/>
          <w:bCs/>
          <w:sz w:val="26"/>
          <w:szCs w:val="26"/>
          <w:vertAlign w:val="superscript"/>
        </w:rPr>
        <w:t>(2)</w:t>
      </w:r>
      <w:r>
        <w:rPr>
          <w:rFonts w:ascii="Times New Roman" w:hAnsi="Times New Roman" w:cs="Times New Roman"/>
          <w:b/>
          <w:bCs/>
          <w:sz w:val="20"/>
          <w:szCs w:val="20"/>
        </w:rPr>
        <w:t xml:space="preserve"> </w:t>
      </w:r>
      <w:r>
        <w:rPr>
          <w:rFonts w:ascii="Times New Roman" w:hAnsi="Times New Roman" w:cs="Times New Roman"/>
          <w:sz w:val="20"/>
          <w:szCs w:val="20"/>
        </w:rPr>
        <w:t>. . . . . . . . . . . . . . . . . . . . . . . . . . . . . . .</w:t>
      </w:r>
      <w:r>
        <w:rPr>
          <w:rFonts w:ascii="Times New Roman" w:hAnsi="Times New Roman" w:cs="Times New Roman"/>
          <w:sz w:val="24"/>
          <w:szCs w:val="24"/>
        </w:rPr>
        <w:tab/>
      </w:r>
      <w:r>
        <w:rPr>
          <w:rFonts w:ascii="Times New Roman" w:hAnsi="Times New Roman" w:cs="Times New Roman"/>
          <w:sz w:val="20"/>
          <w:szCs w:val="20"/>
        </w:rPr>
        <w:t>25</w:t>
      </w:r>
    </w:p>
    <w:p w:rsidR="00000000" w:rsidRDefault="00A06965">
      <w:pPr>
        <w:pStyle w:val="DefaultParagraphFont"/>
        <w:widowControl w:val="0"/>
        <w:tabs>
          <w:tab w:val="left" w:pos="49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18"/>
          <w:szCs w:val="18"/>
        </w:rPr>
        <w:t xml:space="preserve">BHE Renewables </w:t>
      </w:r>
      <w:r>
        <w:rPr>
          <w:rFonts w:ascii="Times New Roman" w:hAnsi="Times New Roman" w:cs="Times New Roman"/>
          <w:b/>
          <w:bCs/>
          <w:sz w:val="23"/>
          <w:szCs w:val="23"/>
          <w:vertAlign w:val="superscript"/>
        </w:rPr>
        <w:t>(2)</w:t>
      </w:r>
      <w:r>
        <w:rPr>
          <w:rFonts w:ascii="Times New Roman" w:hAnsi="Times New Roman" w:cs="Times New Roman"/>
          <w:b/>
          <w:bCs/>
          <w:sz w:val="18"/>
          <w:szCs w:val="18"/>
        </w:rPr>
        <w:t xml:space="preserve"> </w:t>
      </w:r>
      <w:r>
        <w:rPr>
          <w:rFonts w:ascii="Times New Roman" w:hAnsi="Times New Roman" w:cs="Times New Roman"/>
          <w:sz w:val="18"/>
          <w:szCs w:val="18"/>
        </w:rPr>
        <w:t>. . . . . . . . . . . . . . . . . . . . . . . . . .</w:t>
      </w:r>
      <w:r>
        <w:rPr>
          <w:rFonts w:ascii="Times New Roman" w:hAnsi="Times New Roman" w:cs="Times New Roman"/>
          <w:sz w:val="24"/>
          <w:szCs w:val="24"/>
        </w:rPr>
        <w:tab/>
      </w:r>
      <w:r>
        <w:rPr>
          <w:rFonts w:ascii="Times New Roman" w:hAnsi="Times New Roman" w:cs="Times New Roman"/>
          <w:sz w:val="20"/>
          <w:szCs w:val="20"/>
        </w:rPr>
        <w:t>343</w:t>
      </w:r>
    </w:p>
    <w:p w:rsidR="00000000" w:rsidRDefault="00A06965">
      <w:pPr>
        <w:pStyle w:val="DefaultParagraphFont"/>
        <w:widowControl w:val="0"/>
        <w:tabs>
          <w:tab w:val="left" w:pos="5000"/>
        </w:tabs>
        <w:autoSpaceDE w:val="0"/>
        <w:autoSpaceDN w:val="0"/>
        <w:adjustRightInd w:val="0"/>
        <w:spacing w:after="0" w:line="188" w:lineRule="auto"/>
        <w:rPr>
          <w:rFonts w:ascii="Times New Roman" w:hAnsi="Times New Roman" w:cs="Times New Roman"/>
          <w:sz w:val="24"/>
          <w:szCs w:val="24"/>
        </w:rPr>
      </w:pPr>
      <w:r>
        <w:rPr>
          <w:rFonts w:ascii="Times New Roman" w:hAnsi="Times New Roman" w:cs="Times New Roman"/>
          <w:b/>
          <w:bCs/>
          <w:sz w:val="18"/>
          <w:szCs w:val="18"/>
        </w:rPr>
        <w:t xml:space="preserve">BHE U.S. Transmission </w:t>
      </w:r>
      <w:r>
        <w:rPr>
          <w:rFonts w:ascii="Times New Roman" w:hAnsi="Times New Roman" w:cs="Times New Roman"/>
          <w:b/>
          <w:bCs/>
          <w:sz w:val="23"/>
          <w:szCs w:val="23"/>
          <w:vertAlign w:val="superscript"/>
        </w:rPr>
        <w:t>(2)</w:t>
      </w:r>
      <w:r>
        <w:rPr>
          <w:rFonts w:ascii="Times New Roman" w:hAnsi="Times New Roman" w:cs="Times New Roman"/>
          <w:b/>
          <w:bCs/>
          <w:sz w:val="18"/>
          <w:szCs w:val="18"/>
        </w:rPr>
        <w:t xml:space="preserve">  </w:t>
      </w:r>
      <w:r>
        <w:rPr>
          <w:rFonts w:ascii="Times New Roman" w:hAnsi="Times New Roman" w:cs="Times New Roman"/>
          <w:sz w:val="18"/>
          <w:szCs w:val="18"/>
        </w:rPr>
        <w:t>. . . . . . .</w:t>
      </w:r>
      <w:r>
        <w:rPr>
          <w:rFonts w:ascii="Times New Roman" w:hAnsi="Times New Roman" w:cs="Times New Roman"/>
          <w:sz w:val="18"/>
          <w:szCs w:val="18"/>
        </w:rPr>
        <w:t xml:space="preserve"> . . . . . . . . . . . . .</w:t>
      </w:r>
      <w:r>
        <w:rPr>
          <w:rFonts w:ascii="Times New Roman" w:hAnsi="Times New Roman" w:cs="Times New Roman"/>
          <w:sz w:val="24"/>
          <w:szCs w:val="24"/>
        </w:rPr>
        <w:tab/>
      </w:r>
      <w:r>
        <w:rPr>
          <w:rFonts w:ascii="Times New Roman" w:hAnsi="Times New Roman" w:cs="Times New Roman"/>
          <w:sz w:val="20"/>
          <w:szCs w:val="20"/>
        </w:rPr>
        <w:t>22</w:t>
      </w:r>
    </w:p>
    <w:p w:rsidR="00000000" w:rsidRDefault="00A06965">
      <w:pPr>
        <w:pStyle w:val="DefaultParagraphFont"/>
        <w:widowControl w:val="0"/>
        <w:tabs>
          <w:tab w:val="left" w:pos="4760"/>
        </w:tabs>
        <w:autoSpaceDE w:val="0"/>
        <w:autoSpaceDN w:val="0"/>
        <w:adjustRightInd w:val="0"/>
        <w:spacing w:after="0" w:line="198" w:lineRule="auto"/>
        <w:rPr>
          <w:rFonts w:ascii="Times New Roman" w:hAnsi="Times New Roman" w:cs="Times New Roman"/>
          <w:sz w:val="24"/>
          <w:szCs w:val="24"/>
        </w:rPr>
      </w:pPr>
      <w:r>
        <w:rPr>
          <w:rFonts w:ascii="Times New Roman" w:hAnsi="Times New Roman" w:cs="Times New Roman"/>
          <w:b/>
          <w:bCs/>
          <w:sz w:val="20"/>
          <w:szCs w:val="20"/>
        </w:rPr>
        <w:t xml:space="preserve">BH Media Group  </w:t>
      </w:r>
      <w:r>
        <w:rPr>
          <w:rFonts w:ascii="Times New Roman" w:hAnsi="Times New Roman" w:cs="Times New Roman"/>
          <w:sz w:val="20"/>
          <w:szCs w:val="20"/>
        </w:rPr>
        <w:t>. . . . . . . . . . . . . . . . . . . . . . . . . . .</w:t>
      </w:r>
      <w:r>
        <w:rPr>
          <w:rFonts w:ascii="Times New Roman" w:hAnsi="Times New Roman" w:cs="Times New Roman"/>
          <w:sz w:val="24"/>
          <w:szCs w:val="24"/>
        </w:rPr>
        <w:tab/>
      </w:r>
      <w:r>
        <w:rPr>
          <w:rFonts w:ascii="Times New Roman" w:hAnsi="Times New Roman" w:cs="Times New Roman"/>
          <w:sz w:val="19"/>
          <w:szCs w:val="19"/>
        </w:rPr>
        <w:t>4,074</w:t>
      </w:r>
    </w:p>
    <w:p w:rsidR="00000000" w:rsidRDefault="00A06965">
      <w:pPr>
        <w:pStyle w:val="DefaultParagraphFont"/>
        <w:widowControl w:val="0"/>
        <w:tabs>
          <w:tab w:val="left" w:pos="4900"/>
        </w:tabs>
        <w:autoSpaceDE w:val="0"/>
        <w:autoSpaceDN w:val="0"/>
        <w:adjustRightInd w:val="0"/>
        <w:spacing w:after="0" w:line="212" w:lineRule="auto"/>
        <w:rPr>
          <w:rFonts w:ascii="Times New Roman" w:hAnsi="Times New Roman" w:cs="Times New Roman"/>
          <w:sz w:val="24"/>
          <w:szCs w:val="24"/>
        </w:rPr>
      </w:pPr>
      <w:r>
        <w:rPr>
          <w:rFonts w:ascii="Times New Roman" w:hAnsi="Times New Roman" w:cs="Times New Roman"/>
          <w:b/>
          <w:bCs/>
          <w:sz w:val="20"/>
          <w:szCs w:val="20"/>
        </w:rPr>
        <w:t xml:space="preserve">Borsheims  </w:t>
      </w:r>
      <w:r>
        <w:rPr>
          <w:rFonts w:ascii="Times New Roman" w:hAnsi="Times New Roman" w:cs="Times New Roman"/>
          <w:sz w:val="20"/>
          <w:szCs w:val="20"/>
        </w:rPr>
        <w:t>. . . . . . . . . . . . . . . . . . . . . . . . . . . . . . . . .</w:t>
      </w:r>
      <w:r>
        <w:rPr>
          <w:rFonts w:ascii="Times New Roman" w:hAnsi="Times New Roman" w:cs="Times New Roman"/>
          <w:sz w:val="24"/>
          <w:szCs w:val="24"/>
        </w:rPr>
        <w:tab/>
      </w:r>
      <w:r>
        <w:rPr>
          <w:rFonts w:ascii="Times New Roman" w:hAnsi="Times New Roman" w:cs="Times New Roman"/>
          <w:sz w:val="20"/>
          <w:szCs w:val="20"/>
        </w:rPr>
        <w:t>174</w:t>
      </w:r>
    </w:p>
    <w:p w:rsidR="00000000" w:rsidRDefault="00A06965">
      <w:pPr>
        <w:pStyle w:val="DefaultParagraphFont"/>
        <w:widowControl w:val="0"/>
        <w:tabs>
          <w:tab w:val="left" w:pos="49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Brooks Sports </w:t>
      </w:r>
      <w:r>
        <w:rPr>
          <w:rFonts w:ascii="Times New Roman" w:hAnsi="Times New Roman" w:cs="Times New Roman"/>
          <w:sz w:val="20"/>
          <w:szCs w:val="20"/>
        </w:rPr>
        <w:t>. . . . . . . . . . . . . . . . . . . . . . . . . . . . . .</w:t>
      </w:r>
      <w:r>
        <w:rPr>
          <w:rFonts w:ascii="Times New Roman" w:hAnsi="Times New Roman" w:cs="Times New Roman"/>
          <w:sz w:val="24"/>
          <w:szCs w:val="24"/>
        </w:rPr>
        <w:tab/>
      </w:r>
      <w:r>
        <w:rPr>
          <w:rFonts w:ascii="Times New Roman" w:hAnsi="Times New Roman" w:cs="Times New Roman"/>
          <w:sz w:val="20"/>
          <w:szCs w:val="20"/>
        </w:rPr>
        <w:t>625</w:t>
      </w:r>
    </w:p>
    <w:p w:rsidR="00000000" w:rsidRDefault="00A06965">
      <w:pPr>
        <w:pStyle w:val="DefaultParagraphFont"/>
        <w:widowControl w:val="0"/>
        <w:autoSpaceDE w:val="0"/>
        <w:autoSpaceDN w:val="0"/>
        <w:adjustRightInd w:val="0"/>
        <w:spacing w:after="0" w:line="215" w:lineRule="auto"/>
        <w:rPr>
          <w:rFonts w:ascii="Times New Roman" w:hAnsi="Times New Roman" w:cs="Times New Roman"/>
          <w:sz w:val="24"/>
          <w:szCs w:val="24"/>
        </w:rPr>
      </w:pPr>
      <w:r>
        <w:rPr>
          <w:rFonts w:ascii="Times New Roman" w:hAnsi="Times New Roman" w:cs="Times New Roman"/>
          <w:b/>
          <w:bCs/>
          <w:sz w:val="20"/>
          <w:szCs w:val="20"/>
        </w:rPr>
        <w:t xml:space="preserve">BNSF </w:t>
      </w:r>
      <w:r>
        <w:rPr>
          <w:rFonts w:ascii="Times New Roman" w:hAnsi="Times New Roman" w:cs="Times New Roman"/>
          <w:sz w:val="20"/>
          <w:szCs w:val="20"/>
        </w:rPr>
        <w:t>. . . . . . . . . . . . . . . . . . . . . . . . . . . . . . . . . . . . .    48,000</w:t>
      </w:r>
    </w:p>
    <w:p w:rsidR="00000000" w:rsidRDefault="00A06965">
      <w:pPr>
        <w:pStyle w:val="DefaultParagraphFont"/>
        <w:widowControl w:val="0"/>
        <w:tabs>
          <w:tab w:val="left" w:pos="49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The Buffalo News </w:t>
      </w:r>
      <w:r>
        <w:rPr>
          <w:rFonts w:ascii="Times New Roman" w:hAnsi="Times New Roman" w:cs="Times New Roman"/>
          <w:sz w:val="20"/>
          <w:szCs w:val="20"/>
        </w:rPr>
        <w:t>. . . . . . . . . . . . . . . . . . . . . . . . . . .</w:t>
      </w:r>
      <w:r>
        <w:rPr>
          <w:rFonts w:ascii="Times New Roman" w:hAnsi="Times New Roman" w:cs="Times New Roman"/>
          <w:sz w:val="24"/>
          <w:szCs w:val="24"/>
        </w:rPr>
        <w:tab/>
      </w:r>
      <w:r>
        <w:rPr>
          <w:rFonts w:ascii="Times New Roman" w:hAnsi="Times New Roman" w:cs="Times New Roman"/>
          <w:sz w:val="20"/>
          <w:szCs w:val="20"/>
        </w:rPr>
        <w:t>748</w:t>
      </w:r>
    </w:p>
    <w:p w:rsidR="00000000" w:rsidRDefault="00A06965">
      <w:pPr>
        <w:pStyle w:val="DefaultParagraphFont"/>
        <w:widowControl w:val="0"/>
        <w:tabs>
          <w:tab w:val="left" w:pos="49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Business Wire </w:t>
      </w:r>
      <w:r>
        <w:rPr>
          <w:rFonts w:ascii="Times New Roman" w:hAnsi="Times New Roman" w:cs="Times New Roman"/>
          <w:sz w:val="20"/>
          <w:szCs w:val="20"/>
        </w:rPr>
        <w:t xml:space="preserve">. . . . . . . </w:t>
      </w:r>
      <w:r>
        <w:rPr>
          <w:rFonts w:ascii="Times New Roman" w:hAnsi="Times New Roman" w:cs="Times New Roman"/>
          <w:sz w:val="20"/>
          <w:szCs w:val="20"/>
        </w:rPr>
        <w:t>. . . . . . . . . . . . . . . . . . . . . . .</w:t>
      </w:r>
      <w:r>
        <w:rPr>
          <w:rFonts w:ascii="Times New Roman" w:hAnsi="Times New Roman" w:cs="Times New Roman"/>
          <w:sz w:val="24"/>
          <w:szCs w:val="24"/>
        </w:rPr>
        <w:tab/>
      </w:r>
      <w:r>
        <w:rPr>
          <w:rFonts w:ascii="Times New Roman" w:hAnsi="Times New Roman" w:cs="Times New Roman"/>
          <w:sz w:val="20"/>
          <w:szCs w:val="20"/>
        </w:rPr>
        <w:t>497</w:t>
      </w:r>
    </w:p>
    <w:p w:rsidR="00000000" w:rsidRDefault="00A06965">
      <w:pPr>
        <w:pStyle w:val="DefaultParagraphFont"/>
        <w:widowControl w:val="0"/>
        <w:tabs>
          <w:tab w:val="left" w:pos="50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CalEnergy Philippines </w:t>
      </w:r>
      <w:r>
        <w:rPr>
          <w:rFonts w:ascii="Times New Roman" w:hAnsi="Times New Roman" w:cs="Times New Roman"/>
          <w:b/>
          <w:bCs/>
          <w:sz w:val="26"/>
          <w:szCs w:val="26"/>
          <w:vertAlign w:val="superscript"/>
        </w:rPr>
        <w:t>(2)</w:t>
      </w:r>
      <w:r>
        <w:rPr>
          <w:rFonts w:ascii="Times New Roman" w:hAnsi="Times New Roman" w:cs="Times New Roman"/>
          <w:b/>
          <w:bCs/>
          <w:sz w:val="20"/>
          <w:szCs w:val="20"/>
        </w:rPr>
        <w:t xml:space="preserve">  </w:t>
      </w:r>
      <w:r>
        <w:rPr>
          <w:rFonts w:ascii="Times New Roman" w:hAnsi="Times New Roman" w:cs="Times New Roman"/>
          <w:sz w:val="20"/>
          <w:szCs w:val="20"/>
        </w:rPr>
        <w:t>. . . . . . . . . . . . . . . . . . . . .</w:t>
      </w:r>
      <w:r>
        <w:rPr>
          <w:rFonts w:ascii="Times New Roman" w:hAnsi="Times New Roman" w:cs="Times New Roman"/>
          <w:sz w:val="24"/>
          <w:szCs w:val="24"/>
        </w:rPr>
        <w:tab/>
      </w:r>
      <w:r>
        <w:rPr>
          <w:rFonts w:ascii="Times New Roman" w:hAnsi="Times New Roman" w:cs="Times New Roman"/>
          <w:sz w:val="20"/>
          <w:szCs w:val="20"/>
        </w:rPr>
        <w:t>63</w:t>
      </w:r>
    </w:p>
    <w:p w:rsidR="00000000" w:rsidRDefault="00A06965">
      <w:pPr>
        <w:pStyle w:val="DefaultParagraphFont"/>
        <w:widowControl w:val="0"/>
        <w:tabs>
          <w:tab w:val="left" w:pos="49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18"/>
          <w:szCs w:val="18"/>
        </w:rPr>
        <w:t xml:space="preserve">Campbell Hausfeld </w:t>
      </w:r>
      <w:r>
        <w:rPr>
          <w:rFonts w:ascii="Times New Roman" w:hAnsi="Times New Roman" w:cs="Times New Roman"/>
          <w:b/>
          <w:bCs/>
          <w:sz w:val="23"/>
          <w:szCs w:val="23"/>
          <w:vertAlign w:val="superscript"/>
        </w:rPr>
        <w:t>(1)</w:t>
      </w:r>
      <w:r>
        <w:rPr>
          <w:rFonts w:ascii="Times New Roman" w:hAnsi="Times New Roman" w:cs="Times New Roman"/>
          <w:b/>
          <w:bCs/>
          <w:sz w:val="18"/>
          <w:szCs w:val="18"/>
        </w:rPr>
        <w:t xml:space="preserve">  </w:t>
      </w:r>
      <w:r>
        <w:rPr>
          <w:rFonts w:ascii="Times New Roman" w:hAnsi="Times New Roman" w:cs="Times New Roman"/>
          <w:sz w:val="18"/>
          <w:szCs w:val="18"/>
        </w:rPr>
        <w:t>. . . . . . . . . . . . . . . . . . . . . . . .</w:t>
      </w:r>
      <w:r>
        <w:rPr>
          <w:rFonts w:ascii="Times New Roman" w:hAnsi="Times New Roman" w:cs="Times New Roman"/>
          <w:sz w:val="24"/>
          <w:szCs w:val="24"/>
        </w:rPr>
        <w:tab/>
      </w:r>
      <w:r>
        <w:rPr>
          <w:rFonts w:ascii="Times New Roman" w:hAnsi="Times New Roman" w:cs="Times New Roman"/>
          <w:sz w:val="20"/>
          <w:szCs w:val="20"/>
        </w:rPr>
        <w:t>323</w:t>
      </w:r>
    </w:p>
    <w:p w:rsidR="00000000" w:rsidRDefault="00A06965">
      <w:pPr>
        <w:pStyle w:val="DefaultParagraphFont"/>
        <w:widowControl w:val="0"/>
        <w:tabs>
          <w:tab w:val="left" w:pos="49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18"/>
          <w:szCs w:val="18"/>
        </w:rPr>
        <w:t xml:space="preserve">Carefree of Colorado </w:t>
      </w:r>
      <w:r>
        <w:rPr>
          <w:rFonts w:ascii="Times New Roman" w:hAnsi="Times New Roman" w:cs="Times New Roman"/>
          <w:b/>
          <w:bCs/>
          <w:sz w:val="23"/>
          <w:szCs w:val="23"/>
          <w:vertAlign w:val="superscript"/>
        </w:rPr>
        <w:t>(1)</w:t>
      </w:r>
      <w:r>
        <w:rPr>
          <w:rFonts w:ascii="Times New Roman" w:hAnsi="Times New Roman" w:cs="Times New Roman"/>
          <w:b/>
          <w:bCs/>
          <w:sz w:val="18"/>
          <w:szCs w:val="18"/>
        </w:rPr>
        <w:t xml:space="preserve">  </w:t>
      </w:r>
      <w:r>
        <w:rPr>
          <w:rFonts w:ascii="Times New Roman" w:hAnsi="Times New Roman" w:cs="Times New Roman"/>
          <w:sz w:val="18"/>
          <w:szCs w:val="18"/>
        </w:rPr>
        <w:t>. . . . . . . . . . . . . . . . . . . . . .</w:t>
      </w:r>
      <w:r>
        <w:rPr>
          <w:rFonts w:ascii="Times New Roman" w:hAnsi="Times New Roman" w:cs="Times New Roman"/>
          <w:sz w:val="24"/>
          <w:szCs w:val="24"/>
        </w:rPr>
        <w:tab/>
      </w:r>
      <w:r>
        <w:rPr>
          <w:rFonts w:ascii="Times New Roman" w:hAnsi="Times New Roman" w:cs="Times New Roman"/>
          <w:sz w:val="20"/>
          <w:szCs w:val="20"/>
        </w:rPr>
        <w:t>256</w:t>
      </w:r>
    </w:p>
    <w:p w:rsidR="00000000" w:rsidRDefault="00A06965">
      <w:pPr>
        <w:pStyle w:val="DefaultParagraphFont"/>
        <w:widowControl w:val="0"/>
        <w:tabs>
          <w:tab w:val="left" w:pos="49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20"/>
          <w:szCs w:val="20"/>
        </w:rPr>
        <w:t xml:space="preserve">Charter Brokerage </w:t>
      </w:r>
      <w:r>
        <w:rPr>
          <w:rFonts w:ascii="Times New Roman" w:hAnsi="Times New Roman" w:cs="Times New Roman"/>
          <w:sz w:val="20"/>
          <w:szCs w:val="20"/>
        </w:rPr>
        <w:t>. . . . . . . . . . . . . . . . . . . . . . . . . .</w:t>
      </w:r>
      <w:r>
        <w:rPr>
          <w:rFonts w:ascii="Times New Roman" w:hAnsi="Times New Roman" w:cs="Times New Roman"/>
          <w:sz w:val="24"/>
          <w:szCs w:val="24"/>
        </w:rPr>
        <w:tab/>
      </w:r>
      <w:r>
        <w:rPr>
          <w:rFonts w:ascii="Times New Roman" w:hAnsi="Times New Roman" w:cs="Times New Roman"/>
          <w:sz w:val="20"/>
          <w:szCs w:val="20"/>
        </w:rPr>
        <w:t>143</w:t>
      </w:r>
    </w:p>
    <w:p w:rsidR="00000000" w:rsidRDefault="00A06965">
      <w:pPr>
        <w:pStyle w:val="DefaultParagraphFont"/>
        <w:widowControl w:val="0"/>
        <w:autoSpaceDE w:val="0"/>
        <w:autoSpaceDN w:val="0"/>
        <w:adjustRightInd w:val="0"/>
        <w:spacing w:after="0" w:line="215" w:lineRule="auto"/>
        <w:rPr>
          <w:rFonts w:ascii="Times New Roman" w:hAnsi="Times New Roman" w:cs="Times New Roman"/>
          <w:sz w:val="24"/>
          <w:szCs w:val="24"/>
        </w:rPr>
      </w:pPr>
      <w:r>
        <w:rPr>
          <w:rFonts w:ascii="Times New Roman" w:hAnsi="Times New Roman" w:cs="Times New Roman"/>
          <w:b/>
          <w:bCs/>
          <w:sz w:val="20"/>
          <w:szCs w:val="20"/>
        </w:rPr>
        <w:t xml:space="preserve">Clayton Homes </w:t>
      </w:r>
      <w:r>
        <w:rPr>
          <w:rFonts w:ascii="Times New Roman" w:hAnsi="Times New Roman" w:cs="Times New Roman"/>
          <w:sz w:val="20"/>
          <w:szCs w:val="20"/>
        </w:rPr>
        <w:t>. . . . . . . . . . . . . . . . . . . . . . . . . . . . .    11,988</w:t>
      </w:r>
    </w:p>
    <w:p w:rsidR="00000000" w:rsidRDefault="00A06965">
      <w:pPr>
        <w:pStyle w:val="DefaultParagraphFont"/>
        <w:widowControl w:val="0"/>
        <w:tabs>
          <w:tab w:val="left" w:pos="50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Cleveland Wood Products </w:t>
      </w:r>
      <w:r>
        <w:rPr>
          <w:rFonts w:ascii="Times New Roman" w:hAnsi="Times New Roman" w:cs="Times New Roman"/>
          <w:b/>
          <w:bCs/>
          <w:sz w:val="26"/>
          <w:szCs w:val="26"/>
          <w:vertAlign w:val="superscript"/>
        </w:rPr>
        <w:t>(1)</w:t>
      </w:r>
      <w:r>
        <w:rPr>
          <w:rFonts w:ascii="Times New Roman" w:hAnsi="Times New Roman" w:cs="Times New Roman"/>
          <w:b/>
          <w:bCs/>
          <w:sz w:val="20"/>
          <w:szCs w:val="20"/>
        </w:rPr>
        <w:t xml:space="preserve">  </w:t>
      </w:r>
      <w:r>
        <w:rPr>
          <w:rFonts w:ascii="Times New Roman" w:hAnsi="Times New Roman" w:cs="Times New Roman"/>
          <w:sz w:val="20"/>
          <w:szCs w:val="20"/>
        </w:rPr>
        <w:t>. . . . . . . . . . . .</w:t>
      </w:r>
      <w:r>
        <w:rPr>
          <w:rFonts w:ascii="Times New Roman" w:hAnsi="Times New Roman" w:cs="Times New Roman"/>
          <w:sz w:val="20"/>
          <w:szCs w:val="20"/>
        </w:rPr>
        <w:t xml:space="preserve"> . . . . . .</w:t>
      </w:r>
      <w:r>
        <w:rPr>
          <w:rFonts w:ascii="Times New Roman" w:hAnsi="Times New Roman" w:cs="Times New Roman"/>
          <w:sz w:val="24"/>
          <w:szCs w:val="24"/>
        </w:rPr>
        <w:tab/>
      </w:r>
      <w:r>
        <w:rPr>
          <w:rFonts w:ascii="Times New Roman" w:hAnsi="Times New Roman" w:cs="Times New Roman"/>
          <w:sz w:val="20"/>
          <w:szCs w:val="20"/>
        </w:rPr>
        <w:t>46</w:t>
      </w:r>
    </w:p>
    <w:p w:rsidR="00000000" w:rsidRDefault="00A06965">
      <w:pPr>
        <w:pStyle w:val="DefaultParagraphFont"/>
        <w:widowControl w:val="0"/>
        <w:tabs>
          <w:tab w:val="left" w:pos="4760"/>
        </w:tabs>
        <w:autoSpaceDE w:val="0"/>
        <w:autoSpaceDN w:val="0"/>
        <w:adjustRightInd w:val="0"/>
        <w:spacing w:after="0" w:line="199" w:lineRule="auto"/>
        <w:rPr>
          <w:rFonts w:ascii="Times New Roman" w:hAnsi="Times New Roman" w:cs="Times New Roman"/>
          <w:sz w:val="24"/>
          <w:szCs w:val="24"/>
        </w:rPr>
      </w:pPr>
      <w:r>
        <w:rPr>
          <w:rFonts w:ascii="Times New Roman" w:hAnsi="Times New Roman" w:cs="Times New Roman"/>
          <w:b/>
          <w:bCs/>
          <w:sz w:val="20"/>
          <w:szCs w:val="20"/>
        </w:rPr>
        <w:t xml:space="preserve">CORT </w:t>
      </w:r>
      <w:r>
        <w:rPr>
          <w:rFonts w:ascii="Times New Roman" w:hAnsi="Times New Roman" w:cs="Times New Roman"/>
          <w:sz w:val="20"/>
          <w:szCs w:val="20"/>
        </w:rPr>
        <w:t>. . . . . . . . . . . . . . . . . . . . . . . . . . . . . . . . . . . . .</w:t>
      </w:r>
      <w:r>
        <w:rPr>
          <w:rFonts w:ascii="Times New Roman" w:hAnsi="Times New Roman" w:cs="Times New Roman"/>
          <w:sz w:val="24"/>
          <w:szCs w:val="24"/>
        </w:rPr>
        <w:tab/>
      </w:r>
      <w:r>
        <w:rPr>
          <w:rFonts w:ascii="Times New Roman" w:hAnsi="Times New Roman" w:cs="Times New Roman"/>
          <w:sz w:val="19"/>
          <w:szCs w:val="19"/>
        </w:rPr>
        <w:t>2,388</w:t>
      </w:r>
    </w:p>
    <w:p w:rsidR="00000000" w:rsidRDefault="00A06965">
      <w:pPr>
        <w:pStyle w:val="DefaultParagraphFont"/>
        <w:widowControl w:val="0"/>
        <w:tabs>
          <w:tab w:val="left" w:pos="4760"/>
        </w:tabs>
        <w:autoSpaceDE w:val="0"/>
        <w:autoSpaceDN w:val="0"/>
        <w:adjustRightInd w:val="0"/>
        <w:spacing w:after="0" w:line="224" w:lineRule="auto"/>
        <w:rPr>
          <w:rFonts w:ascii="Times New Roman" w:hAnsi="Times New Roman" w:cs="Times New Roman"/>
          <w:sz w:val="24"/>
          <w:szCs w:val="24"/>
        </w:rPr>
      </w:pPr>
      <w:r>
        <w:rPr>
          <w:rFonts w:ascii="Times New Roman" w:hAnsi="Times New Roman" w:cs="Times New Roman"/>
          <w:b/>
          <w:bCs/>
          <w:sz w:val="20"/>
          <w:szCs w:val="20"/>
        </w:rPr>
        <w:t xml:space="preserve">CTB </w:t>
      </w:r>
      <w:r>
        <w:rPr>
          <w:rFonts w:ascii="Times New Roman" w:hAnsi="Times New Roman" w:cs="Times New Roman"/>
          <w:sz w:val="20"/>
          <w:szCs w:val="20"/>
        </w:rPr>
        <w:t>. . . . . . . . . . . . . . . . . . . . . . . . . . . . . . . . . . . . . .</w:t>
      </w:r>
      <w:r>
        <w:rPr>
          <w:rFonts w:ascii="Times New Roman" w:hAnsi="Times New Roman" w:cs="Times New Roman"/>
          <w:sz w:val="24"/>
          <w:szCs w:val="24"/>
        </w:rPr>
        <w:tab/>
      </w:r>
      <w:r>
        <w:rPr>
          <w:rFonts w:ascii="Times New Roman" w:hAnsi="Times New Roman" w:cs="Times New Roman"/>
          <w:sz w:val="19"/>
          <w:szCs w:val="19"/>
        </w:rPr>
        <w:t>2,770</w:t>
      </w:r>
    </w:p>
    <w:p w:rsidR="00000000" w:rsidRDefault="00A06965">
      <w:pPr>
        <w:pStyle w:val="DefaultParagraphFont"/>
        <w:widowControl w:val="0"/>
        <w:tabs>
          <w:tab w:val="left" w:pos="49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Dairy Queen </w:t>
      </w:r>
      <w:r>
        <w:rPr>
          <w:rFonts w:ascii="Times New Roman" w:hAnsi="Times New Roman" w:cs="Times New Roman"/>
          <w:sz w:val="20"/>
          <w:szCs w:val="20"/>
        </w:rPr>
        <w:t>. . . . . . . . . . . . . . . . . . . . . . . . . . . . .</w:t>
      </w:r>
      <w:r>
        <w:rPr>
          <w:rFonts w:ascii="Times New Roman" w:hAnsi="Times New Roman" w:cs="Times New Roman"/>
          <w:sz w:val="20"/>
          <w:szCs w:val="20"/>
        </w:rPr>
        <w:t xml:space="preserve"> . . .</w:t>
      </w:r>
      <w:r>
        <w:rPr>
          <w:rFonts w:ascii="Times New Roman" w:hAnsi="Times New Roman" w:cs="Times New Roman"/>
          <w:sz w:val="24"/>
          <w:szCs w:val="24"/>
        </w:rPr>
        <w:tab/>
      </w:r>
      <w:r>
        <w:rPr>
          <w:rFonts w:ascii="Times New Roman" w:hAnsi="Times New Roman" w:cs="Times New Roman"/>
          <w:sz w:val="20"/>
          <w:szCs w:val="20"/>
        </w:rPr>
        <w:t>476</w:t>
      </w:r>
    </w:p>
    <w:p w:rsidR="00000000" w:rsidRDefault="00A06965">
      <w:pPr>
        <w:pStyle w:val="DefaultParagraphFont"/>
        <w:widowControl w:val="0"/>
        <w:tabs>
          <w:tab w:val="left" w:pos="50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Douglas/Quikut </w:t>
      </w:r>
      <w:r>
        <w:rPr>
          <w:rFonts w:ascii="Times New Roman" w:hAnsi="Times New Roman" w:cs="Times New Roman"/>
          <w:b/>
          <w:bCs/>
          <w:sz w:val="26"/>
          <w:szCs w:val="26"/>
          <w:vertAlign w:val="superscript"/>
        </w:rPr>
        <w:t>(1)</w:t>
      </w:r>
      <w:r>
        <w:rPr>
          <w:rFonts w:ascii="Times New Roman" w:hAnsi="Times New Roman" w:cs="Times New Roman"/>
          <w:b/>
          <w:bCs/>
          <w:sz w:val="20"/>
          <w:szCs w:val="20"/>
        </w:rPr>
        <w:t xml:space="preserve">  </w:t>
      </w:r>
      <w:r>
        <w:rPr>
          <w:rFonts w:ascii="Times New Roman" w:hAnsi="Times New Roman" w:cs="Times New Roman"/>
          <w:sz w:val="20"/>
          <w:szCs w:val="20"/>
        </w:rPr>
        <w:t>. . . . . . . . . . . . . . . . . . . . . . . . . . .</w:t>
      </w:r>
      <w:r>
        <w:rPr>
          <w:rFonts w:ascii="Times New Roman" w:hAnsi="Times New Roman" w:cs="Times New Roman"/>
          <w:sz w:val="24"/>
          <w:szCs w:val="24"/>
        </w:rPr>
        <w:tab/>
      </w:r>
      <w:r>
        <w:rPr>
          <w:rFonts w:ascii="Times New Roman" w:hAnsi="Times New Roman" w:cs="Times New Roman"/>
          <w:sz w:val="20"/>
          <w:szCs w:val="20"/>
        </w:rPr>
        <w:t>40</w:t>
      </w:r>
    </w:p>
    <w:p w:rsidR="00000000" w:rsidRDefault="00A06965">
      <w:pPr>
        <w:pStyle w:val="DefaultParagraphFont"/>
        <w:widowControl w:val="0"/>
        <w:tabs>
          <w:tab w:val="left" w:pos="4900"/>
        </w:tabs>
        <w:autoSpaceDE w:val="0"/>
        <w:autoSpaceDN w:val="0"/>
        <w:adjustRightInd w:val="0"/>
        <w:spacing w:after="0" w:line="188" w:lineRule="auto"/>
        <w:rPr>
          <w:rFonts w:ascii="Times New Roman" w:hAnsi="Times New Roman" w:cs="Times New Roman"/>
          <w:sz w:val="24"/>
          <w:szCs w:val="24"/>
        </w:rPr>
      </w:pPr>
      <w:r>
        <w:rPr>
          <w:rFonts w:ascii="Times New Roman" w:hAnsi="Times New Roman" w:cs="Times New Roman"/>
          <w:b/>
          <w:bCs/>
          <w:sz w:val="20"/>
          <w:szCs w:val="20"/>
        </w:rPr>
        <w:t xml:space="preserve">Fechheimer </w:t>
      </w:r>
      <w:r>
        <w:rPr>
          <w:rFonts w:ascii="Times New Roman" w:hAnsi="Times New Roman" w:cs="Times New Roman"/>
          <w:sz w:val="20"/>
          <w:szCs w:val="20"/>
        </w:rPr>
        <w:t>. . . . . . . . . . . . . . . . . . . . . . . . . . . . . . . .</w:t>
      </w:r>
      <w:r>
        <w:rPr>
          <w:rFonts w:ascii="Times New Roman" w:hAnsi="Times New Roman" w:cs="Times New Roman"/>
          <w:sz w:val="24"/>
          <w:szCs w:val="24"/>
        </w:rPr>
        <w:tab/>
      </w:r>
      <w:r>
        <w:rPr>
          <w:rFonts w:ascii="Times New Roman" w:hAnsi="Times New Roman" w:cs="Times New Roman"/>
          <w:sz w:val="20"/>
          <w:szCs w:val="20"/>
        </w:rPr>
        <w:t>417</w:t>
      </w:r>
    </w:p>
    <w:p w:rsidR="00000000" w:rsidRDefault="00A06965">
      <w:pPr>
        <w:pStyle w:val="DefaultParagraphFont"/>
        <w:widowControl w:val="0"/>
        <w:tabs>
          <w:tab w:val="left" w:pos="4760"/>
        </w:tabs>
        <w:autoSpaceDE w:val="0"/>
        <w:autoSpaceDN w:val="0"/>
        <w:adjustRightInd w:val="0"/>
        <w:spacing w:after="0" w:line="225" w:lineRule="auto"/>
        <w:rPr>
          <w:rFonts w:ascii="Times New Roman" w:hAnsi="Times New Roman" w:cs="Times New Roman"/>
          <w:sz w:val="24"/>
          <w:szCs w:val="24"/>
        </w:rPr>
      </w:pPr>
      <w:r>
        <w:rPr>
          <w:rFonts w:ascii="Times New Roman" w:hAnsi="Times New Roman" w:cs="Times New Roman"/>
          <w:b/>
          <w:bCs/>
          <w:sz w:val="20"/>
          <w:szCs w:val="20"/>
        </w:rPr>
        <w:t xml:space="preserve">FlightSafety </w:t>
      </w:r>
      <w:r>
        <w:rPr>
          <w:rFonts w:ascii="Times New Roman" w:hAnsi="Times New Roman" w:cs="Times New Roman"/>
          <w:sz w:val="20"/>
          <w:szCs w:val="20"/>
        </w:rPr>
        <w:t>. . . . . . . . . . . . . . . . . . . . . . . . . . . . . . . .</w:t>
      </w:r>
      <w:r>
        <w:rPr>
          <w:rFonts w:ascii="Times New Roman" w:hAnsi="Times New Roman" w:cs="Times New Roman"/>
          <w:sz w:val="24"/>
          <w:szCs w:val="24"/>
        </w:rPr>
        <w:tab/>
      </w:r>
      <w:r>
        <w:rPr>
          <w:rFonts w:ascii="Times New Roman" w:hAnsi="Times New Roman" w:cs="Times New Roman"/>
          <w:sz w:val="19"/>
          <w:szCs w:val="19"/>
        </w:rPr>
        <w:t>4,168</w:t>
      </w:r>
    </w:p>
    <w:p w:rsidR="00000000" w:rsidRDefault="00A06965">
      <w:pPr>
        <w:pStyle w:val="DefaultParagraphFont"/>
        <w:widowControl w:val="0"/>
        <w:tabs>
          <w:tab w:val="left" w:pos="4760"/>
        </w:tabs>
        <w:autoSpaceDE w:val="0"/>
        <w:autoSpaceDN w:val="0"/>
        <w:adjustRightInd w:val="0"/>
        <w:spacing w:after="0" w:line="225" w:lineRule="auto"/>
        <w:rPr>
          <w:rFonts w:ascii="Times New Roman" w:hAnsi="Times New Roman" w:cs="Times New Roman"/>
          <w:sz w:val="24"/>
          <w:szCs w:val="24"/>
        </w:rPr>
      </w:pPr>
      <w:r>
        <w:rPr>
          <w:rFonts w:ascii="Times New Roman" w:hAnsi="Times New Roman" w:cs="Times New Roman"/>
          <w:b/>
          <w:bCs/>
          <w:sz w:val="20"/>
          <w:szCs w:val="20"/>
        </w:rPr>
        <w:t xml:space="preserve">Forest River </w:t>
      </w:r>
      <w:r>
        <w:rPr>
          <w:rFonts w:ascii="Times New Roman" w:hAnsi="Times New Roman" w:cs="Times New Roman"/>
          <w:sz w:val="20"/>
          <w:szCs w:val="20"/>
        </w:rPr>
        <w:t>. . . . . . . . . . . . . . . . . . . . . . . . . . . . . . . .</w:t>
      </w:r>
      <w:r>
        <w:rPr>
          <w:rFonts w:ascii="Times New Roman" w:hAnsi="Times New Roman" w:cs="Times New Roman"/>
          <w:sz w:val="24"/>
          <w:szCs w:val="24"/>
        </w:rPr>
        <w:tab/>
      </w:r>
      <w:r>
        <w:rPr>
          <w:rFonts w:ascii="Times New Roman" w:hAnsi="Times New Roman" w:cs="Times New Roman"/>
          <w:sz w:val="19"/>
          <w:szCs w:val="19"/>
        </w:rPr>
        <w:t>9,788</w:t>
      </w:r>
    </w:p>
    <w:p w:rsidR="00000000" w:rsidRDefault="00A06965">
      <w:pPr>
        <w:pStyle w:val="DefaultParagraphFont"/>
        <w:widowControl w:val="0"/>
        <w:tabs>
          <w:tab w:val="left" w:pos="49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France </w:t>
      </w:r>
      <w:r>
        <w:rPr>
          <w:rFonts w:ascii="Times New Roman" w:hAnsi="Times New Roman" w:cs="Times New Roman"/>
          <w:b/>
          <w:bCs/>
          <w:sz w:val="26"/>
          <w:szCs w:val="26"/>
          <w:vertAlign w:val="superscript"/>
        </w:rPr>
        <w:t>(1)</w:t>
      </w:r>
      <w:r>
        <w:rPr>
          <w:rFonts w:ascii="Times New Roman" w:hAnsi="Times New Roman" w:cs="Times New Roman"/>
          <w:b/>
          <w:bCs/>
          <w:sz w:val="20"/>
          <w:szCs w:val="20"/>
        </w:rPr>
        <w:t xml:space="preserve"> </w:t>
      </w:r>
      <w:r>
        <w:rPr>
          <w:rFonts w:ascii="Times New Roman" w:hAnsi="Times New Roman" w:cs="Times New Roman"/>
          <w:sz w:val="20"/>
          <w:szCs w:val="20"/>
        </w:rPr>
        <w:t>. . . . . . . . . . . . . . . . . . . . . . . . . . . . . . . . . . .</w:t>
      </w:r>
      <w:r>
        <w:rPr>
          <w:rFonts w:ascii="Times New Roman" w:hAnsi="Times New Roman" w:cs="Times New Roman"/>
          <w:sz w:val="24"/>
          <w:szCs w:val="24"/>
        </w:rPr>
        <w:tab/>
      </w:r>
      <w:r>
        <w:rPr>
          <w:rFonts w:ascii="Times New Roman" w:hAnsi="Times New Roman" w:cs="Times New Roman"/>
          <w:sz w:val="20"/>
          <w:szCs w:val="20"/>
        </w:rPr>
        <w:t>149</w:t>
      </w:r>
    </w:p>
    <w:p w:rsidR="00000000" w:rsidRDefault="00A06965">
      <w:pPr>
        <w:pStyle w:val="DefaultParagraphFont"/>
        <w:widowControl w:val="0"/>
        <w:autoSpaceDE w:val="0"/>
        <w:autoSpaceDN w:val="0"/>
        <w:adjustRightInd w:val="0"/>
        <w:spacing w:after="0" w:line="187" w:lineRule="auto"/>
        <w:rPr>
          <w:rFonts w:ascii="Times New Roman" w:hAnsi="Times New Roman" w:cs="Times New Roman"/>
          <w:sz w:val="24"/>
          <w:szCs w:val="24"/>
        </w:rPr>
      </w:pPr>
      <w:r>
        <w:rPr>
          <w:rFonts w:ascii="Times New Roman" w:hAnsi="Times New Roman" w:cs="Times New Roman"/>
          <w:b/>
          <w:bCs/>
          <w:sz w:val="18"/>
          <w:szCs w:val="18"/>
        </w:rPr>
        <w:t xml:space="preserve">Fruit of the Loom </w:t>
      </w:r>
      <w:r>
        <w:rPr>
          <w:rFonts w:ascii="Times New Roman" w:hAnsi="Times New Roman" w:cs="Times New Roman"/>
          <w:b/>
          <w:bCs/>
          <w:sz w:val="23"/>
          <w:szCs w:val="23"/>
          <w:vertAlign w:val="superscript"/>
        </w:rPr>
        <w:t>(3)</w:t>
      </w:r>
      <w:r>
        <w:rPr>
          <w:rFonts w:ascii="Times New Roman" w:hAnsi="Times New Roman" w:cs="Times New Roman"/>
          <w:b/>
          <w:bCs/>
          <w:sz w:val="18"/>
          <w:szCs w:val="18"/>
        </w:rPr>
        <w:t xml:space="preserve">  </w:t>
      </w:r>
      <w:r>
        <w:rPr>
          <w:rFonts w:ascii="Times New Roman" w:hAnsi="Times New Roman" w:cs="Times New Roman"/>
          <w:sz w:val="18"/>
          <w:szCs w:val="18"/>
        </w:rPr>
        <w:t>. . . . . . . . . . . . . . . . . . . . . . . . .    27,846</w:t>
      </w:r>
    </w:p>
    <w:p w:rsidR="00000000" w:rsidRDefault="00A06965">
      <w:pPr>
        <w:pStyle w:val="DefaultParagraphFont"/>
        <w:widowControl w:val="0"/>
        <w:tabs>
          <w:tab w:val="left" w:pos="4760"/>
        </w:tabs>
        <w:autoSpaceDE w:val="0"/>
        <w:autoSpaceDN w:val="0"/>
        <w:adjustRightInd w:val="0"/>
        <w:spacing w:after="0" w:line="199" w:lineRule="auto"/>
        <w:rPr>
          <w:rFonts w:ascii="Times New Roman" w:hAnsi="Times New Roman" w:cs="Times New Roman"/>
          <w:sz w:val="24"/>
          <w:szCs w:val="24"/>
        </w:rPr>
      </w:pPr>
      <w:r>
        <w:rPr>
          <w:rFonts w:ascii="Times New Roman" w:hAnsi="Times New Roman" w:cs="Times New Roman"/>
          <w:b/>
          <w:bCs/>
          <w:sz w:val="20"/>
          <w:szCs w:val="20"/>
        </w:rPr>
        <w:t>Garan</w:t>
      </w:r>
      <w:r>
        <w:rPr>
          <w:rFonts w:ascii="Times New Roman" w:hAnsi="Times New Roman" w:cs="Times New Roman"/>
          <w:b/>
          <w:bCs/>
          <w:sz w:val="20"/>
          <w:szCs w:val="20"/>
        </w:rPr>
        <w:t xml:space="preserve"> </w:t>
      </w:r>
      <w:r>
        <w:rPr>
          <w:rFonts w:ascii="Times New Roman" w:hAnsi="Times New Roman" w:cs="Times New Roman"/>
          <w:sz w:val="20"/>
          <w:szCs w:val="20"/>
        </w:rPr>
        <w:t>. . . . . . . . . . . . . . . . . . . . . . . . . . . . . . . . . . . . .</w:t>
      </w:r>
      <w:r>
        <w:rPr>
          <w:rFonts w:ascii="Times New Roman" w:hAnsi="Times New Roman" w:cs="Times New Roman"/>
          <w:sz w:val="24"/>
          <w:szCs w:val="24"/>
        </w:rPr>
        <w:tab/>
      </w:r>
      <w:r>
        <w:rPr>
          <w:rFonts w:ascii="Times New Roman" w:hAnsi="Times New Roman" w:cs="Times New Roman"/>
          <w:sz w:val="19"/>
          <w:szCs w:val="19"/>
        </w:rPr>
        <w:t>3,875</w:t>
      </w:r>
    </w:p>
    <w:p w:rsidR="00000000" w:rsidRDefault="00A06965">
      <w:pPr>
        <w:pStyle w:val="DefaultParagraphFont"/>
        <w:widowControl w:val="0"/>
        <w:tabs>
          <w:tab w:val="left" w:pos="4760"/>
        </w:tabs>
        <w:autoSpaceDE w:val="0"/>
        <w:autoSpaceDN w:val="0"/>
        <w:adjustRightInd w:val="0"/>
        <w:spacing w:after="0" w:line="224" w:lineRule="auto"/>
        <w:rPr>
          <w:rFonts w:ascii="Times New Roman" w:hAnsi="Times New Roman" w:cs="Times New Roman"/>
          <w:sz w:val="24"/>
          <w:szCs w:val="24"/>
        </w:rPr>
      </w:pPr>
      <w:r>
        <w:rPr>
          <w:rFonts w:ascii="Times New Roman" w:hAnsi="Times New Roman" w:cs="Times New Roman"/>
          <w:b/>
          <w:bCs/>
          <w:sz w:val="20"/>
          <w:szCs w:val="20"/>
        </w:rPr>
        <w:t xml:space="preserve">H. H. Brown Shoe Group </w:t>
      </w:r>
      <w:r>
        <w:rPr>
          <w:rFonts w:ascii="Times New Roman" w:hAnsi="Times New Roman" w:cs="Times New Roman"/>
          <w:sz w:val="20"/>
          <w:szCs w:val="20"/>
        </w:rPr>
        <w:t>. . . . . . . . . . . . . . . . . . . . .</w:t>
      </w:r>
      <w:r>
        <w:rPr>
          <w:rFonts w:ascii="Times New Roman" w:hAnsi="Times New Roman" w:cs="Times New Roman"/>
          <w:sz w:val="24"/>
          <w:szCs w:val="24"/>
        </w:rPr>
        <w:tab/>
      </w:r>
      <w:r>
        <w:rPr>
          <w:rFonts w:ascii="Times New Roman" w:hAnsi="Times New Roman" w:cs="Times New Roman"/>
          <w:sz w:val="19"/>
          <w:szCs w:val="19"/>
        </w:rPr>
        <w:t>1,140</w:t>
      </w:r>
    </w:p>
    <w:p w:rsidR="00000000" w:rsidRDefault="00A06965">
      <w:pPr>
        <w:pStyle w:val="DefaultParagraphFont"/>
        <w:widowControl w:val="0"/>
        <w:tabs>
          <w:tab w:val="left" w:pos="50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Halex </w:t>
      </w:r>
      <w:r>
        <w:rPr>
          <w:rFonts w:ascii="Times New Roman" w:hAnsi="Times New Roman" w:cs="Times New Roman"/>
          <w:b/>
          <w:bCs/>
          <w:sz w:val="26"/>
          <w:szCs w:val="26"/>
          <w:vertAlign w:val="superscript"/>
        </w:rPr>
        <w:t>(1)</w:t>
      </w:r>
      <w:r>
        <w:rPr>
          <w:rFonts w:ascii="Times New Roman" w:hAnsi="Times New Roman" w:cs="Times New Roman"/>
          <w:b/>
          <w:bCs/>
          <w:sz w:val="20"/>
          <w:szCs w:val="20"/>
        </w:rPr>
        <w:t xml:space="preserve">  </w:t>
      </w:r>
      <w:r>
        <w:rPr>
          <w:rFonts w:ascii="Times New Roman" w:hAnsi="Times New Roman" w:cs="Times New Roman"/>
          <w:sz w:val="20"/>
          <w:szCs w:val="20"/>
        </w:rPr>
        <w:t>. . . . . . . . . . . . . . . . . . . . . . . . . . . . . . . . . . .</w:t>
      </w:r>
      <w:r>
        <w:rPr>
          <w:rFonts w:ascii="Times New Roman" w:hAnsi="Times New Roman" w:cs="Times New Roman"/>
          <w:sz w:val="24"/>
          <w:szCs w:val="24"/>
        </w:rPr>
        <w:tab/>
      </w:r>
      <w:r>
        <w:rPr>
          <w:rFonts w:ascii="Times New Roman" w:hAnsi="Times New Roman" w:cs="Times New Roman"/>
          <w:sz w:val="20"/>
          <w:szCs w:val="20"/>
        </w:rPr>
        <w:t>74</w:t>
      </w:r>
    </w:p>
    <w:p w:rsidR="00000000" w:rsidRDefault="00A06965">
      <w:pPr>
        <w:pStyle w:val="DefaultParagraphFont"/>
        <w:widowControl w:val="0"/>
        <w:autoSpaceDE w:val="0"/>
        <w:autoSpaceDN w:val="0"/>
        <w:adjustRightInd w:val="0"/>
        <w:spacing w:after="0" w:line="191" w:lineRule="auto"/>
        <w:rPr>
          <w:rFonts w:ascii="Times New Roman" w:hAnsi="Times New Roman" w:cs="Times New Roman"/>
          <w:sz w:val="24"/>
          <w:szCs w:val="24"/>
        </w:rPr>
      </w:pPr>
      <w:r>
        <w:rPr>
          <w:rFonts w:ascii="Times New Roman" w:hAnsi="Times New Roman" w:cs="Times New Roman"/>
          <w:b/>
          <w:bCs/>
          <w:sz w:val="20"/>
          <w:szCs w:val="20"/>
        </w:rPr>
        <w:t xml:space="preserve">Heinz  </w:t>
      </w:r>
      <w:r>
        <w:rPr>
          <w:rFonts w:ascii="Times New Roman" w:hAnsi="Times New Roman" w:cs="Times New Roman"/>
          <w:sz w:val="20"/>
          <w:szCs w:val="20"/>
        </w:rPr>
        <w:t>. . . . . . .</w:t>
      </w:r>
      <w:r>
        <w:rPr>
          <w:rFonts w:ascii="Times New Roman" w:hAnsi="Times New Roman" w:cs="Times New Roman"/>
          <w:sz w:val="20"/>
          <w:szCs w:val="20"/>
        </w:rPr>
        <w:t xml:space="preserve"> . . . . . . . . . . . . . . . . . . . . . . . . . . . . . .    24,500</w:t>
      </w:r>
    </w:p>
    <w:p w:rsidR="00000000" w:rsidRDefault="00A06965">
      <w:pPr>
        <w:pStyle w:val="DefaultParagraphFont"/>
        <w:widowControl w:val="0"/>
        <w:tabs>
          <w:tab w:val="left" w:pos="4760"/>
        </w:tabs>
        <w:autoSpaceDE w:val="0"/>
        <w:autoSpaceDN w:val="0"/>
        <w:adjustRightInd w:val="0"/>
        <w:spacing w:after="0" w:line="224" w:lineRule="auto"/>
        <w:rPr>
          <w:rFonts w:ascii="Times New Roman" w:hAnsi="Times New Roman" w:cs="Times New Roman"/>
          <w:sz w:val="24"/>
          <w:szCs w:val="24"/>
        </w:rPr>
      </w:pPr>
      <w:r>
        <w:rPr>
          <w:rFonts w:ascii="Times New Roman" w:hAnsi="Times New Roman" w:cs="Times New Roman"/>
          <w:b/>
          <w:bCs/>
          <w:sz w:val="20"/>
          <w:szCs w:val="20"/>
        </w:rPr>
        <w:t xml:space="preserve">Helzberg Diamonds </w:t>
      </w:r>
      <w:r>
        <w:rPr>
          <w:rFonts w:ascii="Times New Roman" w:hAnsi="Times New Roman" w:cs="Times New Roman"/>
          <w:sz w:val="20"/>
          <w:szCs w:val="20"/>
        </w:rPr>
        <w:t>. . . . . . . . . . . . . . . . . . . . . . . . . .</w:t>
      </w:r>
      <w:r>
        <w:rPr>
          <w:rFonts w:ascii="Times New Roman" w:hAnsi="Times New Roman" w:cs="Times New Roman"/>
          <w:sz w:val="24"/>
          <w:szCs w:val="24"/>
        </w:rPr>
        <w:tab/>
      </w:r>
      <w:r>
        <w:rPr>
          <w:rFonts w:ascii="Times New Roman" w:hAnsi="Times New Roman" w:cs="Times New Roman"/>
          <w:sz w:val="19"/>
          <w:szCs w:val="19"/>
        </w:rPr>
        <w:t>2,305</w:t>
      </w:r>
    </w:p>
    <w:p w:rsidR="00000000" w:rsidRDefault="00A06965">
      <w:pPr>
        <w:pStyle w:val="DefaultParagraphFont"/>
        <w:widowControl w:val="0"/>
        <w:tabs>
          <w:tab w:val="left" w:pos="476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0"/>
          <w:szCs w:val="20"/>
        </w:rPr>
        <w:t xml:space="preserve">HomeServices of America </w:t>
      </w:r>
      <w:r>
        <w:rPr>
          <w:rFonts w:ascii="Times New Roman" w:hAnsi="Times New Roman" w:cs="Times New Roman"/>
          <w:b/>
          <w:bCs/>
          <w:sz w:val="26"/>
          <w:szCs w:val="26"/>
          <w:vertAlign w:val="superscript"/>
        </w:rPr>
        <w:t>(2)</w:t>
      </w:r>
      <w:r>
        <w:rPr>
          <w:rFonts w:ascii="Times New Roman" w:hAnsi="Times New Roman" w:cs="Times New Roman"/>
          <w:b/>
          <w:bCs/>
          <w:sz w:val="20"/>
          <w:szCs w:val="20"/>
        </w:rPr>
        <w:t xml:space="preserve">  </w:t>
      </w:r>
      <w:r>
        <w:rPr>
          <w:rFonts w:ascii="Times New Roman" w:hAnsi="Times New Roman" w:cs="Times New Roman"/>
          <w:sz w:val="20"/>
          <w:szCs w:val="20"/>
        </w:rPr>
        <w:t>. . . . . . . . . . . . . . . . . .</w:t>
      </w:r>
      <w:r>
        <w:rPr>
          <w:rFonts w:ascii="Times New Roman" w:hAnsi="Times New Roman" w:cs="Times New Roman"/>
          <w:sz w:val="24"/>
          <w:szCs w:val="24"/>
        </w:rPr>
        <w:tab/>
      </w:r>
      <w:r>
        <w:rPr>
          <w:rFonts w:ascii="Times" w:hAnsi="Times" w:cs="Times"/>
          <w:sz w:val="19"/>
          <w:szCs w:val="19"/>
        </w:rPr>
        <w:t>4,078</w:t>
      </w:r>
    </w:p>
    <w:p w:rsidR="00000000" w:rsidRDefault="00A06965">
      <w:pPr>
        <w:pStyle w:val="DefaultParagraphFont"/>
        <w:widowControl w:val="0"/>
        <w:tabs>
          <w:tab w:val="left" w:pos="5000"/>
        </w:tabs>
        <w:autoSpaceDE w:val="0"/>
        <w:autoSpaceDN w:val="0"/>
        <w:adjustRightInd w:val="0"/>
        <w:spacing w:after="0" w:line="190" w:lineRule="auto"/>
        <w:rPr>
          <w:rFonts w:ascii="Times New Roman" w:hAnsi="Times New Roman" w:cs="Times New Roman"/>
          <w:sz w:val="24"/>
          <w:szCs w:val="24"/>
        </w:rPr>
      </w:pPr>
      <w:r>
        <w:rPr>
          <w:rFonts w:ascii="Times New Roman" w:hAnsi="Times New Roman" w:cs="Times New Roman"/>
          <w:b/>
          <w:bCs/>
          <w:sz w:val="20"/>
          <w:szCs w:val="20"/>
        </w:rPr>
        <w:t xml:space="preserve">Intelligent Energy Solutions </w:t>
      </w:r>
      <w:r>
        <w:rPr>
          <w:rFonts w:ascii="Times New Roman" w:hAnsi="Times New Roman" w:cs="Times New Roman"/>
          <w:b/>
          <w:bCs/>
          <w:sz w:val="26"/>
          <w:szCs w:val="26"/>
          <w:vertAlign w:val="superscript"/>
        </w:rPr>
        <w:t>(2)</w:t>
      </w:r>
      <w:r>
        <w:rPr>
          <w:rFonts w:ascii="Times New Roman" w:hAnsi="Times New Roman" w:cs="Times New Roman"/>
          <w:b/>
          <w:bCs/>
          <w:sz w:val="20"/>
          <w:szCs w:val="20"/>
        </w:rPr>
        <w:t xml:space="preserve"> </w:t>
      </w:r>
      <w:r>
        <w:rPr>
          <w:rFonts w:ascii="Times New Roman" w:hAnsi="Times New Roman" w:cs="Times New Roman"/>
          <w:sz w:val="20"/>
          <w:szCs w:val="20"/>
        </w:rPr>
        <w:t>. . . . . . . . . . . . . . . . .</w:t>
      </w:r>
      <w:r>
        <w:rPr>
          <w:rFonts w:ascii="Times New Roman" w:hAnsi="Times New Roman" w:cs="Times New Roman"/>
          <w:sz w:val="24"/>
          <w:szCs w:val="24"/>
        </w:rPr>
        <w:tab/>
      </w:r>
      <w:r>
        <w:rPr>
          <w:rFonts w:ascii="Times" w:hAnsi="Times" w:cs="Times"/>
          <w:sz w:val="20"/>
          <w:szCs w:val="20"/>
        </w:rPr>
        <w:t>17</w:t>
      </w:r>
    </w:p>
    <w:p w:rsidR="00000000" w:rsidRDefault="00A06965">
      <w:pPr>
        <w:pStyle w:val="DefaultParagraphFont"/>
        <w:widowControl w:val="0"/>
        <w:autoSpaceDE w:val="0"/>
        <w:autoSpaceDN w:val="0"/>
        <w:adjustRightInd w:val="0"/>
        <w:spacing w:after="0" w:line="15" w:lineRule="exact"/>
        <w:rPr>
          <w:rFonts w:ascii="Times New Roman" w:hAnsi="Times New Roman" w:cs="Times New Roman"/>
          <w:sz w:val="24"/>
          <w:szCs w:val="24"/>
        </w:rPr>
      </w:pPr>
      <w:r>
        <w:rPr>
          <w:noProof/>
        </w:rPr>
        <mc:AlternateContent>
          <mc:Choice Requires="wps">
            <w:drawing>
              <wp:anchor distT="0" distB="0" distL="114300" distR="114300" simplePos="0" relativeHeight="251722752" behindDoc="1" locked="0" layoutInCell="0" allowOverlap="1">
                <wp:simplePos x="0" y="0"/>
                <wp:positionH relativeFrom="column">
                  <wp:posOffset>0</wp:posOffset>
                </wp:positionH>
                <wp:positionV relativeFrom="paragraph">
                  <wp:posOffset>825500</wp:posOffset>
                </wp:positionV>
                <wp:extent cx="1841500" cy="0"/>
                <wp:effectExtent l="0" t="0" r="0" b="0"/>
                <wp:wrapNone/>
                <wp:docPr id="7"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5pt" to="1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" o:allowincell="f" strokeweight="1pt"/>
            </w:pict>
          </mc:Fallback>
        </mc:AlternateContent>
      </w:r>
      <w:r>
        <w:rPr>
          <w:rFonts w:ascii="Times New Roman" w:hAnsi="Times New Roman" w:cs="Times New Roman"/>
          <w:sz w:val="24"/>
          <w:szCs w:val="24"/>
        </w:rPr>
        <w:br w:type="column"/>
      </w:r>
    </w:p>
    <w:p w:rsidR="00000000" w:rsidRDefault="00A06965">
      <w:pPr>
        <w:pStyle w:val="DefaultParagraphFont"/>
        <w:widowControl w:val="0"/>
        <w:tabs>
          <w:tab w:val="left" w:pos="450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 xml:space="preserve">Iscar </w:t>
      </w:r>
      <w:r>
        <w:rPr>
          <w:rFonts w:ascii="Times New Roman" w:hAnsi="Times New Roman" w:cs="Times New Roman"/>
          <w:sz w:val="20"/>
          <w:szCs w:val="20"/>
        </w:rPr>
        <w:t>. . . . . . . . . . . . . . . . . . . . . . . . . . . . . . . . . . . .</w:t>
      </w:r>
      <w:r>
        <w:rPr>
          <w:rFonts w:ascii="Times New Roman" w:hAnsi="Times New Roman" w:cs="Times New Roman"/>
          <w:sz w:val="24"/>
          <w:szCs w:val="24"/>
        </w:rPr>
        <w:tab/>
      </w:r>
      <w:r>
        <w:rPr>
          <w:rFonts w:ascii="Times New Roman" w:hAnsi="Times New Roman" w:cs="Times New Roman"/>
          <w:sz w:val="20"/>
          <w:szCs w:val="20"/>
        </w:rPr>
        <w:t>12,423</w:t>
      </w:r>
    </w:p>
    <w:p w:rsidR="00000000" w:rsidRDefault="00A06965">
      <w:pPr>
        <w:pStyle w:val="DefaultParagraphFont"/>
        <w:widowControl w:val="0"/>
        <w:tabs>
          <w:tab w:val="left" w:pos="46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Johns Manville  </w:t>
      </w:r>
      <w:r>
        <w:rPr>
          <w:rFonts w:ascii="Times New Roman" w:hAnsi="Times New Roman" w:cs="Times New Roman"/>
          <w:sz w:val="20"/>
          <w:szCs w:val="20"/>
        </w:rPr>
        <w:t>. . . . . . . . . . . . . . . . . . . . . . . . . . .</w:t>
      </w:r>
      <w:r>
        <w:rPr>
          <w:rFonts w:ascii="Times New Roman" w:hAnsi="Times New Roman" w:cs="Times New Roman"/>
          <w:sz w:val="24"/>
          <w:szCs w:val="24"/>
        </w:rPr>
        <w:tab/>
      </w:r>
      <w:r>
        <w:rPr>
          <w:rFonts w:ascii="Times New Roman" w:hAnsi="Times New Roman" w:cs="Times New Roman"/>
          <w:sz w:val="20"/>
          <w:szCs w:val="20"/>
        </w:rPr>
        <w:t>6,852</w:t>
      </w:r>
    </w:p>
    <w:p w:rsidR="00000000" w:rsidRDefault="00A06965">
      <w:pPr>
        <w:pStyle w:val="DefaultParagraphFont"/>
        <w:widowControl w:val="0"/>
        <w:tabs>
          <w:tab w:val="left" w:pos="476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Jordan’s Furniture </w:t>
      </w:r>
      <w:r>
        <w:rPr>
          <w:rFonts w:ascii="Times New Roman" w:hAnsi="Times New Roman" w:cs="Times New Roman"/>
          <w:sz w:val="20"/>
          <w:szCs w:val="20"/>
        </w:rPr>
        <w:t xml:space="preserve">. . . . . . . . . . . . . . . . . . </w:t>
      </w:r>
      <w:r>
        <w:rPr>
          <w:rFonts w:ascii="Times New Roman" w:hAnsi="Times New Roman" w:cs="Times New Roman"/>
          <w:sz w:val="20"/>
          <w:szCs w:val="20"/>
        </w:rPr>
        <w:t>. . . . . .</w:t>
      </w:r>
      <w:r>
        <w:rPr>
          <w:rFonts w:ascii="Times New Roman" w:hAnsi="Times New Roman" w:cs="Times New Roman"/>
          <w:sz w:val="24"/>
          <w:szCs w:val="24"/>
        </w:rPr>
        <w:tab/>
      </w:r>
      <w:r>
        <w:rPr>
          <w:rFonts w:ascii="Times New Roman" w:hAnsi="Times New Roman" w:cs="Times New Roman"/>
          <w:sz w:val="20"/>
          <w:szCs w:val="20"/>
        </w:rPr>
        <w:t>937</w:t>
      </w:r>
    </w:p>
    <w:p w:rsidR="00000000" w:rsidRDefault="00A06965">
      <w:pPr>
        <w:pStyle w:val="DefaultParagraphFont"/>
        <w:widowControl w:val="0"/>
        <w:tabs>
          <w:tab w:val="left" w:pos="46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Justin Brands </w:t>
      </w:r>
      <w:r>
        <w:rPr>
          <w:rFonts w:ascii="Times New Roman" w:hAnsi="Times New Roman" w:cs="Times New Roman"/>
          <w:sz w:val="20"/>
          <w:szCs w:val="20"/>
        </w:rPr>
        <w:t>. . . . . . . . . . . . . . . . . . . . . . . . . . . . .</w:t>
      </w:r>
      <w:r>
        <w:rPr>
          <w:rFonts w:ascii="Times New Roman" w:hAnsi="Times New Roman" w:cs="Times New Roman"/>
          <w:sz w:val="24"/>
          <w:szCs w:val="24"/>
        </w:rPr>
        <w:tab/>
      </w:r>
      <w:r>
        <w:rPr>
          <w:rFonts w:ascii="Times New Roman" w:hAnsi="Times New Roman" w:cs="Times New Roman"/>
          <w:sz w:val="20"/>
          <w:szCs w:val="20"/>
        </w:rPr>
        <w:t>1,085</w:t>
      </w:r>
    </w:p>
    <w:p w:rsidR="00000000" w:rsidRDefault="00A06965">
      <w:pPr>
        <w:pStyle w:val="DefaultParagraphFont"/>
        <w:widowControl w:val="0"/>
        <w:tabs>
          <w:tab w:val="left" w:pos="476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Kern River Gas </w:t>
      </w:r>
      <w:r>
        <w:rPr>
          <w:rFonts w:ascii="Times New Roman" w:hAnsi="Times New Roman" w:cs="Times New Roman"/>
          <w:b/>
          <w:bCs/>
          <w:sz w:val="26"/>
          <w:szCs w:val="26"/>
          <w:vertAlign w:val="superscript"/>
        </w:rPr>
        <w:t>(2)</w:t>
      </w:r>
      <w:r>
        <w:rPr>
          <w:rFonts w:ascii="Times New Roman" w:hAnsi="Times New Roman" w:cs="Times New Roman"/>
          <w:b/>
          <w:bCs/>
          <w:sz w:val="20"/>
          <w:szCs w:val="20"/>
        </w:rPr>
        <w:t xml:space="preserve">  </w:t>
      </w:r>
      <w:r>
        <w:rPr>
          <w:rFonts w:ascii="Times New Roman" w:hAnsi="Times New Roman" w:cs="Times New Roman"/>
          <w:sz w:val="20"/>
          <w:szCs w:val="20"/>
        </w:rPr>
        <w:t>. . . . . . . . . . . . . . . . . . . . . . . . .</w:t>
      </w:r>
      <w:r>
        <w:rPr>
          <w:rFonts w:ascii="Times New Roman" w:hAnsi="Times New Roman" w:cs="Times New Roman"/>
          <w:sz w:val="24"/>
          <w:szCs w:val="24"/>
        </w:rPr>
        <w:tab/>
      </w:r>
      <w:r>
        <w:rPr>
          <w:rFonts w:ascii="Times New Roman" w:hAnsi="Times New Roman" w:cs="Times New Roman"/>
          <w:sz w:val="20"/>
          <w:szCs w:val="20"/>
        </w:rPr>
        <w:t>155</w:t>
      </w:r>
    </w:p>
    <w:p w:rsidR="00000000" w:rsidRDefault="00A06965">
      <w:pPr>
        <w:pStyle w:val="DefaultParagraphFont"/>
        <w:widowControl w:val="0"/>
        <w:tabs>
          <w:tab w:val="left" w:pos="476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18"/>
          <w:szCs w:val="18"/>
        </w:rPr>
        <w:t xml:space="preserve">Kirby </w:t>
      </w:r>
      <w:r>
        <w:rPr>
          <w:rFonts w:ascii="Times New Roman" w:hAnsi="Times New Roman" w:cs="Times New Roman"/>
          <w:b/>
          <w:bCs/>
          <w:sz w:val="23"/>
          <w:szCs w:val="23"/>
          <w:vertAlign w:val="superscript"/>
        </w:rPr>
        <w:t>(1)</w:t>
      </w:r>
      <w:r>
        <w:rPr>
          <w:rFonts w:ascii="Times New Roman" w:hAnsi="Times New Roman" w:cs="Times New Roman"/>
          <w:b/>
          <w:bCs/>
          <w:sz w:val="18"/>
          <w:szCs w:val="18"/>
        </w:rPr>
        <w:t xml:space="preserve"> </w:t>
      </w:r>
      <w:r>
        <w:rPr>
          <w:rFonts w:ascii="Times New Roman" w:hAnsi="Times New Roman" w:cs="Times New Roman"/>
          <w:sz w:val="18"/>
          <w:szCs w:val="18"/>
        </w:rPr>
        <w:t>. . . . . . . . . . . . . . . . . . . . . . . . . . . . . . . . . .</w:t>
      </w:r>
      <w:r>
        <w:rPr>
          <w:rFonts w:ascii="Times New Roman" w:hAnsi="Times New Roman" w:cs="Times New Roman"/>
          <w:sz w:val="24"/>
          <w:szCs w:val="24"/>
        </w:rPr>
        <w:tab/>
      </w:r>
      <w:r>
        <w:rPr>
          <w:rFonts w:ascii="Times New Roman" w:hAnsi="Times New Roman" w:cs="Times New Roman"/>
          <w:sz w:val="20"/>
          <w:szCs w:val="20"/>
        </w:rPr>
        <w:t>494</w:t>
      </w:r>
    </w:p>
    <w:p w:rsidR="00000000" w:rsidRDefault="00A06965">
      <w:pPr>
        <w:pStyle w:val="DefaultParagraphFont"/>
        <w:widowControl w:val="0"/>
        <w:tabs>
          <w:tab w:val="left" w:pos="46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20"/>
          <w:szCs w:val="20"/>
        </w:rPr>
        <w:t>Larson</w:t>
      </w:r>
      <w:r>
        <w:rPr>
          <w:rFonts w:ascii="Times New Roman" w:hAnsi="Times New Roman" w:cs="Times New Roman"/>
          <w:b/>
          <w:bCs/>
          <w:sz w:val="20"/>
          <w:szCs w:val="20"/>
        </w:rPr>
        <w:t xml:space="preserve">-Juhl </w:t>
      </w:r>
      <w:r>
        <w:rPr>
          <w:rFonts w:ascii="Times New Roman" w:hAnsi="Times New Roman" w:cs="Times New Roman"/>
          <w:sz w:val="20"/>
          <w:szCs w:val="20"/>
        </w:rPr>
        <w:t>. . . . . . . . . . . . . . . . . . . . . . . . . . . . . .</w:t>
      </w:r>
      <w:r>
        <w:rPr>
          <w:rFonts w:ascii="Times New Roman" w:hAnsi="Times New Roman" w:cs="Times New Roman"/>
          <w:sz w:val="24"/>
          <w:szCs w:val="24"/>
        </w:rPr>
        <w:tab/>
      </w:r>
      <w:r>
        <w:rPr>
          <w:rFonts w:ascii="Times New Roman" w:hAnsi="Times New Roman" w:cs="Times New Roman"/>
          <w:sz w:val="20"/>
          <w:szCs w:val="20"/>
        </w:rPr>
        <w:t>1,394</w:t>
      </w:r>
    </w:p>
    <w:p w:rsidR="00000000" w:rsidRDefault="00A06965">
      <w:pPr>
        <w:pStyle w:val="DefaultParagraphFont"/>
        <w:widowControl w:val="0"/>
        <w:tabs>
          <w:tab w:val="left" w:pos="46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Lubrizol </w:t>
      </w:r>
      <w:r>
        <w:rPr>
          <w:rFonts w:ascii="Times New Roman" w:hAnsi="Times New Roman" w:cs="Times New Roman"/>
          <w:sz w:val="20"/>
          <w:szCs w:val="20"/>
        </w:rPr>
        <w:t>. . . . . . . . . . . . . . . . . . . . . . . . . . . . . . . . .</w:t>
      </w:r>
      <w:r>
        <w:rPr>
          <w:rFonts w:ascii="Times New Roman" w:hAnsi="Times New Roman" w:cs="Times New Roman"/>
          <w:sz w:val="24"/>
          <w:szCs w:val="24"/>
        </w:rPr>
        <w:tab/>
      </w:r>
      <w:r>
        <w:rPr>
          <w:rFonts w:ascii="Times New Roman" w:hAnsi="Times New Roman" w:cs="Times New Roman"/>
          <w:sz w:val="20"/>
          <w:szCs w:val="20"/>
        </w:rPr>
        <w:t>7,865</w:t>
      </w:r>
    </w:p>
    <w:p w:rsidR="00000000" w:rsidRDefault="00A06965">
      <w:pPr>
        <w:pStyle w:val="DefaultParagraphFont"/>
        <w:widowControl w:val="0"/>
        <w:tabs>
          <w:tab w:val="left" w:pos="476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Lubrizol Specialty Products, Inc. </w:t>
      </w:r>
      <w:r>
        <w:rPr>
          <w:rFonts w:ascii="Times New Roman" w:hAnsi="Times New Roman" w:cs="Times New Roman"/>
          <w:sz w:val="20"/>
          <w:szCs w:val="20"/>
        </w:rPr>
        <w:t>. . . . . . . . . . . .</w:t>
      </w:r>
      <w:r>
        <w:rPr>
          <w:rFonts w:ascii="Times New Roman" w:hAnsi="Times New Roman" w:cs="Times New Roman"/>
          <w:sz w:val="24"/>
          <w:szCs w:val="24"/>
        </w:rPr>
        <w:tab/>
      </w:r>
      <w:r>
        <w:rPr>
          <w:rFonts w:ascii="Times New Roman" w:hAnsi="Times New Roman" w:cs="Times New Roman"/>
          <w:sz w:val="20"/>
          <w:szCs w:val="20"/>
        </w:rPr>
        <w:t>151</w:t>
      </w:r>
    </w:p>
    <w:p w:rsidR="00000000" w:rsidRDefault="00A06965">
      <w:pPr>
        <w:pStyle w:val="DefaultParagraphFont"/>
        <w:widowControl w:val="0"/>
        <w:tabs>
          <w:tab w:val="left" w:pos="45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The Marmon Group </w:t>
      </w:r>
      <w:r>
        <w:rPr>
          <w:rFonts w:ascii="Times New Roman" w:hAnsi="Times New Roman" w:cs="Times New Roman"/>
          <w:b/>
          <w:bCs/>
          <w:sz w:val="26"/>
          <w:szCs w:val="26"/>
          <w:vertAlign w:val="superscript"/>
        </w:rPr>
        <w:t>(4)</w:t>
      </w:r>
      <w:r>
        <w:rPr>
          <w:rFonts w:ascii="Times New Roman" w:hAnsi="Times New Roman" w:cs="Times New Roman"/>
          <w:b/>
          <w:bCs/>
          <w:sz w:val="20"/>
          <w:szCs w:val="20"/>
        </w:rPr>
        <w:t xml:space="preserve">  </w:t>
      </w:r>
      <w:r>
        <w:rPr>
          <w:rFonts w:ascii="Times New Roman" w:hAnsi="Times New Roman" w:cs="Times New Roman"/>
          <w:sz w:val="20"/>
          <w:szCs w:val="20"/>
        </w:rPr>
        <w:t>. . . . . . . . . . . . . . . . . . . . .</w:t>
      </w:r>
      <w:r>
        <w:rPr>
          <w:rFonts w:ascii="Times New Roman" w:hAnsi="Times New Roman" w:cs="Times New Roman"/>
          <w:sz w:val="24"/>
          <w:szCs w:val="24"/>
        </w:rPr>
        <w:tab/>
      </w:r>
      <w:r>
        <w:rPr>
          <w:rFonts w:ascii="Times New Roman" w:hAnsi="Times New Roman" w:cs="Times New Roman"/>
          <w:sz w:val="20"/>
          <w:szCs w:val="20"/>
        </w:rPr>
        <w:t>19,906</w:t>
      </w:r>
    </w:p>
    <w:p w:rsidR="00000000" w:rsidRDefault="00A06965">
      <w:pPr>
        <w:pStyle w:val="DefaultParagraphFont"/>
        <w:widowControl w:val="0"/>
        <w:tabs>
          <w:tab w:val="left" w:pos="45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20"/>
          <w:szCs w:val="20"/>
        </w:rPr>
        <w:t xml:space="preserve">McLane Company </w:t>
      </w:r>
      <w:r>
        <w:rPr>
          <w:rFonts w:ascii="Times New Roman" w:hAnsi="Times New Roman" w:cs="Times New Roman"/>
          <w:sz w:val="20"/>
          <w:szCs w:val="20"/>
        </w:rPr>
        <w:t>. . . . . . . . . . . . . . . . . . . . . . . . .</w:t>
      </w:r>
      <w:r>
        <w:rPr>
          <w:rFonts w:ascii="Times New Roman" w:hAnsi="Times New Roman" w:cs="Times New Roman"/>
          <w:sz w:val="24"/>
          <w:szCs w:val="24"/>
        </w:rPr>
        <w:tab/>
      </w:r>
      <w:r>
        <w:rPr>
          <w:rFonts w:ascii="Times New Roman" w:hAnsi="Times New Roman" w:cs="Times New Roman"/>
          <w:sz w:val="20"/>
          <w:szCs w:val="20"/>
        </w:rPr>
        <w:t>21,857</w:t>
      </w:r>
    </w:p>
    <w:p w:rsidR="00000000" w:rsidRDefault="00A06965">
      <w:pPr>
        <w:pStyle w:val="DefaultParagraphFont"/>
        <w:widowControl w:val="0"/>
        <w:tabs>
          <w:tab w:val="left" w:pos="486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Metalogic Inspection Services </w:t>
      </w:r>
      <w:r>
        <w:rPr>
          <w:rFonts w:ascii="Times New Roman" w:hAnsi="Times New Roman" w:cs="Times New Roman"/>
          <w:b/>
          <w:bCs/>
          <w:sz w:val="26"/>
          <w:szCs w:val="26"/>
          <w:vertAlign w:val="superscript"/>
        </w:rPr>
        <w:t>(2)</w:t>
      </w:r>
      <w:r>
        <w:rPr>
          <w:rFonts w:ascii="Times New Roman" w:hAnsi="Times New Roman" w:cs="Times New Roman"/>
          <w:b/>
          <w:bCs/>
          <w:sz w:val="20"/>
          <w:szCs w:val="20"/>
        </w:rPr>
        <w:t xml:space="preserve">  </w:t>
      </w:r>
      <w:r>
        <w:rPr>
          <w:rFonts w:ascii="Times New Roman" w:hAnsi="Times New Roman" w:cs="Times New Roman"/>
          <w:sz w:val="20"/>
          <w:szCs w:val="20"/>
        </w:rPr>
        <w:t>. . . . . . . . . . . . .</w:t>
      </w:r>
      <w:r>
        <w:rPr>
          <w:rFonts w:ascii="Times New Roman" w:hAnsi="Times New Roman" w:cs="Times New Roman"/>
          <w:sz w:val="24"/>
          <w:szCs w:val="24"/>
        </w:rPr>
        <w:tab/>
      </w:r>
      <w:r>
        <w:rPr>
          <w:rFonts w:ascii="Times New Roman" w:hAnsi="Times New Roman" w:cs="Times New Roman"/>
          <w:sz w:val="20"/>
          <w:szCs w:val="20"/>
        </w:rPr>
        <w:t>82</w:t>
      </w:r>
    </w:p>
    <w:p w:rsidR="00000000" w:rsidRDefault="00A06965">
      <w:pPr>
        <w:pStyle w:val="DefaultParagraphFont"/>
        <w:widowControl w:val="0"/>
        <w:tabs>
          <w:tab w:val="left" w:pos="4600"/>
        </w:tabs>
        <w:autoSpaceDE w:val="0"/>
        <w:autoSpaceDN w:val="0"/>
        <w:adjustRightInd w:val="0"/>
        <w:spacing w:after="0" w:line="188" w:lineRule="auto"/>
        <w:rPr>
          <w:rFonts w:ascii="Times New Roman" w:hAnsi="Times New Roman" w:cs="Times New Roman"/>
          <w:sz w:val="24"/>
          <w:szCs w:val="24"/>
        </w:rPr>
      </w:pPr>
      <w:r>
        <w:rPr>
          <w:rFonts w:ascii="Times New Roman" w:hAnsi="Times New Roman" w:cs="Times New Roman"/>
          <w:b/>
          <w:bCs/>
          <w:sz w:val="18"/>
          <w:szCs w:val="18"/>
        </w:rPr>
        <w:t xml:space="preserve">MidAmerican Energy </w:t>
      </w:r>
      <w:r>
        <w:rPr>
          <w:rFonts w:ascii="Times New Roman" w:hAnsi="Times New Roman" w:cs="Times New Roman"/>
          <w:b/>
          <w:bCs/>
          <w:sz w:val="23"/>
          <w:szCs w:val="23"/>
          <w:vertAlign w:val="superscript"/>
        </w:rPr>
        <w:t>(2)</w:t>
      </w:r>
      <w:r>
        <w:rPr>
          <w:rFonts w:ascii="Times New Roman" w:hAnsi="Times New Roman" w:cs="Times New Roman"/>
          <w:b/>
          <w:bCs/>
          <w:sz w:val="18"/>
          <w:szCs w:val="18"/>
        </w:rPr>
        <w:t xml:space="preserve"> </w:t>
      </w:r>
      <w:r>
        <w:rPr>
          <w:rFonts w:ascii="Times New Roman" w:hAnsi="Times New Roman" w:cs="Times New Roman"/>
          <w:sz w:val="18"/>
          <w:szCs w:val="18"/>
        </w:rPr>
        <w:t>. . . . . . . . . . . . . . . . . . . .</w:t>
      </w:r>
      <w:r>
        <w:rPr>
          <w:rFonts w:ascii="Times New Roman" w:hAnsi="Times New Roman" w:cs="Times New Roman"/>
          <w:sz w:val="24"/>
          <w:szCs w:val="24"/>
        </w:rPr>
        <w:tab/>
      </w:r>
      <w:r>
        <w:rPr>
          <w:rFonts w:ascii="Times New Roman" w:hAnsi="Times New Roman" w:cs="Times New Roman"/>
          <w:sz w:val="20"/>
          <w:szCs w:val="20"/>
        </w:rPr>
        <w:t>3,575</w:t>
      </w:r>
    </w:p>
    <w:p w:rsidR="00000000" w:rsidRDefault="00A06965">
      <w:pPr>
        <w:pStyle w:val="DefaultParagraphFont"/>
        <w:widowControl w:val="0"/>
        <w:tabs>
          <w:tab w:val="left" w:pos="4600"/>
        </w:tabs>
        <w:autoSpaceDE w:val="0"/>
        <w:autoSpaceDN w:val="0"/>
        <w:adjustRightInd w:val="0"/>
        <w:spacing w:after="0" w:line="188" w:lineRule="auto"/>
        <w:rPr>
          <w:rFonts w:ascii="Times New Roman" w:hAnsi="Times New Roman" w:cs="Times New Roman"/>
          <w:sz w:val="24"/>
          <w:szCs w:val="24"/>
        </w:rPr>
      </w:pPr>
      <w:r>
        <w:rPr>
          <w:rFonts w:ascii="Times New Roman" w:hAnsi="Times New Roman" w:cs="Times New Roman"/>
          <w:b/>
          <w:bCs/>
          <w:sz w:val="20"/>
          <w:szCs w:val="20"/>
        </w:rPr>
        <w:t xml:space="preserve">MiTek Inc. </w:t>
      </w:r>
      <w:r>
        <w:rPr>
          <w:rFonts w:ascii="Times New Roman" w:hAnsi="Times New Roman" w:cs="Times New Roman"/>
          <w:sz w:val="20"/>
          <w:szCs w:val="20"/>
        </w:rPr>
        <w:t>. . . . . . . . . . . . . . . . . . . . . . . . . . . . . . .</w:t>
      </w:r>
      <w:r>
        <w:rPr>
          <w:rFonts w:ascii="Times New Roman" w:hAnsi="Times New Roman" w:cs="Times New Roman"/>
          <w:sz w:val="24"/>
          <w:szCs w:val="24"/>
        </w:rPr>
        <w:tab/>
      </w:r>
      <w:r>
        <w:rPr>
          <w:rFonts w:ascii="Times New Roman" w:hAnsi="Times New Roman" w:cs="Times New Roman"/>
          <w:sz w:val="20"/>
          <w:szCs w:val="20"/>
        </w:rPr>
        <w:t>3,006</w:t>
      </w:r>
    </w:p>
    <w:p w:rsidR="00000000" w:rsidRDefault="00A06965">
      <w:pPr>
        <w:pStyle w:val="DefaultParagraphFont"/>
        <w:widowControl w:val="0"/>
        <w:tabs>
          <w:tab w:val="left" w:pos="46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Nebraska Furniture Mart </w:t>
      </w:r>
      <w:r>
        <w:rPr>
          <w:rFonts w:ascii="Times New Roman" w:hAnsi="Times New Roman" w:cs="Times New Roman"/>
          <w:sz w:val="20"/>
          <w:szCs w:val="20"/>
        </w:rPr>
        <w:t>. . . . . . . . . . . . . . . . . .</w:t>
      </w:r>
      <w:r>
        <w:rPr>
          <w:rFonts w:ascii="Times New Roman" w:hAnsi="Times New Roman" w:cs="Times New Roman"/>
          <w:sz w:val="24"/>
          <w:szCs w:val="24"/>
        </w:rPr>
        <w:tab/>
      </w:r>
      <w:r>
        <w:rPr>
          <w:rFonts w:ascii="Times New Roman" w:hAnsi="Times New Roman" w:cs="Times New Roman"/>
          <w:sz w:val="20"/>
          <w:szCs w:val="20"/>
        </w:rPr>
        <w:t>3,225</w:t>
      </w:r>
    </w:p>
    <w:p w:rsidR="00000000" w:rsidRDefault="00A06965">
      <w:pPr>
        <w:pStyle w:val="DefaultParagraphFont"/>
        <w:widowControl w:val="0"/>
        <w:tabs>
          <w:tab w:val="left" w:pos="46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NetJets </w:t>
      </w:r>
      <w:r>
        <w:rPr>
          <w:rFonts w:ascii="Times New Roman" w:hAnsi="Times New Roman" w:cs="Times New Roman"/>
          <w:sz w:val="20"/>
          <w:szCs w:val="20"/>
        </w:rPr>
        <w:t>. . . . . . . . . . . . . . . . . . . . . . . . . . . . . . . . . .</w:t>
      </w:r>
      <w:r>
        <w:rPr>
          <w:rFonts w:ascii="Times New Roman" w:hAnsi="Times New Roman" w:cs="Times New Roman"/>
          <w:sz w:val="24"/>
          <w:szCs w:val="24"/>
        </w:rPr>
        <w:tab/>
      </w:r>
      <w:r>
        <w:rPr>
          <w:rFonts w:ascii="Times New Roman" w:hAnsi="Times New Roman" w:cs="Times New Roman"/>
          <w:sz w:val="20"/>
          <w:szCs w:val="20"/>
        </w:rPr>
        <w:t>6,355</w:t>
      </w:r>
    </w:p>
    <w:p w:rsidR="00000000" w:rsidRDefault="00A06965">
      <w:pPr>
        <w:pStyle w:val="DefaultParagraphFont"/>
        <w:widowControl w:val="0"/>
        <w:tabs>
          <w:tab w:val="left" w:pos="476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Northern Natural Gas </w:t>
      </w:r>
      <w:r>
        <w:rPr>
          <w:rFonts w:ascii="Times New Roman" w:hAnsi="Times New Roman" w:cs="Times New Roman"/>
          <w:b/>
          <w:bCs/>
          <w:sz w:val="26"/>
          <w:szCs w:val="26"/>
          <w:vertAlign w:val="superscript"/>
        </w:rPr>
        <w:t>(2)</w:t>
      </w:r>
      <w:r>
        <w:rPr>
          <w:rFonts w:ascii="Times New Roman" w:hAnsi="Times New Roman" w:cs="Times New Roman"/>
          <w:b/>
          <w:bCs/>
          <w:sz w:val="20"/>
          <w:szCs w:val="20"/>
        </w:rPr>
        <w:t xml:space="preserve"> </w:t>
      </w:r>
      <w:r>
        <w:rPr>
          <w:rFonts w:ascii="Times New Roman" w:hAnsi="Times New Roman" w:cs="Times New Roman"/>
          <w:sz w:val="20"/>
          <w:szCs w:val="20"/>
        </w:rPr>
        <w:t xml:space="preserve">. . </w:t>
      </w:r>
      <w:r>
        <w:rPr>
          <w:rFonts w:ascii="Times New Roman" w:hAnsi="Times New Roman" w:cs="Times New Roman"/>
          <w:sz w:val="20"/>
          <w:szCs w:val="20"/>
        </w:rPr>
        <w:t>. . . . . . . . . . . . . . . . . .</w:t>
      </w:r>
      <w:r>
        <w:rPr>
          <w:rFonts w:ascii="Times New Roman" w:hAnsi="Times New Roman" w:cs="Times New Roman"/>
          <w:sz w:val="24"/>
          <w:szCs w:val="24"/>
        </w:rPr>
        <w:tab/>
      </w:r>
      <w:r>
        <w:rPr>
          <w:rFonts w:ascii="Times New Roman" w:hAnsi="Times New Roman" w:cs="Times New Roman"/>
          <w:sz w:val="20"/>
          <w:szCs w:val="20"/>
        </w:rPr>
        <w:t>851</w:t>
      </w:r>
    </w:p>
    <w:p w:rsidR="00000000" w:rsidRDefault="00A06965">
      <w:pPr>
        <w:pStyle w:val="DefaultParagraphFont"/>
        <w:widowControl w:val="0"/>
        <w:tabs>
          <w:tab w:val="left" w:pos="46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18"/>
          <w:szCs w:val="18"/>
        </w:rPr>
        <w:t xml:space="preserve">Northern Powergrid Holdings </w:t>
      </w:r>
      <w:r>
        <w:rPr>
          <w:rFonts w:ascii="Times New Roman" w:hAnsi="Times New Roman" w:cs="Times New Roman"/>
          <w:b/>
          <w:bCs/>
          <w:sz w:val="23"/>
          <w:szCs w:val="23"/>
          <w:vertAlign w:val="superscript"/>
        </w:rPr>
        <w:t>(2)</w:t>
      </w:r>
      <w:r>
        <w:rPr>
          <w:rFonts w:ascii="Times New Roman" w:hAnsi="Times New Roman" w:cs="Times New Roman"/>
          <w:b/>
          <w:bCs/>
          <w:sz w:val="18"/>
          <w:szCs w:val="18"/>
        </w:rPr>
        <w:t xml:space="preserve"> </w:t>
      </w:r>
      <w:r>
        <w:rPr>
          <w:rFonts w:ascii="Times New Roman" w:hAnsi="Times New Roman" w:cs="Times New Roman"/>
          <w:sz w:val="18"/>
          <w:szCs w:val="18"/>
        </w:rPr>
        <w:t>. . . . . . . . . . . . .</w:t>
      </w:r>
      <w:r>
        <w:rPr>
          <w:rFonts w:ascii="Times New Roman" w:hAnsi="Times New Roman" w:cs="Times New Roman"/>
          <w:sz w:val="24"/>
          <w:szCs w:val="24"/>
        </w:rPr>
        <w:tab/>
      </w:r>
      <w:r>
        <w:rPr>
          <w:rFonts w:ascii="Times New Roman" w:hAnsi="Times New Roman" w:cs="Times New Roman"/>
          <w:sz w:val="20"/>
          <w:szCs w:val="20"/>
        </w:rPr>
        <w:t>2,509</w:t>
      </w:r>
    </w:p>
    <w:p w:rsidR="00000000" w:rsidRDefault="00A06965">
      <w:pPr>
        <w:pStyle w:val="DefaultParagraphFont"/>
        <w:widowControl w:val="0"/>
        <w:tabs>
          <w:tab w:val="left" w:pos="46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18"/>
          <w:szCs w:val="18"/>
        </w:rPr>
        <w:t xml:space="preserve">NV Energy </w:t>
      </w:r>
      <w:r>
        <w:rPr>
          <w:rFonts w:ascii="Times New Roman" w:hAnsi="Times New Roman" w:cs="Times New Roman"/>
          <w:b/>
          <w:bCs/>
          <w:sz w:val="23"/>
          <w:szCs w:val="23"/>
          <w:vertAlign w:val="superscript"/>
        </w:rPr>
        <w:t>(2)</w:t>
      </w:r>
      <w:r>
        <w:rPr>
          <w:rFonts w:ascii="Times New Roman" w:hAnsi="Times New Roman" w:cs="Times New Roman"/>
          <w:b/>
          <w:bCs/>
          <w:sz w:val="18"/>
          <w:szCs w:val="18"/>
        </w:rPr>
        <w:t xml:space="preserve">  </w:t>
      </w:r>
      <w:r>
        <w:rPr>
          <w:rFonts w:ascii="Times New Roman" w:hAnsi="Times New Roman" w:cs="Times New Roman"/>
          <w:sz w:val="18"/>
          <w:szCs w:val="18"/>
        </w:rPr>
        <w:t>. . . . . . . . . . . . . . . . . . . . . . . . . . . . .</w:t>
      </w:r>
      <w:r>
        <w:rPr>
          <w:rFonts w:ascii="Times New Roman" w:hAnsi="Times New Roman" w:cs="Times New Roman"/>
          <w:sz w:val="24"/>
          <w:szCs w:val="24"/>
        </w:rPr>
        <w:tab/>
      </w:r>
      <w:r>
        <w:rPr>
          <w:rFonts w:ascii="Times New Roman" w:hAnsi="Times New Roman" w:cs="Times New Roman"/>
          <w:sz w:val="20"/>
          <w:szCs w:val="20"/>
        </w:rPr>
        <w:t>2,448</w:t>
      </w:r>
    </w:p>
    <w:p w:rsidR="00000000" w:rsidRDefault="00A06965">
      <w:pPr>
        <w:pStyle w:val="DefaultParagraphFont"/>
        <w:widowControl w:val="0"/>
        <w:tabs>
          <w:tab w:val="left" w:pos="46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20"/>
          <w:szCs w:val="20"/>
        </w:rPr>
        <w:t xml:space="preserve">Oriental Trading </w:t>
      </w:r>
      <w:r>
        <w:rPr>
          <w:rFonts w:ascii="Times New Roman" w:hAnsi="Times New Roman" w:cs="Times New Roman"/>
          <w:sz w:val="20"/>
          <w:szCs w:val="20"/>
        </w:rPr>
        <w:t>. . . . . . . . . . . . . . . . . . . . . . . . . .</w:t>
      </w:r>
      <w:r>
        <w:rPr>
          <w:rFonts w:ascii="Times New Roman" w:hAnsi="Times New Roman" w:cs="Times New Roman"/>
          <w:sz w:val="24"/>
          <w:szCs w:val="24"/>
        </w:rPr>
        <w:tab/>
      </w:r>
      <w:r>
        <w:rPr>
          <w:rFonts w:ascii="Times New Roman" w:hAnsi="Times New Roman" w:cs="Times New Roman"/>
          <w:sz w:val="20"/>
          <w:szCs w:val="20"/>
        </w:rPr>
        <w:t>1,606</w:t>
      </w:r>
    </w:p>
    <w:p w:rsidR="00000000" w:rsidRDefault="00A06965">
      <w:pPr>
        <w:pStyle w:val="DefaultParagraphFont"/>
        <w:widowControl w:val="0"/>
        <w:tabs>
          <w:tab w:val="left" w:pos="46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PacifiCorp </w:t>
      </w:r>
      <w:r>
        <w:rPr>
          <w:rFonts w:ascii="Times New Roman" w:hAnsi="Times New Roman" w:cs="Times New Roman"/>
          <w:b/>
          <w:bCs/>
          <w:sz w:val="26"/>
          <w:szCs w:val="26"/>
          <w:vertAlign w:val="superscript"/>
        </w:rPr>
        <w:t>(2)</w:t>
      </w:r>
      <w:r>
        <w:rPr>
          <w:rFonts w:ascii="Times New Roman" w:hAnsi="Times New Roman" w:cs="Times New Roman"/>
          <w:b/>
          <w:bCs/>
          <w:sz w:val="20"/>
          <w:szCs w:val="20"/>
        </w:rPr>
        <w:t xml:space="preserve">  </w:t>
      </w:r>
      <w:r>
        <w:rPr>
          <w:rFonts w:ascii="Times New Roman" w:hAnsi="Times New Roman" w:cs="Times New Roman"/>
          <w:sz w:val="20"/>
          <w:szCs w:val="20"/>
        </w:rPr>
        <w:t>. . . . . . . . . . . . . . . . . . . . . . . . . . . . .</w:t>
      </w:r>
      <w:r>
        <w:rPr>
          <w:rFonts w:ascii="Times New Roman" w:hAnsi="Times New Roman" w:cs="Times New Roman"/>
          <w:sz w:val="24"/>
          <w:szCs w:val="24"/>
        </w:rPr>
        <w:tab/>
      </w:r>
      <w:r>
        <w:rPr>
          <w:rFonts w:ascii="Times New Roman" w:hAnsi="Times New Roman" w:cs="Times New Roman"/>
          <w:sz w:val="20"/>
          <w:szCs w:val="20"/>
        </w:rPr>
        <w:t>5,902</w:t>
      </w:r>
    </w:p>
    <w:p w:rsidR="00000000" w:rsidRDefault="00A06965">
      <w:pPr>
        <w:pStyle w:val="DefaultParagraphFont"/>
        <w:widowControl w:val="0"/>
        <w:tabs>
          <w:tab w:val="left" w:pos="476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20"/>
          <w:szCs w:val="20"/>
        </w:rPr>
        <w:t xml:space="preserve">The Pampered Chef </w:t>
      </w:r>
      <w:r>
        <w:rPr>
          <w:rFonts w:ascii="Times New Roman" w:hAnsi="Times New Roman" w:cs="Times New Roman"/>
          <w:sz w:val="20"/>
          <w:szCs w:val="20"/>
        </w:rPr>
        <w:t>. . . . . . . . . . . . . . . . . . . . . . .</w:t>
      </w:r>
      <w:r>
        <w:rPr>
          <w:rFonts w:ascii="Times New Roman" w:hAnsi="Times New Roman" w:cs="Times New Roman"/>
          <w:sz w:val="24"/>
          <w:szCs w:val="24"/>
        </w:rPr>
        <w:tab/>
      </w:r>
      <w:r>
        <w:rPr>
          <w:rFonts w:ascii="Times New Roman" w:hAnsi="Times New Roman" w:cs="Times New Roman"/>
          <w:sz w:val="20"/>
          <w:szCs w:val="20"/>
        </w:rPr>
        <w:t>522</w:t>
      </w:r>
    </w:p>
    <w:p w:rsidR="00000000" w:rsidRDefault="00A06965">
      <w:pPr>
        <w:pStyle w:val="DefaultParagraphFont"/>
        <w:widowControl w:val="0"/>
        <w:tabs>
          <w:tab w:val="left" w:pos="476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Precision Steel Warehouse </w:t>
      </w:r>
      <w:r>
        <w:rPr>
          <w:rFonts w:ascii="Times New Roman" w:hAnsi="Times New Roman" w:cs="Times New Roman"/>
          <w:sz w:val="20"/>
          <w:szCs w:val="20"/>
        </w:rPr>
        <w:t>. . . . . . . . . . . . . . . . . .</w:t>
      </w:r>
      <w:r>
        <w:rPr>
          <w:rFonts w:ascii="Times New Roman" w:hAnsi="Times New Roman" w:cs="Times New Roman"/>
          <w:sz w:val="24"/>
          <w:szCs w:val="24"/>
        </w:rPr>
        <w:tab/>
      </w:r>
      <w:r>
        <w:rPr>
          <w:rFonts w:ascii="Times New Roman" w:hAnsi="Times New Roman" w:cs="Times New Roman"/>
          <w:sz w:val="20"/>
          <w:szCs w:val="20"/>
        </w:rPr>
        <w:t>154</w:t>
      </w:r>
    </w:p>
    <w:p w:rsidR="00000000" w:rsidRDefault="00A06965">
      <w:pPr>
        <w:pStyle w:val="DefaultParagraphFont"/>
        <w:widowControl w:val="0"/>
        <w:tabs>
          <w:tab w:val="left" w:pos="46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Richline Group </w:t>
      </w:r>
      <w:r>
        <w:rPr>
          <w:rFonts w:ascii="Times New Roman" w:hAnsi="Times New Roman" w:cs="Times New Roman"/>
          <w:sz w:val="20"/>
          <w:szCs w:val="20"/>
        </w:rPr>
        <w:t>. . . . . . . . . . . . . . . . . . . . . . . . . . .</w:t>
      </w:r>
      <w:r>
        <w:rPr>
          <w:rFonts w:ascii="Times New Roman" w:hAnsi="Times New Roman" w:cs="Times New Roman"/>
          <w:sz w:val="24"/>
          <w:szCs w:val="24"/>
        </w:rPr>
        <w:tab/>
      </w:r>
      <w:r>
        <w:rPr>
          <w:rFonts w:ascii="Times New Roman" w:hAnsi="Times New Roman" w:cs="Times New Roman"/>
          <w:sz w:val="20"/>
          <w:szCs w:val="20"/>
        </w:rPr>
        <w:t>2,981</w:t>
      </w:r>
    </w:p>
    <w:p w:rsidR="00000000" w:rsidRDefault="00A06965">
      <w:pPr>
        <w:pStyle w:val="DefaultParagraphFont"/>
        <w:widowControl w:val="0"/>
        <w:tabs>
          <w:tab w:val="left" w:pos="46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Russell </w:t>
      </w:r>
      <w:r>
        <w:rPr>
          <w:rFonts w:ascii="Times New Roman" w:hAnsi="Times New Roman" w:cs="Times New Roman"/>
          <w:b/>
          <w:bCs/>
          <w:sz w:val="26"/>
          <w:szCs w:val="26"/>
          <w:vertAlign w:val="superscript"/>
        </w:rPr>
        <w:t>(3)</w:t>
      </w:r>
      <w:r>
        <w:rPr>
          <w:rFonts w:ascii="Times New Roman" w:hAnsi="Times New Roman" w:cs="Times New Roman"/>
          <w:b/>
          <w:bCs/>
          <w:sz w:val="20"/>
          <w:szCs w:val="20"/>
        </w:rPr>
        <w:t xml:space="preserve"> </w:t>
      </w:r>
      <w:r>
        <w:rPr>
          <w:rFonts w:ascii="Times New Roman" w:hAnsi="Times New Roman" w:cs="Times New Roman"/>
          <w:sz w:val="20"/>
          <w:szCs w:val="20"/>
        </w:rPr>
        <w:t>. . . . . . . . . . . . . . . . . . . . . . . . . . . . . . . . .</w:t>
      </w:r>
      <w:r>
        <w:rPr>
          <w:rFonts w:ascii="Times New Roman" w:hAnsi="Times New Roman" w:cs="Times New Roman"/>
          <w:sz w:val="24"/>
          <w:szCs w:val="24"/>
        </w:rPr>
        <w:tab/>
      </w:r>
      <w:r>
        <w:rPr>
          <w:rFonts w:ascii="Times New Roman" w:hAnsi="Times New Roman" w:cs="Times New Roman"/>
          <w:sz w:val="20"/>
          <w:szCs w:val="20"/>
        </w:rPr>
        <w:t>1,781</w:t>
      </w:r>
    </w:p>
    <w:p w:rsidR="00000000" w:rsidRDefault="00A06965">
      <w:pPr>
        <w:pStyle w:val="DefaultParagraphFont"/>
        <w:widowControl w:val="0"/>
        <w:tabs>
          <w:tab w:val="left" w:pos="4760"/>
        </w:tabs>
        <w:autoSpaceDE w:val="0"/>
        <w:autoSpaceDN w:val="0"/>
        <w:adjustRightInd w:val="0"/>
        <w:spacing w:after="0" w:line="188" w:lineRule="auto"/>
        <w:rPr>
          <w:rFonts w:ascii="Times New Roman" w:hAnsi="Times New Roman" w:cs="Times New Roman"/>
          <w:sz w:val="24"/>
          <w:szCs w:val="24"/>
        </w:rPr>
      </w:pPr>
      <w:r>
        <w:rPr>
          <w:rFonts w:ascii="Times New Roman" w:hAnsi="Times New Roman" w:cs="Times New Roman"/>
          <w:b/>
          <w:bCs/>
          <w:sz w:val="18"/>
          <w:szCs w:val="18"/>
        </w:rPr>
        <w:t xml:space="preserve">Other Scott Fetzer Companies </w:t>
      </w:r>
      <w:r>
        <w:rPr>
          <w:rFonts w:ascii="Times New Roman" w:hAnsi="Times New Roman" w:cs="Times New Roman"/>
          <w:b/>
          <w:bCs/>
          <w:sz w:val="23"/>
          <w:szCs w:val="23"/>
          <w:vertAlign w:val="superscript"/>
        </w:rPr>
        <w:t>(1)</w:t>
      </w:r>
      <w:r>
        <w:rPr>
          <w:rFonts w:ascii="Times New Roman" w:hAnsi="Times New Roman" w:cs="Times New Roman"/>
          <w:b/>
          <w:bCs/>
          <w:sz w:val="18"/>
          <w:szCs w:val="18"/>
        </w:rPr>
        <w:t xml:space="preserve"> </w:t>
      </w:r>
      <w:r>
        <w:rPr>
          <w:rFonts w:ascii="Times New Roman" w:hAnsi="Times New Roman" w:cs="Times New Roman"/>
          <w:sz w:val="18"/>
          <w:szCs w:val="18"/>
        </w:rPr>
        <w:t>. . . . . . . . . . . . .</w:t>
      </w:r>
      <w:r>
        <w:rPr>
          <w:rFonts w:ascii="Times New Roman" w:hAnsi="Times New Roman" w:cs="Times New Roman"/>
          <w:sz w:val="24"/>
          <w:szCs w:val="24"/>
        </w:rPr>
        <w:tab/>
      </w:r>
      <w:r>
        <w:rPr>
          <w:rFonts w:ascii="Times New Roman" w:hAnsi="Times New Roman" w:cs="Times New Roman"/>
          <w:sz w:val="20"/>
          <w:szCs w:val="20"/>
        </w:rPr>
        <w:t>187</w:t>
      </w:r>
    </w:p>
    <w:p w:rsidR="00000000" w:rsidRDefault="00A06965">
      <w:pPr>
        <w:pStyle w:val="DefaultParagraphFont"/>
        <w:widowControl w:val="0"/>
        <w:tabs>
          <w:tab w:val="left" w:pos="4600"/>
        </w:tabs>
        <w:autoSpaceDE w:val="0"/>
        <w:autoSpaceDN w:val="0"/>
        <w:adjustRightInd w:val="0"/>
        <w:spacing w:after="0" w:line="188" w:lineRule="auto"/>
        <w:rPr>
          <w:rFonts w:ascii="Times New Roman" w:hAnsi="Times New Roman" w:cs="Times New Roman"/>
          <w:sz w:val="24"/>
          <w:szCs w:val="24"/>
        </w:rPr>
      </w:pPr>
      <w:r>
        <w:rPr>
          <w:rFonts w:ascii="Times New Roman" w:hAnsi="Times New Roman" w:cs="Times New Roman"/>
          <w:b/>
          <w:bCs/>
          <w:sz w:val="20"/>
          <w:szCs w:val="20"/>
        </w:rPr>
        <w:t xml:space="preserve">See’s Candies </w:t>
      </w:r>
      <w:r>
        <w:rPr>
          <w:rFonts w:ascii="Times New Roman" w:hAnsi="Times New Roman" w:cs="Times New Roman"/>
          <w:sz w:val="20"/>
          <w:szCs w:val="20"/>
        </w:rPr>
        <w:t>. . . . . . . . . . . . . . . . . .</w:t>
      </w:r>
      <w:r>
        <w:rPr>
          <w:rFonts w:ascii="Times New Roman" w:hAnsi="Times New Roman" w:cs="Times New Roman"/>
          <w:sz w:val="20"/>
          <w:szCs w:val="20"/>
        </w:rPr>
        <w:t xml:space="preserve"> . . . . . . . . . . .</w:t>
      </w:r>
      <w:r>
        <w:rPr>
          <w:rFonts w:ascii="Times New Roman" w:hAnsi="Times New Roman" w:cs="Times New Roman"/>
          <w:sz w:val="24"/>
          <w:szCs w:val="24"/>
        </w:rPr>
        <w:tab/>
      </w:r>
      <w:r>
        <w:rPr>
          <w:rFonts w:ascii="Times New Roman" w:hAnsi="Times New Roman" w:cs="Times New Roman"/>
          <w:sz w:val="20"/>
          <w:szCs w:val="20"/>
        </w:rPr>
        <w:t>2,380</w:t>
      </w:r>
    </w:p>
    <w:p w:rsidR="00000000" w:rsidRDefault="00A06965">
      <w:pPr>
        <w:pStyle w:val="DefaultParagraphFont"/>
        <w:widowControl w:val="0"/>
        <w:tabs>
          <w:tab w:val="left" w:pos="45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Shaw Industries </w:t>
      </w:r>
      <w:r>
        <w:rPr>
          <w:rFonts w:ascii="Times New Roman" w:hAnsi="Times New Roman" w:cs="Times New Roman"/>
          <w:sz w:val="20"/>
          <w:szCs w:val="20"/>
        </w:rPr>
        <w:t>. . . . . . . . . . . . . . . . . . . . . . . . . . .</w:t>
      </w:r>
      <w:r>
        <w:rPr>
          <w:rFonts w:ascii="Times New Roman" w:hAnsi="Times New Roman" w:cs="Times New Roman"/>
          <w:sz w:val="24"/>
          <w:szCs w:val="24"/>
        </w:rPr>
        <w:tab/>
      </w:r>
      <w:r>
        <w:rPr>
          <w:rFonts w:ascii="Times New Roman" w:hAnsi="Times New Roman" w:cs="Times New Roman"/>
          <w:sz w:val="20"/>
          <w:szCs w:val="20"/>
        </w:rPr>
        <w:t>22,074</w:t>
      </w:r>
    </w:p>
    <w:p w:rsidR="00000000" w:rsidRDefault="00A06965">
      <w:pPr>
        <w:pStyle w:val="DefaultParagraphFont"/>
        <w:widowControl w:val="0"/>
        <w:tabs>
          <w:tab w:val="left" w:pos="476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Stahl </w:t>
      </w:r>
      <w:r>
        <w:rPr>
          <w:rFonts w:ascii="Times New Roman" w:hAnsi="Times New Roman" w:cs="Times New Roman"/>
          <w:b/>
          <w:bCs/>
          <w:sz w:val="26"/>
          <w:szCs w:val="26"/>
          <w:vertAlign w:val="superscript"/>
        </w:rPr>
        <w:t>(1)</w:t>
      </w:r>
      <w:r>
        <w:rPr>
          <w:rFonts w:ascii="Times New Roman" w:hAnsi="Times New Roman" w:cs="Times New Roman"/>
          <w:b/>
          <w:bCs/>
          <w:sz w:val="20"/>
          <w:szCs w:val="20"/>
        </w:rPr>
        <w:t xml:space="preserve">  </w:t>
      </w:r>
      <w:r>
        <w:rPr>
          <w:rFonts w:ascii="Times New Roman" w:hAnsi="Times New Roman" w:cs="Times New Roman"/>
          <w:sz w:val="20"/>
          <w:szCs w:val="20"/>
        </w:rPr>
        <w:t>. . . . . . . . . . . . . . . . . . . . . . . . . . . . . . . . . .</w:t>
      </w:r>
      <w:r>
        <w:rPr>
          <w:rFonts w:ascii="Times New Roman" w:hAnsi="Times New Roman" w:cs="Times New Roman"/>
          <w:sz w:val="24"/>
          <w:szCs w:val="24"/>
        </w:rPr>
        <w:tab/>
      </w:r>
      <w:r>
        <w:rPr>
          <w:rFonts w:ascii="Times New Roman" w:hAnsi="Times New Roman" w:cs="Times New Roman"/>
          <w:sz w:val="20"/>
          <w:szCs w:val="20"/>
        </w:rPr>
        <w:t>107</w:t>
      </w:r>
    </w:p>
    <w:p w:rsidR="00000000" w:rsidRDefault="00A06965">
      <w:pPr>
        <w:pStyle w:val="DefaultParagraphFont"/>
        <w:widowControl w:val="0"/>
        <w:tabs>
          <w:tab w:val="left" w:pos="476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20"/>
          <w:szCs w:val="20"/>
        </w:rPr>
        <w:t xml:space="preserve">Star Furniture </w:t>
      </w:r>
      <w:r>
        <w:rPr>
          <w:rFonts w:ascii="Times New Roman" w:hAnsi="Times New Roman" w:cs="Times New Roman"/>
          <w:sz w:val="20"/>
          <w:szCs w:val="20"/>
        </w:rPr>
        <w:t xml:space="preserve">. . . . . . . . . . . . . . . . . . . . . . . . . . </w:t>
      </w:r>
      <w:r>
        <w:rPr>
          <w:rFonts w:ascii="Times New Roman" w:hAnsi="Times New Roman" w:cs="Times New Roman"/>
          <w:sz w:val="20"/>
          <w:szCs w:val="20"/>
        </w:rPr>
        <w:t>. .</w:t>
      </w:r>
      <w:r>
        <w:rPr>
          <w:rFonts w:ascii="Times New Roman" w:hAnsi="Times New Roman" w:cs="Times New Roman"/>
          <w:sz w:val="24"/>
          <w:szCs w:val="24"/>
        </w:rPr>
        <w:tab/>
      </w:r>
      <w:r>
        <w:rPr>
          <w:rFonts w:ascii="Times New Roman" w:hAnsi="Times New Roman" w:cs="Times New Roman"/>
          <w:sz w:val="20"/>
          <w:szCs w:val="20"/>
        </w:rPr>
        <w:t>677</w:t>
      </w:r>
    </w:p>
    <w:p w:rsidR="00000000" w:rsidRDefault="00A06965">
      <w:pPr>
        <w:pStyle w:val="DefaultParagraphFont"/>
        <w:widowControl w:val="0"/>
        <w:tabs>
          <w:tab w:val="left" w:pos="460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TTI, Inc. </w:t>
      </w:r>
      <w:r>
        <w:rPr>
          <w:rFonts w:ascii="Times New Roman" w:hAnsi="Times New Roman" w:cs="Times New Roman"/>
          <w:sz w:val="20"/>
          <w:szCs w:val="20"/>
        </w:rPr>
        <w:t>. . . . . . . . . . . . . . . . . . . . . . . . . . . . . . . . .</w:t>
      </w:r>
      <w:r>
        <w:rPr>
          <w:rFonts w:ascii="Times New Roman" w:hAnsi="Times New Roman" w:cs="Times New Roman"/>
          <w:sz w:val="24"/>
          <w:szCs w:val="24"/>
        </w:rPr>
        <w:tab/>
      </w:r>
      <w:r>
        <w:rPr>
          <w:rFonts w:ascii="Times New Roman" w:hAnsi="Times New Roman" w:cs="Times New Roman"/>
          <w:sz w:val="20"/>
          <w:szCs w:val="20"/>
        </w:rPr>
        <w:t>4,705</w:t>
      </w:r>
    </w:p>
    <w:p w:rsidR="00000000" w:rsidRDefault="00A06965">
      <w:pPr>
        <w:pStyle w:val="DefaultParagraphFont"/>
        <w:widowControl w:val="0"/>
        <w:tabs>
          <w:tab w:val="left" w:pos="4760"/>
        </w:tabs>
        <w:autoSpaceDE w:val="0"/>
        <w:autoSpaceDN w:val="0"/>
        <w:adjustRightInd w:val="0"/>
        <w:spacing w:after="0" w:line="213" w:lineRule="auto"/>
        <w:rPr>
          <w:rFonts w:ascii="Times New Roman" w:hAnsi="Times New Roman" w:cs="Times New Roman"/>
          <w:sz w:val="24"/>
          <w:szCs w:val="24"/>
        </w:rPr>
      </w:pPr>
      <w:r>
        <w:rPr>
          <w:rFonts w:ascii="Times New Roman" w:hAnsi="Times New Roman" w:cs="Times New Roman"/>
          <w:b/>
          <w:bCs/>
          <w:sz w:val="20"/>
          <w:szCs w:val="20"/>
        </w:rPr>
        <w:t xml:space="preserve">United Consumer Financial Services </w:t>
      </w:r>
      <w:r>
        <w:rPr>
          <w:rFonts w:ascii="Times New Roman" w:hAnsi="Times New Roman" w:cs="Times New Roman"/>
          <w:b/>
          <w:bCs/>
          <w:sz w:val="26"/>
          <w:szCs w:val="26"/>
          <w:vertAlign w:val="superscript"/>
        </w:rPr>
        <w:t>(1)</w:t>
      </w:r>
      <w:r>
        <w:rPr>
          <w:rFonts w:ascii="Times New Roman" w:hAnsi="Times New Roman" w:cs="Times New Roman"/>
          <w:b/>
          <w:bCs/>
          <w:sz w:val="20"/>
          <w:szCs w:val="20"/>
        </w:rPr>
        <w:t xml:space="preserve">  </w:t>
      </w:r>
      <w:r>
        <w:rPr>
          <w:rFonts w:ascii="Times New Roman" w:hAnsi="Times New Roman" w:cs="Times New Roman"/>
          <w:sz w:val="20"/>
          <w:szCs w:val="20"/>
        </w:rPr>
        <w:t>. . . . . . .</w:t>
      </w:r>
      <w:r>
        <w:rPr>
          <w:rFonts w:ascii="Times New Roman" w:hAnsi="Times New Roman" w:cs="Times New Roman"/>
          <w:sz w:val="24"/>
          <w:szCs w:val="24"/>
        </w:rPr>
        <w:tab/>
      </w:r>
      <w:r>
        <w:rPr>
          <w:rFonts w:ascii="Times New Roman" w:hAnsi="Times New Roman" w:cs="Times New Roman"/>
          <w:sz w:val="20"/>
          <w:szCs w:val="20"/>
        </w:rPr>
        <w:t>199</w:t>
      </w:r>
    </w:p>
    <w:p w:rsidR="00000000" w:rsidRDefault="00A06965">
      <w:pPr>
        <w:pStyle w:val="DefaultParagraphFont"/>
        <w:widowControl w:val="0"/>
        <w:tabs>
          <w:tab w:val="left" w:pos="476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18"/>
          <w:szCs w:val="18"/>
        </w:rPr>
        <w:t xml:space="preserve">Vanity Fair Brands </w:t>
      </w:r>
      <w:r>
        <w:rPr>
          <w:rFonts w:ascii="Times New Roman" w:hAnsi="Times New Roman" w:cs="Times New Roman"/>
          <w:b/>
          <w:bCs/>
          <w:sz w:val="23"/>
          <w:szCs w:val="23"/>
          <w:vertAlign w:val="superscript"/>
        </w:rPr>
        <w:t>(3)</w:t>
      </w:r>
      <w:r>
        <w:rPr>
          <w:rFonts w:ascii="Times New Roman" w:hAnsi="Times New Roman" w:cs="Times New Roman"/>
          <w:b/>
          <w:bCs/>
          <w:sz w:val="18"/>
          <w:szCs w:val="18"/>
        </w:rPr>
        <w:t xml:space="preserve">  </w:t>
      </w:r>
      <w:r>
        <w:rPr>
          <w:rFonts w:ascii="Times New Roman" w:hAnsi="Times New Roman" w:cs="Times New Roman"/>
          <w:sz w:val="18"/>
          <w:szCs w:val="18"/>
        </w:rPr>
        <w:t>. . . . . . . . . . . . . . . . . . . . . .</w:t>
      </w:r>
      <w:r>
        <w:rPr>
          <w:rFonts w:ascii="Times New Roman" w:hAnsi="Times New Roman" w:cs="Times New Roman"/>
          <w:sz w:val="24"/>
          <w:szCs w:val="24"/>
        </w:rPr>
        <w:tab/>
      </w:r>
      <w:r>
        <w:rPr>
          <w:rFonts w:ascii="Times New Roman" w:hAnsi="Times New Roman" w:cs="Times New Roman"/>
          <w:sz w:val="20"/>
          <w:szCs w:val="20"/>
        </w:rPr>
        <w:t>563</w:t>
      </w:r>
    </w:p>
    <w:p w:rsidR="00000000" w:rsidRDefault="00A06965">
      <w:pPr>
        <w:pStyle w:val="DefaultParagraphFont"/>
        <w:widowControl w:val="0"/>
        <w:tabs>
          <w:tab w:val="left" w:pos="476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18"/>
          <w:szCs w:val="18"/>
        </w:rPr>
        <w:t xml:space="preserve">Wayne Water Systems </w:t>
      </w:r>
      <w:r>
        <w:rPr>
          <w:rFonts w:ascii="Times New Roman" w:hAnsi="Times New Roman" w:cs="Times New Roman"/>
          <w:b/>
          <w:bCs/>
          <w:sz w:val="23"/>
          <w:szCs w:val="23"/>
          <w:vertAlign w:val="superscript"/>
        </w:rPr>
        <w:t>(1)</w:t>
      </w:r>
      <w:r>
        <w:rPr>
          <w:rFonts w:ascii="Times New Roman" w:hAnsi="Times New Roman" w:cs="Times New Roman"/>
          <w:b/>
          <w:bCs/>
          <w:sz w:val="18"/>
          <w:szCs w:val="18"/>
        </w:rPr>
        <w:t xml:space="preserve">  </w:t>
      </w:r>
      <w:r>
        <w:rPr>
          <w:rFonts w:ascii="Times New Roman" w:hAnsi="Times New Roman" w:cs="Times New Roman"/>
          <w:sz w:val="18"/>
          <w:szCs w:val="18"/>
        </w:rPr>
        <w:t>. . . . . . . . . . . . . . . . . . .</w:t>
      </w:r>
      <w:r>
        <w:rPr>
          <w:rFonts w:ascii="Times New Roman" w:hAnsi="Times New Roman" w:cs="Times New Roman"/>
          <w:sz w:val="24"/>
          <w:szCs w:val="24"/>
        </w:rPr>
        <w:tab/>
      </w:r>
      <w:r>
        <w:rPr>
          <w:rFonts w:ascii="Times New Roman" w:hAnsi="Times New Roman" w:cs="Times New Roman"/>
          <w:sz w:val="20"/>
          <w:szCs w:val="20"/>
        </w:rPr>
        <w:t>104</w:t>
      </w:r>
    </w:p>
    <w:p w:rsidR="00000000" w:rsidRDefault="00A06965">
      <w:pPr>
        <w:pStyle w:val="DefaultParagraphFont"/>
        <w:widowControl w:val="0"/>
        <w:tabs>
          <w:tab w:val="left" w:pos="476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18"/>
          <w:szCs w:val="18"/>
        </w:rPr>
        <w:t xml:space="preserve">Western Enterprises </w:t>
      </w:r>
      <w:r>
        <w:rPr>
          <w:rFonts w:ascii="Times New Roman" w:hAnsi="Times New Roman" w:cs="Times New Roman"/>
          <w:b/>
          <w:bCs/>
          <w:sz w:val="23"/>
          <w:szCs w:val="23"/>
          <w:vertAlign w:val="superscript"/>
        </w:rPr>
        <w:t>(1)</w:t>
      </w:r>
      <w:r>
        <w:rPr>
          <w:rFonts w:ascii="Times New Roman" w:hAnsi="Times New Roman" w:cs="Times New Roman"/>
          <w:b/>
          <w:bCs/>
          <w:sz w:val="18"/>
          <w:szCs w:val="18"/>
        </w:rPr>
        <w:t xml:space="preserve">  </w:t>
      </w:r>
      <w:r>
        <w:rPr>
          <w:rFonts w:ascii="Times New Roman" w:hAnsi="Times New Roman" w:cs="Times New Roman"/>
          <w:sz w:val="18"/>
          <w:szCs w:val="18"/>
        </w:rPr>
        <w:t>. . . . . . . . . . . . . . . . . . . . .</w:t>
      </w:r>
      <w:r>
        <w:rPr>
          <w:rFonts w:ascii="Times New Roman" w:hAnsi="Times New Roman" w:cs="Times New Roman"/>
          <w:sz w:val="24"/>
          <w:szCs w:val="24"/>
        </w:rPr>
        <w:tab/>
      </w:r>
      <w:r>
        <w:rPr>
          <w:rFonts w:ascii="Times New Roman" w:hAnsi="Times New Roman" w:cs="Times New Roman"/>
          <w:sz w:val="20"/>
          <w:szCs w:val="20"/>
        </w:rPr>
        <w:t>235</w:t>
      </w:r>
    </w:p>
    <w:p w:rsidR="00000000" w:rsidRDefault="00A06965">
      <w:pPr>
        <w:pStyle w:val="DefaultParagraphFont"/>
        <w:widowControl w:val="0"/>
        <w:tabs>
          <w:tab w:val="left" w:pos="4600"/>
        </w:tabs>
        <w:autoSpaceDE w:val="0"/>
        <w:autoSpaceDN w:val="0"/>
        <w:adjustRightInd w:val="0"/>
        <w:spacing w:after="0" w:line="189" w:lineRule="auto"/>
        <w:rPr>
          <w:rFonts w:ascii="Times New Roman" w:hAnsi="Times New Roman" w:cs="Times New Roman"/>
          <w:sz w:val="24"/>
          <w:szCs w:val="24"/>
        </w:rPr>
      </w:pPr>
      <w:r>
        <w:rPr>
          <w:rFonts w:ascii="Times New Roman" w:hAnsi="Times New Roman" w:cs="Times New Roman"/>
          <w:b/>
          <w:bCs/>
          <w:sz w:val="20"/>
          <w:szCs w:val="20"/>
        </w:rPr>
        <w:t xml:space="preserve">R.C.Willey Home Furnishings </w:t>
      </w:r>
      <w:r>
        <w:rPr>
          <w:rFonts w:ascii="Times New Roman" w:hAnsi="Times New Roman" w:cs="Times New Roman"/>
          <w:sz w:val="20"/>
          <w:szCs w:val="20"/>
        </w:rPr>
        <w:t>. . . . . . . . . . . . . . .</w:t>
      </w:r>
      <w:r>
        <w:rPr>
          <w:rFonts w:ascii="Times New Roman" w:hAnsi="Times New Roman" w:cs="Times New Roman"/>
          <w:sz w:val="24"/>
          <w:szCs w:val="24"/>
        </w:rPr>
        <w:tab/>
      </w:r>
      <w:r>
        <w:rPr>
          <w:rFonts w:ascii="Times New Roman" w:hAnsi="Times New Roman" w:cs="Times New Roman"/>
          <w:sz w:val="20"/>
          <w:szCs w:val="20"/>
        </w:rPr>
        <w:t>2,523</w:t>
      </w:r>
    </w:p>
    <w:p w:rsidR="00000000" w:rsidRDefault="00A06965">
      <w:pPr>
        <w:pStyle w:val="DefaultParagraphFont"/>
        <w:widowControl w:val="0"/>
        <w:tabs>
          <w:tab w:val="left" w:pos="4760"/>
        </w:tabs>
        <w:autoSpaceDE w:val="0"/>
        <w:autoSpaceDN w:val="0"/>
        <w:adjustRightInd w:val="0"/>
        <w:spacing w:after="0" w:line="232" w:lineRule="auto"/>
        <w:rPr>
          <w:rFonts w:ascii="Times New Roman" w:hAnsi="Times New Roman" w:cs="Times New Roman"/>
          <w:sz w:val="24"/>
          <w:szCs w:val="24"/>
        </w:rPr>
      </w:pPr>
      <w:r>
        <w:rPr>
          <w:rFonts w:ascii="Times New Roman" w:hAnsi="Times New Roman" w:cs="Times New Roman"/>
          <w:b/>
          <w:bCs/>
          <w:sz w:val="20"/>
          <w:szCs w:val="20"/>
        </w:rPr>
        <w:t xml:space="preserve">World Book </w:t>
      </w:r>
      <w:r>
        <w:rPr>
          <w:rFonts w:ascii="Times New Roman" w:hAnsi="Times New Roman" w:cs="Times New Roman"/>
          <w:b/>
          <w:bCs/>
          <w:sz w:val="26"/>
          <w:szCs w:val="26"/>
          <w:vertAlign w:val="superscript"/>
        </w:rPr>
        <w:t>(1)</w:t>
      </w:r>
      <w:r>
        <w:rPr>
          <w:rFonts w:ascii="Times New Roman" w:hAnsi="Times New Roman" w:cs="Times New Roman"/>
          <w:b/>
          <w:bCs/>
          <w:sz w:val="20"/>
          <w:szCs w:val="20"/>
        </w:rPr>
        <w:t xml:space="preserve">  </w:t>
      </w:r>
      <w:r>
        <w:rPr>
          <w:rFonts w:ascii="Times New Roman" w:hAnsi="Times New Roman" w:cs="Times New Roman"/>
          <w:sz w:val="20"/>
          <w:szCs w:val="20"/>
        </w:rPr>
        <w:t>. . . . . . . . . . . . . . . . . . . . . . . . . . . .</w:t>
      </w:r>
      <w:r>
        <w:rPr>
          <w:rFonts w:ascii="Times New Roman" w:hAnsi="Times New Roman" w:cs="Times New Roman"/>
          <w:sz w:val="24"/>
          <w:szCs w:val="24"/>
        </w:rPr>
        <w:tab/>
      </w:r>
      <w:r>
        <w:rPr>
          <w:rFonts w:ascii="Times" w:hAnsi="Times" w:cs="Times"/>
          <w:sz w:val="20"/>
          <w:szCs w:val="20"/>
        </w:rPr>
        <w:t>171</w:t>
      </w:r>
    </w:p>
    <w:p w:rsidR="00000000" w:rsidRDefault="00A06965">
      <w:pPr>
        <w:pStyle w:val="DefaultParagraphFont"/>
        <w:widowControl w:val="0"/>
        <w:tabs>
          <w:tab w:val="left" w:pos="4760"/>
        </w:tabs>
        <w:autoSpaceDE w:val="0"/>
        <w:autoSpaceDN w:val="0"/>
        <w:adjustRightInd w:val="0"/>
        <w:spacing w:after="0" w:line="190" w:lineRule="auto"/>
        <w:rPr>
          <w:rFonts w:ascii="Times New Roman" w:hAnsi="Times New Roman" w:cs="Times New Roman"/>
          <w:sz w:val="24"/>
          <w:szCs w:val="24"/>
        </w:rPr>
      </w:pPr>
      <w:r>
        <w:rPr>
          <w:rFonts w:ascii="Times New Roman" w:hAnsi="Times New Roman" w:cs="Times New Roman"/>
          <w:b/>
          <w:bCs/>
          <w:sz w:val="20"/>
          <w:szCs w:val="20"/>
        </w:rPr>
        <w:t xml:space="preserve">WPLG, Inc. </w:t>
      </w:r>
      <w:r>
        <w:rPr>
          <w:rFonts w:ascii="Times New Roman" w:hAnsi="Times New Roman" w:cs="Times New Roman"/>
          <w:sz w:val="20"/>
          <w:szCs w:val="20"/>
        </w:rPr>
        <w:t>. . . . . . . . . . . . . . . . . . . . . . . . . . . . . .</w:t>
      </w:r>
      <w:r>
        <w:rPr>
          <w:rFonts w:ascii="Times New Roman" w:hAnsi="Times New Roman" w:cs="Times New Roman"/>
          <w:sz w:val="24"/>
          <w:szCs w:val="24"/>
        </w:rPr>
        <w:tab/>
      </w:r>
      <w:r>
        <w:rPr>
          <w:rFonts w:ascii="Times" w:hAnsi="Times" w:cs="Times"/>
          <w:sz w:val="20"/>
          <w:szCs w:val="20"/>
        </w:rPr>
        <w:t>188</w:t>
      </w:r>
    </w:p>
    <w:p w:rsidR="00000000" w:rsidRDefault="00A06965">
      <w:pPr>
        <w:pStyle w:val="DefaultParagraphFont"/>
        <w:widowControl w:val="0"/>
        <w:tabs>
          <w:tab w:val="left" w:pos="4760"/>
        </w:tabs>
        <w:autoSpaceDE w:val="0"/>
        <w:autoSpaceDN w:val="0"/>
        <w:adjustRightInd w:val="0"/>
        <w:spacing w:after="0" w:line="233" w:lineRule="auto"/>
        <w:rPr>
          <w:rFonts w:ascii="Times New Roman" w:hAnsi="Times New Roman" w:cs="Times New Roman"/>
          <w:sz w:val="24"/>
          <w:szCs w:val="24"/>
        </w:rPr>
      </w:pPr>
      <w:r>
        <w:rPr>
          <w:rFonts w:ascii="Times New Roman" w:hAnsi="Times New Roman" w:cs="Times New Roman"/>
          <w:b/>
          <w:bCs/>
          <w:sz w:val="20"/>
          <w:szCs w:val="20"/>
        </w:rPr>
        <w:t xml:space="preserve">XTRA </w:t>
      </w:r>
      <w:r>
        <w:rPr>
          <w:rFonts w:ascii="Times New Roman" w:hAnsi="Times New Roman" w:cs="Times New Roman"/>
          <w:sz w:val="20"/>
          <w:szCs w:val="20"/>
        </w:rPr>
        <w:t>. . . . . . . . . . . . . . . . . . . . . . . . . . . . . . . . . . .</w:t>
      </w:r>
      <w:r>
        <w:rPr>
          <w:rFonts w:ascii="Times New Roman" w:hAnsi="Times New Roman" w:cs="Times New Roman"/>
          <w:sz w:val="24"/>
          <w:szCs w:val="24"/>
        </w:rPr>
        <w:tab/>
      </w:r>
      <w:r>
        <w:rPr>
          <w:rFonts w:ascii="Times" w:hAnsi="Times" w:cs="Times"/>
          <w:sz w:val="20"/>
          <w:szCs w:val="20"/>
        </w:rPr>
        <w:t>393</w:t>
      </w:r>
    </w:p>
    <w:p w:rsidR="00000000" w:rsidRDefault="00A06965">
      <w:pPr>
        <w:pStyle w:val="DefaultParagraphFont"/>
        <w:widowControl w:val="0"/>
        <w:autoSpaceDE w:val="0"/>
        <w:autoSpaceDN w:val="0"/>
        <w:adjustRightInd w:val="0"/>
        <w:spacing w:after="0" w:line="76" w:lineRule="exact"/>
        <w:rPr>
          <w:rFonts w:ascii="Times New Roman" w:hAnsi="Times New Roman" w:cs="Times New Roman"/>
          <w:sz w:val="24"/>
          <w:szCs w:val="24"/>
        </w:rPr>
      </w:pPr>
      <w:r>
        <w:rPr>
          <w:noProof/>
        </w:rPr>
        <mc:AlternateContent>
          <mc:Choice Requires="wps">
            <w:drawing>
              <wp:anchor distT="0" distB="0" distL="114300" distR="114300" simplePos="0" relativeHeight="251723776" behindDoc="1" locked="0" layoutInCell="0" allowOverlap="1">
                <wp:simplePos x="0" y="0"/>
                <wp:positionH relativeFrom="column">
                  <wp:posOffset>2808605</wp:posOffset>
                </wp:positionH>
                <wp:positionV relativeFrom="paragraph">
                  <wp:posOffset>19685</wp:posOffset>
                </wp:positionV>
                <wp:extent cx="412750" cy="0"/>
                <wp:effectExtent l="0" t="0" r="0" b="0"/>
                <wp:wrapNone/>
                <wp:docPr id="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15pt,1.55pt" to="253.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" o:allowincell="f" strokeweight=".5pt"/>
            </w:pict>
          </mc:Fallback>
        </mc:AlternateContent>
      </w: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 xml:space="preserve">Non-insurance total </w:t>
      </w:r>
      <w:r>
        <w:rPr>
          <w:rFonts w:ascii="Times New Roman" w:hAnsi="Times New Roman" w:cs="Times New Roman"/>
          <w:sz w:val="20"/>
          <w:szCs w:val="20"/>
        </w:rPr>
        <w:t>. . . . . . . . . . . . . . . . . . . . . . . .</w:t>
      </w:r>
      <w:r>
        <w:rPr>
          <w:rFonts w:ascii="Times New Roman" w:hAnsi="Times New Roman" w:cs="Times New Roman"/>
          <w:b/>
          <w:bCs/>
          <w:sz w:val="20"/>
          <w:szCs w:val="20"/>
        </w:rPr>
        <w:t xml:space="preserve">   </w:t>
      </w:r>
      <w:r>
        <w:rPr>
          <w:rFonts w:ascii="Times" w:hAnsi="Times" w:cs="Times"/>
          <w:sz w:val="20"/>
          <w:szCs w:val="20"/>
        </w:rPr>
        <w:t>300,413</w:t>
      </w:r>
    </w:p>
    <w:p w:rsidR="00000000" w:rsidRDefault="00A06965">
      <w:pPr>
        <w:pStyle w:val="DefaultParagraphFont"/>
        <w:widowControl w:val="0"/>
        <w:autoSpaceDE w:val="0"/>
        <w:autoSpaceDN w:val="0"/>
        <w:adjustRightInd w:val="0"/>
        <w:spacing w:after="0" w:line="74" w:lineRule="exact"/>
        <w:rPr>
          <w:rFonts w:ascii="Times New Roman" w:hAnsi="Times New Roman" w:cs="Times New Roman"/>
          <w:sz w:val="24"/>
          <w:szCs w:val="24"/>
        </w:rPr>
      </w:pPr>
      <w:r>
        <w:rPr>
          <w:noProof/>
        </w:rPr>
        <mc:AlternateContent>
          <mc:Choice Requires="wps">
            <w:drawing>
              <wp:anchor distT="0" distB="0" distL="114300" distR="114300" simplePos="0" relativeHeight="251724800" behindDoc="1" locked="0" layoutInCell="0" allowOverlap="1">
                <wp:simplePos x="0" y="0"/>
                <wp:positionH relativeFrom="column">
                  <wp:posOffset>2808605</wp:posOffset>
                </wp:positionH>
                <wp:positionV relativeFrom="paragraph">
                  <wp:posOffset>19685</wp:posOffset>
                </wp:positionV>
                <wp:extent cx="412750" cy="0"/>
                <wp:effectExtent l="0" t="0" r="0" b="0"/>
                <wp:wrapNone/>
                <wp:docPr id="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15pt,1.55pt" to="253.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" o:allowincell="f" strokeweight=".5pt"/>
            </w:pict>
          </mc:Fallback>
        </mc:AlternateContent>
      </w:r>
    </w:p>
    <w:p w:rsidR="00000000" w:rsidRDefault="00A06965">
      <w:pPr>
        <w:pStyle w:val="DefaultParagraphFont"/>
        <w:widowControl w:val="0"/>
        <w:tabs>
          <w:tab w:val="left" w:pos="4860"/>
        </w:tabs>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0"/>
          <w:szCs w:val="20"/>
        </w:rPr>
        <w:t xml:space="preserve">Corporate Office </w:t>
      </w:r>
      <w:r>
        <w:rPr>
          <w:rFonts w:ascii="Times New Roman" w:hAnsi="Times New Roman" w:cs="Times New Roman"/>
          <w:sz w:val="20"/>
          <w:szCs w:val="20"/>
        </w:rPr>
        <w:t>. . . . . . . . . . . . . . . . . . . . . . . . . .</w:t>
      </w:r>
      <w:r>
        <w:rPr>
          <w:rFonts w:ascii="Times New Roman" w:hAnsi="Times New Roman" w:cs="Times New Roman"/>
          <w:sz w:val="24"/>
          <w:szCs w:val="24"/>
        </w:rPr>
        <w:tab/>
      </w:r>
      <w:r>
        <w:rPr>
          <w:rFonts w:ascii="Times" w:hAnsi="Times" w:cs="Times"/>
          <w:sz w:val="20"/>
          <w:szCs w:val="20"/>
        </w:rPr>
        <w:t>25</w:t>
      </w:r>
    </w:p>
    <w:p w:rsidR="00000000" w:rsidRDefault="00A06965">
      <w:pPr>
        <w:pStyle w:val="DefaultParagraphFont"/>
        <w:widowControl w:val="0"/>
        <w:autoSpaceDE w:val="0"/>
        <w:autoSpaceDN w:val="0"/>
        <w:adjustRightInd w:val="0"/>
        <w:spacing w:after="0" w:line="74" w:lineRule="exact"/>
        <w:rPr>
          <w:rFonts w:ascii="Times New Roman" w:hAnsi="Times New Roman" w:cs="Times New Roman"/>
          <w:sz w:val="24"/>
          <w:szCs w:val="24"/>
        </w:rPr>
      </w:pPr>
      <w:r>
        <w:rPr>
          <w:noProof/>
        </w:rPr>
        <mc:AlternateContent>
          <mc:Choice Requires="wps">
            <w:drawing>
              <wp:anchor distT="0" distB="0" distL="114300" distR="114300" simplePos="0" relativeHeight="251725824" behindDoc="1" locked="0" layoutInCell="0" allowOverlap="1">
                <wp:simplePos x="0" y="0"/>
                <wp:positionH relativeFrom="column">
                  <wp:posOffset>2808605</wp:posOffset>
                </wp:positionH>
                <wp:positionV relativeFrom="paragraph">
                  <wp:posOffset>20320</wp:posOffset>
                </wp:positionV>
                <wp:extent cx="412750" cy="0"/>
                <wp:effectExtent l="0" t="0" r="0" b="0"/>
                <wp:wrapNone/>
                <wp:docPr id="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15pt,1.6pt" to="253.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" o:allowincell="f" strokeweight=".5pt"/>
            </w:pict>
          </mc:Fallback>
        </mc:AlternateContent>
      </w:r>
    </w:p>
    <w:p w:rsidR="00000000" w:rsidRDefault="00A06965">
      <w:pPr>
        <w:pStyle w:val="DefaultParagraphFont"/>
        <w:widowControl w:val="0"/>
        <w:overflowPunct w:val="0"/>
        <w:autoSpaceDE w:val="0"/>
        <w:autoSpaceDN w:val="0"/>
        <w:adjustRightInd w:val="0"/>
        <w:spacing w:after="0" w:line="239" w:lineRule="auto"/>
        <w:jc w:val="right"/>
        <w:rPr>
          <w:rFonts w:ascii="Times New Roman" w:hAnsi="Times New Roman" w:cs="Times New Roman"/>
          <w:sz w:val="24"/>
          <w:szCs w:val="24"/>
        </w:rPr>
      </w:pPr>
      <w:r>
        <w:rPr>
          <w:rFonts w:ascii="Times" w:hAnsi="Times" w:cs="Times"/>
          <w:sz w:val="20"/>
          <w:szCs w:val="20"/>
        </w:rPr>
        <w:t>340,499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3" w:right="840" w:bottom="523" w:left="720" w:header="720" w:footer="720" w:gutter="0"/>
          <w:cols w:num="2" w:space="380" w:equalWidth="0">
            <w:col w:w="5220" w:space="380"/>
            <w:col w:w="5080"/>
          </w:cols>
          <w:noEndnote/>
        </w:sectPr>
      </w:pPr>
      <w:r>
        <w:rPr>
          <w:noProof/>
        </w:rPr>
        <mc:AlternateContent>
          <mc:Choice Requires="wps">
            <w:drawing>
              <wp:anchor distT="0" distB="0" distL="114300" distR="114300" simplePos="0" relativeHeight="251726848" behindDoc="1" locked="0" layoutInCell="0" allowOverlap="1">
                <wp:simplePos x="0" y="0"/>
                <wp:positionH relativeFrom="column">
                  <wp:posOffset>2808605</wp:posOffset>
                </wp:positionH>
                <wp:positionV relativeFrom="paragraph">
                  <wp:posOffset>20955</wp:posOffset>
                </wp:positionV>
                <wp:extent cx="412750" cy="0"/>
                <wp:effectExtent l="0" t="0" r="0" b="0"/>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9"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15pt,1.65pt" to="253.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" o:allowincell="f" strokeweight=".5pt"/>
            </w:pict>
          </mc:Fallback>
        </mc:AlternateContent>
      </w:r>
      <w:r>
        <w:rPr>
          <w:noProof/>
        </w:rPr>
        <mc:AlternateContent>
          <mc:Choice Requires="wps">
            <w:drawing>
              <wp:anchor distT="0" distB="0" distL="114300" distR="114300" simplePos="0" relativeHeight="251727872" behindDoc="1" locked="0" layoutInCell="0" allowOverlap="1">
                <wp:simplePos x="0" y="0"/>
                <wp:positionH relativeFrom="column">
                  <wp:posOffset>2808605</wp:posOffset>
                </wp:positionH>
                <wp:positionV relativeFrom="paragraph">
                  <wp:posOffset>46355</wp:posOffset>
                </wp:positionV>
                <wp:extent cx="412750" cy="0"/>
                <wp:effectExtent l="0" t="0" r="0" b="0"/>
                <wp:wrapNone/>
                <wp:docPr id="2"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0"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15pt,3.65pt" to="253.6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" o:allowincell="f" strokeweight=".5pt"/>
            </w:pict>
          </mc:Fallback>
        </mc:AlternateContent>
      </w:r>
    </w:p>
    <w:p w:rsidR="00000000" w:rsidRDefault="00A06965">
      <w:pPr>
        <w:pStyle w:val="DefaultParagraphFont"/>
        <w:widowControl w:val="0"/>
        <w:autoSpaceDE w:val="0"/>
        <w:autoSpaceDN w:val="0"/>
        <w:adjustRightInd w:val="0"/>
        <w:spacing w:after="0" w:line="222" w:lineRule="exact"/>
        <w:rPr>
          <w:rFonts w:ascii="Times New Roman" w:hAnsi="Times New Roman" w:cs="Times New Roman"/>
          <w:sz w:val="24"/>
          <w:szCs w:val="24"/>
        </w:rPr>
      </w:pPr>
    </w:p>
    <w:p w:rsidR="00000000" w:rsidRDefault="00A06965">
      <w:pPr>
        <w:pStyle w:val="DefaultParagraphFont"/>
        <w:widowControl w:val="0"/>
        <w:numPr>
          <w:ilvl w:val="0"/>
          <w:numId w:val="56"/>
        </w:numPr>
        <w:tabs>
          <w:tab w:val="clear" w:pos="720"/>
          <w:tab w:val="num" w:pos="480"/>
        </w:tabs>
        <w:overflowPunct w:val="0"/>
        <w:autoSpaceDE w:val="0"/>
        <w:autoSpaceDN w:val="0"/>
        <w:adjustRightInd w:val="0"/>
        <w:spacing w:after="0" w:line="240" w:lineRule="auto"/>
        <w:ind w:left="480" w:hanging="480"/>
        <w:jc w:val="both"/>
        <w:rPr>
          <w:rFonts w:ascii="Times New Roman" w:hAnsi="Times New Roman" w:cs="Times New Roman"/>
          <w:sz w:val="26"/>
          <w:szCs w:val="26"/>
          <w:vertAlign w:val="superscript"/>
        </w:rPr>
      </w:pPr>
      <w:r>
        <w:rPr>
          <w:rFonts w:ascii="Times New Roman" w:hAnsi="Times New Roman" w:cs="Times New Roman"/>
          <w:sz w:val="20"/>
          <w:szCs w:val="20"/>
        </w:rPr>
        <w:t>A Scott Fetzer Company</w:t>
      </w:r>
    </w:p>
    <w:p w:rsidR="00000000" w:rsidRDefault="00A06965">
      <w:pPr>
        <w:pStyle w:val="DefaultParagraphFont"/>
        <w:widowControl w:val="0"/>
        <w:autoSpaceDE w:val="0"/>
        <w:autoSpaceDN w:val="0"/>
        <w:adjustRightInd w:val="0"/>
        <w:spacing w:after="0" w:line="59" w:lineRule="exact"/>
        <w:rPr>
          <w:rFonts w:ascii="Times New Roman" w:hAnsi="Times New Roman" w:cs="Times New Roman"/>
          <w:sz w:val="26"/>
          <w:szCs w:val="26"/>
          <w:vertAlign w:val="superscript"/>
        </w:rPr>
      </w:pPr>
    </w:p>
    <w:p w:rsidR="00000000" w:rsidRDefault="00A06965">
      <w:pPr>
        <w:pStyle w:val="DefaultParagraphFont"/>
        <w:widowControl w:val="0"/>
        <w:numPr>
          <w:ilvl w:val="0"/>
          <w:numId w:val="56"/>
        </w:numPr>
        <w:tabs>
          <w:tab w:val="clear" w:pos="720"/>
          <w:tab w:val="num" w:pos="480"/>
        </w:tabs>
        <w:overflowPunct w:val="0"/>
        <w:autoSpaceDE w:val="0"/>
        <w:autoSpaceDN w:val="0"/>
        <w:adjustRightInd w:val="0"/>
        <w:spacing w:after="0" w:line="188" w:lineRule="auto"/>
        <w:ind w:left="480" w:hanging="480"/>
        <w:jc w:val="both"/>
        <w:rPr>
          <w:rFonts w:ascii="Times New Roman" w:hAnsi="Times New Roman" w:cs="Times New Roman"/>
          <w:sz w:val="20"/>
          <w:szCs w:val="20"/>
          <w:vertAlign w:val="superscript"/>
        </w:rPr>
      </w:pPr>
      <w:r>
        <w:rPr>
          <w:rFonts w:ascii="Times New Roman" w:hAnsi="Times New Roman" w:cs="Times New Roman"/>
          <w:sz w:val="16"/>
          <w:szCs w:val="16"/>
        </w:rPr>
        <w:t>A Berkshire Hathaway Energy Company</w:t>
      </w:r>
    </w:p>
    <w:p w:rsidR="00000000" w:rsidRDefault="00A06965">
      <w:pPr>
        <w:pStyle w:val="DefaultParagraphFont"/>
        <w:widowControl w:val="0"/>
        <w:autoSpaceDE w:val="0"/>
        <w:autoSpaceDN w:val="0"/>
        <w:adjustRightInd w:val="0"/>
        <w:spacing w:after="0" w:line="59" w:lineRule="exact"/>
        <w:rPr>
          <w:rFonts w:ascii="Times New Roman" w:hAnsi="Times New Roman" w:cs="Times New Roman"/>
          <w:sz w:val="20"/>
          <w:szCs w:val="20"/>
          <w:vertAlign w:val="superscript"/>
        </w:rPr>
      </w:pPr>
    </w:p>
    <w:p w:rsidR="00000000" w:rsidRDefault="00A06965">
      <w:pPr>
        <w:pStyle w:val="DefaultParagraphFont"/>
        <w:widowControl w:val="0"/>
        <w:numPr>
          <w:ilvl w:val="0"/>
          <w:numId w:val="56"/>
        </w:numPr>
        <w:tabs>
          <w:tab w:val="clear" w:pos="720"/>
          <w:tab w:val="num" w:pos="480"/>
        </w:tabs>
        <w:overflowPunct w:val="0"/>
        <w:autoSpaceDE w:val="0"/>
        <w:autoSpaceDN w:val="0"/>
        <w:adjustRightInd w:val="0"/>
        <w:spacing w:after="0" w:line="188" w:lineRule="auto"/>
        <w:ind w:left="480" w:hanging="480"/>
        <w:jc w:val="both"/>
        <w:rPr>
          <w:rFonts w:ascii="Times New Roman" w:hAnsi="Times New Roman" w:cs="Times New Roman"/>
          <w:sz w:val="20"/>
          <w:szCs w:val="20"/>
          <w:vertAlign w:val="superscript"/>
        </w:rPr>
      </w:pPr>
      <w:r>
        <w:rPr>
          <w:rFonts w:ascii="Times New Roman" w:hAnsi="Times New Roman" w:cs="Times New Roman"/>
          <w:sz w:val="16"/>
          <w:szCs w:val="16"/>
        </w:rPr>
        <w:t>A Fruit of the Loom, Inc. Company</w:t>
      </w:r>
    </w:p>
    <w:p w:rsidR="00000000" w:rsidRDefault="00A06965">
      <w:pPr>
        <w:pStyle w:val="DefaultParagraphFont"/>
        <w:widowControl w:val="0"/>
        <w:autoSpaceDE w:val="0"/>
        <w:autoSpaceDN w:val="0"/>
        <w:adjustRightInd w:val="0"/>
        <w:spacing w:after="0" w:line="59" w:lineRule="exact"/>
        <w:rPr>
          <w:rFonts w:ascii="Times New Roman" w:hAnsi="Times New Roman" w:cs="Times New Roman"/>
          <w:sz w:val="20"/>
          <w:szCs w:val="20"/>
          <w:vertAlign w:val="superscript"/>
        </w:rPr>
      </w:pPr>
    </w:p>
    <w:p w:rsidR="00000000" w:rsidRDefault="00A06965">
      <w:pPr>
        <w:pStyle w:val="DefaultParagraphFont"/>
        <w:widowControl w:val="0"/>
        <w:numPr>
          <w:ilvl w:val="0"/>
          <w:numId w:val="56"/>
        </w:numPr>
        <w:tabs>
          <w:tab w:val="clear" w:pos="720"/>
          <w:tab w:val="num" w:pos="480"/>
        </w:tabs>
        <w:overflowPunct w:val="0"/>
        <w:autoSpaceDE w:val="0"/>
        <w:autoSpaceDN w:val="0"/>
        <w:adjustRightInd w:val="0"/>
        <w:spacing w:after="0" w:line="240" w:lineRule="auto"/>
        <w:ind w:left="480" w:hanging="480"/>
        <w:jc w:val="both"/>
        <w:rPr>
          <w:rFonts w:ascii="Times New Roman" w:hAnsi="Times New Roman" w:cs="Times New Roman"/>
          <w:sz w:val="26"/>
          <w:szCs w:val="26"/>
          <w:vertAlign w:val="superscript"/>
        </w:rPr>
      </w:pPr>
      <w:r>
        <w:rPr>
          <w:rFonts w:ascii="Times New Roman" w:hAnsi="Times New Roman" w:cs="Times New Roman"/>
          <w:sz w:val="20"/>
          <w:szCs w:val="20"/>
        </w:rPr>
        <w:t>The Marmon Group consists of approximately 185 manufacturing and service businesses that operate within 13 business sectors.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3" w:right="720" w:bottom="523" w:left="720" w:header="720" w:footer="720" w:gutter="0"/>
          <w:cols w:space="380" w:equalWidth="0">
            <w:col w:w="10800" w:space="380"/>
          </w:cols>
          <w:noEndnote/>
        </w:sectPr>
      </w:pPr>
    </w:p>
    <w:p w:rsidR="00000000" w:rsidRDefault="00A06965">
      <w:pPr>
        <w:pStyle w:val="DefaultParagraphFont"/>
        <w:widowControl w:val="0"/>
        <w:autoSpaceDE w:val="0"/>
        <w:autoSpaceDN w:val="0"/>
        <w:adjustRightInd w:val="0"/>
        <w:spacing w:after="0" w:line="373"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125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3" w:right="5960" w:bottom="523" w:left="5980" w:header="720" w:footer="720" w:gutter="0"/>
          <w:cols w:space="380" w:equalWidth="0">
            <w:col w:w="300" w:space="380"/>
          </w:cols>
          <w:noEndnote/>
        </w:sectPr>
      </w:pPr>
    </w:p>
    <w:p w:rsidR="00000000" w:rsidRDefault="00A06965">
      <w:pPr>
        <w:pStyle w:val="DefaultParagraphFont"/>
        <w:widowControl w:val="0"/>
        <w:autoSpaceDE w:val="0"/>
        <w:autoSpaceDN w:val="0"/>
        <w:adjustRightInd w:val="0"/>
        <w:spacing w:after="0" w:line="239" w:lineRule="auto"/>
        <w:ind w:left="3940"/>
        <w:rPr>
          <w:rFonts w:ascii="Times New Roman" w:hAnsi="Times New Roman" w:cs="Times New Roman"/>
          <w:sz w:val="24"/>
          <w:szCs w:val="24"/>
        </w:rPr>
      </w:pPr>
      <w:r>
        <w:rPr>
          <w:rFonts w:ascii="Times New Roman" w:hAnsi="Times New Roman" w:cs="Times New Roman"/>
          <w:b/>
          <w:bCs/>
          <w:sz w:val="20"/>
          <w:szCs w:val="20"/>
        </w:rPr>
        <w:t>BERKSHIRE HATHAWAY INC.</w:t>
      </w:r>
    </w:p>
    <w:p w:rsidR="00000000" w:rsidRDefault="00A06965">
      <w:pPr>
        <w:pStyle w:val="DefaultParagraphFont"/>
        <w:widowControl w:val="0"/>
        <w:autoSpaceDE w:val="0"/>
        <w:autoSpaceDN w:val="0"/>
        <w:adjustRightInd w:val="0"/>
        <w:spacing w:after="0" w:line="9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3400"/>
        <w:rPr>
          <w:rFonts w:ascii="Times New Roman" w:hAnsi="Times New Roman" w:cs="Times New Roman"/>
          <w:sz w:val="24"/>
          <w:szCs w:val="24"/>
        </w:rPr>
      </w:pPr>
      <w:r>
        <w:rPr>
          <w:rFonts w:ascii="Times New Roman" w:hAnsi="Times New Roman" w:cs="Times New Roman"/>
          <w:b/>
          <w:bCs/>
          <w:sz w:val="20"/>
          <w:szCs w:val="20"/>
        </w:rPr>
        <w:t>REAL ESTATE BROKERAGE BUSINESSES</w:t>
      </w:r>
    </w:p>
    <w:p w:rsidR="00000000" w:rsidRDefault="00A06965">
      <w:pPr>
        <w:pStyle w:val="DefaultParagraphFont"/>
        <w:widowControl w:val="0"/>
        <w:autoSpaceDE w:val="0"/>
        <w:autoSpaceDN w:val="0"/>
        <w:adjustRightInd w:val="0"/>
        <w:spacing w:after="0" w:line="20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080"/>
        <w:gridCol w:w="2780"/>
        <w:gridCol w:w="340"/>
        <w:gridCol w:w="1980"/>
        <w:gridCol w:w="1380"/>
        <w:gridCol w:w="1540"/>
        <w:gridCol w:w="1260"/>
      </w:tblGrid>
      <w:tr w:rsidR="00000000">
        <w:tblPrEx>
          <w:tblCellMar>
            <w:top w:w="0" w:type="dxa"/>
            <w:left w:w="0" w:type="dxa"/>
            <w:bottom w:w="0" w:type="dxa"/>
            <w:right w:w="0" w:type="dxa"/>
          </w:tblCellMar>
        </w:tblPrEx>
        <w:trPr>
          <w:trHeight w:val="184"/>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Brand</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State</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Major Cities Served</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b/>
                <w:bCs/>
                <w:w w:val="98"/>
                <w:sz w:val="16"/>
                <w:szCs w:val="16"/>
              </w:rPr>
              <w:t>Number of Agents</w:t>
            </w:r>
          </w:p>
        </w:tc>
      </w:tr>
      <w:tr w:rsidR="00000000">
        <w:tblPrEx>
          <w:tblCellMar>
            <w:top w:w="0" w:type="dxa"/>
            <w:left w:w="0" w:type="dxa"/>
            <w:bottom w:w="0" w:type="dxa"/>
            <w:right w:w="0" w:type="dxa"/>
          </w:tblCellMar>
        </w:tblPrEx>
        <w:trPr>
          <w:trHeight w:val="26"/>
        </w:trPr>
        <w:tc>
          <w:tcPr>
            <w:tcW w:w="10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2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RealtySouth</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Alabama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Birmingham</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694</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Roberts Brothers Inc.</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Alabama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Mobile</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155</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Long Companies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Arizona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Tucson</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703</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Guarantee Real Estate</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California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Fresno</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468</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Intero Real Estate 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California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Silicon Valley</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970</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California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San Diego/Los Angeles</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2,450</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00"/>
              <w:rPr>
                <w:rFonts w:ascii="Times New Roman" w:hAnsi="Times New Roman" w:cs="Times New Roman"/>
                <w:sz w:val="24"/>
                <w:szCs w:val="24"/>
              </w:rPr>
            </w:pPr>
            <w:r>
              <w:rPr>
                <w:rFonts w:ascii="Times New Roman" w:hAnsi="Times New Roman" w:cs="Times New Roman"/>
                <w:sz w:val="20"/>
                <w:szCs w:val="20"/>
              </w:rPr>
              <w:t>California Properties</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Connecticut, Rhode</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Hartford; Westerly</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1,209</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00"/>
              <w:rPr>
                <w:rFonts w:ascii="Times New Roman" w:hAnsi="Times New Roman" w:cs="Times New Roman"/>
                <w:sz w:val="24"/>
                <w:szCs w:val="24"/>
              </w:rPr>
            </w:pPr>
            <w:r>
              <w:rPr>
                <w:rFonts w:ascii="Times New Roman" w:hAnsi="Times New Roman" w:cs="Times New Roman"/>
                <w:sz w:val="20"/>
                <w:szCs w:val="20"/>
              </w:rPr>
              <w:t>New England Properties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Island</w:t>
            </w:r>
          </w:p>
        </w:tc>
        <w:tc>
          <w:tcPr>
            <w:tcW w:w="1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Delaware, New Jersey,</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Wilmington; Ocean City;</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4,498</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00"/>
              <w:rPr>
                <w:rFonts w:ascii="Times New Roman" w:hAnsi="Times New Roman" w:cs="Times New Roman"/>
                <w:sz w:val="24"/>
                <w:szCs w:val="24"/>
              </w:rPr>
            </w:pPr>
            <w:r>
              <w:rPr>
                <w:rFonts w:ascii="Times New Roman" w:hAnsi="Times New Roman" w:cs="Times New Roman"/>
                <w:sz w:val="20"/>
                <w:szCs w:val="20"/>
              </w:rPr>
              <w:t>Fox &amp; Roach</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Pennsylvania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Philadelphia</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38"/>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338" w:lineRule="exact"/>
              <w:rPr>
                <w:rFonts w:ascii="Times New Roman" w:hAnsi="Times New Roman" w:cs="Times New Roman"/>
                <w:sz w:val="24"/>
                <w:szCs w:val="24"/>
              </w:rPr>
            </w:pPr>
            <w:r>
              <w:rPr>
                <w:rFonts w:ascii="Times New Roman" w:hAnsi="Times New Roman" w:cs="Times New Roman"/>
                <w:sz w:val="20"/>
                <w:szCs w:val="20"/>
              </w:rPr>
              <w:t>EWM REALTORS</w:t>
            </w:r>
            <w:r>
              <w:rPr>
                <w:rFonts w:ascii="Times New Roman" w:hAnsi="Times New Roman" w:cs="Times New Roman"/>
                <w:sz w:val="30"/>
                <w:szCs w:val="30"/>
                <w:vertAlign w:val="superscript"/>
              </w:rPr>
              <w:t>®</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Florida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Miami</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771</w:t>
            </w:r>
          </w:p>
        </w:tc>
      </w:tr>
      <w:tr w:rsidR="00000000">
        <w:tblPrEx>
          <w:tblCellMar>
            <w:top w:w="0" w:type="dxa"/>
            <w:left w:w="0" w:type="dxa"/>
            <w:bottom w:w="0" w:type="dxa"/>
            <w:right w:w="0" w:type="dxa"/>
          </w:tblCellMar>
        </w:tblPrEx>
        <w:trPr>
          <w:trHeight w:val="285"/>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85" w:lineRule="exact"/>
              <w:rPr>
                <w:rFonts w:ascii="Times New Roman" w:hAnsi="Times New Roman" w:cs="Times New Roman"/>
                <w:sz w:val="24"/>
                <w:szCs w:val="24"/>
              </w:rPr>
            </w:pPr>
            <w:r>
              <w:rPr>
                <w:rFonts w:ascii="Times New Roman" w:hAnsi="Times New Roman" w:cs="Times New Roman"/>
                <w:sz w:val="20"/>
                <w:szCs w:val="20"/>
              </w:rPr>
              <w:t>Harry Norman, REALTORS</w:t>
            </w:r>
            <w:r>
              <w:rPr>
                <w:rFonts w:ascii="Times New Roman" w:hAnsi="Times New Roman" w:cs="Times New Roman"/>
                <w:sz w:val="30"/>
                <w:szCs w:val="30"/>
                <w:vertAlign w:val="superscript"/>
              </w:rPr>
              <w:t>®</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1" w:lineRule="exact"/>
              <w:rPr>
                <w:rFonts w:ascii="Times New Roman" w:hAnsi="Times New Roman" w:cs="Times New Roman"/>
                <w:sz w:val="24"/>
                <w:szCs w:val="24"/>
              </w:rPr>
            </w:pPr>
            <w:r>
              <w:rPr>
                <w:rFonts w:ascii="Times New Roman" w:hAnsi="Times New Roman" w:cs="Times New Roman"/>
                <w:sz w:val="20"/>
                <w:szCs w:val="20"/>
              </w:rPr>
              <w:t>Georgia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1" w:lineRule="exact"/>
              <w:rPr>
                <w:rFonts w:ascii="Times New Roman" w:hAnsi="Times New Roman" w:cs="Times New Roman"/>
                <w:sz w:val="24"/>
                <w:szCs w:val="24"/>
              </w:rPr>
            </w:pPr>
            <w:r>
              <w:rPr>
                <w:rFonts w:ascii="Times New Roman" w:hAnsi="Times New Roman" w:cs="Times New Roman"/>
                <w:sz w:val="20"/>
                <w:szCs w:val="20"/>
              </w:rPr>
              <w:t>Atlanta</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1" w:lineRule="exact"/>
              <w:ind w:right="301"/>
              <w:jc w:val="right"/>
              <w:rPr>
                <w:rFonts w:ascii="Times New Roman" w:hAnsi="Times New Roman" w:cs="Times New Roman"/>
                <w:sz w:val="24"/>
                <w:szCs w:val="24"/>
              </w:rPr>
            </w:pPr>
            <w:r>
              <w:rPr>
                <w:rFonts w:ascii="Times New Roman" w:hAnsi="Times New Roman" w:cs="Times New Roman"/>
                <w:sz w:val="20"/>
                <w:szCs w:val="20"/>
              </w:rPr>
              <w:t>851</w:t>
            </w:r>
          </w:p>
        </w:tc>
      </w:tr>
      <w:tr w:rsidR="00000000">
        <w:tblPrEx>
          <w:tblCellMar>
            <w:top w:w="0" w:type="dxa"/>
            <w:left w:w="0" w:type="dxa"/>
            <w:bottom w:w="0" w:type="dxa"/>
            <w:right w:w="0" w:type="dxa"/>
          </w:tblCellMar>
        </w:tblPrEx>
        <w:trPr>
          <w:trHeight w:val="217"/>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Georgia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Atlanta</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01"/>
              <w:jc w:val="right"/>
              <w:rPr>
                <w:rFonts w:ascii="Times New Roman" w:hAnsi="Times New Roman" w:cs="Times New Roman"/>
                <w:sz w:val="24"/>
                <w:szCs w:val="24"/>
              </w:rPr>
            </w:pPr>
            <w:r>
              <w:rPr>
                <w:rFonts w:ascii="Times New Roman" w:hAnsi="Times New Roman" w:cs="Times New Roman"/>
                <w:sz w:val="20"/>
                <w:szCs w:val="20"/>
              </w:rPr>
              <w:t>1,212</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00"/>
              <w:rPr>
                <w:rFonts w:ascii="Times New Roman" w:hAnsi="Times New Roman" w:cs="Times New Roman"/>
                <w:sz w:val="24"/>
                <w:szCs w:val="24"/>
              </w:rPr>
            </w:pPr>
            <w:r>
              <w:rPr>
                <w:rFonts w:ascii="Times New Roman" w:hAnsi="Times New Roman" w:cs="Times New Roman"/>
                <w:sz w:val="20"/>
                <w:szCs w:val="20"/>
              </w:rPr>
              <w:t>Georgia Properties</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Illinois, Michigan</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Chicago; New Buffalo</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1,354</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00"/>
              <w:rPr>
                <w:rFonts w:ascii="Times New Roman" w:hAnsi="Times New Roman" w:cs="Times New Roman"/>
                <w:sz w:val="24"/>
                <w:szCs w:val="24"/>
              </w:rPr>
            </w:pPr>
            <w:r>
              <w:rPr>
                <w:rFonts w:ascii="Times New Roman" w:hAnsi="Times New Roman" w:cs="Times New Roman"/>
                <w:sz w:val="20"/>
                <w:szCs w:val="20"/>
              </w:rPr>
              <w:t>KoenigRubloff Realty Group</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43"/>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342" w:lineRule="exact"/>
              <w:rPr>
                <w:rFonts w:ascii="Times New Roman" w:hAnsi="Times New Roman" w:cs="Times New Roman"/>
                <w:sz w:val="24"/>
                <w:szCs w:val="24"/>
              </w:rPr>
            </w:pPr>
            <w:r>
              <w:rPr>
                <w:rFonts w:ascii="Times New Roman" w:hAnsi="Times New Roman" w:cs="Times New Roman"/>
                <w:sz w:val="20"/>
                <w:szCs w:val="20"/>
              </w:rPr>
              <w:t>Semonin REALTORS</w:t>
            </w:r>
            <w:r>
              <w:rPr>
                <w:rFonts w:ascii="Times New Roman" w:hAnsi="Times New Roman" w:cs="Times New Roman"/>
                <w:sz w:val="30"/>
                <w:szCs w:val="30"/>
                <w:vertAlign w:val="superscript"/>
              </w:rPr>
              <w:t>®</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Indiana, Kentucky</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New Albany; Louisville</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523</w:t>
            </w:r>
          </w:p>
        </w:tc>
      </w:tr>
      <w:tr w:rsidR="00000000">
        <w:tblPrEx>
          <w:tblCellMar>
            <w:top w:w="0" w:type="dxa"/>
            <w:left w:w="0" w:type="dxa"/>
            <w:bottom w:w="0" w:type="dxa"/>
            <w:right w:w="0" w:type="dxa"/>
          </w:tblCellMar>
        </w:tblPrEx>
        <w:trPr>
          <w:trHeight w:val="217"/>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Iowa Realty</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Iowa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Des Moines</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01"/>
              <w:jc w:val="right"/>
              <w:rPr>
                <w:rFonts w:ascii="Times New Roman" w:hAnsi="Times New Roman" w:cs="Times New Roman"/>
                <w:sz w:val="24"/>
                <w:szCs w:val="24"/>
              </w:rPr>
            </w:pPr>
            <w:r>
              <w:rPr>
                <w:rFonts w:ascii="Times New Roman" w:hAnsi="Times New Roman" w:cs="Times New Roman"/>
                <w:sz w:val="20"/>
                <w:szCs w:val="20"/>
              </w:rPr>
              <w:t>703</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Iowa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Des Moines</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68</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00"/>
              <w:rPr>
                <w:rFonts w:ascii="Times New Roman" w:hAnsi="Times New Roman" w:cs="Times New Roman"/>
                <w:sz w:val="24"/>
                <w:szCs w:val="24"/>
              </w:rPr>
            </w:pPr>
            <w:r>
              <w:rPr>
                <w:rFonts w:ascii="Times New Roman" w:hAnsi="Times New Roman" w:cs="Times New Roman"/>
                <w:sz w:val="20"/>
                <w:szCs w:val="20"/>
              </w:rPr>
              <w:t>First Realty</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43"/>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342" w:lineRule="exact"/>
              <w:rPr>
                <w:rFonts w:ascii="Times New Roman" w:hAnsi="Times New Roman" w:cs="Times New Roman"/>
                <w:sz w:val="24"/>
                <w:szCs w:val="24"/>
              </w:rPr>
            </w:pPr>
            <w:r>
              <w:rPr>
                <w:rFonts w:ascii="Times New Roman" w:hAnsi="Times New Roman" w:cs="Times New Roman"/>
                <w:sz w:val="20"/>
                <w:szCs w:val="20"/>
              </w:rPr>
              <w:t>Rector-Hayden REALTORS</w:t>
            </w:r>
            <w:r>
              <w:rPr>
                <w:rFonts w:ascii="Times New Roman" w:hAnsi="Times New Roman" w:cs="Times New Roman"/>
                <w:sz w:val="30"/>
                <w:szCs w:val="30"/>
                <w:vertAlign w:val="superscript"/>
              </w:rPr>
              <w:t>®</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Kentucky</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Lexington</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216</w:t>
            </w:r>
          </w:p>
        </w:tc>
      </w:tr>
      <w:tr w:rsidR="00000000">
        <w:tblPrEx>
          <w:tblCellMar>
            <w:top w:w="0" w:type="dxa"/>
            <w:left w:w="0" w:type="dxa"/>
            <w:bottom w:w="0" w:type="dxa"/>
            <w:right w:w="0" w:type="dxa"/>
          </w:tblCellMar>
        </w:tblPrEx>
        <w:trPr>
          <w:trHeight w:val="217"/>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Champion Realty Inc.</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Maryland</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Annapolis</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01"/>
              <w:jc w:val="right"/>
              <w:rPr>
                <w:rFonts w:ascii="Times New Roman" w:hAnsi="Times New Roman" w:cs="Times New Roman"/>
                <w:sz w:val="24"/>
                <w:szCs w:val="24"/>
              </w:rPr>
            </w:pPr>
            <w:r>
              <w:rPr>
                <w:rFonts w:ascii="Times New Roman" w:hAnsi="Times New Roman" w:cs="Times New Roman"/>
                <w:sz w:val="20"/>
                <w:szCs w:val="20"/>
              </w:rPr>
              <w:t>235</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Edina Realty</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Minnesota, Wisconsin</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Minneapolis/St. Paul; Eau</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10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Claire</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2,246</w:t>
            </w:r>
          </w:p>
        </w:tc>
      </w:tr>
      <w:tr w:rsidR="00000000">
        <w:tblPrEx>
          <w:tblCellMar>
            <w:top w:w="0" w:type="dxa"/>
            <w:left w:w="0" w:type="dxa"/>
            <w:bottom w:w="0" w:type="dxa"/>
            <w:right w:w="0" w:type="dxa"/>
          </w:tblCellMar>
        </w:tblPrEx>
        <w:trPr>
          <w:trHeight w:val="343"/>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342" w:lineRule="exact"/>
              <w:rPr>
                <w:rFonts w:ascii="Times New Roman" w:hAnsi="Times New Roman" w:cs="Times New Roman"/>
                <w:sz w:val="24"/>
                <w:szCs w:val="24"/>
              </w:rPr>
            </w:pPr>
            <w:r>
              <w:rPr>
                <w:rFonts w:ascii="Times New Roman" w:hAnsi="Times New Roman" w:cs="Times New Roman"/>
                <w:sz w:val="20"/>
                <w:szCs w:val="20"/>
              </w:rPr>
              <w:t>Carol Jones REALTORS</w:t>
            </w:r>
            <w:r>
              <w:rPr>
                <w:rFonts w:ascii="Times New Roman" w:hAnsi="Times New Roman" w:cs="Times New Roman"/>
                <w:sz w:val="30"/>
                <w:szCs w:val="30"/>
                <w:vertAlign w:val="superscript"/>
              </w:rPr>
              <w:t>®</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Missouri</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Springfield/Branson</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224</w:t>
            </w:r>
          </w:p>
        </w:tc>
      </w:tr>
      <w:tr w:rsidR="00000000">
        <w:tblPrEx>
          <w:tblCellMar>
            <w:top w:w="0" w:type="dxa"/>
            <w:left w:w="0" w:type="dxa"/>
            <w:bottom w:w="0" w:type="dxa"/>
            <w:right w:w="0" w:type="dxa"/>
          </w:tblCellMar>
        </w:tblPrEx>
        <w:trPr>
          <w:trHeight w:val="217"/>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Reece Nichols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Missouri, Kansas</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sz w:val="20"/>
                <w:szCs w:val="20"/>
              </w:rPr>
              <w:t>Kansas City</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17" w:lineRule="exact"/>
              <w:ind w:right="301"/>
              <w:jc w:val="right"/>
              <w:rPr>
                <w:rFonts w:ascii="Times New Roman" w:hAnsi="Times New Roman" w:cs="Times New Roman"/>
                <w:sz w:val="24"/>
                <w:szCs w:val="24"/>
              </w:rPr>
            </w:pPr>
            <w:r>
              <w:rPr>
                <w:rFonts w:ascii="Times New Roman" w:hAnsi="Times New Roman" w:cs="Times New Roman"/>
                <w:sz w:val="20"/>
                <w:szCs w:val="20"/>
              </w:rPr>
              <w:t>1,909</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Missouri</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Kansas City</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67</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00"/>
              <w:rPr>
                <w:rFonts w:ascii="Times New Roman" w:hAnsi="Times New Roman" w:cs="Times New Roman"/>
                <w:sz w:val="24"/>
                <w:szCs w:val="24"/>
              </w:rPr>
            </w:pPr>
            <w:r>
              <w:rPr>
                <w:rFonts w:ascii="Times New Roman" w:hAnsi="Times New Roman" w:cs="Times New Roman"/>
                <w:sz w:val="20"/>
                <w:szCs w:val="20"/>
              </w:rPr>
              <w:t>Kansas City Realty</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CBSHOME Real Estate</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Nebraska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Omaha</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408</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HOME Real Estate</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Nebraska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Lincoln</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205</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Woods Bros. Realty</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Nebraska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Lincoln</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178</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North Carolina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Charlotte/Winston-Salem</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301"/>
              <w:jc w:val="right"/>
              <w:rPr>
                <w:rFonts w:ascii="Times New Roman" w:hAnsi="Times New Roman" w:cs="Times New Roman"/>
                <w:sz w:val="24"/>
                <w:szCs w:val="24"/>
              </w:rPr>
            </w:pPr>
            <w:r>
              <w:rPr>
                <w:rFonts w:ascii="Times New Roman" w:hAnsi="Times New Roman" w:cs="Times New Roman"/>
                <w:sz w:val="20"/>
                <w:szCs w:val="20"/>
              </w:rPr>
              <w:t>267</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00"/>
              <w:rPr>
                <w:rFonts w:ascii="Times New Roman" w:hAnsi="Times New Roman" w:cs="Times New Roman"/>
                <w:sz w:val="24"/>
                <w:szCs w:val="24"/>
              </w:rPr>
            </w:pPr>
            <w:r>
              <w:rPr>
                <w:rFonts w:ascii="Times New Roman" w:hAnsi="Times New Roman" w:cs="Times New Roman"/>
                <w:sz w:val="20"/>
                <w:szCs w:val="20"/>
              </w:rPr>
              <w:t>Carolinas Realty</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North Carolina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Raleigh</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272</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00"/>
              <w:rPr>
                <w:rFonts w:ascii="Times New Roman" w:hAnsi="Times New Roman" w:cs="Times New Roman"/>
                <w:sz w:val="24"/>
                <w:szCs w:val="24"/>
              </w:rPr>
            </w:pPr>
            <w:r>
              <w:rPr>
                <w:rFonts w:ascii="Times New Roman" w:hAnsi="Times New Roman" w:cs="Times New Roman"/>
                <w:sz w:val="20"/>
                <w:szCs w:val="20"/>
              </w:rPr>
              <w:t>York Simpson Underwood Realty</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North Carolina</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Greensboro</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174</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00"/>
              <w:rPr>
                <w:rFonts w:ascii="Times New Roman" w:hAnsi="Times New Roman" w:cs="Times New Roman"/>
                <w:sz w:val="24"/>
                <w:szCs w:val="24"/>
              </w:rPr>
            </w:pPr>
            <w:r>
              <w:rPr>
                <w:rFonts w:ascii="Times New Roman" w:hAnsi="Times New Roman" w:cs="Times New Roman"/>
                <w:sz w:val="20"/>
                <w:szCs w:val="20"/>
              </w:rPr>
              <w:t>Yost &amp; Little</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Huff Realty</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Ohio</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Cincinnati</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390</w:t>
            </w: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Oregon</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Portland</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337</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300"/>
              <w:rPr>
                <w:rFonts w:ascii="Times New Roman" w:hAnsi="Times New Roman" w:cs="Times New Roman"/>
                <w:sz w:val="24"/>
                <w:szCs w:val="24"/>
              </w:rPr>
            </w:pPr>
            <w:r>
              <w:rPr>
                <w:rFonts w:ascii="Times New Roman" w:hAnsi="Times New Roman" w:cs="Times New Roman"/>
                <w:sz w:val="20"/>
                <w:szCs w:val="20"/>
              </w:rPr>
              <w:t>Northwest Real Estate</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Berkshire Hathaway HomeServices</w:t>
            </w:r>
          </w:p>
        </w:tc>
        <w:tc>
          <w:tcPr>
            <w:tcW w:w="23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Washington</w:t>
            </w:r>
          </w:p>
        </w:tc>
        <w:tc>
          <w:tcPr>
            <w:tcW w:w="292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Seattle</w:t>
            </w: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301"/>
              <w:jc w:val="right"/>
              <w:rPr>
                <w:rFonts w:ascii="Times New Roman" w:hAnsi="Times New Roman" w:cs="Times New Roman"/>
                <w:sz w:val="24"/>
                <w:szCs w:val="24"/>
              </w:rPr>
            </w:pPr>
            <w:r>
              <w:rPr>
                <w:rFonts w:ascii="Times New Roman" w:hAnsi="Times New Roman" w:cs="Times New Roman"/>
                <w:sz w:val="20"/>
                <w:szCs w:val="20"/>
              </w:rPr>
              <w:t>389</w:t>
            </w:r>
          </w:p>
        </w:tc>
      </w:tr>
      <w:tr w:rsidR="00000000">
        <w:tblPrEx>
          <w:tblCellMar>
            <w:top w:w="0" w:type="dxa"/>
            <w:left w:w="0" w:type="dxa"/>
            <w:bottom w:w="0" w:type="dxa"/>
            <w:right w:w="0" w:type="dxa"/>
          </w:tblCellMar>
        </w:tblPrEx>
        <w:trPr>
          <w:trHeight w:val="240"/>
        </w:trPr>
        <w:tc>
          <w:tcPr>
            <w:tcW w:w="38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300"/>
              <w:rPr>
                <w:rFonts w:ascii="Times New Roman" w:hAnsi="Times New Roman" w:cs="Times New Roman"/>
                <w:sz w:val="24"/>
                <w:szCs w:val="24"/>
              </w:rPr>
            </w:pPr>
            <w:r>
              <w:rPr>
                <w:rFonts w:ascii="Times New Roman" w:hAnsi="Times New Roman" w:cs="Times New Roman"/>
                <w:sz w:val="20"/>
                <w:szCs w:val="20"/>
              </w:rPr>
              <w:t>Northwest Real Estate</w:t>
            </w:r>
          </w:p>
        </w:tc>
        <w:tc>
          <w:tcPr>
            <w:tcW w:w="3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9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3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12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3" w:right="1160" w:bottom="523" w:left="720" w:header="720" w:footer="720" w:gutter="0"/>
          <w:cols w:space="720" w:equalWidth="0">
            <w:col w:w="1036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126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3"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39" w:lineRule="auto"/>
        <w:ind w:left="3940"/>
        <w:rPr>
          <w:rFonts w:ascii="Times New Roman" w:hAnsi="Times New Roman" w:cs="Times New Roman"/>
          <w:sz w:val="24"/>
          <w:szCs w:val="24"/>
        </w:rPr>
      </w:pPr>
      <w:r>
        <w:rPr>
          <w:rFonts w:ascii="Times New Roman" w:hAnsi="Times New Roman" w:cs="Times New Roman"/>
          <w:b/>
          <w:bCs/>
          <w:sz w:val="20"/>
          <w:szCs w:val="20"/>
        </w:rPr>
        <w:t>BERKSHIRE HATHAWAY INC.</w:t>
      </w:r>
    </w:p>
    <w:p w:rsidR="00000000" w:rsidRDefault="00A06965">
      <w:pPr>
        <w:pStyle w:val="DefaultParagraphFont"/>
        <w:widowControl w:val="0"/>
        <w:autoSpaceDE w:val="0"/>
        <w:autoSpaceDN w:val="0"/>
        <w:adjustRightInd w:val="0"/>
        <w:spacing w:after="0" w:line="9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4380"/>
        <w:rPr>
          <w:rFonts w:ascii="Times New Roman" w:hAnsi="Times New Roman" w:cs="Times New Roman"/>
          <w:sz w:val="24"/>
          <w:szCs w:val="24"/>
        </w:rPr>
      </w:pPr>
      <w:r>
        <w:rPr>
          <w:rFonts w:ascii="Times New Roman" w:hAnsi="Times New Roman" w:cs="Times New Roman"/>
          <w:b/>
          <w:bCs/>
          <w:sz w:val="20"/>
          <w:szCs w:val="20"/>
        </w:rPr>
        <w:t>DAILY NEWSPAPERS</w:t>
      </w:r>
    </w:p>
    <w:p w:rsidR="00000000" w:rsidRDefault="00A06965">
      <w:pPr>
        <w:pStyle w:val="DefaultParagraphFont"/>
        <w:widowControl w:val="0"/>
        <w:autoSpaceDE w:val="0"/>
        <w:autoSpaceDN w:val="0"/>
        <w:adjustRightInd w:val="0"/>
        <w:spacing w:after="0" w:line="207"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780"/>
        <w:gridCol w:w="3700"/>
        <w:gridCol w:w="760"/>
        <w:gridCol w:w="2300"/>
        <w:gridCol w:w="1360"/>
        <w:gridCol w:w="520"/>
        <w:gridCol w:w="540"/>
        <w:gridCol w:w="660"/>
        <w:gridCol w:w="20"/>
      </w:tblGrid>
      <w:tr w:rsidR="00000000">
        <w:tblPrEx>
          <w:tblCellMar>
            <w:top w:w="0" w:type="dxa"/>
            <w:left w:w="0" w:type="dxa"/>
            <w:bottom w:w="0" w:type="dxa"/>
            <w:right w:w="0" w:type="dxa"/>
          </w:tblCellMar>
        </w:tblPrEx>
        <w:trPr>
          <w:trHeight w:val="184"/>
        </w:trPr>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3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740" w:type="dxa"/>
            <w:gridSpan w:val="4"/>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b/>
                <w:bCs/>
                <w:sz w:val="16"/>
                <w:szCs w:val="16"/>
              </w:rPr>
              <w:t>Circulation</w:t>
            </w:r>
          </w:p>
        </w:tc>
      </w:tr>
      <w:tr w:rsidR="00000000">
        <w:tblPrEx>
          <w:tblCellMar>
            <w:top w:w="0" w:type="dxa"/>
            <w:left w:w="0" w:type="dxa"/>
            <w:bottom w:w="0" w:type="dxa"/>
            <w:right w:w="0" w:type="dxa"/>
          </w:tblCellMar>
        </w:tblPrEx>
        <w:trPr>
          <w:trHeight w:val="26"/>
        </w:trPr>
        <w:tc>
          <w:tcPr>
            <w:tcW w:w="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Publication</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16"/>
                <w:szCs w:val="16"/>
              </w:rPr>
              <w:t>City</w:t>
            </w: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6"/>
                <w:szCs w:val="16"/>
              </w:rPr>
            </w:pPr>
          </w:p>
        </w:tc>
        <w:tc>
          <w:tcPr>
            <w:tcW w:w="1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620"/>
              <w:jc w:val="right"/>
              <w:rPr>
                <w:rFonts w:ascii="Times New Roman" w:hAnsi="Times New Roman" w:cs="Times New Roman"/>
                <w:sz w:val="24"/>
                <w:szCs w:val="24"/>
              </w:rPr>
            </w:pPr>
            <w:r>
              <w:rPr>
                <w:rFonts w:ascii="Times New Roman" w:hAnsi="Times New Roman" w:cs="Times New Roman"/>
                <w:b/>
                <w:bCs/>
                <w:sz w:val="16"/>
                <w:szCs w:val="16"/>
              </w:rPr>
              <w:t>Daily</w:t>
            </w: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b/>
                <w:bCs/>
                <w:sz w:val="16"/>
                <w:szCs w:val="16"/>
              </w:rPr>
              <w:t>Sunday</w:t>
            </w:r>
          </w:p>
        </w:tc>
      </w:tr>
      <w:tr w:rsidR="00000000">
        <w:tblPrEx>
          <w:tblCellMar>
            <w:top w:w="0" w:type="dxa"/>
            <w:left w:w="0" w:type="dxa"/>
            <w:bottom w:w="0" w:type="dxa"/>
            <w:right w:w="0" w:type="dxa"/>
          </w:tblCellMar>
        </w:tblPrEx>
        <w:trPr>
          <w:trHeight w:val="26"/>
        </w:trPr>
        <w:tc>
          <w:tcPr>
            <w:tcW w:w="78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37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7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2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660" w:type="dxa"/>
            <w:tcBorders>
              <w:top w:val="nil"/>
              <w:left w:val="nil"/>
              <w:bottom w:val="single" w:sz="8" w:space="0" w:color="auto"/>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2"/>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u w:val="single"/>
              </w:rPr>
              <w:t>Alabama</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Opelika Auburn News</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Opelika/Auburn</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10,444</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11,286</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Dothan Eagle</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Dothan</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20,752</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23,275</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0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u w:val="single"/>
              </w:rPr>
              <w:t>Florida</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Jackson County Floridan</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Marianna</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3,357</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3,884</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0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u w:val="single"/>
              </w:rPr>
              <w:t>Iowa</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The Daily Nonpareil</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Council Bluffs</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9,004</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11,076</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0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u w:val="single"/>
              </w:rPr>
              <w:t>Nebraska</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York News-Times</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York</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2,700</w:t>
            </w: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New Roman" w:hAnsi="Times New Roman" w:cs="Times New Roman"/>
                <w:sz w:val="20"/>
                <w:szCs w:val="20"/>
              </w:rPr>
              <w:t>—</w:t>
            </w: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The North Platte Telegraph</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North Platte</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8,730</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8,551</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Kearney Hub</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Kearney</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9,625</w:t>
            </w:r>
          </w:p>
        </w:tc>
        <w:tc>
          <w:tcPr>
            <w:tcW w:w="6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20"/>
              <w:jc w:val="right"/>
              <w:rPr>
                <w:rFonts w:ascii="Times New Roman" w:hAnsi="Times New Roman" w:cs="Times New Roman"/>
                <w:sz w:val="24"/>
                <w:szCs w:val="24"/>
              </w:rPr>
            </w:pPr>
            <w:r>
              <w:rPr>
                <w:rFonts w:ascii="Times New Roman" w:hAnsi="Times New Roman" w:cs="Times New Roman"/>
                <w:sz w:val="20"/>
                <w:szCs w:val="20"/>
              </w:rPr>
              <w:t>—</w:t>
            </w: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Star-Herald</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Scottsbluff</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10,618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11,142</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The Grand Island Independent</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Grand Island</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15,812</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17,292</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0"/>
                <w:szCs w:val="20"/>
              </w:rPr>
              <w:t>Omaha World-Herald</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Omaha</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80"/>
              <w:jc w:val="right"/>
              <w:rPr>
                <w:rFonts w:ascii="Times New Roman" w:hAnsi="Times New Roman" w:cs="Times New Roman"/>
                <w:sz w:val="24"/>
                <w:szCs w:val="24"/>
              </w:rPr>
            </w:pPr>
            <w:r>
              <w:rPr>
                <w:rFonts w:ascii="Times New Roman" w:hAnsi="Times New Roman" w:cs="Times New Roman"/>
                <w:sz w:val="20"/>
                <w:szCs w:val="20"/>
              </w:rPr>
              <w:t>112,972</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8"/>
                <w:sz w:val="20"/>
                <w:szCs w:val="20"/>
              </w:rPr>
              <w:t>141,854</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0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u w:val="single"/>
              </w:rPr>
              <w:t>New Jersey</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The Press of Atlantic City</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Atlantic City</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56,156</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65,104</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0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u w:val="single"/>
              </w:rPr>
              <w:t>New York</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Buffalo News</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Buffalo</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133,845</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198,111</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0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u w:val="single"/>
              </w:rPr>
              <w:t>North Carolina</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The (Marion) McDowell News</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Marion</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3,413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3,718</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The (Morganton) News Herald</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Morganton</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5,908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6,888</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Statesville Record and Landmark</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Statesville</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8,058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9,998</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Hickory Daily Record</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Hickory</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13,241</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17,044</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Winston-Salem Journal</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Winston-Salem</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45,725</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59,208</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Greensboro News &amp; Record</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Greensboro</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49,053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68,593</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0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u w:val="single"/>
              </w:rPr>
              <w:t>Oklahoma</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Tulsa World</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Tulsa</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72,486</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101,405</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0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u w:val="single"/>
              </w:rPr>
              <w:t>South Carolina</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(Florence) Morning News</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Florence</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17,464</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23,578</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0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u w:val="single"/>
              </w:rPr>
              <w:t>Texas</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The Eagle</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Bryan/College Station</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16,075</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18,329</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Tribune-Herald</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Waco</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25,434</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30,818</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30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u w:val="single"/>
              </w:rPr>
              <w:t>Virginia</w:t>
            </w:r>
          </w:p>
        </w:tc>
        <w:tc>
          <w:tcPr>
            <w:tcW w:w="7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30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4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20"/>
                <w:szCs w:val="20"/>
              </w:rPr>
              <w:t>Culpeper Star Exponent</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0"/>
                <w:szCs w:val="20"/>
              </w:rPr>
              <w:t>Culpeper</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ind w:right="480"/>
              <w:jc w:val="right"/>
              <w:rPr>
                <w:rFonts w:ascii="Times New Roman" w:hAnsi="Times New Roman" w:cs="Times New Roman"/>
                <w:sz w:val="24"/>
                <w:szCs w:val="24"/>
              </w:rPr>
            </w:pPr>
            <w:r>
              <w:rPr>
                <w:rFonts w:ascii="Times New Roman" w:hAnsi="Times New Roman" w:cs="Times New Roman"/>
                <w:sz w:val="20"/>
                <w:szCs w:val="20"/>
              </w:rPr>
              <w:t>4,333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20"/>
                <w:szCs w:val="20"/>
              </w:rPr>
              <w:t>4,820</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The (Waynesboro) News Virginian</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Waynesboro</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4,949</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5,135</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Danville Register and Bee</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Danville</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11,333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15,076</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The (Charlottesville) Daily Progress</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Charlottesville</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18,113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20,447</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Bristol Herald Courier</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Bristol</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19,843</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25,233</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The (Lynchburg) News and Advance</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Lynchburg</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21,317</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28,178</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Richmond Times-Dispatch</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Richmond</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96,118</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w w:val="98"/>
                <w:sz w:val="20"/>
                <w:szCs w:val="20"/>
              </w:rPr>
              <w:t>137,890</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40"/>
        </w:trPr>
        <w:tc>
          <w:tcPr>
            <w:tcW w:w="448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New Roman" w:hAnsi="Times New Roman" w:cs="Times New Roman"/>
                <w:sz w:val="20"/>
                <w:szCs w:val="20"/>
              </w:rPr>
              <w:t>Roanoke</w:t>
            </w:r>
          </w:p>
        </w:tc>
        <w:tc>
          <w:tcPr>
            <w:tcW w:w="306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sz w:val="20"/>
                <w:szCs w:val="20"/>
              </w:rPr>
              <w:t>Roanoke</w:t>
            </w:r>
          </w:p>
        </w:tc>
        <w:tc>
          <w:tcPr>
            <w:tcW w:w="2420" w:type="dxa"/>
            <w:gridSpan w:val="3"/>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right="480"/>
              <w:jc w:val="right"/>
              <w:rPr>
                <w:rFonts w:ascii="Times New Roman" w:hAnsi="Times New Roman" w:cs="Times New Roman"/>
                <w:sz w:val="24"/>
                <w:szCs w:val="24"/>
              </w:rPr>
            </w:pPr>
            <w:r>
              <w:rPr>
                <w:rFonts w:ascii="Times New Roman" w:hAnsi="Times New Roman" w:cs="Times New Roman"/>
                <w:sz w:val="20"/>
                <w:szCs w:val="20"/>
              </w:rPr>
              <w:t>57,399</w:t>
            </w:r>
          </w:p>
        </w:tc>
        <w:tc>
          <w:tcPr>
            <w:tcW w:w="66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jc w:val="right"/>
              <w:rPr>
                <w:rFonts w:ascii="Times New Roman" w:hAnsi="Times New Roman" w:cs="Times New Roman"/>
                <w:sz w:val="24"/>
                <w:szCs w:val="24"/>
              </w:rPr>
            </w:pPr>
            <w:r>
              <w:rPr>
                <w:rFonts w:ascii="Times New Roman" w:hAnsi="Times New Roman" w:cs="Times New Roman"/>
                <w:sz w:val="20"/>
                <w:szCs w:val="20"/>
              </w:rPr>
              <w:t>75,876</w:t>
            </w:r>
          </w:p>
        </w:tc>
        <w:tc>
          <w:tcPr>
            <w:tcW w:w="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r>
    </w:tbl>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3" w:right="880" w:bottom="523" w:left="720" w:header="720" w:footer="720" w:gutter="0"/>
          <w:cols w:space="720" w:equalWidth="0">
            <w:col w:w="1064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0"/>
          <w:szCs w:val="20"/>
        </w:rPr>
        <w:t>127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240" w:h="15840"/>
          <w:pgMar w:top="893" w:right="5960" w:bottom="523" w:left="598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28896" behindDoc="1" locked="0" layoutInCell="0" allowOverlap="1">
            <wp:simplePos x="0" y="0"/>
            <wp:positionH relativeFrom="page">
              <wp:posOffset>0</wp:posOffset>
            </wp:positionH>
            <wp:positionV relativeFrom="page">
              <wp:posOffset>0</wp:posOffset>
            </wp:positionV>
            <wp:extent cx="8001000" cy="102870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0" cy="10287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128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29920" behindDoc="1" locked="0" layoutInCell="0" allowOverlap="1">
            <wp:simplePos x="0" y="0"/>
            <wp:positionH relativeFrom="page">
              <wp:posOffset>0</wp:posOffset>
            </wp:positionH>
            <wp:positionV relativeFrom="page">
              <wp:posOffset>0</wp:posOffset>
            </wp:positionV>
            <wp:extent cx="7759065" cy="102870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759065" cy="10287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129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0944" behindDoc="1" locked="0" layoutInCell="0" allowOverlap="1">
            <wp:simplePos x="0" y="0"/>
            <wp:positionH relativeFrom="page">
              <wp:posOffset>0</wp:posOffset>
            </wp:positionH>
            <wp:positionV relativeFrom="page">
              <wp:posOffset>0</wp:posOffset>
            </wp:positionV>
            <wp:extent cx="8001000" cy="102870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0" cy="102870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130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1968" behindDoc="1" locked="0" layoutInCell="0" allowOverlap="1">
            <wp:simplePos x="0" y="0"/>
            <wp:positionH relativeFrom="page">
              <wp:posOffset>0</wp:posOffset>
            </wp:positionH>
            <wp:positionV relativeFrom="page">
              <wp:posOffset>334010</wp:posOffset>
            </wp:positionV>
            <wp:extent cx="8001000" cy="995299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0" cy="995299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131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40" w:bottom="426" w:left="616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2992" behindDoc="1" locked="0" layoutInCell="0" allowOverlap="1">
            <wp:simplePos x="0" y="0"/>
            <wp:positionH relativeFrom="page">
              <wp:posOffset>114300</wp:posOffset>
            </wp:positionH>
            <wp:positionV relativeFrom="page">
              <wp:posOffset>159385</wp:posOffset>
            </wp:positionV>
            <wp:extent cx="7886700" cy="100584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6700" cy="10058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132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4016" behindDoc="1" locked="0" layoutInCell="0" allowOverlap="1">
            <wp:simplePos x="0" y="0"/>
            <wp:positionH relativeFrom="page">
              <wp:posOffset>0</wp:posOffset>
            </wp:positionH>
            <wp:positionV relativeFrom="page">
              <wp:posOffset>0</wp:posOffset>
            </wp:positionV>
            <wp:extent cx="7930515" cy="10184130"/>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930515" cy="1018413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133</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5040" behindDoc="1" locked="0" layoutInCell="0" allowOverlap="1">
            <wp:simplePos x="0" y="0"/>
            <wp:positionH relativeFrom="page">
              <wp:posOffset>0</wp:posOffset>
            </wp:positionH>
            <wp:positionV relativeFrom="page">
              <wp:posOffset>213995</wp:posOffset>
            </wp:positionV>
            <wp:extent cx="8001000" cy="1005840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0" cy="10058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134</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6064" behindDoc="1" locked="0" layoutInCell="0" allowOverlap="1">
            <wp:simplePos x="0" y="0"/>
            <wp:positionH relativeFrom="page">
              <wp:posOffset>0</wp:posOffset>
            </wp:positionH>
            <wp:positionV relativeFrom="page">
              <wp:posOffset>174625</wp:posOffset>
            </wp:positionV>
            <wp:extent cx="8001000" cy="101123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0" cy="1011237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135</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7088" behindDoc="1" locked="0" layoutInCell="0" allowOverlap="1">
            <wp:simplePos x="0" y="0"/>
            <wp:positionH relativeFrom="page">
              <wp:posOffset>0</wp:posOffset>
            </wp:positionH>
            <wp:positionV relativeFrom="page">
              <wp:posOffset>0</wp:posOffset>
            </wp:positionV>
            <wp:extent cx="8001000" cy="1005078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0" cy="1005078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i/>
          <w:iCs/>
        </w:rPr>
        <w:t>See accompanying</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800" w:bottom="426" w:left="9620" w:header="720" w:footer="720" w:gutter="0"/>
          <w:cols w:space="720" w:equalWidth="0">
            <w:col w:w="218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9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136</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8112" behindDoc="1" locked="0" layoutInCell="0" allowOverlap="1">
            <wp:simplePos x="0" y="0"/>
            <wp:positionH relativeFrom="page">
              <wp:posOffset>0</wp:posOffset>
            </wp:positionH>
            <wp:positionV relativeFrom="page">
              <wp:posOffset>0</wp:posOffset>
            </wp:positionV>
            <wp:extent cx="8001000" cy="1004824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001000" cy="1004824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19"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Times" w:hAnsi="Times" w:cs="Times"/>
          <w:b/>
          <w:bCs/>
          <w:i/>
          <w:iCs/>
        </w:rPr>
        <w:t>notes to financial statements.</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7640" w:bottom="426" w:left="860" w:header="720" w:footer="720" w:gutter="0"/>
          <w:cols w:space="720" w:equalWidth="0">
            <w:col w:w="41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39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137</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type w:val="continuous"/>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39136" behindDoc="1" locked="0" layoutInCell="0" allowOverlap="1">
            <wp:simplePos x="0" y="0"/>
            <wp:positionH relativeFrom="page">
              <wp:posOffset>158750</wp:posOffset>
            </wp:positionH>
            <wp:positionV relativeFrom="page">
              <wp:posOffset>0</wp:posOffset>
            </wp:positionV>
            <wp:extent cx="7842250" cy="10116185"/>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42250" cy="1011618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138</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0160" behindDoc="1" locked="0" layoutInCell="0" allowOverlap="1">
            <wp:simplePos x="0" y="0"/>
            <wp:positionH relativeFrom="page">
              <wp:posOffset>0</wp:posOffset>
            </wp:positionH>
            <wp:positionV relativeFrom="page">
              <wp:posOffset>100965</wp:posOffset>
            </wp:positionV>
            <wp:extent cx="7895590" cy="1008570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95590" cy="100857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139</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1184" behindDoc="1" locked="0" layoutInCell="0" allowOverlap="1">
            <wp:simplePos x="0" y="0"/>
            <wp:positionH relativeFrom="page">
              <wp:posOffset>158750</wp:posOffset>
            </wp:positionH>
            <wp:positionV relativeFrom="page">
              <wp:posOffset>1270</wp:posOffset>
            </wp:positionV>
            <wp:extent cx="7842250" cy="1019365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42250" cy="1019365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140</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60" w:bottom="426"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2208" behindDoc="1" locked="0" layoutInCell="0" allowOverlap="1">
            <wp:simplePos x="0" y="0"/>
            <wp:positionH relativeFrom="page">
              <wp:posOffset>0</wp:posOffset>
            </wp:positionH>
            <wp:positionV relativeFrom="page">
              <wp:posOffset>137160</wp:posOffset>
            </wp:positionV>
            <wp:extent cx="7886700" cy="1005840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6700" cy="10058400"/>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141</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40" w:bottom="424" w:left="616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743232" behindDoc="1" locked="0" layoutInCell="0" allowOverlap="1">
            <wp:simplePos x="0" y="0"/>
            <wp:positionH relativeFrom="page">
              <wp:posOffset>123190</wp:posOffset>
            </wp:positionH>
            <wp:positionV relativeFrom="page">
              <wp:posOffset>55245</wp:posOffset>
            </wp:positionV>
            <wp:extent cx="7877810" cy="1008570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77810" cy="10085705"/>
                    </a:xfrm>
                    <a:prstGeom prst="rect">
                      <a:avLst/>
                    </a:prstGeom>
                    <a:noFill/>
                  </pic:spPr>
                </pic:pic>
              </a:graphicData>
            </a:graphic>
            <wp14:sizeRelH relativeFrom="page">
              <wp14:pctWidth>0</wp14:pctWidth>
            </wp14:sizeRelH>
            <wp14:sizeRelV relativeFrom="page">
              <wp14:pctHeight>0</wp14:pctHeight>
            </wp14:sizeRelV>
          </wp:anchor>
        </w:drawing>
      </w: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0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64"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7"/>
          <w:szCs w:val="17"/>
        </w:rPr>
        <w:t>142</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600" w:h="16200"/>
          <w:pgMar w:top="1440" w:right="6160" w:bottom="424" w:left="6140" w:header="720" w:footer="720" w:gutter="0"/>
          <w:cols w:space="720" w:equalWidth="0">
            <w:col w:w="300"/>
          </w:cols>
          <w:noEndnote/>
        </w:sect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2240" w:bottom="1440" w:left="0" w:header="720" w:footer="720" w:gutter="0"/>
          <w:cols w:space="720"/>
          <w:noEndnote/>
        </w:sect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1440" w:right="12240" w:bottom="1440" w:left="0" w:header="720" w:footer="720" w:gutter="0"/>
          <w:cols w:space="720"/>
          <w:noEndnote/>
        </w:sectPr>
      </w:pPr>
    </w:p>
    <w:tbl>
      <w:tblPr>
        <w:tblW w:w="0" w:type="auto"/>
        <w:tblLayout w:type="fixed"/>
        <w:tblCellMar>
          <w:left w:w="0" w:type="dxa"/>
          <w:right w:w="0" w:type="dxa"/>
        </w:tblCellMar>
        <w:tblLook w:val="0000" w:firstRow="0" w:lastRow="0" w:firstColumn="0" w:lastColumn="0" w:noHBand="0" w:noVBand="0"/>
      </w:tblPr>
      <w:tblGrid>
        <w:gridCol w:w="3120"/>
        <w:gridCol w:w="1780"/>
        <w:gridCol w:w="5120"/>
        <w:gridCol w:w="20"/>
      </w:tblGrid>
      <w:tr w:rsidR="00000000">
        <w:tblPrEx>
          <w:tblCellMar>
            <w:top w:w="0" w:type="dxa"/>
            <w:left w:w="0" w:type="dxa"/>
            <w:bottom w:w="0" w:type="dxa"/>
            <w:right w:w="0" w:type="dxa"/>
          </w:tblCellMar>
        </w:tblPrEx>
        <w:trPr>
          <w:trHeight w:val="23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9"/>
                <w:szCs w:val="19"/>
              </w:rPr>
            </w:pPr>
          </w:p>
        </w:tc>
        <w:tc>
          <w:tcPr>
            <w:tcW w:w="6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460"/>
              <w:rPr>
                <w:rFonts w:ascii="Times New Roman" w:hAnsi="Times New Roman" w:cs="Times New Roman"/>
                <w:sz w:val="24"/>
                <w:szCs w:val="24"/>
              </w:rPr>
            </w:pPr>
            <w:r>
              <w:rPr>
                <w:rFonts w:ascii="Times" w:hAnsi="Times" w:cs="Times"/>
                <w:b/>
                <w:bCs/>
                <w:sz w:val="20"/>
                <w:szCs w:val="20"/>
              </w:rPr>
              <w:t>BERKSHIRE HATHAWAY INC.</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8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DIRECTORS</w:t>
            </w: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00"/>
              <w:rPr>
                <w:rFonts w:ascii="Times New Roman" w:hAnsi="Times New Roman" w:cs="Times New Roman"/>
                <w:sz w:val="24"/>
                <w:szCs w:val="24"/>
              </w:rPr>
            </w:pPr>
            <w:r>
              <w:rPr>
                <w:rFonts w:ascii="Times" w:hAnsi="Times" w:cs="Times"/>
                <w:b/>
                <w:bCs/>
                <w:sz w:val="20"/>
                <w:szCs w:val="20"/>
              </w:rPr>
              <w:t>OFFICERS</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0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WARREN E. BUFFETT,</w:t>
            </w: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00"/>
              <w:rPr>
                <w:rFonts w:ascii="Times New Roman" w:hAnsi="Times New Roman" w:cs="Times New Roman"/>
                <w:sz w:val="24"/>
                <w:szCs w:val="24"/>
              </w:rPr>
            </w:pPr>
            <w:r>
              <w:rPr>
                <w:rFonts w:ascii="Times" w:hAnsi="Times" w:cs="Times"/>
                <w:b/>
                <w:bCs/>
                <w:sz w:val="20"/>
                <w:szCs w:val="20"/>
              </w:rPr>
              <w:t xml:space="preserve">WARREN E. BUFFETT, </w:t>
            </w:r>
            <w:r>
              <w:rPr>
                <w:rFonts w:ascii="Times" w:hAnsi="Times" w:cs="Times"/>
                <w:i/>
                <w:iCs/>
                <w:sz w:val="20"/>
                <w:szCs w:val="20"/>
              </w:rPr>
              <w:t>Chairman and CEO</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Chairman and CEO of Berkshire</w:t>
            </w: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1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00"/>
              <w:rPr>
                <w:rFonts w:ascii="Times New Roman" w:hAnsi="Times New Roman" w:cs="Times New Roman"/>
                <w:sz w:val="24"/>
                <w:szCs w:val="24"/>
              </w:rPr>
            </w:pPr>
            <w:r>
              <w:rPr>
                <w:rFonts w:ascii="Times" w:hAnsi="Times" w:cs="Times"/>
                <w:b/>
                <w:bCs/>
                <w:sz w:val="20"/>
                <w:szCs w:val="20"/>
              </w:rPr>
              <w:t xml:space="preserve">CHARLES T. MUNGER, </w:t>
            </w:r>
            <w:r>
              <w:rPr>
                <w:rFonts w:ascii="Times" w:hAnsi="Times" w:cs="Times"/>
                <w:i/>
                <w:iCs/>
                <w:sz w:val="20"/>
                <w:szCs w:val="20"/>
              </w:rPr>
              <w:t>Vice Chairman</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51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CHARLES T. MUNGER,</w:t>
            </w: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00"/>
              <w:rPr>
                <w:rFonts w:ascii="Times New Roman" w:hAnsi="Times New Roman" w:cs="Times New Roman"/>
                <w:sz w:val="24"/>
                <w:szCs w:val="24"/>
              </w:rPr>
            </w:pPr>
            <w:r>
              <w:rPr>
                <w:rFonts w:ascii="Times" w:hAnsi="Times" w:cs="Times"/>
                <w:b/>
                <w:bCs/>
                <w:w w:val="99"/>
                <w:sz w:val="20"/>
                <w:szCs w:val="20"/>
              </w:rPr>
              <w:t xml:space="preserve">MARC D. HAMBURG, </w:t>
            </w:r>
            <w:r>
              <w:rPr>
                <w:rFonts w:ascii="Times" w:hAnsi="Times" w:cs="Times"/>
                <w:i/>
                <w:iCs/>
                <w:w w:val="99"/>
                <w:sz w:val="20"/>
                <w:szCs w:val="20"/>
              </w:rPr>
              <w:t>Senior Vice President and CFO</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Vice Chairman of Berkshire</w:t>
            </w: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1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00"/>
              <w:rPr>
                <w:rFonts w:ascii="Times New Roman" w:hAnsi="Times New Roman" w:cs="Times New Roman"/>
                <w:sz w:val="24"/>
                <w:szCs w:val="24"/>
              </w:rPr>
            </w:pPr>
            <w:r>
              <w:rPr>
                <w:rFonts w:ascii="Times" w:hAnsi="Times" w:cs="Times"/>
                <w:b/>
                <w:bCs/>
                <w:sz w:val="20"/>
                <w:szCs w:val="20"/>
              </w:rPr>
              <w:t xml:space="preserve">SHARON L. HECK, </w:t>
            </w:r>
            <w:r>
              <w:rPr>
                <w:rFonts w:ascii="Times" w:hAnsi="Times" w:cs="Times"/>
                <w:i/>
                <w:iCs/>
                <w:sz w:val="20"/>
                <w:szCs w:val="20"/>
              </w:rPr>
              <w:t>Vice President, Secretary</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51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HOWARD G. BUFFETT,</w:t>
            </w: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00"/>
              <w:rPr>
                <w:rFonts w:ascii="Times New Roman" w:hAnsi="Times New Roman" w:cs="Times New Roman"/>
                <w:sz w:val="24"/>
                <w:szCs w:val="24"/>
              </w:rPr>
            </w:pPr>
            <w:r>
              <w:rPr>
                <w:rFonts w:ascii="Times" w:hAnsi="Times" w:cs="Times"/>
                <w:b/>
                <w:bCs/>
                <w:sz w:val="20"/>
                <w:szCs w:val="20"/>
              </w:rPr>
              <w:t xml:space="preserve">DANIEL J. JAKSICH, </w:t>
            </w:r>
            <w:r>
              <w:rPr>
                <w:rFonts w:ascii="Times" w:hAnsi="Times" w:cs="Times"/>
                <w:i/>
                <w:iCs/>
                <w:sz w:val="20"/>
                <w:szCs w:val="20"/>
              </w:rPr>
              <w:t>Vice President, Controller</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President of Buffett Farms</w:t>
            </w: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0"/>
                <w:szCs w:val="20"/>
              </w:rPr>
            </w:pPr>
          </w:p>
        </w:tc>
        <w:tc>
          <w:tcPr>
            <w:tcW w:w="51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00"/>
              <w:rPr>
                <w:rFonts w:ascii="Times New Roman" w:hAnsi="Times New Roman" w:cs="Times New Roman"/>
                <w:sz w:val="24"/>
                <w:szCs w:val="24"/>
              </w:rPr>
            </w:pPr>
            <w:r>
              <w:rPr>
                <w:rFonts w:ascii="Times" w:hAnsi="Times" w:cs="Times"/>
                <w:b/>
                <w:bCs/>
                <w:sz w:val="20"/>
                <w:szCs w:val="20"/>
              </w:rPr>
              <w:t xml:space="preserve">MARK D. MILLARD, </w:t>
            </w:r>
            <w:r>
              <w:rPr>
                <w:rFonts w:ascii="Times" w:hAnsi="Times" w:cs="Times"/>
                <w:i/>
                <w:iCs/>
                <w:sz w:val="20"/>
                <w:szCs w:val="20"/>
              </w:rPr>
              <w:t>Vice President</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51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60"/>
        </w:trPr>
        <w:tc>
          <w:tcPr>
            <w:tcW w:w="3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b/>
                <w:bCs/>
                <w:sz w:val="20"/>
                <w:szCs w:val="20"/>
              </w:rPr>
              <w:t>STEPHEN B. BURKE,</w:t>
            </w: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p>
        </w:tc>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00"/>
              <w:rPr>
                <w:rFonts w:ascii="Times New Roman" w:hAnsi="Times New Roman" w:cs="Times New Roman"/>
                <w:sz w:val="24"/>
                <w:szCs w:val="24"/>
              </w:rPr>
            </w:pPr>
            <w:r>
              <w:rPr>
                <w:rFonts w:ascii="Times" w:hAnsi="Times" w:cs="Times"/>
                <w:b/>
                <w:bCs/>
                <w:sz w:val="20"/>
                <w:szCs w:val="20"/>
              </w:rPr>
              <w:t xml:space="preserve">KERBY S. HAM, </w:t>
            </w:r>
            <w:r>
              <w:rPr>
                <w:rFonts w:ascii="Times" w:hAnsi="Times" w:cs="Times"/>
                <w:i/>
                <w:iCs/>
                <w:sz w:val="20"/>
                <w:szCs w:val="20"/>
              </w:rPr>
              <w:t>Treasurer</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0"/>
        </w:trPr>
        <w:tc>
          <w:tcPr>
            <w:tcW w:w="4900" w:type="dxa"/>
            <w:gridSpan w:val="2"/>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rPr>
                <w:rFonts w:ascii="Times New Roman" w:hAnsi="Times New Roman" w:cs="Times New Roman"/>
                <w:sz w:val="24"/>
                <w:szCs w:val="24"/>
              </w:rPr>
            </w:pPr>
            <w:r>
              <w:rPr>
                <w:rFonts w:ascii="Times" w:hAnsi="Times" w:cs="Times"/>
                <w:i/>
                <w:iCs/>
                <w:sz w:val="20"/>
                <w:szCs w:val="20"/>
              </w:rPr>
              <w:t>Chief Executive Officer of NBCUniversal, a media and</w:t>
            </w:r>
          </w:p>
        </w:tc>
        <w:tc>
          <w:tcPr>
            <w:tcW w:w="51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500"/>
              <w:rPr>
                <w:rFonts w:ascii="Times New Roman" w:hAnsi="Times New Roman" w:cs="Times New Roman"/>
                <w:sz w:val="24"/>
                <w:szCs w:val="24"/>
              </w:rPr>
            </w:pPr>
            <w:r>
              <w:rPr>
                <w:rFonts w:ascii="Times" w:hAnsi="Times" w:cs="Times"/>
                <w:b/>
                <w:bCs/>
                <w:sz w:val="20"/>
                <w:szCs w:val="20"/>
              </w:rPr>
              <w:t xml:space="preserve">REBECCA K. AMICK, </w:t>
            </w:r>
            <w:r>
              <w:rPr>
                <w:rFonts w:ascii="Times" w:hAnsi="Times" w:cs="Times"/>
                <w:i/>
                <w:iCs/>
                <w:sz w:val="20"/>
                <w:szCs w:val="20"/>
              </w:rPr>
              <w:t>Director of Internal Auditing</w:t>
            </w: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0"/>
        </w:trPr>
        <w:tc>
          <w:tcPr>
            <w:tcW w:w="3120" w:type="dxa"/>
            <w:vMerge w:val="restart"/>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29" w:lineRule="exact"/>
              <w:ind w:left="200"/>
              <w:rPr>
                <w:rFonts w:ascii="Times New Roman" w:hAnsi="Times New Roman" w:cs="Times New Roman"/>
                <w:sz w:val="24"/>
                <w:szCs w:val="24"/>
              </w:rPr>
            </w:pPr>
            <w:r>
              <w:rPr>
                <w:rFonts w:ascii="Times" w:hAnsi="Times" w:cs="Times"/>
                <w:i/>
                <w:iCs/>
                <w:sz w:val="20"/>
                <w:szCs w:val="20"/>
              </w:rPr>
              <w:t>entertainment company.</w:t>
            </w: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51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0"/>
        </w:trPr>
        <w:tc>
          <w:tcPr>
            <w:tcW w:w="3120" w:type="dxa"/>
            <w:vMerge/>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178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512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
                <w:szCs w:val="2"/>
              </w:rPr>
            </w:pPr>
          </w:p>
        </w:tc>
      </w:tr>
    </w:tbl>
    <w:p w:rsidR="00000000" w:rsidRDefault="00A06965">
      <w:pPr>
        <w:pStyle w:val="DefaultParagraphFont"/>
        <w:widowControl w:val="0"/>
        <w:autoSpaceDE w:val="0"/>
        <w:autoSpaceDN w:val="0"/>
        <w:adjustRightInd w:val="0"/>
        <w:spacing w:after="0" w:line="250"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SUSAN L. DECKER,</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i/>
          <w:iCs/>
          <w:sz w:val="20"/>
          <w:szCs w:val="20"/>
        </w:rPr>
        <w:t>Former President of Yahoo! Inc., an internet company.</w:t>
      </w: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WILLIAM H. GATES III,</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i/>
          <w:iCs/>
          <w:sz w:val="20"/>
          <w:szCs w:val="20"/>
        </w:rPr>
        <w:t>Co-Chair of the Bill and Melinda Gates Foundation</w:t>
      </w: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DAVID S. GOTTESMAN,</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i/>
          <w:iCs/>
          <w:sz w:val="20"/>
          <w:szCs w:val="20"/>
        </w:rPr>
        <w:t>Senior Managing Director of First Manhattan</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00"/>
        <w:rPr>
          <w:rFonts w:ascii="Times New Roman" w:hAnsi="Times New Roman" w:cs="Times New Roman"/>
          <w:sz w:val="24"/>
          <w:szCs w:val="24"/>
        </w:rPr>
      </w:pPr>
      <w:r>
        <w:rPr>
          <w:rFonts w:ascii="Times" w:hAnsi="Times" w:cs="Times"/>
          <w:i/>
          <w:iCs/>
          <w:sz w:val="20"/>
          <w:szCs w:val="20"/>
        </w:rPr>
        <w:t>Company, an investment advisory firm.</w:t>
      </w: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CHARLOTTE GUYMAN,</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i/>
          <w:iCs/>
          <w:sz w:val="20"/>
          <w:szCs w:val="20"/>
        </w:rPr>
        <w:t>Former Chairman of the Board of Directors of</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00"/>
        <w:rPr>
          <w:rFonts w:ascii="Times New Roman" w:hAnsi="Times New Roman" w:cs="Times New Roman"/>
          <w:sz w:val="24"/>
          <w:szCs w:val="24"/>
        </w:rPr>
      </w:pPr>
      <w:r>
        <w:rPr>
          <w:rFonts w:ascii="Times" w:hAnsi="Times" w:cs="Times"/>
          <w:i/>
          <w:iCs/>
          <w:sz w:val="20"/>
          <w:szCs w:val="20"/>
        </w:rPr>
        <w:t>UW Medicine, an academic medical center.</w:t>
      </w: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DONALD R. KEOUGH,</w:t>
      </w:r>
    </w:p>
    <w:p w:rsidR="00000000" w:rsidRDefault="00A06965">
      <w:pPr>
        <w:pStyle w:val="DefaultParagraphFont"/>
        <w:widowControl w:val="0"/>
        <w:autoSpaceDE w:val="0"/>
        <w:autoSpaceDN w:val="0"/>
        <w:adjustRightInd w:val="0"/>
        <w:spacing w:after="0" w:line="2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8" w:lineRule="auto"/>
        <w:ind w:left="200" w:right="6020" w:hanging="200"/>
        <w:rPr>
          <w:rFonts w:ascii="Times New Roman" w:hAnsi="Times New Roman" w:cs="Times New Roman"/>
          <w:sz w:val="24"/>
          <w:szCs w:val="24"/>
        </w:rPr>
      </w:pPr>
      <w:r>
        <w:rPr>
          <w:rFonts w:ascii="Times" w:hAnsi="Times" w:cs="Times"/>
          <w:i/>
          <w:iCs/>
          <w:sz w:val="20"/>
          <w:szCs w:val="20"/>
        </w:rPr>
        <w:t>Chairman of Allen and Company Incorporated, an investment banking firm.</w:t>
      </w:r>
    </w:p>
    <w:p w:rsidR="00000000" w:rsidRDefault="00A06965">
      <w:pPr>
        <w:pStyle w:val="DefaultParagraphFont"/>
        <w:widowControl w:val="0"/>
        <w:autoSpaceDE w:val="0"/>
        <w:autoSpaceDN w:val="0"/>
        <w:adjustRightInd w:val="0"/>
        <w:spacing w:after="0" w:line="252"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THOMAS S. MURPHY,</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i/>
          <w:iCs/>
          <w:sz w:val="20"/>
          <w:szCs w:val="20"/>
        </w:rPr>
        <w:t>Former Chairman of the Board and CEO of Capital</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00"/>
        <w:rPr>
          <w:rFonts w:ascii="Times New Roman" w:hAnsi="Times New Roman" w:cs="Times New Roman"/>
          <w:sz w:val="24"/>
          <w:szCs w:val="24"/>
        </w:rPr>
      </w:pPr>
      <w:r>
        <w:rPr>
          <w:rFonts w:ascii="Times" w:hAnsi="Times" w:cs="Times"/>
          <w:i/>
          <w:iCs/>
          <w:sz w:val="20"/>
          <w:szCs w:val="20"/>
        </w:rPr>
        <w:t>Cities/ABC</w:t>
      </w: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RONALD L. OLSON,</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i/>
          <w:iCs/>
          <w:sz w:val="20"/>
          <w:szCs w:val="20"/>
        </w:rPr>
        <w:t>Partner of the law firm of Munger, Tolles &amp; Olson LLP</w:t>
      </w:r>
    </w:p>
    <w:p w:rsidR="00000000" w:rsidRDefault="00A06965">
      <w:pPr>
        <w:pStyle w:val="DefaultParagraphFont"/>
        <w:widowControl w:val="0"/>
        <w:autoSpaceDE w:val="0"/>
        <w:autoSpaceDN w:val="0"/>
        <w:adjustRightInd w:val="0"/>
        <w:spacing w:after="0" w:line="25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WALTER SCOTT, JR.,</w:t>
      </w:r>
    </w:p>
    <w:p w:rsidR="00000000" w:rsidRDefault="00A06965">
      <w:pPr>
        <w:pStyle w:val="DefaultParagraphFont"/>
        <w:widowControl w:val="0"/>
        <w:autoSpaceDE w:val="0"/>
        <w:autoSpaceDN w:val="0"/>
        <w:adjustRightInd w:val="0"/>
        <w:spacing w:after="0" w:line="23"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46" w:lineRule="auto"/>
        <w:ind w:left="200" w:right="5620" w:hanging="200"/>
        <w:rPr>
          <w:rFonts w:ascii="Times New Roman" w:hAnsi="Times New Roman" w:cs="Times New Roman"/>
          <w:sz w:val="24"/>
          <w:szCs w:val="24"/>
        </w:rPr>
      </w:pPr>
      <w:r>
        <w:rPr>
          <w:rFonts w:ascii="Times" w:hAnsi="Times" w:cs="Times"/>
          <w:i/>
          <w:iCs/>
          <w:sz w:val="20"/>
          <w:szCs w:val="20"/>
        </w:rPr>
        <w:t>Former Chairman of Level 3 Communications, a successor to certain businesses of Peter Kiewit Sons’ Inc. which is engaged in telecommunications and computer outsourcing.</w:t>
      </w:r>
    </w:p>
    <w:p w:rsidR="00000000" w:rsidRDefault="00A06965">
      <w:pPr>
        <w:pStyle w:val="DefaultParagraphFont"/>
        <w:widowControl w:val="0"/>
        <w:autoSpaceDE w:val="0"/>
        <w:autoSpaceDN w:val="0"/>
        <w:adjustRightInd w:val="0"/>
        <w:spacing w:after="0" w:line="245"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b/>
          <w:bCs/>
          <w:sz w:val="20"/>
          <w:szCs w:val="20"/>
        </w:rPr>
        <w:t>MERYL B. WITMER,</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rPr>
          <w:rFonts w:ascii="Times New Roman" w:hAnsi="Times New Roman" w:cs="Times New Roman"/>
          <w:sz w:val="24"/>
          <w:szCs w:val="24"/>
        </w:rPr>
      </w:pPr>
      <w:r>
        <w:rPr>
          <w:rFonts w:ascii="Times" w:hAnsi="Times" w:cs="Times"/>
          <w:i/>
          <w:iCs/>
          <w:sz w:val="20"/>
          <w:szCs w:val="20"/>
        </w:rPr>
        <w:t>Managing member of the General Partner of Eagle</w:t>
      </w:r>
    </w:p>
    <w:p w:rsidR="00000000" w:rsidRDefault="00A06965">
      <w:pPr>
        <w:pStyle w:val="DefaultParagraphFont"/>
        <w:widowControl w:val="0"/>
        <w:autoSpaceDE w:val="0"/>
        <w:autoSpaceDN w:val="0"/>
        <w:adjustRightInd w:val="0"/>
        <w:spacing w:after="0" w:line="11" w:lineRule="exact"/>
        <w:rPr>
          <w:rFonts w:ascii="Times New Roman" w:hAnsi="Times New Roman" w:cs="Times New Roman"/>
          <w:sz w:val="24"/>
          <w:szCs w:val="24"/>
        </w:rPr>
      </w:pPr>
    </w:p>
    <w:p w:rsidR="00000000" w:rsidRDefault="00A06965">
      <w:pPr>
        <w:pStyle w:val="DefaultParagraphFont"/>
        <w:widowControl w:val="0"/>
        <w:autoSpaceDE w:val="0"/>
        <w:autoSpaceDN w:val="0"/>
        <w:adjustRightInd w:val="0"/>
        <w:spacing w:after="0" w:line="239" w:lineRule="auto"/>
        <w:ind w:left="200"/>
        <w:rPr>
          <w:rFonts w:ascii="Times New Roman" w:hAnsi="Times New Roman" w:cs="Times New Roman"/>
          <w:sz w:val="24"/>
          <w:szCs w:val="24"/>
        </w:rPr>
      </w:pPr>
      <w:r>
        <w:rPr>
          <w:rFonts w:ascii="Times" w:hAnsi="Times" w:cs="Times"/>
          <w:i/>
          <w:iCs/>
          <w:sz w:val="20"/>
          <w:szCs w:val="20"/>
        </w:rPr>
        <w:t>Capital Partners L.</w:t>
      </w:r>
      <w:r>
        <w:rPr>
          <w:rFonts w:ascii="Times" w:hAnsi="Times" w:cs="Times"/>
          <w:i/>
          <w:iCs/>
          <w:sz w:val="20"/>
          <w:szCs w:val="20"/>
        </w:rPr>
        <w:t>P., an investment partnership.</w:t>
      </w:r>
    </w:p>
    <w:p w:rsidR="00000000" w:rsidRDefault="00A06965">
      <w:pPr>
        <w:pStyle w:val="DefaultParagraphFont"/>
        <w:widowControl w:val="0"/>
        <w:autoSpaceDE w:val="0"/>
        <w:autoSpaceDN w:val="0"/>
        <w:adjustRightInd w:val="0"/>
        <w:spacing w:after="0" w:line="221" w:lineRule="exact"/>
        <w:rPr>
          <w:rFonts w:ascii="Times New Roman" w:hAnsi="Times New Roman" w:cs="Times New Roman"/>
          <w:sz w:val="24"/>
          <w:szCs w:val="24"/>
        </w:rPr>
      </w:pPr>
    </w:p>
    <w:p w:rsidR="00000000" w:rsidRDefault="00A06965">
      <w:pPr>
        <w:pStyle w:val="DefaultParagraphFont"/>
        <w:widowControl w:val="0"/>
        <w:overflowPunct w:val="0"/>
        <w:autoSpaceDE w:val="0"/>
        <w:autoSpaceDN w:val="0"/>
        <w:adjustRightInd w:val="0"/>
        <w:spacing w:after="0" w:line="239" w:lineRule="auto"/>
        <w:ind w:firstLine="400"/>
        <w:rPr>
          <w:rFonts w:ascii="Times New Roman" w:hAnsi="Times New Roman" w:cs="Times New Roman"/>
          <w:sz w:val="24"/>
          <w:szCs w:val="24"/>
        </w:rPr>
      </w:pPr>
      <w:r>
        <w:rPr>
          <w:rFonts w:ascii="Times" w:hAnsi="Times" w:cs="Times"/>
          <w:sz w:val="20"/>
          <w:szCs w:val="20"/>
        </w:rPr>
        <w:t>Letters from Annual Reports (1977 through 2014), quarterly reports, press releases and other information about Berkshire may be obtained on the Internet at www.berkshirehathaway.com.</w:t>
      </w: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sectPr w:rsidR="00000000">
          <w:pgSz w:w="12240" w:h="15840"/>
          <w:pgMar w:top="891" w:right="1080" w:bottom="1440" w:left="1080" w:header="720" w:footer="720" w:gutter="0"/>
          <w:cols w:space="720" w:equalWidth="0">
            <w:col w:w="10080"/>
          </w:cols>
          <w:noEndnote/>
        </w:sectPr>
      </w:pPr>
    </w:p>
    <w:p w:rsidR="00000000" w:rsidRDefault="00A06965">
      <w:pPr>
        <w:pStyle w:val="DefaultParagraphFont"/>
        <w:widowControl w:val="0"/>
        <w:autoSpaceDE w:val="0"/>
        <w:autoSpaceDN w:val="0"/>
        <w:adjustRightInd w:val="0"/>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744256" behindDoc="1" locked="0" layoutInCell="0" allowOverlap="1">
                <wp:simplePos x="0" y="0"/>
                <wp:positionH relativeFrom="page">
                  <wp:posOffset>0</wp:posOffset>
                </wp:positionH>
                <wp:positionV relativeFrom="page">
                  <wp:posOffset>0</wp:posOffset>
                </wp:positionV>
                <wp:extent cx="7772400" cy="10058400"/>
                <wp:effectExtent l="0" t="0" r="0" b="0"/>
                <wp:wrapNone/>
                <wp:docPr id="1"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7B5C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26" style="position:absolute;margin-left:0;margin-top:0;width:612pt;height:11in;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" o:allowincell="f" fillcolor="#7b5c39" stroked="f">
                <w10:wrap anchorx="page" anchory="page"/>
              </v:rect>
            </w:pict>
          </mc:Fallback>
        </mc:AlternateContent>
      </w:r>
      <w:r>
        <w:rPr>
          <w:rFonts w:ascii="Times" w:hAnsi="Times" w:cs="Times"/>
          <w:b/>
          <w:bCs/>
          <w:sz w:val="30"/>
          <w:szCs w:val="30"/>
        </w:rPr>
        <w:t>B</w:t>
      </w:r>
      <w:r>
        <w:rPr>
          <w:rFonts w:ascii="Times" w:hAnsi="Times" w:cs="Times"/>
          <w:b/>
          <w:bCs/>
          <w:sz w:val="21"/>
          <w:szCs w:val="21"/>
        </w:rPr>
        <w:t>ERKSHIRE</w:t>
      </w:r>
      <w:r>
        <w:rPr>
          <w:rFonts w:ascii="Times" w:hAnsi="Times" w:cs="Times"/>
          <w:b/>
          <w:bCs/>
          <w:sz w:val="30"/>
          <w:szCs w:val="30"/>
        </w:rPr>
        <w:t xml:space="preserve"> H</w:t>
      </w:r>
      <w:r>
        <w:rPr>
          <w:rFonts w:ascii="Times" w:hAnsi="Times" w:cs="Times"/>
          <w:b/>
          <w:bCs/>
          <w:sz w:val="21"/>
          <w:szCs w:val="21"/>
        </w:rPr>
        <w:t>ATHAWAY INC.</w:t>
      </w:r>
    </w:p>
    <w:p w:rsidR="00000000" w:rsidRDefault="00A06965">
      <w:pPr>
        <w:pStyle w:val="DefaultParagraphFont"/>
        <w:widowControl w:val="0"/>
        <w:autoSpaceDE w:val="0"/>
        <w:autoSpaceDN w:val="0"/>
        <w:adjustRightInd w:val="0"/>
        <w:spacing w:after="0" w:line="210" w:lineRule="auto"/>
        <w:rPr>
          <w:rFonts w:ascii="Times New Roman" w:hAnsi="Times New Roman" w:cs="Times New Roman"/>
          <w:sz w:val="24"/>
          <w:szCs w:val="24"/>
        </w:rPr>
      </w:pPr>
      <w:r>
        <w:rPr>
          <w:rFonts w:ascii="Times" w:hAnsi="Times" w:cs="Times"/>
          <w:i/>
          <w:iCs/>
        </w:rPr>
        <w:t>Executive Offices — 3555 Farnam Street, Omaha, Nebraska 68131</w:t>
      </w:r>
    </w:p>
    <w:sectPr w:rsidR="00000000">
      <w:pgSz w:w="12240" w:h="15840"/>
      <w:pgMar w:top="1038" w:right="4660" w:bottom="1440" w:left="1200" w:header="720" w:footer="720" w:gutter="0"/>
      <w:cols w:space="720" w:equalWidth="0">
        <w:col w:w="638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2213"/>
    <w:lvl w:ilvl="0" w:tplc="0000260D">
      <w:start w:val="1"/>
      <w:numFmt w:val="bullet"/>
      <w:lvlText w:val="*"/>
      <w:lvlJc w:val="left"/>
      <w:pPr>
        <w:tabs>
          <w:tab w:val="num" w:pos="720"/>
        </w:tabs>
        <w:ind w:left="720" w:hanging="360"/>
      </w:pPr>
    </w:lvl>
    <w:lvl w:ilvl="1" w:tplc="00006B89">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99"/>
    <w:multiLevelType w:val="hybridMultilevel"/>
    <w:tmpl w:val="000016C5"/>
    <w:lvl w:ilvl="0" w:tplc="00006899">
      <w:start w:val="1"/>
      <w:numFmt w:val="decimal"/>
      <w:lvlText w:val="(%1)"/>
      <w:lvlJc w:val="left"/>
      <w:pPr>
        <w:tabs>
          <w:tab w:val="num" w:pos="720"/>
        </w:tabs>
        <w:ind w:left="720" w:hanging="360"/>
      </w:pPr>
    </w:lvl>
    <w:lvl w:ilvl="1" w:tplc="00003CD5">
      <w:start w:val="11"/>
      <w:numFmt w:val="lowerLetter"/>
      <w:lvlText w:val="(%2)"/>
      <w:lvlJc w:val="left"/>
      <w:pPr>
        <w:tabs>
          <w:tab w:val="num" w:pos="1440"/>
        </w:tabs>
        <w:ind w:left="1440" w:hanging="360"/>
      </w:pPr>
    </w:lvl>
    <w:lvl w:ilvl="2" w:tplc="000013E9">
      <w:start w:val="13"/>
      <w:numFmt w:val="lowerLetter"/>
      <w:lvlText w:val="(%3)"/>
      <w:lvlJc w:val="left"/>
      <w:pPr>
        <w:tabs>
          <w:tab w:val="num" w:pos="2160"/>
        </w:tabs>
        <w:ind w:left="2160" w:hanging="360"/>
      </w:pPr>
    </w:lvl>
    <w:lvl w:ilvl="3" w:tplc="00004080">
      <w:start w:val="1"/>
      <w:numFmt w:val="lowerLetter"/>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124"/>
    <w:multiLevelType w:val="hybridMultilevel"/>
    <w:tmpl w:val="00005DB2"/>
    <w:lvl w:ilvl="0" w:tplc="000033EA">
      <w:start w:val="1"/>
      <w:numFmt w:val="decimal"/>
      <w:lvlText w:val="%1"/>
      <w:lvlJc w:val="left"/>
      <w:pPr>
        <w:tabs>
          <w:tab w:val="num" w:pos="720"/>
        </w:tabs>
        <w:ind w:left="720" w:hanging="360"/>
      </w:pPr>
    </w:lvl>
    <w:lvl w:ilvl="1" w:tplc="000023C9">
      <w:start w:val="1"/>
      <w:numFmt w:val="lowerLetter"/>
      <w:lvlText w:val="%2"/>
      <w:lvlJc w:val="left"/>
      <w:pPr>
        <w:tabs>
          <w:tab w:val="num" w:pos="1440"/>
        </w:tabs>
        <w:ind w:left="1440" w:hanging="360"/>
      </w:pPr>
    </w:lvl>
    <w:lvl w:ilvl="2" w:tplc="000048CC">
      <w:start w:val="16"/>
      <w:numFmt w:val="lowerLetter"/>
      <w:lvlText w:val="(%3)"/>
      <w:lvlJc w:val="left"/>
      <w:pPr>
        <w:tabs>
          <w:tab w:val="num" w:pos="2160"/>
        </w:tabs>
        <w:ind w:left="2160" w:hanging="360"/>
      </w:pPr>
    </w:lvl>
    <w:lvl w:ilvl="3" w:tplc="00005753">
      <w:start w:val="1"/>
      <w:numFmt w:val="lowerLetter"/>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1EB"/>
    <w:multiLevelType w:val="hybridMultilevel"/>
    <w:tmpl w:val="00005422"/>
    <w:lvl w:ilvl="0" w:tplc="00003EF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74D"/>
    <w:multiLevelType w:val="hybridMultilevel"/>
    <w:tmpl w:val="000022CD"/>
    <w:lvl w:ilvl="0" w:tplc="00007DD1">
      <w:start w:val="1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BB3"/>
    <w:multiLevelType w:val="hybridMultilevel"/>
    <w:tmpl w:val="00000822"/>
    <w:lvl w:ilvl="0" w:tplc="0000599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F3E"/>
    <w:multiLevelType w:val="hybridMultilevel"/>
    <w:tmpl w:val="0000692C"/>
    <w:lvl w:ilvl="0" w:tplc="00004A80">
      <w:start w:val="1"/>
      <w:numFmt w:val="decimal"/>
      <w:lvlText w:val="(%1)"/>
      <w:lvlJc w:val="left"/>
      <w:pPr>
        <w:tabs>
          <w:tab w:val="num" w:pos="720"/>
        </w:tabs>
        <w:ind w:left="720" w:hanging="360"/>
      </w:pPr>
    </w:lvl>
    <w:lvl w:ilvl="1" w:tplc="0000187E">
      <w:start w:val="9"/>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1238"/>
    <w:multiLevelType w:val="hybridMultilevel"/>
    <w:tmpl w:val="00000FC9"/>
    <w:lvl w:ilvl="0" w:tplc="00000E1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12DB"/>
    <w:multiLevelType w:val="hybridMultilevel"/>
    <w:tmpl w:val="0000798B"/>
    <w:lvl w:ilvl="0" w:tplc="0000121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153C"/>
    <w:multiLevelType w:val="hybridMultilevel"/>
    <w:tmpl w:val="000073DA"/>
    <w:lvl w:ilvl="0" w:tplc="000058B0">
      <w:start w:val="1"/>
      <w:numFmt w:val="decimal"/>
      <w:lvlText w:val="(%1)"/>
      <w:lvlJc w:val="left"/>
      <w:pPr>
        <w:tabs>
          <w:tab w:val="num" w:pos="720"/>
        </w:tabs>
        <w:ind w:left="720" w:hanging="360"/>
      </w:pPr>
    </w:lvl>
    <w:lvl w:ilvl="1" w:tplc="000026CA">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1547"/>
    <w:multiLevelType w:val="hybridMultilevel"/>
    <w:tmpl w:val="000075EF"/>
    <w:lvl w:ilvl="0" w:tplc="00004657">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1649"/>
    <w:multiLevelType w:val="hybridMultilevel"/>
    <w:tmpl w:val="0000797D"/>
    <w:lvl w:ilvl="0" w:tplc="00005F49">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18BE"/>
    <w:multiLevelType w:val="hybridMultilevel"/>
    <w:tmpl w:val="00000BDB"/>
    <w:lvl w:ilvl="0" w:tplc="000056A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1AD4"/>
    <w:multiLevelType w:val="hybridMultilevel"/>
    <w:tmpl w:val="00005DD5"/>
    <w:lvl w:ilvl="0" w:tplc="00006AD4">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1E1F"/>
    <w:multiLevelType w:val="hybridMultilevel"/>
    <w:tmpl w:val="00007874"/>
    <w:lvl w:ilvl="0" w:tplc="0000249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26A6"/>
    <w:multiLevelType w:val="hybridMultilevel"/>
    <w:tmpl w:val="000071F0"/>
    <w:lvl w:ilvl="0" w:tplc="00000384">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26E9"/>
    <w:multiLevelType w:val="hybridMultilevel"/>
    <w:tmpl w:val="00006032"/>
    <w:lvl w:ilvl="0" w:tplc="00002C3B">
      <w:start w:val="7"/>
      <w:numFmt w:val="decimal"/>
      <w:lvlText w:val="(%1)"/>
      <w:lvlJc w:val="left"/>
      <w:pPr>
        <w:tabs>
          <w:tab w:val="num" w:pos="720"/>
        </w:tabs>
        <w:ind w:left="720" w:hanging="360"/>
      </w:pPr>
    </w:lvl>
    <w:lvl w:ilvl="1" w:tplc="000015A1">
      <w:start w:val="1"/>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2CD6"/>
    <w:multiLevelType w:val="hybridMultilevel"/>
    <w:tmpl w:val="00005878"/>
    <w:lvl w:ilvl="0" w:tplc="00006B3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2D12"/>
    <w:multiLevelType w:val="hybridMultilevel"/>
    <w:tmpl w:val="0000288F"/>
    <w:lvl w:ilvl="0" w:tplc="00003A61">
      <w:start w:val="1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2EA6"/>
    <w:multiLevelType w:val="hybridMultilevel"/>
    <w:tmpl w:val="0000409D"/>
    <w:lvl w:ilvl="0" w:tplc="000012E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305E"/>
    <w:multiLevelType w:val="hybridMultilevel"/>
    <w:tmpl w:val="000060BF"/>
    <w:lvl w:ilvl="0" w:tplc="00005C67">
      <w:start w:val="1"/>
      <w:numFmt w:val="decimal"/>
      <w:lvlText w:val="(%1)"/>
      <w:lvlJc w:val="left"/>
      <w:pPr>
        <w:tabs>
          <w:tab w:val="num" w:pos="720"/>
        </w:tabs>
        <w:ind w:left="720" w:hanging="360"/>
      </w:pPr>
    </w:lvl>
    <w:lvl w:ilvl="1" w:tplc="00003CD6">
      <w:start w:val="16"/>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323B"/>
    <w:multiLevelType w:val="hybridMultilevel"/>
    <w:tmpl w:val="00000ECC"/>
    <w:lvl w:ilvl="0" w:tplc="000046C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390C"/>
    <w:multiLevelType w:val="hybridMultilevel"/>
    <w:tmpl w:val="00005772"/>
    <w:lvl w:ilvl="0" w:tplc="0000139D">
      <w:start w:val="1"/>
      <w:numFmt w:val="decimal"/>
      <w:lvlText w:val="(%1)"/>
      <w:lvlJc w:val="left"/>
      <w:pPr>
        <w:tabs>
          <w:tab w:val="num" w:pos="720"/>
        </w:tabs>
        <w:ind w:left="720" w:hanging="360"/>
      </w:pPr>
    </w:lvl>
    <w:lvl w:ilvl="1" w:tplc="00007049">
      <w:start w:val="6"/>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39B3"/>
    <w:multiLevelType w:val="hybridMultilevel"/>
    <w:tmpl w:val="00002FFF"/>
    <w:lvl w:ilvl="0" w:tplc="00006C69">
      <w:start w:val="1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3B25"/>
    <w:multiLevelType w:val="hybridMultilevel"/>
    <w:tmpl w:val="00005F1E"/>
    <w:lvl w:ilvl="0" w:tplc="00002833">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3D6C"/>
    <w:multiLevelType w:val="hybridMultilevel"/>
    <w:tmpl w:val="000022EE"/>
    <w:lvl w:ilvl="0" w:tplc="00004B4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41BB"/>
    <w:multiLevelType w:val="hybridMultilevel"/>
    <w:tmpl w:val="000066C4"/>
    <w:lvl w:ilvl="0" w:tplc="00004230">
      <w:start w:val="1"/>
      <w:numFmt w:val="decimal"/>
      <w:lvlText w:val="%1"/>
      <w:lvlJc w:val="left"/>
      <w:pPr>
        <w:tabs>
          <w:tab w:val="num" w:pos="720"/>
        </w:tabs>
        <w:ind w:left="720" w:hanging="360"/>
      </w:pPr>
    </w:lvl>
    <w:lvl w:ilvl="1" w:tplc="00007EB7">
      <w:start w:val="8"/>
      <w:numFmt w:val="lowerRoman"/>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428B"/>
    <w:multiLevelType w:val="hybridMultilevel"/>
    <w:tmpl w:val="000032E6"/>
    <w:lvl w:ilvl="0" w:tplc="0000401D">
      <w:start w:val="1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440D"/>
    <w:multiLevelType w:val="hybridMultilevel"/>
    <w:tmpl w:val="00000FBF"/>
    <w:lvl w:ilvl="0" w:tplc="00002F14">
      <w:start w:val="1"/>
      <w:numFmt w:val="decimal"/>
      <w:lvlText w:val="(%1)"/>
      <w:lvlJc w:val="left"/>
      <w:pPr>
        <w:tabs>
          <w:tab w:val="num" w:pos="720"/>
        </w:tabs>
        <w:ind w:left="720" w:hanging="360"/>
      </w:pPr>
    </w:lvl>
    <w:lvl w:ilvl="1" w:tplc="00006AD6">
      <w:start w:val="20"/>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4509"/>
    <w:multiLevelType w:val="hybridMultilevel"/>
    <w:tmpl w:val="00001953"/>
    <w:lvl w:ilvl="0" w:tplc="00006BCB">
      <w:start w:val="2"/>
      <w:numFmt w:val="decimal"/>
      <w:lvlText w:val="14.%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4823"/>
    <w:multiLevelType w:val="hybridMultilevel"/>
    <w:tmpl w:val="0000030A"/>
    <w:lvl w:ilvl="0" w:tplc="0000301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491C"/>
    <w:multiLevelType w:val="hybridMultilevel"/>
    <w:tmpl w:val="0000047E"/>
    <w:lvl w:ilvl="0" w:tplc="0000422D">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4AE1"/>
    <w:multiLevelType w:val="hybridMultilevel"/>
    <w:tmpl w:val="0000759A"/>
    <w:lvl w:ilvl="0" w:tplc="00002350">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4D06"/>
    <w:multiLevelType w:val="hybridMultilevel"/>
    <w:tmpl w:val="000054DC"/>
    <w:lvl w:ilvl="0" w:tplc="0000368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4DB7"/>
    <w:multiLevelType w:val="hybridMultilevel"/>
    <w:tmpl w:val="00000D66"/>
    <w:lvl w:ilvl="0" w:tplc="00007983">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4DC8"/>
    <w:multiLevelType w:val="hybridMultilevel"/>
    <w:tmpl w:val="0000261E"/>
    <w:lvl w:ilvl="0" w:tplc="00005E9D">
      <w:start w:val="1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4E45"/>
    <w:multiLevelType w:val="hybridMultilevel"/>
    <w:tmpl w:val="00006D22"/>
    <w:lvl w:ilvl="0" w:tplc="00001AF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54DE"/>
    <w:multiLevelType w:val="hybridMultilevel"/>
    <w:tmpl w:val="00002C49"/>
    <w:lvl w:ilvl="0" w:tplc="00003C61">
      <w:start w:val="9"/>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5AF1"/>
    <w:multiLevelType w:val="hybridMultilevel"/>
    <w:tmpl w:val="00004944"/>
    <w:lvl w:ilvl="0" w:tplc="00002E40">
      <w:start w:val="1"/>
      <w:numFmt w:val="decimal"/>
      <w:lvlText w:val="%1"/>
      <w:lvlJc w:val="left"/>
      <w:pPr>
        <w:tabs>
          <w:tab w:val="num" w:pos="720"/>
        </w:tabs>
        <w:ind w:left="720" w:hanging="360"/>
      </w:pPr>
    </w:lvl>
    <w:lvl w:ilvl="1" w:tplc="00001366">
      <w:start w:val="1"/>
      <w:numFmt w:val="lowerRoman"/>
      <w:lvlText w:val="%2"/>
      <w:lvlJc w:val="left"/>
      <w:pPr>
        <w:tabs>
          <w:tab w:val="num" w:pos="1440"/>
        </w:tabs>
        <w:ind w:left="1440" w:hanging="360"/>
      </w:pPr>
    </w:lvl>
    <w:lvl w:ilvl="2" w:tplc="00001CD0">
      <w:start w:val="5"/>
      <w:numFmt w:val="lowerRoman"/>
      <w:lvlText w:val="(%3)"/>
      <w:lvlJc w:val="left"/>
      <w:pPr>
        <w:tabs>
          <w:tab w:val="num" w:pos="2160"/>
        </w:tabs>
        <w:ind w:left="2160" w:hanging="360"/>
      </w:pPr>
    </w:lvl>
    <w:lvl w:ilvl="3" w:tplc="0000366B">
      <w:start w:val="1"/>
      <w:numFmt w:val="lowerRoman"/>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5D03"/>
    <w:multiLevelType w:val="hybridMultilevel"/>
    <w:tmpl w:val="00000677"/>
    <w:lvl w:ilvl="0" w:tplc="0000440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5F90"/>
    <w:multiLevelType w:val="hybridMultilevel"/>
    <w:tmpl w:val="00003BF6"/>
    <w:lvl w:ilvl="0" w:tplc="00003A9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63CB"/>
    <w:multiLevelType w:val="hybridMultilevel"/>
    <w:tmpl w:val="00005A9F"/>
    <w:lvl w:ilvl="0" w:tplc="00004CD4">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6443"/>
    <w:multiLevelType w:val="hybridMultilevel"/>
    <w:tmpl w:val="0000489C"/>
    <w:lvl w:ilvl="0" w:tplc="0000191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66BB"/>
    <w:multiLevelType w:val="hybridMultilevel"/>
    <w:tmpl w:val="00006172"/>
    <w:lvl w:ilvl="0" w:tplc="00006B7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6784"/>
    <w:multiLevelType w:val="hybridMultilevel"/>
    <w:tmpl w:val="00000732"/>
    <w:lvl w:ilvl="0" w:tplc="00000120">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6952"/>
    <w:multiLevelType w:val="hybridMultilevel"/>
    <w:tmpl w:val="00001A49"/>
    <w:lvl w:ilvl="0" w:tplc="00005F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6BFC"/>
    <w:multiLevelType w:val="hybridMultilevel"/>
    <w:tmpl w:val="00005FA4"/>
    <w:lvl w:ilvl="0" w:tplc="00002059">
      <w:start w:val="1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6DF1"/>
    <w:multiLevelType w:val="hybridMultilevel"/>
    <w:tmpl w:val="00000DDC"/>
    <w:lvl w:ilvl="0" w:tplc="00004CAD">
      <w:start w:val="1"/>
      <w:numFmt w:val="decimal"/>
      <w:lvlText w:val="(%1)"/>
      <w:lvlJc w:val="left"/>
      <w:pPr>
        <w:tabs>
          <w:tab w:val="num" w:pos="720"/>
        </w:tabs>
        <w:ind w:left="720" w:hanging="360"/>
      </w:pPr>
    </w:lvl>
    <w:lvl w:ilvl="1" w:tplc="0000314F">
      <w:start w:val="1"/>
      <w:numFmt w:val="lowerRoman"/>
      <w:lvlText w:val="(%2)"/>
      <w:lvlJc w:val="left"/>
      <w:pPr>
        <w:tabs>
          <w:tab w:val="num" w:pos="1440"/>
        </w:tabs>
        <w:ind w:left="1440" w:hanging="360"/>
      </w:pPr>
    </w:lvl>
    <w:lvl w:ilvl="2" w:tplc="00005E14">
      <w:start w:val="2"/>
      <w:numFmt w:val="lowerRoman"/>
      <w:lvlText w:val="(%3)"/>
      <w:lvlJc w:val="left"/>
      <w:pPr>
        <w:tabs>
          <w:tab w:val="num" w:pos="2160"/>
        </w:tabs>
        <w:ind w:left="2160" w:hanging="360"/>
      </w:pPr>
    </w:lvl>
    <w:lvl w:ilvl="3" w:tplc="00004DF2">
      <w:start w:val="3"/>
      <w:numFmt w:val="lowerRoman"/>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6E5D"/>
    <w:multiLevelType w:val="hybridMultilevel"/>
    <w:tmpl w:val="00002B0C"/>
    <w:lvl w:ilvl="0" w:tplc="000011F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701F"/>
    <w:multiLevelType w:val="hybridMultilevel"/>
    <w:tmpl w:val="00007F4F"/>
    <w:lvl w:ilvl="0" w:tplc="0000494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72AE"/>
    <w:multiLevelType w:val="hybridMultilevel"/>
    <w:tmpl w:val="00005CFD"/>
    <w:lvl w:ilvl="0" w:tplc="00003E1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000767D"/>
    <w:multiLevelType w:val="hybridMultilevel"/>
    <w:tmpl w:val="00005039"/>
    <w:lvl w:ilvl="0" w:tplc="0000542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nsid w:val="00007A5A"/>
    <w:multiLevelType w:val="hybridMultilevel"/>
    <w:tmpl w:val="000018D7"/>
    <w:lvl w:ilvl="0" w:tplc="00006BE8">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nsid w:val="00007E87"/>
    <w:multiLevelType w:val="hybridMultilevel"/>
    <w:tmpl w:val="00003699"/>
    <w:lvl w:ilvl="0" w:tplc="00000902">
      <w:start w:val="1"/>
      <w:numFmt w:val="decimal"/>
      <w:lvlText w:val="(%1)"/>
      <w:lvlJc w:val="left"/>
      <w:pPr>
        <w:tabs>
          <w:tab w:val="num" w:pos="720"/>
        </w:tabs>
        <w:ind w:left="720" w:hanging="360"/>
      </w:pPr>
    </w:lvl>
    <w:lvl w:ilvl="1" w:tplc="00007BB9">
      <w:start w:val="4"/>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nsid w:val="00007F96"/>
    <w:multiLevelType w:val="hybridMultilevel"/>
    <w:tmpl w:val="0000127E"/>
    <w:lvl w:ilvl="0" w:tplc="00000035">
      <w:start w:val="1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nsid w:val="00007FF5"/>
    <w:multiLevelType w:val="hybridMultilevel"/>
    <w:tmpl w:val="000007CF"/>
    <w:lvl w:ilvl="0" w:tplc="000067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30"/>
  </w:num>
  <w:num w:numId="3">
    <w:abstractNumId w:val="12"/>
  </w:num>
  <w:num w:numId="4">
    <w:abstractNumId w:val="44"/>
  </w:num>
  <w:num w:numId="5">
    <w:abstractNumId w:val="32"/>
  </w:num>
  <w:num w:numId="6">
    <w:abstractNumId w:val="25"/>
  </w:num>
  <w:num w:numId="7">
    <w:abstractNumId w:val="17"/>
  </w:num>
  <w:num w:numId="8">
    <w:abstractNumId w:val="50"/>
  </w:num>
  <w:num w:numId="9">
    <w:abstractNumId w:val="45"/>
  </w:num>
  <w:num w:numId="10">
    <w:abstractNumId w:val="40"/>
  </w:num>
  <w:num w:numId="11">
    <w:abstractNumId w:val="11"/>
  </w:num>
  <w:num w:numId="12">
    <w:abstractNumId w:val="47"/>
  </w:num>
  <w:num w:numId="13">
    <w:abstractNumId w:val="38"/>
  </w:num>
  <w:num w:numId="14">
    <w:abstractNumId w:val="26"/>
  </w:num>
  <w:num w:numId="15">
    <w:abstractNumId w:val="16"/>
  </w:num>
  <w:num w:numId="16">
    <w:abstractNumId w:val="3"/>
  </w:num>
  <w:num w:numId="17">
    <w:abstractNumId w:val="5"/>
  </w:num>
  <w:num w:numId="18">
    <w:abstractNumId w:val="19"/>
  </w:num>
  <w:num w:numId="19">
    <w:abstractNumId w:val="8"/>
  </w:num>
  <w:num w:numId="20">
    <w:abstractNumId w:val="9"/>
  </w:num>
  <w:num w:numId="21">
    <w:abstractNumId w:val="53"/>
  </w:num>
  <w:num w:numId="22">
    <w:abstractNumId w:val="22"/>
  </w:num>
  <w:num w:numId="23">
    <w:abstractNumId w:val="6"/>
  </w:num>
  <w:num w:numId="24">
    <w:abstractNumId w:val="1"/>
  </w:num>
  <w:num w:numId="25">
    <w:abstractNumId w:val="2"/>
  </w:num>
  <w:num w:numId="26">
    <w:abstractNumId w:val="20"/>
  </w:num>
  <w:num w:numId="27">
    <w:abstractNumId w:val="28"/>
  </w:num>
  <w:num w:numId="28">
    <w:abstractNumId w:val="31"/>
  </w:num>
  <w:num w:numId="29">
    <w:abstractNumId w:val="33"/>
  </w:num>
  <w:num w:numId="30">
    <w:abstractNumId w:val="34"/>
  </w:num>
  <w:num w:numId="31">
    <w:abstractNumId w:val="10"/>
  </w:num>
  <w:num w:numId="32">
    <w:abstractNumId w:val="37"/>
  </w:num>
  <w:num w:numId="33">
    <w:abstractNumId w:val="23"/>
  </w:num>
  <w:num w:numId="34">
    <w:abstractNumId w:val="18"/>
  </w:num>
  <w:num w:numId="35">
    <w:abstractNumId w:val="4"/>
  </w:num>
  <w:num w:numId="36">
    <w:abstractNumId w:val="35"/>
  </w:num>
  <w:num w:numId="37">
    <w:abstractNumId w:val="42"/>
  </w:num>
  <w:num w:numId="38">
    <w:abstractNumId w:val="43"/>
  </w:num>
  <w:num w:numId="39">
    <w:abstractNumId w:val="27"/>
  </w:num>
  <w:num w:numId="40">
    <w:abstractNumId w:val="15"/>
  </w:num>
  <w:num w:numId="41">
    <w:abstractNumId w:val="49"/>
  </w:num>
  <w:num w:numId="42">
    <w:abstractNumId w:val="39"/>
  </w:num>
  <w:num w:numId="43">
    <w:abstractNumId w:val="52"/>
  </w:num>
  <w:num w:numId="44">
    <w:abstractNumId w:val="51"/>
  </w:num>
  <w:num w:numId="45">
    <w:abstractNumId w:val="29"/>
  </w:num>
  <w:num w:numId="46">
    <w:abstractNumId w:val="7"/>
  </w:num>
  <w:num w:numId="47">
    <w:abstractNumId w:val="24"/>
  </w:num>
  <w:num w:numId="48">
    <w:abstractNumId w:val="14"/>
  </w:num>
  <w:num w:numId="49">
    <w:abstractNumId w:val="48"/>
  </w:num>
  <w:num w:numId="50">
    <w:abstractNumId w:val="13"/>
  </w:num>
  <w:num w:numId="51">
    <w:abstractNumId w:val="41"/>
  </w:num>
  <w:num w:numId="52">
    <w:abstractNumId w:val="46"/>
  </w:num>
  <w:num w:numId="53">
    <w:abstractNumId w:val="54"/>
  </w:num>
  <w:num w:numId="54">
    <w:abstractNumId w:val="55"/>
  </w:num>
  <w:num w:numId="55">
    <w:abstractNumId w:val="36"/>
  </w:num>
  <w:num w:numId="56">
    <w:abstractNumId w:val="2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965"/>
    <w:rsid w:val="00A06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11"/>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84739</Words>
  <Characters>483013</Characters>
  <Application>Microsoft Office Word</Application>
  <DocSecurity>0</DocSecurity>
  <Lines>4025</Lines>
  <Paragraphs>1133</Paragraphs>
  <ScaleCrop>false</ScaleCrop>
  <Company/>
  <LinksUpToDate>false</LinksUpToDate>
  <CharactersWithSpaces>566619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user</cp:lastModifiedBy>
  <cp:revision>2</cp:revision>
  <dcterms:created xsi:type="dcterms:W3CDTF">2015-04-14T20:57:00Z</dcterms:created>
  <dcterms:modified xsi:type="dcterms:W3CDTF">2015-04-14T20:57:00Z</dcterms:modified>
</cp:coreProperties>
</file>