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626_2013803542"/>
      <w:r>
        <w:rPr/>
        <w:t>Test list:</w:t>
      </w:r>
    </w:p>
    <w:p>
      <w:pPr>
        <w:pStyle w:val="Normal"/>
        <w:rPr/>
      </w:pPr>
      <w:r>
        <w:rPr/>
      </w:r>
    </w:p>
    <w:p>
      <w:pPr>
        <w:pStyle w:val="Normal"/>
        <w:rPr/>
      </w:pPr>
      <w:r>
        <w:rPr/>
        <w:t>(a) Foo bar.</w:t>
      </w:r>
    </w:p>
    <w:p>
      <w:pPr>
        <w:pStyle w:val="Normal"/>
        <w:rPr/>
      </w:pPr>
      <w:r>
        <w:rPr/>
        <w:t>(aa) Mooo.</w:t>
      </w:r>
    </w:p>
    <w:p>
      <w:pPr>
        <w:pStyle w:val="Normal"/>
        <w:rPr/>
      </w:pPr>
      <w:r>
        <w:rPr/>
        <w:t>(aaa) Boo.</w:t>
      </w:r>
    </w:p>
    <w:p>
      <w:pPr>
        <w:pStyle w:val="Normal"/>
        <w:rPr/>
      </w:pPr>
      <w:bookmarkStart w:id="1" w:name="__DdeLink__626_2013803542"/>
      <w:bookmarkEnd w:id="1"/>
      <w:r>
        <w:rPr/>
        <w:t>(bbb) Test.</w:t>
      </w:r>
    </w:p>
    <w:p>
      <w:pPr>
        <w:pStyle w:val="Normal"/>
        <w:rPr/>
      </w:pPr>
      <w:r>
        <w:rPr/>
      </w:r>
    </w:p>
    <w:p>
      <w:pPr>
        <w:pStyle w:val="Normal"/>
        <w:rPr/>
      </w:pPr>
      <w:r>
        <w:rPr/>
        <w:t>From -bass-2007-cb1-trust-1387482-2007-02-22:</w:t>
      </w:r>
    </w:p>
    <w:p>
      <w:pPr>
        <w:pStyle w:val="Normal"/>
        <w:rPr/>
      </w:pPr>
      <w:r>
        <w:rPr/>
      </w:r>
    </w:p>
    <w:p>
      <w:pPr>
        <w:pStyle w:val="Normal"/>
        <w:rPr/>
      </w:pPr>
      <w:r>
        <w:rPr/>
        <w:t>(a)</w:t>
      </w:r>
    </w:p>
    <w:p>
      <w:pPr>
        <w:pStyle w:val="Normal"/>
        <w:rPr/>
      </w:pPr>
      <w:r>
        <w:rPr/>
        <w:t>In connection with any transfer pursuant to Section 2.01 hereof, the Seller further agrees, at its own expense, on or prior to the Closing Date, (x) to indicate in its books and records that the Mortgage Loans have been sold to the Purchaser pursuant to this Agreement and (y) to deliver to the Purchaser and the Trustee a computer file containing a true and complete list of all the Mortgage Loans specifying, among other things, for each Mortgage Loan, as of the Cut-off Date, its account number and Cut-off Date Principal Balance. Such file (the “Mortgage Loan Schedule”) which is included as Schedule I to the Pooling and Servicing Agreement, shall also be marked as Schedule I to this Agreement and is hereby incorporated into and made a part of this Agreement.</w:t>
      </w:r>
    </w:p>
    <w:p>
      <w:pPr>
        <w:pStyle w:val="Normal"/>
        <w:rPr/>
      </w:pPr>
      <w:r>
        <w:rPr/>
        <w:t>In connection with such transfer and assignment, the Seller, on behalf of the Purchaser, does hereby deliver or cause to be delivered to, and deposit with the Trustee, or its designated agent (the “Custodian”), the following documents or instruments with respect to each Mortgage Loan (a “Mortgage File”) so transferred and assigned:</w:t>
      </w:r>
    </w:p>
    <w:p>
      <w:pPr>
        <w:pStyle w:val="Normal"/>
        <w:rPr/>
      </w:pPr>
      <w:r>
        <w:rPr/>
        <w:t>(i)</w:t>
      </w:r>
    </w:p>
    <w:p>
      <w:pPr>
        <w:pStyle w:val="Normal"/>
        <w:rPr/>
      </w:pPr>
      <w:r>
        <w:rPr/>
        <w:t>the original Mortgage Note, endorsed either (A) in blank or (B) in the following form: “Pay to the order of U.S. Bank National Association, as Trustee for the C-BASS Mortgage Loan Asset-Backed Certificates, Series 2007-CB1, without recourse,” or with respect to any lost Mortgage Note, an original lost note affidavit, together with a copy of the related Mortgage Note;</w:t>
      </w:r>
    </w:p>
    <w:p>
      <w:pPr>
        <w:pStyle w:val="Normal"/>
        <w:rPr/>
      </w:pPr>
      <w:r>
        <w:rPr/>
        <w:t>(ii)</w:t>
      </w:r>
    </w:p>
    <w:p>
      <w:pPr>
        <w:pStyle w:val="Normal"/>
        <w:rPr/>
      </w:pPr>
      <w:r>
        <w:rPr/>
        <w:t>the original Mortgage with evidence of recording thereon, and the original recorded power of attorney, if the Mortgage was executed pursuant to a power of attorney, with evidence of recording thereon or, if such Mortgage or power of attorney has been submitted for recording but has not been returned from the applicable public recording office, has been lost or is not otherwise available, a copy of such Mortgage or power of attorney, as the case may be, certified to be a true and complete copy of the original submitted for recording;</w:t>
      </w:r>
    </w:p>
    <w:p>
      <w:pPr>
        <w:pStyle w:val="Normal"/>
        <w:rPr/>
      </w:pPr>
      <w:r>
        <w:rPr/>
        <w:t>(iii)</w:t>
      </w:r>
    </w:p>
    <w:p>
      <w:pPr>
        <w:pStyle w:val="Normal"/>
        <w:rPr/>
      </w:pPr>
      <w:r>
        <w:rPr/>
        <w:t>an original Assignment of Mortgage, in form and substance acceptable for recording. The Mortgage shall be assigned either (A) in blank or (B) to “U.S. Bank National Association, as Trustee for the C-BASS Mortgage Loan Asset-Backed Certificates, Series 2007-CB1, without recourse”;</w:t>
      </w:r>
    </w:p>
    <w:p>
      <w:pPr>
        <w:pStyle w:val="Normal"/>
        <w:rPr/>
      </w:pPr>
      <w:r>
        <w:rPr/>
      </w:r>
    </w:p>
    <w:p>
      <w:pPr>
        <w:pStyle w:val="Normal"/>
        <w:rPr/>
      </w:pPr>
      <w:r>
        <w:rPr/>
        <w:t>From abco-energy-inc-1300938-2014-07-01:</w:t>
      </w:r>
    </w:p>
    <w:p>
      <w:pPr>
        <w:pStyle w:val="Normal"/>
        <w:rPr/>
      </w:pPr>
      <w:r>
        <w:rPr/>
      </w:r>
    </w:p>
    <w:p>
      <w:pPr>
        <w:pStyle w:val="Style19"/>
        <w:rPr/>
      </w:pPr>
      <w:r>
        <w:rPr/>
        <w:t xml:space="preserve">1.  </w:t>
      </w:r>
    </w:p>
    <w:p>
      <w:pPr>
        <w:pStyle w:val="Style19"/>
        <w:rPr/>
      </w:pPr>
      <w:r>
        <w:rPr/>
      </w:r>
    </w:p>
    <w:p>
      <w:pPr>
        <w:pStyle w:val="Style19"/>
        <w:rPr/>
      </w:pPr>
      <w:r>
        <w:rPr/>
      </w:r>
    </w:p>
    <w:p>
      <w:pPr>
        <w:pStyle w:val="Style19"/>
        <w:rPr/>
      </w:pPr>
      <w:r>
        <w:rPr/>
        <w:t>Simultaneous with this acquisition, all ENYC preferred shares shall be converted to common shares.</w:t>
      </w:r>
    </w:p>
    <w:p>
      <w:pPr>
        <w:pStyle w:val="Style19"/>
        <w:rPr/>
      </w:pPr>
      <w:r>
        <w:rPr/>
      </w:r>
    </w:p>
    <w:p>
      <w:pPr>
        <w:pStyle w:val="Style19"/>
        <w:rPr/>
      </w:pPr>
      <w:r>
        <w:rPr/>
      </w:r>
    </w:p>
    <w:p>
      <w:pPr>
        <w:pStyle w:val="Style19"/>
        <w:rPr/>
      </w:pPr>
      <w:r>
        <w:rPr/>
        <w:t xml:space="preserve">2.  </w:t>
      </w:r>
    </w:p>
    <w:p>
      <w:pPr>
        <w:pStyle w:val="Style19"/>
        <w:rPr/>
      </w:pPr>
      <w:r>
        <w:rPr/>
      </w:r>
    </w:p>
    <w:p>
      <w:pPr>
        <w:pStyle w:val="Style19"/>
        <w:rPr/>
      </w:pPr>
      <w:r>
        <w:rPr/>
      </w:r>
    </w:p>
    <w:p>
      <w:pPr>
        <w:pStyle w:val="Style19"/>
        <w:rPr/>
      </w:pPr>
      <w:r>
        <w:rPr/>
        <w:t>Post-acquisition all currently existing pre-acquisition ENYC shares shall be rolled back on a one for twenty three reverse division including the converted preferred shares.  The resulting shares totaling 1,375,730 common shares shall be held or retained by existing ENYC shareholders after the reverse division in the same percentage of holding as before the reverse division. No fractional shares shall be issued.</w:t>
      </w:r>
    </w:p>
    <w:p>
      <w:pPr>
        <w:pStyle w:val="Style19"/>
        <w:rPr/>
      </w:pPr>
      <w:r>
        <w:rPr/>
      </w:r>
    </w:p>
    <w:p>
      <w:pPr>
        <w:pStyle w:val="Style19"/>
        <w:rPr/>
      </w:pPr>
      <w:r>
        <w:rPr/>
        <w:t xml:space="preserve"> </w:t>
      </w:r>
    </w:p>
    <w:p>
      <w:pPr>
        <w:pStyle w:val="Style19"/>
        <w:rPr/>
      </w:pPr>
      <w:r>
        <w:rPr/>
      </w:r>
    </w:p>
    <w:p>
      <w:pPr>
        <w:pStyle w:val="Style19"/>
        <w:rPr/>
      </w:pPr>
      <w:r>
        <w:rPr/>
      </w:r>
    </w:p>
    <w:p>
      <w:pPr>
        <w:pStyle w:val="Style19"/>
        <w:rPr/>
      </w:pPr>
      <w:r>
        <w:rPr/>
      </w:r>
    </w:p>
    <w:p>
      <w:pPr>
        <w:pStyle w:val="Style19"/>
        <w:rPr/>
      </w:pPr>
      <w:r>
        <w:rPr/>
      </w:r>
    </w:p>
    <w:p>
      <w:pPr>
        <w:pStyle w:val="Style19"/>
        <w:rPr/>
      </w:pPr>
      <w:r>
        <w:rPr/>
        <w:t xml:space="preserve">3.  </w:t>
      </w:r>
    </w:p>
    <w:p>
      <w:pPr>
        <w:pStyle w:val="Style19"/>
        <w:rPr/>
      </w:pPr>
      <w:r>
        <w:rPr/>
      </w:r>
    </w:p>
    <w:p>
      <w:pPr>
        <w:pStyle w:val="Style19"/>
        <w:rPr/>
      </w:pPr>
      <w:r>
        <w:rPr/>
      </w:r>
    </w:p>
    <w:p>
      <w:pPr>
        <w:pStyle w:val="Style19"/>
        <w:rPr/>
      </w:pPr>
      <w:r>
        <w:rPr/>
        <w:t>ENYC shall exchange 13,957,708 shares of ENYC common stock for 100% of the total ownership of WCE Nevada in order to accomplish the goals of this agreement. After closing, WCE shall distribute the ENYC shares to its shareholders in equal proportion to their holdings prior to the acquisition.</w:t>
      </w:r>
    </w:p>
    <w:p>
      <w:pPr>
        <w:pStyle w:val="Style19"/>
        <w:spacing w:before="0" w:after="283"/>
        <w:rPr/>
      </w:pPr>
      <w:r>
        <w:rPr/>
      </w:r>
    </w:p>
    <w:p>
      <w:pPr>
        <w:pStyle w:val="Normal"/>
        <w:rPr/>
      </w:pPr>
      <w:r>
        <w:rPr/>
        <w:t>From morgan-stanley-smith-barney-charter-wnt-l-p-1066658-2007-03-19:</w:t>
      </w:r>
    </w:p>
    <w:p>
      <w:pPr>
        <w:pStyle w:val="Normal"/>
        <w:rPr/>
      </w:pPr>
      <w:r>
        <w:rPr/>
      </w:r>
    </w:p>
    <w:p>
      <w:pPr>
        <w:pStyle w:val="Normal"/>
        <w:rPr/>
      </w:pPr>
      <w:r>
        <w:rPr/>
        <w:t>1.</w:t>
      </w:r>
    </w:p>
    <w:p>
      <w:pPr>
        <w:pStyle w:val="Normal"/>
        <w:rPr/>
      </w:pPr>
      <w:r>
        <w:rPr/>
      </w:r>
    </w:p>
    <w:p>
      <w:pPr>
        <w:pStyle w:val="Normal"/>
        <w:rPr/>
      </w:pPr>
      <w:r>
        <w:rPr/>
      </w:r>
    </w:p>
    <w:p>
      <w:pPr>
        <w:pStyle w:val="Normal"/>
        <w:rPr/>
      </w:pPr>
      <w:r>
        <w:rPr/>
        <w:t>Morgan</w:t>
      </w:r>
    </w:p>
    <w:p>
      <w:pPr>
        <w:pStyle w:val="Normal"/>
        <w:rPr/>
      </w:pPr>
      <w:r>
        <w:rPr/>
        <w:t xml:space="preserve">                  </w:t>
      </w:r>
      <w:r>
        <w:rPr/>
        <w:t>Stanley DW Inc. has been merged into Morgan Stanley &amp; Co. Incorporated</w:t>
      </w:r>
    </w:p>
    <w:p>
      <w:pPr>
        <w:pStyle w:val="Normal"/>
        <w:rPr/>
      </w:pPr>
      <w:r>
        <w:rPr/>
        <w:t xml:space="preserve">                  </w:t>
      </w:r>
      <w:r>
        <w:rPr/>
        <w:t>and any references to “DEAN WITTER REYNOLDS, INC.”, the predecessor to</w:t>
      </w:r>
    </w:p>
    <w:p>
      <w:pPr>
        <w:pStyle w:val="Normal"/>
        <w:rPr/>
      </w:pPr>
      <w:r>
        <w:rPr/>
        <w:t xml:space="preserve">                  </w:t>
      </w:r>
      <w:r>
        <w:rPr/>
        <w:t>Morgan Stanley DW Inc., shall mean “MORGAN STANLEY &amp; CO.</w:t>
      </w:r>
    </w:p>
    <w:p>
      <w:pPr>
        <w:pStyle w:val="Normal"/>
        <w:rPr/>
      </w:pPr>
      <w:r>
        <w:rPr/>
        <w:t xml:space="preserve">                  </w:t>
      </w:r>
      <w:r>
        <w:rPr/>
        <w:t>INCORPORATED”.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w:t>
      </w:r>
    </w:p>
    <w:p>
      <w:pPr>
        <w:pStyle w:val="Normal"/>
        <w:rPr/>
      </w:pPr>
      <w:r>
        <w:rPr/>
      </w:r>
    </w:p>
    <w:p>
      <w:pPr>
        <w:pStyle w:val="Normal"/>
        <w:rPr/>
      </w:pPr>
      <w:r>
        <w:rPr/>
      </w:r>
    </w:p>
    <w:p>
      <w:pPr>
        <w:pStyle w:val="Normal"/>
        <w:rPr/>
      </w:pPr>
      <w:r>
        <w:rPr/>
        <w:t>The</w:t>
      </w:r>
    </w:p>
    <w:p>
      <w:pPr>
        <w:pStyle w:val="Normal"/>
        <w:rPr/>
      </w:pPr>
      <w:r>
        <w:rPr/>
        <w:t xml:space="preserve">                  </w:t>
      </w:r>
      <w:r>
        <w:rPr/>
        <w:t>third sentence of Section 7 Investment of Customer Funds is deleted</w:t>
      </w:r>
    </w:p>
    <w:p>
      <w:pPr>
        <w:pStyle w:val="Normal"/>
        <w:rPr/>
      </w:pPr>
      <w:r>
        <w:rPr/>
        <w:t xml:space="preserve">                  </w:t>
      </w:r>
      <w:r>
        <w:rPr/>
        <w:t>in its</w:t>
      </w:r>
    </w:p>
    <w:p>
      <w:pPr>
        <w:pStyle w:val="Normal"/>
        <w:rPr/>
      </w:pPr>
      <w:r>
        <w:rPr/>
        <w:t xml:space="preserve">                  </w:t>
      </w:r>
      <w:r>
        <w:rPr/>
        <w:t>entirety and replaced with the</w:t>
      </w:r>
    </w:p>
    <w:p>
      <w:pPr>
        <w:pStyle w:val="Normal"/>
        <w:rPr/>
      </w:pPr>
      <w:r>
        <w:rPr/>
        <w:t xml:space="preserve">                  </w:t>
      </w:r>
      <w:r>
        <w:rPr/>
        <w:t>following: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r>
        <w:rPr/>
        <w:t>The</w:t>
      </w:r>
    </w:p>
    <w:p>
      <w:pPr>
        <w:pStyle w:val="Normal"/>
        <w:rPr/>
      </w:pPr>
      <w:r>
        <w:rPr/>
        <w:t xml:space="preserve">        </w:t>
      </w:r>
      <w:r>
        <w:rPr/>
        <w:t>Commodity Broker will credit the Customer with interest income on the Customer’s</w:t>
      </w:r>
    </w:p>
    <w:p>
      <w:pPr>
        <w:pStyle w:val="Normal"/>
        <w:rPr/>
      </w:pPr>
      <w:r>
        <w:rPr/>
        <w:t xml:space="preserve">        </w:t>
      </w:r>
      <w:r>
        <w:rPr/>
        <w:t>funds on deposit with the Commodity Broker and its affiliates at each month-end.</w:t>
      </w:r>
    </w:p>
    <w:p>
      <w:pPr>
        <w:pStyle w:val="Normal"/>
        <w:rPr/>
      </w:pPr>
      <w:r>
        <w:rPr/>
        <w:t xml:space="preserve">        </w:t>
      </w:r>
      <w:r>
        <w:rPr/>
        <w:t>Funds held by the Commodity Broker and its affiliates to meet the margin</w:t>
      </w:r>
    </w:p>
    <w:p>
      <w:pPr>
        <w:pStyle w:val="Normal"/>
        <w:rPr/>
      </w:pPr>
      <w:r>
        <w:rPr/>
        <w:t xml:space="preserve">        </w:t>
      </w:r>
      <w:r>
        <w:rPr/>
        <w:t>requirements on the Customer’s futures, forward, and option contracts will be</w:t>
      </w:r>
    </w:p>
    <w:p>
      <w:pPr>
        <w:pStyle w:val="Normal"/>
        <w:rPr/>
      </w:pPr>
      <w:r>
        <w:rPr/>
        <w:t xml:space="preserve">        </w:t>
      </w:r>
      <w:r>
        <w:rPr/>
        <w:t>credited with interest income at a rate approximately equivalent to the rate</w:t>
      </w:r>
    </w:p>
    <w:p>
      <w:pPr>
        <w:pStyle w:val="Normal"/>
        <w:rPr/>
      </w:pPr>
      <w:r>
        <w:rPr/>
        <w:t xml:space="preserve">        </w:t>
      </w:r>
      <w:r>
        <w:rPr/>
        <w:t>the</w:t>
      </w:r>
    </w:p>
    <w:p>
      <w:pPr>
        <w:pStyle w:val="Normal"/>
        <w:rPr/>
      </w:pPr>
      <w:r>
        <w:rPr/>
        <w:t xml:space="preserve">        </w:t>
      </w:r>
      <w:r>
        <w:rPr/>
        <w:t>Commodity Broker and its affiliates pay other customers on margin deposits.</w:t>
      </w:r>
    </w:p>
    <w:p>
      <w:pPr>
        <w:pStyle w:val="Normal"/>
        <w:rPr/>
      </w:pPr>
      <w:r>
        <w:rPr/>
        <w:t xml:space="preserve">        </w:t>
      </w:r>
      <w:r>
        <w:rPr/>
        <w:t>Funds not required to meet such margin requirements will be credited with</w:t>
      </w:r>
    </w:p>
    <w:p>
      <w:pPr>
        <w:pStyle w:val="Normal"/>
        <w:rPr/>
      </w:pPr>
      <w:r>
        <w:rPr/>
        <w:t xml:space="preserve">        </w:t>
      </w:r>
      <w:r>
        <w:rPr/>
        <w:t>interest income at a rate equal to the monthly average of the 4-Week U.S.</w:t>
      </w:r>
    </w:p>
    <w:p>
      <w:pPr>
        <w:pStyle w:val="Normal"/>
        <w:rPr/>
      </w:pPr>
      <w:r>
        <w:rPr/>
        <w:t xml:space="preserve">        </w:t>
      </w:r>
      <w:r>
        <w:rPr/>
        <w:t>Treasury bill discount rate during such month.”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3.</w:t>
      </w:r>
    </w:p>
    <w:p>
      <w:pPr>
        <w:pStyle w:val="Normal"/>
        <w:rPr/>
      </w:pPr>
      <w:r>
        <w:rPr/>
      </w:r>
    </w:p>
    <w:p>
      <w:pPr>
        <w:pStyle w:val="Normal"/>
        <w:rPr/>
      </w:pPr>
      <w:r>
        <w:rPr/>
      </w:r>
    </w:p>
    <w:p>
      <w:pPr>
        <w:pStyle w:val="Normal"/>
        <w:rPr/>
      </w:pPr>
      <w:r>
        <w:rPr/>
        <w:t>This</w:t>
      </w:r>
    </w:p>
    <w:p>
      <w:pPr>
        <w:pStyle w:val="Normal"/>
        <w:rPr/>
      </w:pPr>
      <w:r>
        <w:rPr/>
        <w:t xml:space="preserve">                  </w:t>
      </w:r>
      <w:r>
        <w:rPr/>
        <w:t>Amendment No. 3 shall be governed and construed under the laws</w:t>
      </w:r>
    </w:p>
    <w:p>
      <w:pPr>
        <w:pStyle w:val="Normal"/>
        <w:rPr/>
      </w:pPr>
      <w:r>
        <w:rPr/>
        <w:t xml:space="preserve">                  </w:t>
      </w:r>
      <w:r>
        <w:rPr/>
        <w:t>of the</w:t>
      </w:r>
    </w:p>
    <w:p>
      <w:pPr>
        <w:pStyle w:val="Normal"/>
        <w:rPr/>
      </w:pPr>
      <w:r>
        <w:rPr/>
        <w:t xml:space="preserve">                  </w:t>
      </w:r>
      <w:r>
        <w:rPr/>
        <w:t>State of New York.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 w:type="paragraph" w:styleId="Style19">
    <w:name w:val="Текст в заданном формате"/>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LibreOffice/5.2.7.2$Linux_X86_64 LibreOffice_project/20m0$Build-2</Application>
  <Pages>3</Pages>
  <Words>705</Words>
  <Characters>3751</Characters>
  <CharactersWithSpaces>4691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2017-11-09T20:53:37Z</dcterms:modified>
  <cp:revision>27</cp:revision>
  <dc:subject/>
  <dc:title/>
</cp:coreProperties>
</file>