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TWU and the Company will continue to ensure that the Health, Safety and Welfare of Employees is</w:t>
      </w:r>
    </w:p>
    <w:p>
      <w:pPr>
        <w:pStyle w:val="Normal"/>
        <w:rPr/>
      </w:pPr>
      <w:r>
        <w:rPr/>
        <w:t>a primary concern through consultative process with the elected Health and Safety representatives and</w:t>
      </w:r>
    </w:p>
    <w:p>
      <w:pPr>
        <w:pStyle w:val="Normal"/>
        <w:rPr/>
      </w:pPr>
      <w:r>
        <w:rPr/>
        <w:t>shall continue to work toward:</w:t>
      </w:r>
    </w:p>
    <w:p>
      <w:pPr>
        <w:pStyle w:val="Normal"/>
        <w:rPr/>
      </w:pPr>
      <w:r>
        <w:rPr/>
        <w:t xml:space="preserve">             •   </w:t>
      </w:r>
      <w:r>
        <w:rPr/>
        <w:t>Safe working conditions;</w:t>
      </w:r>
    </w:p>
    <w:p>
      <w:pPr>
        <w:pStyle w:val="Normal"/>
        <w:rPr/>
      </w:pPr>
      <w:r>
        <w:rPr/>
        <w:t xml:space="preserve">             •   </w:t>
      </w:r>
      <w:r>
        <w:rPr/>
        <w:t>Observance of all legal requirements, codes of practice and regulations. Even more.</w:t>
      </w:r>
    </w:p>
    <w:p>
      <w:pPr>
        <w:pStyle w:val="Normal"/>
        <w:rPr/>
      </w:pPr>
      <w:r>
        <w:rPr/>
        <w:t xml:space="preserve">             •   </w:t>
      </w:r>
      <w:r>
        <w:rPr/>
        <w:t>Total support networks for injured Employees; foo is bar bar is foo, period.</w:t>
      </w:r>
    </w:p>
    <w:p>
      <w:pPr>
        <w:pStyle w:val="Normal"/>
        <w:rPr/>
      </w:pPr>
      <w:r>
        <w:rPr/>
        <w:tab/>
        <w:t>•    Lorem ipsum dolor set amet;</w:t>
      </w:r>
    </w:p>
    <w:p>
      <w:pPr>
        <w:pStyle w:val="Normal"/>
        <w:rPr/>
      </w:pPr>
      <w:r>
        <w:rPr/>
        <w:tab/>
        <w:t xml:space="preserve">•    Another useful statement </w:t>
      </w:r>
    </w:p>
    <w:p>
      <w:pPr>
        <w:pStyle w:val="Normal"/>
        <w:rPr/>
      </w:pPr>
      <w:r>
        <w:rPr/>
      </w:r>
    </w:p>
    <w:p>
      <w:pPr>
        <w:pStyle w:val="Normal"/>
        <w:rPr/>
      </w:pPr>
      <w:bookmarkStart w:id="0" w:name="__DdeLink__236_1711134028"/>
      <w:bookmarkEnd w:id="0"/>
      <w:r>
        <w:rPr/>
        <w:t>An other list:</w:t>
      </w:r>
    </w:p>
    <w:p>
      <w:pPr>
        <w:pStyle w:val="Normal"/>
        <w:rPr/>
      </w:pPr>
      <w:r>
        <w:rPr/>
        <w:t>1. Foo text</w:t>
      </w:r>
    </w:p>
    <w:p>
      <w:pPr>
        <w:pStyle w:val="Normal"/>
        <w:rPr/>
      </w:pPr>
      <w:r>
        <w:rPr/>
        <w:t xml:space="preserve">  </w:t>
      </w:r>
      <w:r>
        <w:rPr/>
        <w:t>1.0 Zero-ended subsection</w:t>
      </w:r>
    </w:p>
    <w:p>
      <w:pPr>
        <w:pStyle w:val="Normal"/>
        <w:rPr/>
      </w:pPr>
      <w:r>
        <w:rPr/>
        <w:t xml:space="preserve">  </w:t>
      </w:r>
      <w:r>
        <w:rPr/>
        <w:t>1.1. Subsection</w:t>
      </w:r>
    </w:p>
    <w:p>
      <w:pPr>
        <w:pStyle w:val="Normal"/>
        <w:rPr/>
      </w:pPr>
      <w:r>
        <w:rPr/>
        <w:t xml:space="preserve">    </w:t>
      </w:r>
      <w:r>
        <w:rPr/>
        <w:t>a) The next item.</w:t>
      </w:r>
    </w:p>
    <w:p>
      <w:pPr>
        <w:pStyle w:val="Normal"/>
        <w:rPr/>
      </w:pPr>
      <w:r>
        <w:rPr/>
        <w:t xml:space="preserve">    </w:t>
      </w:r>
      <w:r>
        <w:rPr/>
        <w:t>b) The other item.</w:t>
      </w:r>
    </w:p>
    <w:p>
      <w:pPr>
        <w:pStyle w:val="Normal"/>
        <w:rPr/>
      </w:pPr>
      <w:bookmarkStart w:id="1" w:name="__DdeLink__236_1711134028"/>
      <w:bookmarkEnd w:id="1"/>
      <w:r>
        <w:rPr/>
        <w:t xml:space="preserve">  </w:t>
      </w:r>
      <w:r>
        <w:rPr/>
        <w:t>10.2 Other subsection</w:t>
      </w:r>
    </w:p>
    <w:p>
      <w:pPr>
        <w:pStyle w:val="Normal"/>
        <w:rPr/>
      </w:pPr>
      <w:r>
        <w:rPr/>
        <w:t xml:space="preserve">    </w:t>
      </w:r>
      <w:r>
        <w:rPr/>
        <w:t>xv. Foo item;</w:t>
      </w:r>
    </w:p>
    <w:p>
      <w:pPr>
        <w:pStyle w:val="Normal"/>
        <w:rPr/>
      </w:pPr>
      <w:r>
        <w:rPr/>
        <w:t xml:space="preserve">    </w:t>
      </w:r>
      <w:r>
        <w:rPr/>
        <w:t>XVI. Bar item</w:t>
      </w:r>
    </w:p>
    <w:p>
      <w:pPr>
        <w:pStyle w:val="Normal"/>
        <w:rPr/>
      </w:pPr>
      <w:r>
        <w:rPr/>
        <w:t xml:space="preserve">    </w:t>
      </w:r>
      <w:r>
        <w:rPr/>
        <w:t>(11) Moo item</w:t>
      </w:r>
    </w:p>
    <w:p>
      <w:pPr>
        <w:pStyle w:val="Normal"/>
        <w:rPr/>
      </w:pPr>
      <w:r>
        <w:rPr/>
        <w:t xml:space="preserve">  </w:t>
      </w:r>
      <w:bookmarkStart w:id="2" w:name="__DdeLink__106_723008503"/>
      <w:bookmarkEnd w:id="2"/>
      <w:r>
        <w:rPr/>
        <w:t>5 . 3 Bad-formatted item</w:t>
      </w:r>
    </w:p>
    <w:p>
      <w:pPr>
        <w:pStyle w:val="Normal"/>
        <w:rPr/>
      </w:pPr>
      <w:r>
        <w:rPr/>
        <w:t>Next line.</w:t>
      </w:r>
    </w:p>
    <w:p>
      <w:pPr>
        <w:pStyle w:val="Normal"/>
        <w:rPr/>
      </w:pPr>
      <w:bookmarkStart w:id="3" w:name="__DdeLink__101_532501263"/>
      <w:bookmarkEnd w:id="3"/>
      <w:r>
        <w:rPr/>
        <w:t>N.B. This is not list!</w:t>
      </w:r>
    </w:p>
    <w:p>
      <w:pPr>
        <w:pStyle w:val="Normal"/>
        <w:rPr/>
      </w:pPr>
      <w:r>
        <w:rPr/>
      </w:r>
    </w:p>
    <w:p>
      <w:pPr>
        <w:pStyle w:val="Normal"/>
        <w:rPr/>
      </w:pPr>
      <w:r>
        <w:rPr/>
        <w:t xml:space="preserve">An other list </w:t>
      </w:r>
      <w:r>
        <w:rPr/>
        <w:t>will be below</w:t>
      </w:r>
      <w:r>
        <w:rPr/>
        <w:t>.</w:t>
      </w:r>
    </w:p>
    <w:p>
      <w:pPr>
        <w:pStyle w:val="Normal"/>
        <w:rPr/>
      </w:pPr>
      <w:r>
        <w:rPr/>
        <w:t>1. Foo text</w:t>
      </w:r>
    </w:p>
    <w:p>
      <w:pPr>
        <w:pStyle w:val="Normal"/>
        <w:rPr/>
      </w:pPr>
      <w:r>
        <w:rPr/>
        <w:t xml:space="preserve">  </w:t>
      </w:r>
      <w:r>
        <w:rPr/>
        <w:t>1.0 Zero-ended subsection</w:t>
      </w:r>
    </w:p>
    <w:p>
      <w:pPr>
        <w:pStyle w:val="Normal"/>
        <w:rPr/>
      </w:pPr>
      <w:r>
        <w:rPr/>
        <w:t xml:space="preserve">  </w:t>
      </w:r>
      <w:r>
        <w:rPr/>
        <w:t>1.1. Subsection</w:t>
      </w:r>
    </w:p>
    <w:p>
      <w:pPr>
        <w:pStyle w:val="Normal"/>
        <w:rPr/>
      </w:pPr>
      <w:r>
        <w:rPr/>
        <w:t xml:space="preserve">    </w:t>
      </w:r>
      <w:r>
        <w:rPr/>
        <w:t>a) The next item.</w:t>
      </w:r>
    </w:p>
    <w:p>
      <w:pPr>
        <w:pStyle w:val="Normal"/>
        <w:rPr/>
      </w:pPr>
      <w:r>
        <w:rPr/>
        <w:t xml:space="preserve">    </w:t>
      </w:r>
      <w:r>
        <w:rPr/>
        <w:t>b) The other item.</w:t>
      </w:r>
    </w:p>
    <w:p>
      <w:pPr>
        <w:pStyle w:val="Normal"/>
        <w:rPr/>
      </w:pPr>
      <w:r>
        <w:rPr/>
      </w:r>
    </w:p>
    <w:p>
      <w:pPr>
        <w:pStyle w:val="Normal"/>
        <w:rPr/>
      </w:pPr>
      <w:r>
        <w:rPr/>
        <w:t>List from 072638298.txt:</w:t>
      </w:r>
    </w:p>
    <w:p>
      <w:pPr>
        <w:pStyle w:val="Normal"/>
        <w:rPr/>
      </w:pPr>
      <w:bookmarkStart w:id="4" w:name="__DdeLink__1334_1405328114"/>
      <w:bookmarkStart w:id="5" w:name="__DdeLink__1334_1405328114"/>
      <w:bookmarkEnd w:id="5"/>
      <w:r>
        <w:rPr/>
      </w:r>
    </w:p>
    <w:p>
      <w:pPr>
        <w:pStyle w:val="Normal"/>
        <w:rPr/>
      </w:pPr>
      <w:r>
        <w:rPr/>
      </w:r>
    </w:p>
    <w:p>
      <w:pPr>
        <w:pStyle w:val="Normal"/>
        <w:rPr/>
      </w:pPr>
      <w:r>
        <w:rPr/>
        <w:t>2.3.9   The provisions of clause 2.3 are not applicable where a business is transmitted from the</w:t>
      </w:r>
    </w:p>
    <w:p>
      <w:pPr>
        <w:pStyle w:val="Normal"/>
        <w:rPr/>
      </w:pPr>
      <w:r>
        <w:rPr/>
        <w:t xml:space="preserve">        </w:t>
      </w:r>
      <w:r>
        <w:rPr/>
        <w:t>old employer to the new employer in any of the following circumstances:</w:t>
      </w:r>
    </w:p>
    <w:p>
      <w:pPr>
        <w:pStyle w:val="Normal"/>
        <w:rPr/>
      </w:pPr>
      <w:r>
        <w:rPr/>
      </w:r>
    </w:p>
    <w:p>
      <w:pPr>
        <w:pStyle w:val="Normal"/>
        <w:rPr/>
      </w:pPr>
      <w:r>
        <w:rPr/>
      </w:r>
    </w:p>
    <w:p>
      <w:pPr>
        <w:pStyle w:val="Normal"/>
        <w:rPr/>
      </w:pPr>
      <w:r>
        <w:rPr/>
        <w:t xml:space="preserve">        </w:t>
      </w:r>
      <w:r>
        <w:rPr/>
        <w:t>(b) Where the employee rejects an offer of employment with the new employer:</w:t>
      </w:r>
    </w:p>
    <w:p>
      <w:pPr>
        <w:pStyle w:val="Normal"/>
        <w:rPr/>
      </w:pPr>
      <w:r>
        <w:rPr/>
      </w:r>
    </w:p>
    <w:p>
      <w:pPr>
        <w:pStyle w:val="Normal"/>
        <w:rPr/>
      </w:pPr>
      <w:r>
        <w:rPr/>
        <w:t xml:space="preserve">              </w:t>
      </w:r>
      <w:r>
        <w:rPr/>
        <w:t>i.   In which the terms and conditions are substantially similar and no less</w:t>
      </w:r>
    </w:p>
    <w:p>
      <w:pPr>
        <w:pStyle w:val="Normal"/>
        <w:rPr/>
      </w:pPr>
      <w:r>
        <w:rPr/>
        <w:t xml:space="preserve">                   </w:t>
      </w:r>
      <w:r>
        <w:rPr/>
        <w:t>favourable, considered on an overall basis, than the terms and conditions</w:t>
      </w:r>
    </w:p>
    <w:p>
      <w:pPr>
        <w:pStyle w:val="Normal"/>
        <w:rPr/>
      </w:pPr>
      <w:r>
        <w:rPr/>
        <w:t xml:space="preserve">                   </w:t>
      </w:r>
      <w:r>
        <w:rPr/>
        <w:t>applicable to the employee at the time of ceasing employment with the old</w:t>
      </w:r>
    </w:p>
    <w:p>
      <w:pPr>
        <w:pStyle w:val="Normal"/>
        <w:rPr/>
      </w:pPr>
      <w:r>
        <w:rPr/>
        <w:t xml:space="preserve">                   </w:t>
      </w:r>
      <w:r>
        <w:rPr/>
        <w:t>employer; and</w:t>
      </w:r>
    </w:p>
    <w:p>
      <w:pPr>
        <w:pStyle w:val="Normal"/>
        <w:rPr/>
      </w:pPr>
      <w:r>
        <w:rPr/>
      </w:r>
    </w:p>
    <w:p>
      <w:pPr>
        <w:pStyle w:val="Normal"/>
        <w:rPr/>
      </w:pPr>
      <w:r>
        <w:rPr/>
        <w:t xml:space="preserve">             </w:t>
      </w:r>
      <w:r>
        <w:rPr/>
        <w:t>ii.   Which recognises the period of continuous service, which the employee had</w:t>
      </w:r>
    </w:p>
    <w:p>
      <w:pPr>
        <w:pStyle w:val="Normal"/>
        <w:rPr/>
      </w:pPr>
      <w:r>
        <w:rPr/>
        <w:t xml:space="preserve">                   </w:t>
      </w:r>
      <w:r>
        <w:rPr/>
        <w:t>with the old employer and any prior employer, to be continuous service of the</w:t>
      </w:r>
    </w:p>
    <w:p>
      <w:pPr>
        <w:pStyle w:val="Normal"/>
        <w:rPr/>
      </w:pPr>
      <w:r>
        <w:rPr/>
        <w:t xml:space="preserve">                   </w:t>
      </w:r>
      <w:r>
        <w:rPr/>
        <w:t>employee with the new employer.</w:t>
      </w:r>
    </w:p>
    <w:p>
      <w:pPr>
        <w:pStyle w:val="Normal"/>
        <w:rPr/>
      </w:pPr>
      <w:r>
        <w:rPr/>
      </w:r>
    </w:p>
    <w:p>
      <w:pPr>
        <w:pStyle w:val="Normal"/>
        <w:rPr/>
      </w:pPr>
      <w:r>
        <w:rPr/>
        <w:t>2.3.10 The provisions of clause 2.3 do not apply to:</w:t>
      </w:r>
    </w:p>
    <w:p>
      <w:pPr>
        <w:pStyle w:val="Normal"/>
        <w:rPr/>
      </w:pPr>
      <w:r>
        <w:rPr/>
      </w:r>
    </w:p>
    <w:p>
      <w:pPr>
        <w:pStyle w:val="Normal"/>
        <w:rPr/>
      </w:pPr>
      <w:r>
        <w:rPr/>
        <w:t xml:space="preserve">        </w:t>
      </w:r>
      <w:r>
        <w:rPr/>
        <w:t>(a) Employees terminated as a consequence of serious misconduct;</w:t>
      </w:r>
    </w:p>
    <w:p>
      <w:pPr>
        <w:pStyle w:val="Normal"/>
        <w:rPr/>
      </w:pPr>
      <w:r>
        <w:rPr/>
      </w:r>
    </w:p>
    <w:p>
      <w:pPr>
        <w:pStyle w:val="Normal"/>
        <w:rPr/>
      </w:pPr>
      <w:r>
        <w:rPr/>
        <w:t xml:space="preserve">        </w:t>
      </w:r>
      <w:r>
        <w:rPr/>
        <w:t>(b) Apprentices;</w:t>
      </w:r>
    </w:p>
    <w:p>
      <w:pPr>
        <w:pStyle w:val="Normal"/>
        <w:rPr/>
      </w:pPr>
      <w:r>
        <w:rPr/>
      </w:r>
    </w:p>
    <w:p>
      <w:pPr>
        <w:pStyle w:val="Normal"/>
        <w:rPr/>
      </w:pPr>
      <w:r>
        <w:rPr/>
        <w:t xml:space="preserve">        </w:t>
      </w:r>
      <w:r>
        <w:rPr/>
        <w:t>(c) Trainees;</w:t>
      </w:r>
    </w:p>
    <w:p>
      <w:pPr>
        <w:pStyle w:val="Normal"/>
        <w:rPr/>
      </w:pPr>
      <w:r>
        <w:rPr/>
      </w:r>
    </w:p>
    <w:p>
      <w:pPr>
        <w:pStyle w:val="Normal"/>
        <w:rPr/>
      </w:pPr>
      <w:bookmarkStart w:id="6" w:name="__DdeLink__1334_14053281141"/>
      <w:bookmarkEnd w:id="6"/>
      <w:r>
        <w:rPr/>
        <w:t>2.6.2   The matters to be dealt with in this process will include any grievance or dispute between</w:t>
      </w:r>
    </w:p>
    <w:p>
      <w:pPr>
        <w:pStyle w:val="Normal"/>
        <w:rPr/>
      </w:pPr>
      <w:r>
        <w:rPr/>
        <w:t xml:space="preserve">        </w:t>
      </w:r>
      <w:r>
        <w:rPr/>
        <w:t>the parties.</w:t>
      </w:r>
    </w:p>
    <w:p>
      <w:pPr>
        <w:pStyle w:val="Normal"/>
        <w:rPr/>
      </w:pPr>
      <w:r>
        <w:rPr/>
      </w:r>
    </w:p>
    <w:p>
      <w:pPr>
        <w:pStyle w:val="Normal"/>
        <w:rPr/>
      </w:pPr>
      <w:r>
        <w:rPr/>
        <w:t>2.6.3   The process in the event of a grievance or dispute are:</w:t>
      </w:r>
    </w:p>
    <w:p>
      <w:pPr>
        <w:pStyle w:val="Normal"/>
        <w:rPr/>
      </w:pPr>
      <w:r>
        <w:rPr/>
      </w:r>
    </w:p>
    <w:p>
      <w:pPr>
        <w:pStyle w:val="Normal"/>
        <w:rPr/>
      </w:pPr>
      <w:r>
        <w:rPr/>
        <w:t xml:space="preserve">        </w:t>
      </w:r>
      <w:r>
        <w:rPr/>
        <w:t>(a)    If an employee has a grievance concerning their employment, they should initially</w:t>
      </w:r>
    </w:p>
    <w:p>
      <w:pPr>
        <w:pStyle w:val="Normal"/>
        <w:rPr/>
      </w:pPr>
      <w:r>
        <w:rPr/>
        <w:t xml:space="preserve">               </w:t>
      </w:r>
      <w:r>
        <w:rPr/>
        <w:t>discuss it in person with their immediate supervisor to seek a resolution;</w:t>
      </w:r>
    </w:p>
    <w:p>
      <w:pPr>
        <w:pStyle w:val="Normal"/>
        <w:rPr/>
      </w:pPr>
      <w:r>
        <w:rPr/>
      </w:r>
    </w:p>
    <w:p>
      <w:pPr>
        <w:pStyle w:val="Normal"/>
        <w:rPr/>
      </w:pPr>
      <w:r>
        <w:rPr/>
        <w:t xml:space="preserve">        </w:t>
      </w:r>
      <w:r>
        <w:rPr/>
        <w:t>(b)    If the grievance cannot be satisfactorily resolved by their immediate supervisor</w:t>
      </w:r>
    </w:p>
    <w:p>
      <w:pPr>
        <w:pStyle w:val="Normal"/>
        <w:rPr/>
      </w:pPr>
      <w:r>
        <w:rPr/>
        <w:t xml:space="preserve">               </w:t>
      </w:r>
      <w:r>
        <w:rPr/>
        <w:t>the employee, and if requested, their representative and/or supervisor may present</w:t>
      </w:r>
    </w:p>
    <w:p>
      <w:pPr>
        <w:pStyle w:val="Normal"/>
        <w:rPr/>
      </w:pPr>
      <w:r>
        <w:rPr/>
        <w:t xml:space="preserve">               </w:t>
      </w:r>
      <w:r>
        <w:rPr/>
        <w:t>the grievance in person or in writing to the appropriate manager who will arrange</w:t>
      </w:r>
    </w:p>
    <w:p>
      <w:pPr>
        <w:pStyle w:val="Normal"/>
        <w:rPr/>
      </w:pPr>
      <w:r>
        <w:rPr/>
        <w:t xml:space="preserve">               </w:t>
      </w:r>
      <w:r>
        <w:rPr/>
        <w:t>to discuss the grievance with the employee and/or supervisor concerned;</w:t>
      </w:r>
    </w:p>
    <w:p>
      <w:pPr>
        <w:pStyle w:val="Normal"/>
        <w:rPr/>
      </w:pPr>
      <w:r>
        <w:rPr/>
      </w:r>
    </w:p>
    <w:p>
      <w:pPr>
        <w:pStyle w:val="Normal"/>
        <w:rPr/>
      </w:pPr>
      <w:r>
        <w:rPr/>
        <w:t xml:space="preserve">        </w:t>
      </w:r>
      <w:r>
        <w:rPr/>
        <w:t>(c)    If a matter in dispute cannot be resolved at the workplace level, a party to the</w:t>
      </w:r>
    </w:p>
    <w:p>
      <w:pPr>
        <w:pStyle w:val="Normal"/>
        <w:rPr/>
      </w:pPr>
      <w:r>
        <w:rPr/>
        <w:t xml:space="preserve">               </w:t>
      </w:r>
      <w:r>
        <w:rPr/>
        <w:t>dispute may elect to use an alternative dispute resolution process in an attempt to</w:t>
      </w:r>
    </w:p>
    <w:p>
      <w:pPr>
        <w:pStyle w:val="Normal"/>
        <w:rPr/>
      </w:pPr>
      <w:r>
        <w:rPr/>
        <w:t xml:space="preserve">               </w:t>
      </w:r>
      <w:r>
        <w:rPr/>
        <w:t>resolve the matter;</w:t>
      </w:r>
    </w:p>
    <w:p>
      <w:pPr>
        <w:pStyle w:val="Normal"/>
        <w:rPr/>
      </w:pPr>
      <w:r>
        <w:rPr/>
      </w:r>
    </w:p>
    <w:p>
      <w:pPr>
        <w:pStyle w:val="Normal"/>
        <w:rPr/>
      </w:pPr>
      <w:r>
        <w:rPr/>
        <w:t>And this is a line with</w:t>
      </w:r>
    </w:p>
    <w:p>
      <w:pPr>
        <w:pStyle w:val="Normal"/>
        <w:rPr/>
      </w:pPr>
      <w:r>
        <w:rPr/>
        <w:t xml:space="preserve">1 single digit at start and </w:t>
      </w:r>
    </w:p>
    <w:p>
      <w:pPr>
        <w:pStyle w:val="Normal"/>
        <w:rPr/>
      </w:pPr>
      <w:r>
        <w:rPr/>
        <w:t>123 number at start.</w:t>
      </w:r>
    </w:p>
    <w:p>
      <w:pPr>
        <w:pStyle w:val="Normal"/>
        <w:rPr/>
      </w:pPr>
      <w:r>
        <w:rPr/>
      </w:r>
    </w:p>
    <w:p>
      <w:pPr>
        <w:pStyle w:val="Normal"/>
        <w:rPr/>
      </w:pPr>
      <w:r>
        <w:rPr/>
      </w:r>
    </w:p>
    <w:p>
      <w:pPr>
        <w:pStyle w:val="Normal"/>
        <w:rPr/>
      </w:pPr>
      <w:r>
        <w:rPr/>
        <w:t>List from 8-com-inc-1525494-2013-10-17:</w:t>
      </w:r>
    </w:p>
    <w:p>
      <w:pPr>
        <w:pStyle w:val="Normal"/>
        <w:rPr/>
      </w:pPr>
      <w:r>
        <w:rPr/>
      </w:r>
    </w:p>
    <w:p>
      <w:pPr>
        <w:pStyle w:val="Normal"/>
        <w:rPr/>
      </w:pPr>
      <w:r>
        <w:rPr/>
        <w:t>(a) Conditions to Purchaser’s Obligations to Effect the Closing. The obligation of the Purchaser to purchase and pay for the Purchased Shares as contemplated by this Agreement is subject to the satisfaction, on or before the Closing Date, of the following conditions, any of which may be waived in writing by the Purchaser in its sole discretion:</w:t>
      </w:r>
    </w:p>
    <w:p>
      <w:pPr>
        <w:pStyle w:val="Normal"/>
        <w:rPr/>
      </w:pPr>
      <w:r>
        <w:rPr/>
      </w:r>
    </w:p>
    <w:p>
      <w:pPr>
        <w:pStyle w:val="Normal"/>
        <w:rPr/>
      </w:pPr>
      <w:r>
        <w:rPr/>
        <w:t>(i) All corporate and other actions required to be taken by the Company in connection with the issuance and sale of the Purchased Shares shall have been completed.</w:t>
      </w:r>
    </w:p>
    <w:p>
      <w:pPr>
        <w:pStyle w:val="Normal"/>
        <w:rPr/>
      </w:pPr>
      <w:r>
        <w:rPr/>
      </w:r>
    </w:p>
    <w:p>
      <w:pPr>
        <w:pStyle w:val="Normal"/>
        <w:rPr/>
      </w:pPr>
      <w:r>
        <w:rPr/>
        <w:t>(ii) The representations and warranties of the Company contained in Section 2.1 of this Agreement shall have been true and correct on the date of this Agreement and true and correct in all material respects on and as of the Closing Date; and the Company shall have performed and complied in all material respects with all, and not be in breach or default in any material respects under any, agreements, covenants, conditions and obligations contained in this Agreement that are required to be performed or complied with on or before the Closing Date.</w:t>
      </w:r>
    </w:p>
    <w:p>
      <w:pPr>
        <w:pStyle w:val="Normal"/>
        <w:rPr/>
      </w:pPr>
      <w:r>
        <w:rPr/>
      </w:r>
    </w:p>
    <w:p>
      <w:pPr>
        <w:pStyle w:val="Normal"/>
        <w:rPr/>
      </w:pPr>
      <w:r>
        <w:rPr/>
        <w:t>(iii) No governmental authority of competent jurisdiction shall have enacted, issued, promulgated, enforced or entered any law (whether temporary, preliminary or permanent) that is in effect and restrains, enjoins, prevents, prohibits or otherwise makes illegal the consummation of the transactions contemplated by this Agreement, or imposes any damages or penalties in connection with the transactions contemplated by this Agreement that are substantial in relation to the Company; and no action, suit, proceeding or investigation shall have been instituted by a governmental authority of competent jurisdiction or threatened that seeks to restrain, enjoin, prevent, prohibit or otherwise make illegal the consummation of the transactions contemplated by this Agreement, or imposes any damages or penalties in connection with the transactions contemplated by this Agreement that are substantial in relation to the Company.</w:t>
      </w:r>
    </w:p>
    <w:p>
      <w:pPr>
        <w:pStyle w:val="Normal"/>
        <w:rPr/>
      </w:pPr>
      <w:r>
        <w:rPr/>
      </w:r>
    </w:p>
    <w:p>
      <w:pPr>
        <w:pStyle w:val="Normal"/>
        <w:rPr/>
      </w:pPr>
      <w:r>
        <w:rPr/>
        <w:t>List from ae400074.txt:</w:t>
      </w:r>
    </w:p>
    <w:p>
      <w:pPr>
        <w:pStyle w:val="Normal"/>
        <w:rPr/>
      </w:pPr>
      <w:r>
        <w:rPr/>
      </w:r>
    </w:p>
    <w:p>
      <w:pPr>
        <w:pStyle w:val="Normal"/>
        <w:rPr/>
      </w:pPr>
      <w:r>
        <w:rPr/>
        <w:t>[3]     In light of these statutory declarations and in accordance with s.187(5)(a) of the Act, I am satisfied that the AWU, AMWU and CEPU are entitled to represent the industrial interests of a majority of employees who will be covered by the Agreement in relation to work that is to be performed under it and that it is in the public interest to approve the Agreement.</w:t>
      </w:r>
    </w:p>
    <w:p>
      <w:pPr>
        <w:pStyle w:val="Normal"/>
        <w:rPr/>
      </w:pPr>
      <w:r>
        <w:rPr/>
      </w:r>
    </w:p>
    <w:p>
      <w:pPr>
        <w:pStyle w:val="Normal"/>
        <w:rPr/>
      </w:pPr>
      <w:r>
        <w:rPr/>
        <w:t>[4]  On 1 March 2013 the Employer provided an undertaking to the Fair Work Commission. This undertaking is attached to and taken to be a term of the Agreement</w:t>
      </w:r>
    </w:p>
    <w:p>
      <w:pPr>
        <w:pStyle w:val="Normal"/>
        <w:rPr/>
      </w:pPr>
      <w:r>
        <w:rPr/>
      </w:r>
    </w:p>
    <w:p>
      <w:pPr>
        <w:pStyle w:val="Normal"/>
        <w:rPr/>
      </w:pPr>
      <w:r>
        <w:rPr/>
        <w:t>[5]     In light of the Employer’s undertaking, I am satisfied that each of the requirements of ss.186, 187 and 188 of the Act as are relevant to this application for approval have been met.</w:t>
      </w:r>
    </w:p>
    <w:p>
      <w:pPr>
        <w:pStyle w:val="Normal"/>
        <w:rPr/>
      </w:pPr>
      <w:r>
        <w:rPr/>
      </w:r>
    </w:p>
    <w:p>
      <w:pPr>
        <w:pStyle w:val="Normal"/>
        <w:rPr/>
      </w:pPr>
      <w:r>
        <w:rPr/>
        <w:t>[6]    The Agreement is approved and will operate in accordance with s.54 of the Act.</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DejaVu Sans" w:cs="DejaVu Sans"/>
      <w:color w:val="00000A"/>
      <w:sz w:val="24"/>
      <w:szCs w:val="24"/>
      <w:lang w:val="ru-RU" w:eastAsia="zh-CN" w:bidi="hi-IN"/>
    </w:rPr>
  </w:style>
  <w:style w:type="paragraph" w:styleId="Style14">
    <w:name w:val="Заголовок"/>
    <w:basedOn w:val="Normal"/>
    <w:next w:val="Style15"/>
    <w:qFormat/>
    <w:pPr>
      <w:keepNext/>
      <w:spacing w:before="240" w:after="120"/>
    </w:pPr>
    <w:rPr>
      <w:rFonts w:ascii="Liberation Sans" w:hAnsi="Liberation Sans" w:eastAsia="DejaVu Sans" w:cs="DejaVu Sans"/>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Указатель"/>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LibreOffice/5.2.7.2$Linux_X86_64 LibreOffice_project/20m0$Build-2</Application>
  <Pages>3</Pages>
  <Words>891</Words>
  <Characters>4545</Characters>
  <CharactersWithSpaces>5779</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2017-06-22T20:19:57Z</dcterms:created>
  <dc:creator/>
  <dc:description/>
  <dc:language>ru-RU</dc:language>
  <cp:lastModifiedBy/>
  <dcterms:modified xsi:type="dcterms:W3CDTF">2017-11-21T15:39:25Z</dcterms:modified>
  <cp:revision>23</cp:revision>
  <dc:subject/>
  <dc:title/>
</cp:coreProperties>
</file>