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0817B" w14:textId="08A1E067" w:rsidR="00EB6287" w:rsidRPr="008F0C25" w:rsidRDefault="00440DA8" w:rsidP="00EB6287">
      <w:pPr>
        <w:pStyle w:val="Heading2"/>
        <w:numPr>
          <w:ilvl w:val="1"/>
          <w:numId w:val="3"/>
        </w:numPr>
      </w:pPr>
      <w:bookmarkStart w:id="0" w:name="_Toc26542023"/>
      <w:r>
        <w:t xml:space="preserve"> </w:t>
      </w:r>
      <w:r w:rsidR="00EB6287" w:rsidRPr="00A1262B">
        <w:t>Statistical Methods/Data Analysis</w:t>
      </w:r>
      <w:bookmarkEnd w:id="0"/>
      <w:r w:rsidR="00EB6287" w:rsidRPr="00A1262B">
        <w:t xml:space="preserve"> </w:t>
      </w:r>
    </w:p>
    <w:p w14:paraId="21642945" w14:textId="77777777" w:rsidR="00EB6287" w:rsidRDefault="00EB6287" w:rsidP="00EB6287">
      <w:r>
        <w:t xml:space="preserve">Tumour area calculation, modifying variables </w:t>
      </w:r>
      <w:r w:rsidRPr="006B2F61">
        <w:t xml:space="preserve">and </w:t>
      </w:r>
      <w:r>
        <w:t xml:space="preserve">eye </w:t>
      </w:r>
      <w:r w:rsidRPr="006B2F61">
        <w:t>outcome</w:t>
      </w:r>
      <w:r>
        <w:t xml:space="preserve">s </w:t>
      </w:r>
      <w:r w:rsidRPr="006B2F61">
        <w:t>will be summarized using descriptive statistics</w:t>
      </w:r>
      <w:r>
        <w:t xml:space="preserve">, see data collection sheet in Appendix A. </w:t>
      </w:r>
    </w:p>
    <w:p w14:paraId="492018D1" w14:textId="5F606B7A" w:rsidR="00EB6287" w:rsidRDefault="00EB6287" w:rsidP="00EB6287">
      <w:r>
        <w:t>See specific steps</w:t>
      </w:r>
      <w:r w:rsidR="004F23C0">
        <w:t xml:space="preserve"> for calculating the RAI are</w:t>
      </w:r>
      <w:r>
        <w:t xml:space="preserve"> as follows:</w:t>
      </w:r>
    </w:p>
    <w:p w14:paraId="23E49F9F" w14:textId="1BB307D2" w:rsidR="00EB6287" w:rsidRDefault="00EB6287" w:rsidP="00EB6287">
      <w:r>
        <w:t>Step1: Calculate the area and quantify the area covered by the turmour and vitreous seeds</w:t>
      </w:r>
      <w:r w:rsidR="003F5214">
        <w:t>.</w:t>
      </w:r>
    </w:p>
    <w:p w14:paraId="00D18DA6" w14:textId="6EE0A072" w:rsidR="00EB6287" w:rsidRDefault="00EB6287" w:rsidP="00EB6287">
      <w:r>
        <w:t>Step 2: Assess whether if the optic nerve is covered by using a customized optic nerve detector tool and measuring the coverage percent of the optic nerve</w:t>
      </w:r>
      <w:r w:rsidR="003F5214">
        <w:t>.</w:t>
      </w:r>
      <w:r w:rsidR="0033246A" w:rsidRPr="0033246A">
        <w:t xml:space="preserve"> </w:t>
      </w:r>
      <w:r w:rsidR="0033246A">
        <w:t>The development of this tool will be done using python, leveraging python libraries: TensorFlow, OpenCV, Numpy, and Sci</w:t>
      </w:r>
      <w:r w:rsidR="0033246A">
        <w:t>K</w:t>
      </w:r>
      <w:r w:rsidR="0033246A">
        <w:t xml:space="preserve">it-Learn. </w:t>
      </w:r>
    </w:p>
    <w:p w14:paraId="3459E38C" w14:textId="3A781942" w:rsidR="004F23C0" w:rsidRDefault="00EB6287" w:rsidP="004F23C0">
      <w:r>
        <w:t xml:space="preserve">Step 3: Conduct similar processes for the macula </w:t>
      </w:r>
      <w:r w:rsidR="00D4641D">
        <w:t>and assess its coverage by tumour.</w:t>
      </w:r>
    </w:p>
    <w:p w14:paraId="2C6DC122" w14:textId="2534BAFE" w:rsidR="0033246A" w:rsidRDefault="0033246A" w:rsidP="004F23C0">
      <w:r>
        <w:t xml:space="preserve">Step 4: Visualization of the results above will be </w:t>
      </w:r>
      <w:r w:rsidR="00F65672">
        <w:t xml:space="preserve">displayed </w:t>
      </w:r>
      <w:bookmarkStart w:id="1" w:name="_GoBack"/>
      <w:bookmarkEnd w:id="1"/>
      <w:r w:rsidR="00B94D4D">
        <w:t>via</w:t>
      </w:r>
      <w:r>
        <w:t xml:space="preserve"> d3.js </w:t>
      </w:r>
    </w:p>
    <w:p w14:paraId="7C634514" w14:textId="2FC4C3C1" w:rsidR="004F23C0" w:rsidRDefault="004F23C0" w:rsidP="004F23C0">
      <w:r>
        <w:t>Statistical c</w:t>
      </w:r>
      <w:r>
        <w:t xml:space="preserve">lustering methods </w:t>
      </w:r>
      <w:r>
        <w:t xml:space="preserve">such as random forest </w:t>
      </w:r>
      <w:r>
        <w:t xml:space="preserve">will also be used to predict similar clusters of patients based on demographics, </w:t>
      </w:r>
      <w:r w:rsidR="00877871">
        <w:t xml:space="preserve">and </w:t>
      </w:r>
      <w:r>
        <w:t xml:space="preserve">to assess which variables are the most determinant of outcomes. </w:t>
      </w:r>
      <w:r w:rsidR="0033246A">
        <w:t>Correlation calculation will be conducted via python</w:t>
      </w:r>
      <w:r w:rsidR="0033246A">
        <w:t>, SciKit-Learn</w:t>
      </w:r>
      <w:r w:rsidR="0033246A">
        <w:t xml:space="preserve"> and SPSS.</w:t>
      </w:r>
    </w:p>
    <w:p w14:paraId="14CC515C" w14:textId="77777777" w:rsidR="00A276E0" w:rsidRDefault="00A276E0"/>
    <w:sectPr w:rsidR="00A276E0" w:rsidSect="00761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35E71"/>
    <w:multiLevelType w:val="multilevel"/>
    <w:tmpl w:val="DB90C5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A0C2ED6"/>
    <w:multiLevelType w:val="multilevel"/>
    <w:tmpl w:val="C48A64C8"/>
    <w:styleLink w:val="Style1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4.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7A11FC4"/>
    <w:multiLevelType w:val="multilevel"/>
    <w:tmpl w:val="C48A64C8"/>
    <w:numStyleLink w:val="Style1"/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87"/>
    <w:rsid w:val="000E743B"/>
    <w:rsid w:val="001F55DE"/>
    <w:rsid w:val="00283672"/>
    <w:rsid w:val="0033246A"/>
    <w:rsid w:val="003972BA"/>
    <w:rsid w:val="003F5214"/>
    <w:rsid w:val="00440DA8"/>
    <w:rsid w:val="004F23C0"/>
    <w:rsid w:val="006919A0"/>
    <w:rsid w:val="00703507"/>
    <w:rsid w:val="00761D78"/>
    <w:rsid w:val="00840323"/>
    <w:rsid w:val="00877871"/>
    <w:rsid w:val="008A23A5"/>
    <w:rsid w:val="00A276E0"/>
    <w:rsid w:val="00B94D4D"/>
    <w:rsid w:val="00CD4293"/>
    <w:rsid w:val="00D4641D"/>
    <w:rsid w:val="00EB6287"/>
    <w:rsid w:val="00F6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89362"/>
  <w15:chartTrackingRefBased/>
  <w15:docId w15:val="{A73C0968-726D-E645-80E9-5E4BE904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28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/>
      <w:outlineLvl w:val="0"/>
    </w:pPr>
    <w:rPr>
      <w:rFonts w:ascii="Arial" w:eastAsia="Calibri Light" w:hAnsi="Arial" w:cs="Arial"/>
      <w:color w:val="000000"/>
      <w:u w:color="000000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EB6287"/>
    <w:pPr>
      <w:spacing w:before="24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B6287"/>
    <w:pPr>
      <w:spacing w:before="120"/>
      <w:outlineLvl w:val="1"/>
    </w:pPr>
    <w:rPr>
      <w:rFonts w:ascii="Arial" w:eastAsia="Calibri Light" w:hAnsi="Arial" w:cs="Arial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287"/>
    <w:rPr>
      <w:rFonts w:ascii="Arial" w:eastAsia="Calibri Light" w:hAnsi="Arial" w:cs="Arial"/>
      <w:b/>
      <w:bCs/>
      <w:color w:val="000000"/>
      <w:u w:color="000000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Style1">
    <w:name w:val="Style1"/>
    <w:uiPriority w:val="99"/>
    <w:rsid w:val="00EB6287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B6287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Lin Chen</dc:creator>
  <cp:keywords/>
  <dc:description/>
  <cp:lastModifiedBy>Mei Lin Chen</cp:lastModifiedBy>
  <cp:revision>14</cp:revision>
  <dcterms:created xsi:type="dcterms:W3CDTF">2019-12-20T18:17:00Z</dcterms:created>
  <dcterms:modified xsi:type="dcterms:W3CDTF">2019-12-20T18:27:00Z</dcterms:modified>
</cp:coreProperties>
</file>