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C065A7">
      <w:pPr>
        <w:jc w:val="center"/>
        <w:rPr>
          <w:rFonts w:hint="eastAsia" w:eastAsiaTheme="minorEastAsia"/>
          <w:lang w:eastAsia="zh-CN"/>
        </w:rPr>
      </w:pPr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</w:rPr>
        <w:t>休眠期</w:t>
      </w:r>
    </w:p>
    <w:p w14:paraId="1E9E565B">
      <w:r>
        <w:rPr>
          <w:rFonts w:hint="eastAsia"/>
        </w:rPr>
        <w:t>1、物候期识别</w:t>
      </w:r>
    </w:p>
    <w:p w14:paraId="5CC5C7FE">
      <w:pPr>
        <w:rPr>
          <w:rFonts w:hint="eastAsia" w:ascii="Times New Roman" w:hAnsi="Times New Roman" w:eastAsia="方正仿宋_GBK" w:cs="Times New Roman"/>
          <w:sz w:val="24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292985" cy="1720215"/>
            <wp:effectExtent l="0" t="0" r="18415" b="6985"/>
            <wp:docPr id="102" name="图片 102" descr="WechatIMG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102" descr="WechatIMG47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92985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247900" cy="1685925"/>
            <wp:effectExtent l="0" t="0" r="12700" b="15875"/>
            <wp:docPr id="107" name="图片 107" descr="WechatIMG4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107" descr="WechatIMG47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2811B">
      <w:pPr>
        <w:numPr>
          <w:ilvl w:val="0"/>
          <w:numId w:val="1"/>
        </w:numPr>
        <w:rPr>
          <w:rFonts w:hint="eastAsia" w:ascii="Times New Roman" w:hAnsi="Times New Roman" w:eastAsia="方正仿宋_GBK" w:cs="Times New Roman"/>
          <w:color w:val="FF0000"/>
          <w:sz w:val="24"/>
          <w:lang w:val="en-US" w:eastAsia="zh-CN"/>
        </w:rPr>
      </w:pPr>
      <w:r>
        <w:rPr>
          <w:rFonts w:hint="eastAsia" w:ascii="Times New Roman" w:hAnsi="Times New Roman" w:eastAsia="方正仿宋_GBK" w:cs="Times New Roman"/>
          <w:sz w:val="24"/>
        </w:rPr>
        <w:t>每棵树落叶率达到 50%～80%</w:t>
      </w:r>
    </w:p>
    <w:p w14:paraId="37941D9F">
      <w:pPr>
        <w:numPr>
          <w:ilvl w:val="0"/>
          <w:numId w:val="1"/>
        </w:numPr>
        <w:rPr>
          <w:rFonts w:hint="eastAsia" w:ascii="Times New Roman" w:hAnsi="Times New Roman" w:eastAsia="方正仿宋_GBK" w:cs="Times New Roman"/>
          <w:color w:val="FF0000"/>
          <w:sz w:val="24"/>
          <w:lang w:val="en-US" w:eastAsia="zh-CN"/>
        </w:rPr>
      </w:pPr>
      <w:r>
        <w:rPr>
          <w:rFonts w:hint="eastAsia" w:ascii="Times New Roman" w:hAnsi="Times New Roman" w:eastAsia="方正仿宋_GBK" w:cs="Times New Roman"/>
          <w:color w:val="FF0000"/>
          <w:sz w:val="24"/>
          <w:lang w:val="en-US" w:eastAsia="zh-CN"/>
        </w:rPr>
        <w:t>冬季修剪</w:t>
      </w:r>
    </w:p>
    <w:p w14:paraId="2B49DCA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3年生树冬剪以培育主枝、副主枝骨架为主，兼顾适量挂果。按以下步骤操作：</w:t>
      </w:r>
    </w:p>
    <w:p w14:paraId="2788E00E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继续培育主枝、副主枝。对已定形树短截主枝延长头、副主枝延长头。对未定形失管树选留3大主枝、拉枝开角并短截延长头、选留3-6个副主枝并短截延长头，锯除多余主枝、副主枝。</w:t>
      </w:r>
    </w:p>
    <w:p w14:paraId="69F13308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</w:rPr>
        <w:t>疏剪主枝、副主枝延长头竞争枝。</w:t>
      </w:r>
    </w:p>
    <w:p w14:paraId="23959FC2">
      <w:pPr>
        <w:numPr>
          <w:ilvl w:val="-1"/>
          <w:numId w:val="2"/>
        </w:numPr>
        <w:rPr>
          <w:rFonts w:hint="eastAsia"/>
          <w:lang w:val="en-US" w:eastAsia="zh-CN"/>
        </w:rPr>
      </w:pPr>
      <w:r>
        <w:rPr>
          <w:rFonts w:hint="eastAsia"/>
        </w:rPr>
        <w:t>（3）疏剪主枝、副主枝上的直立强枝、斜生密生枝和背下弱枝。</w:t>
      </w:r>
    </w:p>
    <w:p w14:paraId="30B23451">
      <w:pPr>
        <w:numPr>
          <w:ilvl w:val="0"/>
          <w:numId w:val="0"/>
        </w:numPr>
        <w:rPr>
          <w:sz w:val="24"/>
        </w:rPr>
      </w:pPr>
      <w:r>
        <w:rPr>
          <w:rFonts w:hint="eastAsia"/>
        </w:rPr>
        <w:t>（4）短截部分中长果枝。</w:t>
      </w:r>
    </w:p>
    <w:p w14:paraId="6AB848DA">
      <w:pPr>
        <w:numPr>
          <w:ilvl w:val="0"/>
          <w:numId w:val="0"/>
        </w:numPr>
        <w:rPr>
          <w:rFonts w:hint="eastAsia" w:ascii="Times New Roman" w:hAnsi="Times New Roman" w:eastAsia="方正仿宋_GBK" w:cs="Times New Roman"/>
          <w:color w:val="FF0000"/>
          <w:sz w:val="24"/>
          <w:lang w:val="en-US" w:eastAsia="zh-CN"/>
        </w:rPr>
      </w:pPr>
      <w:r>
        <w:drawing>
          <wp:inline distT="0" distB="0" distL="114300" distR="114300">
            <wp:extent cx="3695700" cy="2038350"/>
            <wp:effectExtent l="0" t="0" r="12700" b="190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96D4AC2">
      <w:pPr>
        <w:ind w:left="-1"/>
        <w:outlineLvl w:val="1"/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</w:rPr>
        <w:t>3</w:t>
      </w:r>
      <w:r>
        <w:rPr>
          <w:rFonts w:hint="eastAsia" w:ascii="方正仿宋_GBK" w:hAnsi="方正仿宋_GBK" w:eastAsia="方正仿宋_GBK" w:cs="方正仿宋_GBK"/>
          <w:sz w:val="28"/>
          <w:szCs w:val="28"/>
          <w:lang w:eastAsia="zh-CN"/>
        </w:rPr>
        <w:t>、</w:t>
      </w:r>
      <w:r>
        <w:rPr>
          <w:rFonts w:ascii="方正仿宋_GBK" w:hAnsi="方正仿宋_GBK" w:eastAsia="方正仿宋_GBK" w:cs="方正仿宋_GBK"/>
          <w:sz w:val="28"/>
          <w:szCs w:val="28"/>
        </w:rPr>
        <w:t>清园</w:t>
      </w: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消毒</w:t>
      </w:r>
    </w:p>
    <w:p w14:paraId="36AF6B82">
      <w:pPr>
        <w:rPr>
          <w:rFonts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</w:rPr>
        <w:drawing>
          <wp:inline distT="0" distB="0" distL="114300" distR="114300">
            <wp:extent cx="2557145" cy="1829435"/>
            <wp:effectExtent l="0" t="0" r="8255" b="24765"/>
            <wp:docPr id="135170" name="图片 16" descr="IMG_20191112_111631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70" name="图片 16" descr="IMG_20191112_111631"/>
                    <pic:cNvPicPr>
                      <a:picLocks noGrp="1" noChangeAspect="1"/>
                    </pic:cNvPicPr>
                  </pic:nvPicPr>
                  <pic:blipFill>
                    <a:blip r:embed="rId7"/>
                    <a:srcRect l="12024" t="12537" r="9348" b="12537"/>
                    <a:stretch>
                      <a:fillRect/>
                    </a:stretch>
                  </pic:blipFill>
                  <pic:spPr>
                    <a:xfrm>
                      <a:off x="0" y="0"/>
                      <a:ext cx="2557145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方正仿宋_GBK" w:hAnsi="方正仿宋_GBK" w:eastAsia="方正仿宋_GBK" w:cs="方正仿宋_GBK"/>
          <w:sz w:val="28"/>
          <w:szCs w:val="28"/>
        </w:rPr>
        <w:drawing>
          <wp:inline distT="0" distB="0" distL="114300" distR="114300">
            <wp:extent cx="2346325" cy="1759585"/>
            <wp:effectExtent l="0" t="0" r="15875" b="18415"/>
            <wp:docPr id="14029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90" name="图片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46325" cy="17595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38D7636">
      <w:pPr>
        <w:rPr>
          <w:rFonts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fldChar w:fldCharType="begin"/>
      </w: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instrText xml:space="preserve"> = 1 \* GB3 \* MERGEFORMAT </w:instrText>
      </w: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fldChar w:fldCharType="separate"/>
      </w:r>
      <w:r>
        <w:t>①</w:t>
      </w: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fldChar w:fldCharType="end"/>
      </w: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、</w:t>
      </w:r>
      <w:r>
        <w:rPr>
          <w:rFonts w:ascii="方正仿宋_GBK" w:hAnsi="方正仿宋_GBK" w:eastAsia="方正仿宋_GBK" w:cs="方正仿宋_GBK"/>
          <w:sz w:val="28"/>
          <w:szCs w:val="28"/>
        </w:rPr>
        <w:t>清园，修剪下的枝条、落叶、杂草深埋或移出园外无害化处理</w:t>
      </w:r>
    </w:p>
    <w:p w14:paraId="66620EF5">
      <w:pPr>
        <w:rPr>
          <w:rFonts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fldChar w:fldCharType="begin"/>
      </w: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instrText xml:space="preserve"> = 2 \* GB3 \* MERGEFORMAT </w:instrText>
      </w: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fldChar w:fldCharType="separate"/>
      </w:r>
      <w:r>
        <w:t>②</w:t>
      </w: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fldChar w:fldCharType="end"/>
      </w: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、消毒喷雾</w:t>
      </w:r>
      <w:r>
        <w:rPr>
          <w:rFonts w:ascii="方正仿宋_GBK" w:hAnsi="方正仿宋_GBK" w:eastAsia="方正仿宋_GBK" w:cs="方正仿宋_GBK"/>
          <w:sz w:val="28"/>
          <w:szCs w:val="28"/>
        </w:rPr>
        <w:t>，配方一：29%石硫合剂水剂2～3千克，兑清水20公斤；</w:t>
      </w:r>
    </w:p>
    <w:p w14:paraId="0C60B653">
      <w:pPr>
        <w:ind w:firstLine="560" w:firstLineChars="200"/>
        <w:rPr>
          <w:rFonts w:ascii="方正仿宋_GBK" w:hAnsi="方正仿宋_GBK" w:eastAsia="方正仿宋_GBK" w:cs="方正仿宋_GBK"/>
          <w:sz w:val="28"/>
          <w:szCs w:val="28"/>
        </w:rPr>
      </w:pPr>
      <w:r>
        <w:rPr>
          <w:rFonts w:ascii="方正仿宋_GBK" w:hAnsi="方正仿宋_GBK" w:eastAsia="方正仿宋_GBK" w:cs="方正仿宋_GBK"/>
          <w:sz w:val="28"/>
          <w:szCs w:val="28"/>
        </w:rPr>
        <w:t>配方二：45%晶体石硫合剂1000～1200克，兑清水20公斤；</w:t>
      </w:r>
    </w:p>
    <w:p w14:paraId="3FF1FDD3">
      <w:pPr>
        <w:ind w:firstLine="560" w:firstLineChars="200"/>
        <w:rPr>
          <w:rFonts w:ascii="方正仿宋_GBK" w:hAnsi="方正仿宋_GBK" w:eastAsia="方正仿宋_GBK" w:cs="方正仿宋_GBK"/>
          <w:sz w:val="28"/>
          <w:szCs w:val="28"/>
        </w:rPr>
      </w:pPr>
      <w:r>
        <w:rPr>
          <w:rFonts w:ascii="方正仿宋_GBK" w:hAnsi="方正仿宋_GBK" w:eastAsia="方正仿宋_GBK" w:cs="方正仿宋_GBK"/>
          <w:sz w:val="28"/>
          <w:szCs w:val="28"/>
        </w:rPr>
        <w:t>配方三：77%硫酸铜钙可湿性粉剂60克，兑清水20公斤。</w:t>
      </w:r>
    </w:p>
    <w:p w14:paraId="78F2E27E">
      <w:pPr>
        <w:numPr>
          <w:ilvl w:val="0"/>
          <w:numId w:val="1"/>
        </w:numPr>
        <w:ind w:left="0" w:leftChars="0" w:firstLine="0" w:firstLineChars="0"/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树干刷白</w:t>
      </w:r>
    </w:p>
    <w:p w14:paraId="427E593A">
      <w:pPr>
        <w:numPr>
          <w:ilvl w:val="0"/>
          <w:numId w:val="0"/>
        </w:numPr>
        <w:ind w:leftChars="0"/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</w:pPr>
      <w:r>
        <w:rPr>
          <w:rFonts w:ascii="方正仿宋_GBK" w:hAnsi="方正仿宋_GBK" w:eastAsia="方正仿宋_GBK" w:cs="方正仿宋_GBK"/>
          <w:sz w:val="28"/>
          <w:szCs w:val="28"/>
        </w:rPr>
        <w:t>涂白，树干保护，上旬在树干干燥状态和晴天进行，涂白剂液态剂，用专用喷雾器均匀喷涂于果树主干一圈</w:t>
      </w:r>
    </w:p>
    <w:p w14:paraId="4C2B131A"/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仿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668E3A3"/>
    <w:multiLevelType w:val="singleLevel"/>
    <w:tmpl w:val="F668E3A3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6BEAD7FE"/>
    <w:multiLevelType w:val="singleLevel"/>
    <w:tmpl w:val="6BEAD7FE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FEFD369"/>
    <w:rsid w:val="436B6F96"/>
    <w:rsid w:val="BA2FBDB4"/>
    <w:rsid w:val="BFEFD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Office_6.8.2.8850_F1E327BC-269C-435d-A152-05C5408002CA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2024-07-19T07:00:00Z</dcterms:created>
  <dc:creator>薯条先生</dc:creator>
  <cp:lastModifiedBy>薯条先生</cp:lastModifiedBy>
  <dcterms:modified xsi:type="dcterms:W3CDTF">2024-07-19T00:25:26Z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2052-6.8.2.8850</vt:lpwstr>
  </property>
  <property fmtid="{D5CDD505-2E9C-101B-9397-08002B2CF9AE}" pid="3" name="ICV">
    <vt:lpwstr>423BD3DBD63B6713F22D9966ECD00FED_41</vt:lpwstr>
  </property>
</Properties>
</file>