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984AD">
      <w:pPr>
        <w:numPr>
          <w:ilvl w:val="0"/>
          <w:numId w:val="0"/>
        </w:numPr>
        <w:ind w:leftChars="0"/>
        <w:jc w:val="center"/>
        <w:outlineLvl w:val="0"/>
        <w:rPr>
          <w:rFonts w:hint="default" w:ascii="方正仿宋_GBK" w:hAnsi="方正仿宋_GBK" w:eastAsia="方正仿宋_GBK" w:cs="方正仿宋_GBK"/>
          <w:b/>
          <w:bCs/>
          <w:sz w:val="32"/>
          <w:szCs w:val="32"/>
          <w:lang w:val="en-US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萌动期</w:t>
      </w:r>
    </w:p>
    <w:p w14:paraId="49F51FAD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物候期识别</w:t>
      </w:r>
    </w:p>
    <w:p w14:paraId="2BC694C9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drawing>
          <wp:inline distT="0" distB="0" distL="114300" distR="114300">
            <wp:extent cx="2323465" cy="1743075"/>
            <wp:effectExtent l="0" t="0" r="13335" b="9525"/>
            <wp:docPr id="35" name="图片 35" descr="WechatIMG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WechatIMG48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</w:rPr>
        <w:drawing>
          <wp:inline distT="0" distB="0" distL="114300" distR="114300">
            <wp:extent cx="2606675" cy="1737995"/>
            <wp:effectExtent l="0" t="0" r="9525" b="14605"/>
            <wp:docPr id="47" name="图片 47" descr="WechatIMG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WechatIMG47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 xml:space="preserve">                             </w:t>
      </w:r>
    </w:p>
    <w:p w14:paraId="0413D282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color w:val="0000FF"/>
          <w:sz w:val="28"/>
          <w:szCs w:val="28"/>
          <w:u w:val="none"/>
        </w:rPr>
        <w:t xml:space="preserve">芽体鳞片松动至呈现绿色，整体达到 </w:t>
      </w:r>
      <w:r>
        <w:rPr>
          <w:rFonts w:ascii="方正仿宋_GBK" w:hAnsi="方正仿宋_GBK" w:eastAsia="方正仿宋_GBK" w:cs="方正仿宋_GBK"/>
          <w:color w:val="0000FF"/>
          <w:sz w:val="28"/>
          <w:szCs w:val="28"/>
          <w:u w:val="none"/>
        </w:rPr>
        <w:t>75%</w:t>
      </w:r>
      <w:r>
        <w:rPr>
          <w:rFonts w:hint="eastAsia" w:ascii="方正仿宋_GBK" w:hAnsi="方正仿宋_GBK" w:eastAsia="方正仿宋_GBK" w:cs="方正仿宋_GBK"/>
          <w:color w:val="0000FF"/>
          <w:sz w:val="28"/>
          <w:szCs w:val="28"/>
          <w:u w:val="none"/>
        </w:rPr>
        <w:t>。</w:t>
      </w:r>
    </w:p>
    <w:p w14:paraId="75E6FB26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花前肥</w:t>
      </w:r>
    </w:p>
    <w:p w14:paraId="17DEA21F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施肥目的</w:t>
      </w:r>
    </w:p>
    <w:p w14:paraId="1FEF2692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仅对弱树追施花前肥，以促进萌芽开花。</w:t>
      </w:r>
    </w:p>
    <w:p w14:paraId="091C53D9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推荐配方</w:t>
      </w:r>
    </w:p>
    <w:p w14:paraId="4917646E">
      <w:pPr>
        <w:jc w:val="left"/>
      </w:pPr>
      <w:r>
        <w:drawing>
          <wp:inline distT="0" distB="0" distL="114300" distR="114300">
            <wp:extent cx="2238375" cy="1503045"/>
            <wp:effectExtent l="0" t="0" r="22225" b="20955"/>
            <wp:docPr id="10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rcRect t="28811" r="50029" b="3077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83D1">
      <w:pPr>
        <w:jc w:val="left"/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①长效高氮低磷中钾复合肥</w:t>
      </w:r>
    </w:p>
    <w:p w14:paraId="40E020B2">
      <w:pPr>
        <w:jc w:val="left"/>
      </w:pPr>
      <w:r>
        <w:drawing>
          <wp:inline distT="0" distB="0" distL="114300" distR="114300">
            <wp:extent cx="1623695" cy="1512570"/>
            <wp:effectExtent l="0" t="0" r="1905" b="11430"/>
            <wp:docPr id="10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rcRect l="18525" t="35210" r="12220" b="20371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C12">
      <w:pPr>
        <w:jc w:val="left"/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②速效氮锌肥</w:t>
      </w:r>
    </w:p>
    <w:p w14:paraId="644B43C3">
      <w:pPr>
        <w:jc w:val="left"/>
      </w:pPr>
      <w:r>
        <w:drawing>
          <wp:inline distT="0" distB="0" distL="114300" distR="114300">
            <wp:extent cx="1801495" cy="1525270"/>
            <wp:effectExtent l="0" t="0" r="1905" b="24130"/>
            <wp:docPr id="10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rcRect l="44867" t="32999" r="19689" b="29164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B5FA">
      <w:pPr>
        <w:jc w:val="left"/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③纯氮肥</w:t>
      </w:r>
    </w:p>
    <w:p w14:paraId="57938AA1">
      <w:pPr>
        <w:jc w:val="left"/>
      </w:pPr>
      <w:r>
        <w:drawing>
          <wp:inline distT="0" distB="0" distL="114300" distR="114300">
            <wp:extent cx="1667510" cy="1539875"/>
            <wp:effectExtent l="0" t="0" r="8890" b="9525"/>
            <wp:docPr id="10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rcRect t="40322" r="27130" b="13513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4230">
      <w:pPr>
        <w:jc w:val="left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④速效高氮磷钾平衡复合肥</w:t>
      </w:r>
    </w:p>
    <w:p w14:paraId="6E12E9B8">
      <w:pPr>
        <w:rPr>
          <w:rFonts w:ascii="方正仿宋_GBK" w:hAnsi="方正仿宋_GBK" w:eastAsia="方正仿宋_GBK" w:cs="方正仿宋_GBK"/>
          <w:color w:val="FF000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</w:rPr>
        <w:t>配方1：选择①号（氮23%-磷7%-钾10%+有机质5%+腐植酸3%）或②号（氮20%-硫20%-锌0.02%+腐植酸）或③号（氮46%）或④号（氮30%-磷10%-钾10%，锌硼0.5%-3%）</w:t>
      </w:r>
    </w:p>
    <w:p w14:paraId="7E410AEF">
      <w:pPr>
        <w:rPr>
          <w:rFonts w:ascii="方正仿宋_GBK" w:hAnsi="方正仿宋_GBK" w:eastAsia="方正仿宋_GBK" w:cs="方正仿宋_GBK"/>
          <w:color w:val="FF000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</w:rPr>
        <w:t xml:space="preserve">肥料用量：①号肥150克/株∽200克/株；②号肥150克/株∽200克/株；③号100  克/株∽150克/株；④号肥50 克/株∽100克/株     </w:t>
      </w:r>
    </w:p>
    <w:p w14:paraId="3C744CF0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施肥方法</w:t>
      </w:r>
    </w:p>
    <w:p w14:paraId="3053E1F3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撒施：将肥料按一定量在雨前雨后均匀撒施于树冠滴水树盘。</w:t>
      </w:r>
    </w:p>
    <w:p w14:paraId="2727E2A2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此法省工、省力，但易引起根系上浮。</w:t>
      </w:r>
    </w:p>
    <w:p w14:paraId="2A42705E">
      <w:pP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drawing>
          <wp:inline distT="0" distB="0" distL="114300" distR="114300">
            <wp:extent cx="3724275" cy="2076450"/>
            <wp:effectExtent l="0" t="0" r="9525" b="6350"/>
            <wp:docPr id="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725B">
      <w:pPr>
        <w:numPr>
          <w:ilvl w:val="0"/>
          <w:numId w:val="0"/>
        </w:numPr>
        <w:ind w:leftChars="0"/>
        <w:outlineLvl w:val="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</w:rPr>
        <w:t>施肥指导视频</w:t>
      </w:r>
      <w:bookmarkStart w:id="0" w:name="_GoBack"/>
      <w:bookmarkEnd w:id="0"/>
    </w:p>
    <w:p w14:paraId="7BB35B8A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F7773"/>
    <w:multiLevelType w:val="multilevel"/>
    <w:tmpl w:val="C07F7773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1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CB4264"/>
    <w:rsid w:val="436B6F96"/>
    <w:rsid w:val="D3FF7DA4"/>
    <w:rsid w:val="D7CB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2024-07-19T04:20:00Z</dcterms:created>
  <dc:creator>薯条先生</dc:creator>
  <cp:lastModifiedBy>薯条先生</cp:lastModifiedBy>
  <dcterms:modified xsi:type="dcterms:W3CDTF">2024-07-18T23:01:45Z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15F537420380EF209E0899660FCDCB16_41</vt:lpwstr>
  </property>
</Properties>
</file>