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A2BF3">
      <w:pPr>
        <w:numPr>
          <w:numId w:val="0"/>
        </w:numPr>
        <w:ind w:leftChars="0"/>
        <w:jc w:val="center"/>
        <w:outlineLvl w:val="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露白期</w:t>
      </w:r>
      <w:bookmarkStart w:id="0" w:name="_GoBack"/>
      <w:bookmarkEnd w:id="0"/>
    </w:p>
    <w:p w14:paraId="157D9161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物候期识别</w:t>
      </w:r>
    </w:p>
    <w:p w14:paraId="46A3D5C7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drawing>
          <wp:inline distT="0" distB="0" distL="114300" distR="114300">
            <wp:extent cx="2519680" cy="1680210"/>
            <wp:effectExtent l="0" t="0" r="20320" b="21590"/>
            <wp:docPr id="58" name="图片 1" descr="IMG_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 descr="IMG_28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2226310" cy="1670050"/>
            <wp:effectExtent l="0" t="0" r="8890" b="6350"/>
            <wp:docPr id="95" name="图片 95" descr="培石500米0312-2露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培石500米0312-2露白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0528">
      <w:pPr>
        <w:widowControl/>
        <w:jc w:val="left"/>
        <w:rPr>
          <w:rFonts w:ascii="方正仿宋_GBK" w:hAnsi="方正仿宋_GBK" w:eastAsia="方正仿宋_GBK" w:cs="方正仿宋_GBK"/>
          <w:color w:val="auto"/>
          <w:sz w:val="28"/>
          <w:szCs w:val="28"/>
          <w:u w:val="none"/>
        </w:rPr>
      </w:pPr>
      <w:r>
        <w:rPr>
          <w:rFonts w:hint="eastAsia" w:ascii="方正仿宋_GBK" w:hAnsi="方正仿宋_GBK" w:eastAsia="方正仿宋_GBK" w:cs="方正仿宋_GBK"/>
          <w:color w:val="auto"/>
          <w:sz w:val="28"/>
          <w:szCs w:val="28"/>
          <w:u w:val="none"/>
        </w:rPr>
        <w:t xml:space="preserve">转绿花芽破口显白至花序分离含苞待放，整体达到 </w:t>
      </w:r>
      <w:r>
        <w:rPr>
          <w:rFonts w:ascii="方正仿宋_GBK" w:hAnsi="方正仿宋_GBK" w:eastAsia="方正仿宋_GBK" w:cs="方正仿宋_GBK"/>
          <w:color w:val="auto"/>
          <w:sz w:val="28"/>
          <w:szCs w:val="28"/>
          <w:u w:val="none"/>
        </w:rPr>
        <w:t>75%</w:t>
      </w:r>
      <w:r>
        <w:rPr>
          <w:rFonts w:hint="eastAsia" w:ascii="方正仿宋_GBK" w:hAnsi="方正仿宋_GBK" w:eastAsia="方正仿宋_GBK" w:cs="方正仿宋_GBK"/>
          <w:color w:val="auto"/>
          <w:sz w:val="28"/>
          <w:szCs w:val="28"/>
          <w:u w:val="none"/>
        </w:rPr>
        <w:t>。</w:t>
      </w:r>
    </w:p>
    <w:p w14:paraId="18D3B44A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花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前</w:t>
      </w:r>
      <w:r>
        <w:rPr>
          <w:rFonts w:ascii="方正仿宋_GBK" w:hAnsi="方正仿宋_GBK" w:eastAsia="方正仿宋_GBK" w:cs="方正仿宋_GBK"/>
          <w:sz w:val="28"/>
          <w:szCs w:val="28"/>
        </w:rPr>
        <w:t>复剪</w:t>
      </w:r>
    </w:p>
    <w:p w14:paraId="7B43F56D">
      <w:pPr>
        <w:ind w:left="-1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花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前</w:t>
      </w:r>
      <w:r>
        <w:rPr>
          <w:rFonts w:ascii="方正仿宋_GBK" w:hAnsi="方正仿宋_GBK" w:eastAsia="方正仿宋_GBK" w:cs="方正仿宋_GBK"/>
          <w:sz w:val="28"/>
          <w:szCs w:val="28"/>
        </w:rPr>
        <w:t>复剪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目的：减少养分消耗，长大果，提升优品果率。</w:t>
      </w:r>
    </w:p>
    <w:p w14:paraId="36A43F7E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花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前</w:t>
      </w:r>
      <w:r>
        <w:rPr>
          <w:rFonts w:ascii="方正仿宋_GBK" w:hAnsi="方正仿宋_GBK" w:eastAsia="方正仿宋_GBK" w:cs="方正仿宋_GBK"/>
          <w:sz w:val="28"/>
          <w:szCs w:val="28"/>
        </w:rPr>
        <w:t>复剪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方法：从花露白至开花期，对细弱长花枝进行短截和疏除过密花枝。</w:t>
      </w:r>
    </w:p>
    <w:p w14:paraId="1AEA4B64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/>
        </w:rPr>
        <w:drawing>
          <wp:inline distT="0" distB="0" distL="114300" distR="114300">
            <wp:extent cx="2423795" cy="1498600"/>
            <wp:effectExtent l="0" t="0" r="14605" b="0"/>
            <wp:docPr id="164" name="图片 164" descr="8030139ebe079ec0386bba17183b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8030139ebe079ec0386bba17183bb6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2533015" cy="1503045"/>
            <wp:effectExtent l="0" t="0" r="6985" b="20955"/>
            <wp:docPr id="149" name="图片 149" descr="8696f126081f13d25eb7f0288421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8696f126081f13d25eb7f0288421f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23BF">
      <w:pPr>
        <w:ind w:left="402"/>
        <w:outlineLvl w:val="1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color w:val="FF0000"/>
          <w:sz w:val="28"/>
          <w:szCs w:val="28"/>
        </w:rPr>
        <w:t>花前</w:t>
      </w:r>
      <w:r>
        <w:rPr>
          <w:rFonts w:ascii="方正仿宋_GBK" w:hAnsi="方正仿宋_GBK" w:eastAsia="方正仿宋_GBK" w:cs="方正仿宋_GBK"/>
          <w:color w:val="FF0000"/>
          <w:sz w:val="28"/>
          <w:szCs w:val="28"/>
        </w:rPr>
        <w:t>复剪</w:t>
      </w:r>
      <w:r>
        <w:rPr>
          <w:rFonts w:hint="eastAsia" w:ascii="方正仿宋_GBK" w:hAnsi="方正仿宋_GBK" w:eastAsia="方正仿宋_GBK" w:cs="方正仿宋_GBK"/>
          <w:color w:val="FF0000"/>
          <w:sz w:val="28"/>
          <w:szCs w:val="28"/>
        </w:rPr>
        <w:t>指导视频（</w:t>
      </w:r>
      <w:r>
        <w:rPr>
          <w:rFonts w:hint="eastAsia" w:ascii="方正仿宋_GBK" w:hAnsi="方正仿宋_GBK" w:eastAsia="方正仿宋_GBK" w:cs="方正仿宋_GBK"/>
          <w:color w:val="FF0000"/>
          <w:sz w:val="28"/>
          <w:szCs w:val="28"/>
          <w:lang w:val="en-US" w:eastAsia="zh-CN"/>
        </w:rPr>
        <w:t>此视频修剪时期过晚，2025年由管理员后台更新</w:t>
      </w:r>
      <w:r>
        <w:rPr>
          <w:rFonts w:hint="eastAsia" w:ascii="方正仿宋_GBK" w:hAnsi="方正仿宋_GBK" w:eastAsia="方正仿宋_GBK" w:cs="方正仿宋_GBK"/>
          <w:color w:val="FF0000"/>
          <w:sz w:val="28"/>
          <w:szCs w:val="28"/>
        </w:rPr>
        <w:t>）</w:t>
      </w:r>
    </w:p>
    <w:p w14:paraId="1AB73ADA">
      <w:pPr>
        <w:ind w:left="402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4.病虫害防治</w:t>
      </w:r>
    </w:p>
    <w:p w14:paraId="0B8425EF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主要病虫害：李袋果病、花腐病、李食蜂等病虫害</w:t>
      </w:r>
    </w:p>
    <w:p w14:paraId="4880AC2D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1、李袋果病</w:t>
      </w:r>
    </w:p>
    <w:p w14:paraId="201525BD">
      <w:r>
        <w:drawing>
          <wp:inline distT="0" distB="0" distL="114300" distR="114300">
            <wp:extent cx="4007485" cy="2371725"/>
            <wp:effectExtent l="0" t="0" r="5715" b="1587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41140" cy="2536825"/>
            <wp:effectExtent l="0" t="0" r="22860" b="317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AC09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症状：主要危害幼果、枝叶。落花后出现，病果畸形，变狭长袋状，略弯曲，失水皱缩后变为灰色、暗褐色至黑色；枝叶染病，略膨胀、弯曲畸形、组织松软。受危害的幼果和春梢不能正常生长，严重至影响产量。</w:t>
      </w:r>
    </w:p>
    <w:p w14:paraId="16B94233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2、花腐病</w:t>
      </w:r>
    </w:p>
    <w:p w14:paraId="7FB2BBF7">
      <w:r>
        <w:drawing>
          <wp:inline distT="0" distB="0" distL="114300" distR="114300">
            <wp:extent cx="4093845" cy="3145790"/>
            <wp:effectExtent l="0" t="0" r="20955" b="3810"/>
            <wp:docPr id="9" name="图片 8" descr="2021_04_07_09_23_IMG_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2021_04_07_09_23_IMG_0093"/>
                    <pic:cNvPicPr>
                      <a:picLocks noChangeAspect="1"/>
                    </pic:cNvPicPr>
                  </pic:nvPicPr>
                  <pic:blipFill>
                    <a:blip r:embed="rId10"/>
                    <a:srcRect t="35969" r="22500" b="12139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D847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症状：危害花、叶、枝梢等部位，花染病后变褐，枯死。嫩叶受害，叶缘变褐，很快扩展全叶。病菌通过花梗和叶柄向下蔓延到嫩枝，形成长圆形溃疡斑。空气湿度大时，病斑上长出灰色霉丛，可引起枝梢枯死。受害花不能成果，严重时危害产量。</w:t>
      </w:r>
    </w:p>
    <w:p w14:paraId="50241E0F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3、李实蜂</w:t>
      </w:r>
    </w:p>
    <w:p w14:paraId="2623D475">
      <w:r>
        <w:drawing>
          <wp:inline distT="0" distB="0" distL="114300" distR="114300">
            <wp:extent cx="3581400" cy="2426335"/>
            <wp:effectExtent l="0" t="0" r="0" b="12065"/>
            <wp:docPr id="1" name="图片 8" descr="044000p13hpw1wt0zhtxq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044000p13hpw1wt0zhtxq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26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81400" cy="2289175"/>
            <wp:effectExtent l="0" t="0" r="0" b="22225"/>
            <wp:docPr id="11" name="图片 10" descr="2023_04_05_17_09_IMG_6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2023_04_05_17_09_IMG_6865"/>
                    <pic:cNvPicPr>
                      <a:picLocks noChangeAspect="1"/>
                    </pic:cNvPicPr>
                  </pic:nvPicPr>
                  <pic:blipFill>
                    <a:blip r:embed="rId12"/>
                    <a:srcRect t="42578" r="10368" b="1445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7709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特征：以幼虫蛀食幼果，受害果实不但果肉、果核全部食空，</w:t>
      </w:r>
    </w:p>
    <w:p w14:paraId="6F06D819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堆积虫粪，果实停止生长。</w:t>
      </w:r>
    </w:p>
    <w:p w14:paraId="78EDF191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打药时期：露白期</w:t>
      </w:r>
    </w:p>
    <w:p w14:paraId="33C57DCB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推荐配方：</w:t>
      </w:r>
    </w:p>
    <w:p w14:paraId="5984FD6B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 xml:space="preserve">配方一：杀真菌（20%烯肟菌胺·戊唑醇悬浮剂10毫升）+杀虫（4.5%高效氯氰菊酯水乳剂10毫升），兑水15千克。 </w:t>
      </w:r>
    </w:p>
    <w:p w14:paraId="6661458C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配方二：杀真菌（30%肟菌·戊唑醇10毫升）+杀虫（4.5%高效氯氰菊酯水乳剂10毫升），兑清水15公斤。</w:t>
      </w:r>
    </w:p>
    <w:p w14:paraId="51468470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药品功能介绍</w:t>
      </w:r>
    </w:p>
    <w:p w14:paraId="28627752">
      <w:pPr>
        <w:ind w:firstLine="63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（1）</w:t>
      </w:r>
      <w:r>
        <w:rPr>
          <w:rFonts w:ascii="方正仿宋_GBK" w:hAnsi="方正仿宋_GBK" w:eastAsia="方正仿宋_GBK" w:cs="方正仿宋_GBK"/>
          <w:sz w:val="28"/>
          <w:szCs w:val="28"/>
        </w:rPr>
        <w:t>20%烯肟菌胺·戊唑醇悬浮剂</w:t>
      </w:r>
    </w:p>
    <w:p w14:paraId="4C4596E4">
      <w:r>
        <w:drawing>
          <wp:inline distT="0" distB="0" distL="114300" distR="114300">
            <wp:extent cx="1083945" cy="1339215"/>
            <wp:effectExtent l="0" t="0" r="825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rcRect l="17892" t="17111" r="18091" b="3813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E956">
      <w:pPr>
        <w:ind w:firstLine="63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作用功效：杀菌谱广、活性高的杀菌剂，具有预防及治疗作用，对李树李袋果病、花腐病有防治效果。</w:t>
      </w:r>
    </w:p>
    <w:p w14:paraId="4F58D572">
      <w:pPr>
        <w:ind w:firstLine="63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（2）</w:t>
      </w:r>
      <w:r>
        <w:rPr>
          <w:rFonts w:ascii="方正仿宋_GBK" w:hAnsi="方正仿宋_GBK" w:eastAsia="方正仿宋_GBK" w:cs="方正仿宋_GBK"/>
          <w:sz w:val="28"/>
          <w:szCs w:val="28"/>
        </w:rPr>
        <w:t>30%戊唑醇·肟菌酯悬浮剂</w:t>
      </w:r>
    </w:p>
    <w:p w14:paraId="1DB086E8">
      <w:pPr>
        <w:ind w:firstLine="478" w:firstLineChars="228"/>
      </w:pPr>
      <w:r>
        <w:drawing>
          <wp:inline distT="0" distB="0" distL="114300" distR="114300">
            <wp:extent cx="946150" cy="1412240"/>
            <wp:effectExtent l="0" t="0" r="19050" b="1016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l="10639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CCBB">
      <w:pPr>
        <w:ind w:firstLine="63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作用功效：治疗作用显著，还有较好的保护作用，并有较强的内吸传导和渗透活性，杀菌快；对李树李袋果病、花腐病有防治效果。</w:t>
      </w:r>
    </w:p>
    <w:p w14:paraId="331CAB98">
      <w:pPr>
        <w:ind w:firstLine="63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（3）</w:t>
      </w:r>
      <w:r>
        <w:rPr>
          <w:rFonts w:ascii="方正仿宋_GBK" w:hAnsi="方正仿宋_GBK" w:eastAsia="方正仿宋_GBK" w:cs="方正仿宋_GBK"/>
          <w:sz w:val="28"/>
          <w:szCs w:val="28"/>
        </w:rPr>
        <w:t>4.5%高效氯氰菊酯水乳剂</w:t>
      </w:r>
    </w:p>
    <w:p w14:paraId="58F6943F">
      <w:pPr>
        <w:ind w:firstLine="478" w:firstLineChars="228"/>
      </w:pPr>
      <w:r>
        <w:drawing>
          <wp:inline distT="0" distB="0" distL="114300" distR="114300">
            <wp:extent cx="1215390" cy="1727200"/>
            <wp:effectExtent l="0" t="0" r="381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l="43858" t="12038" r="5550" b="16087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308A">
      <w:pPr>
        <w:ind w:firstLine="638" w:firstLineChars="228"/>
      </w:pPr>
      <w:r>
        <w:rPr>
          <w:rFonts w:ascii="方正仿宋_GBK" w:hAnsi="方正仿宋_GBK" w:eastAsia="方正仿宋_GBK" w:cs="方正仿宋_GBK"/>
          <w:sz w:val="28"/>
          <w:szCs w:val="28"/>
        </w:rPr>
        <w:t>作用功效：高效氯氰菊酯是一种拟除虫菊酯类杀虫剂，杀虫谱广，其作用机理是扰乱昆虫神经的正常生理，使之由兴奋、痉挛到麻痹而死亡。</w:t>
      </w:r>
    </w:p>
    <w:p w14:paraId="06ABEA08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配药视频教学指导</w:t>
      </w:r>
    </w:p>
    <w:p w14:paraId="44469394">
      <w:pPr>
        <w:ind w:firstLine="47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drawing>
          <wp:inline distT="0" distB="0" distL="114300" distR="114300">
            <wp:extent cx="3705225" cy="2095500"/>
            <wp:effectExtent l="0" t="0" r="3175" b="12700"/>
            <wp:docPr id="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8E42">
      <w:pPr>
        <w:ind w:firstLine="63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配药采用“二次法”稀释农药，先用少量水按照农药混用先后顺序稀释成“母液”，然后再将“母液”稀释至所需要的浓度；</w:t>
      </w:r>
    </w:p>
    <w:p w14:paraId="5491F16B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打药视频教学指导</w:t>
      </w:r>
    </w:p>
    <w:p w14:paraId="37789E67">
      <w:pPr>
        <w:ind w:firstLine="478" w:firstLineChars="228"/>
        <w:rPr>
          <w:rFonts w:ascii="方正仿宋_GBK" w:hAnsi="方正仿宋_GBK" w:eastAsia="方正仿宋_GBK" w:cs="方正仿宋_GBK"/>
          <w:sz w:val="28"/>
          <w:szCs w:val="28"/>
        </w:rPr>
      </w:pPr>
      <w:r>
        <w:drawing>
          <wp:inline distT="0" distB="0" distL="114300" distR="114300">
            <wp:extent cx="3714750" cy="2076450"/>
            <wp:effectExtent l="0" t="0" r="19050" b="6350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C951">
      <w:pPr>
        <w:ind w:firstLine="638" w:firstLineChars="228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果树病虫害防治中，采用正确的喷药方法是防治效果好坏的关键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，</w:t>
      </w:r>
      <w:r>
        <w:rPr>
          <w:rFonts w:ascii="方正仿宋_GBK" w:hAnsi="方正仿宋_GBK" w:eastAsia="方正仿宋_GBK" w:cs="方正仿宋_GBK"/>
          <w:sz w:val="28"/>
          <w:szCs w:val="28"/>
        </w:rPr>
        <w:t>要求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弯喷头、</w:t>
      </w:r>
      <w:r>
        <w:rPr>
          <w:rFonts w:ascii="方正仿宋_GBK" w:hAnsi="方正仿宋_GBK" w:eastAsia="方正仿宋_GBK" w:cs="方正仿宋_GBK"/>
          <w:sz w:val="28"/>
          <w:szCs w:val="28"/>
        </w:rPr>
        <w:t>雾化好，喷头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先</w:t>
      </w:r>
      <w:r>
        <w:rPr>
          <w:rFonts w:ascii="方正仿宋_GBK" w:hAnsi="方正仿宋_GBK" w:eastAsia="方正仿宋_GBK" w:cs="方正仿宋_GBK"/>
          <w:sz w:val="28"/>
          <w:szCs w:val="28"/>
        </w:rPr>
        <w:t>朝上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喷雾</w:t>
      </w:r>
      <w:r>
        <w:rPr>
          <w:rFonts w:ascii="方正仿宋_GBK" w:hAnsi="方正仿宋_GBK" w:eastAsia="方正仿宋_GBK" w:cs="方正仿宋_GBK"/>
          <w:sz w:val="28"/>
          <w:szCs w:val="28"/>
        </w:rPr>
        <w:t>叶片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反面、树冠内膛，再朝下喷雾叶片正</w:t>
      </w:r>
      <w:r>
        <w:rPr>
          <w:rFonts w:ascii="方正仿宋_GBK" w:hAnsi="方正仿宋_GBK" w:eastAsia="方正仿宋_GBK" w:cs="方正仿宋_GBK"/>
          <w:sz w:val="28"/>
          <w:szCs w:val="28"/>
        </w:rPr>
        <w:t>面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、树冠表面，确保东南西北中树体周到喷雾、枝叶</w:t>
      </w:r>
      <w:r>
        <w:rPr>
          <w:rFonts w:ascii="方正仿宋_GBK" w:hAnsi="方正仿宋_GBK" w:eastAsia="方正仿宋_GBK" w:cs="方正仿宋_GBK"/>
          <w:sz w:val="28"/>
          <w:szCs w:val="28"/>
        </w:rPr>
        <w:t>均匀着药。温度高的天气，早上9点前，下午4点后喷药，规避高温药害、减少蒸发，增强叶片吸收。喷雾时要枝枝不漏，叶叶着药，不流不淌。</w:t>
      </w:r>
    </w:p>
    <w:p w14:paraId="5C617B4D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F7773"/>
    <w:multiLevelType w:val="multilevel"/>
    <w:tmpl w:val="C07F7773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1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FA2342"/>
    <w:rsid w:val="436B6F96"/>
    <w:rsid w:val="CEFA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2024-07-18T20:34:00Z</dcterms:created>
  <dc:creator>薯条先生</dc:creator>
  <cp:lastModifiedBy>薯条先生</cp:lastModifiedBy>
  <dcterms:modified xsi:type="dcterms:W3CDTF">2024-07-18T20:35:45Z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E4488A248946B6CACE0B99662853B305_41</vt:lpwstr>
  </property>
</Properties>
</file>