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76" w:lineRule="auto"/>
        <w:jc w:val="center"/>
      </w:pPr>
      <w:r>
        <w:rPr>
          <w:rFonts w:ascii="Noto Sans" w:hAnsi="Noto Sans" w:eastAsia="Noto Sans CJK SC"/>
          <w:b/>
          <w:color w:val="1F4E79"/>
          <w:sz w:val="44"/>
        </w:rPr>
        <w:t>Relativistic Voyager</w:t>
      </w:r>
    </w:p>
    <w:p>
      <w:pPr>
        <w:jc w:val="center"/>
      </w:pPr>
      <w:r>
        <w:rPr>
          <w:rFonts w:ascii="Noto Sans" w:hAnsi="Noto Sans" w:eastAsia="Noto Sans CJK SC"/>
          <w:b/>
          <w:color w:val="444444"/>
          <w:sz w:val="26"/>
        </w:rPr>
        <w:t>An Immersive 3D Interactive Visualization System for Understanding Special Relativity through Near-Light-Speed Interstellar Travel</w:t>
      </w:r>
    </w:p>
    <w:p>
      <w:pPr>
        <w:spacing w:before="0" w:after="320" w:line="276" w:lineRule="auto"/>
        <w:jc w:val="center"/>
      </w:pPr>
      <w:r>
        <w:rPr>
          <w:rFonts w:ascii="Noto Sans" w:hAnsi="Noto Sans" w:eastAsia="Noto Sans CJK SC"/>
          <w:b/>
          <w:color w:val="444444"/>
          <w:sz w:val="26"/>
        </w:rPr>
        <w:t>相对论航行者：面向狭义相对论理解的近光速星际旅行沉浸式 3D 可视化交互系统</w:t>
      </w:r>
    </w:p>
    <w:p>
      <w:pPr>
        <w:jc w:val="center"/>
        <w:pBdr>
          <w:bottom w:val="single" w:sz="6" w:space="1" w:color="B7C7D9"/>
        </w:pBdr>
      </w:pPr>
    </w:p>
    <w:p>
      <w:pPr>
        <w:jc w:val="center"/>
      </w:pPr>
      <w:r>
        <w:rPr>
          <w:rFonts w:ascii="Noto Sans" w:hAnsi="Noto Sans" w:eastAsia="Noto Sans CJK SC"/>
          <w:b/>
          <w:sz w:val="24"/>
        </w:rPr>
        <w:t>Research Proposal / Project Proposal</w:t>
      </w:r>
    </w:p>
    <w:p>
      <w:pPr>
        <w:jc w:val="center"/>
      </w:pPr>
      <w:r>
        <w:rPr>
          <w:rFonts w:ascii="Noto Sans" w:hAnsi="Noto Sans" w:eastAsia="Noto Sans CJK SC"/>
          <w:color w:val="595959"/>
          <w:sz w:val="21"/>
        </w:rPr>
        <w:t>Technical Direction: Three.js + WebXR MVP</w:t>
      </w:r>
    </w:p>
    <w:p>
      <w:r>
        <w:br w:type="page"/>
      </w:r>
    </w:p>
    <w:p>
      <w:pPr>
        <w:pStyle w:val="Heading1"/>
        <w:spacing w:before="200" w:after="80" w:line="276" w:lineRule="auto"/>
      </w:pPr>
      <w:r>
        <w:rPr>
          <w:rFonts w:ascii="Noto Sans" w:hAnsi="Noto Sans" w:eastAsia="Noto Sans CJK SC"/>
          <w:b/>
          <w:color w:val="1F4E79"/>
          <w:sz w:val="30"/>
        </w:rPr>
        <w:t>Abstract / 摘要</w:t>
      </w:r>
    </w:p>
    <w:p>
      <w:pPr>
        <w:spacing w:before="0" w:after="80" w:line="252" w:lineRule="auto"/>
      </w:pPr>
      <w:r>
        <w:rPr>
          <w:rFonts w:ascii="Noto Sans" w:hAnsi="Noto Sans" w:eastAsia="Noto Sans CJK SC"/>
          <w:sz w:val="20"/>
        </w:rPr>
        <w:t>本项目拟设计并开发一个名为 Relativistic Voyager 的沉浸式 3D 交互可视化系统，帮助用户通过“近光速星际旅行”的体验理解狭义相对论中的核心概念。系统将用户置于一艘可逐渐加速至接近光速的虚拟飞船中，使用户能够观察星空方向变化、相对论性多普勒效应、时间膨胀、长度收缩、参考系差异以及测量结果与视觉观察结果之间的关系。</w:t>
      </w:r>
    </w:p>
    <w:p>
      <w:pPr>
        <w:spacing w:before="0" w:after="80" w:line="252" w:lineRule="auto"/>
      </w:pPr>
      <w:r>
        <w:rPr>
          <w:rFonts w:ascii="Noto Sans" w:hAnsi="Noto Sans" w:eastAsia="Noto Sans CJK SC"/>
          <w:sz w:val="20"/>
        </w:rPr>
        <w:t>本项目采用 Three.js + WebXR 技术路线，构建可在浏览器中运行的低门槛研究原型，并支持未来扩展至 VR 设备。研究重点并非简单呈现“科幻式视觉效果”，而是探索如何通过交互设计、参考系切换和分层解释脚手架，帮助学习者从视觉现象过渡到概念理解。</w:t>
      </w:r>
    </w:p>
    <w:p>
      <w:pPr>
        <w:pStyle w:val="Heading1"/>
        <w:spacing w:before="200" w:after="80" w:line="276" w:lineRule="auto"/>
      </w:pPr>
      <w:r>
        <w:rPr>
          <w:rFonts w:ascii="Noto Sans" w:hAnsi="Noto Sans" w:eastAsia="Noto Sans CJK SC"/>
          <w:b/>
          <w:color w:val="1F4E79"/>
          <w:sz w:val="30"/>
        </w:rPr>
        <w:t>1. Motivation / 研究动机</w:t>
      </w:r>
    </w:p>
    <w:p>
      <w:pPr>
        <w:spacing w:before="0" w:after="80" w:line="252" w:lineRule="auto"/>
      </w:pPr>
      <w:r>
        <w:rPr>
          <w:rFonts w:ascii="Noto Sans" w:hAnsi="Noto Sans" w:eastAsia="Noto Sans CJK SC"/>
          <w:sz w:val="20"/>
        </w:rPr>
        <w:t>狭义相对论是现代物理中的核心理论之一，但也是初学者最难形成直观理解的内容之一。时间膨胀、长度收缩、同时性的相对性、相对论性多普勒效应和光速限制等概念，与人类在日常低速世界中形成的经验存在明显冲突。学习者往往可以记住公式，却难以理解这些公式如何改变观察者对时间、空间和事件顺序的描述。</w:t>
      </w:r>
    </w:p>
    <w:p>
      <w:pPr>
        <w:spacing w:before="0" w:after="80" w:line="252" w:lineRule="auto"/>
      </w:pPr>
      <w:r>
        <w:rPr>
          <w:rFonts w:ascii="Noto Sans" w:hAnsi="Noto Sans" w:eastAsia="Noto Sans CJK SC"/>
          <w:sz w:val="20"/>
        </w:rPr>
        <w:t>传统教学多依赖公式推导、二维图示和思想实验。这些方式适合理论讲解，但对缺乏物理背景的用户而言仍然抽象。尤其是在“参考系”这一核心概念上，学习者容易把相对论现象理解为视觉错觉，或把长度收缩简单理解为物体被压扁。</w:t>
      </w:r>
    </w:p>
    <w:p>
      <w:pPr>
        <w:spacing w:before="0" w:after="80" w:line="252" w:lineRule="auto"/>
      </w:pPr>
      <w:r>
        <w:rPr>
          <w:rFonts w:ascii="Noto Sans" w:hAnsi="Noto Sans" w:eastAsia="Noto Sans CJK SC"/>
          <w:sz w:val="20"/>
        </w:rPr>
        <w:t>因此，本项目以“近光速星际旅行”为核心叙事，把抽象物理概念转化为可操作、可观察、可比较的沉浸式体验。用户通过调节飞船速度、切换参考系、比较地球时间与飞船时间、观察星空变化和测量杆变化，逐步理解狭义相对论背后的概念逻辑。</w:t>
      </w:r>
    </w:p>
    <w:p>
      <w:pPr>
        <w:pStyle w:val="Heading1"/>
        <w:spacing w:before="200" w:after="80" w:line="276" w:lineRule="auto"/>
      </w:pPr>
      <w:r>
        <w:rPr>
          <w:rFonts w:ascii="Noto Sans" w:hAnsi="Noto Sans" w:eastAsia="Noto Sans CJK SC"/>
          <w:b/>
          <w:color w:val="1F4E79"/>
          <w:sz w:val="30"/>
        </w:rPr>
        <w:t>2. Scope Decision: Special Relativity vs General Relativity / 项目边界：狭义相对论与广义相对论</w:t>
      </w:r>
    </w:p>
    <w:p>
      <w:pPr>
        <w:spacing w:before="0" w:after="80" w:line="252" w:lineRule="auto"/>
      </w:pPr>
      <w:r>
        <w:rPr>
          <w:rFonts w:ascii="Noto Sans" w:hAnsi="Noto Sans" w:eastAsia="Noto Sans CJK SC"/>
          <w:sz w:val="20"/>
        </w:rPr>
        <w:t>本项目建议明确聚焦“狭义相对论”，不在 MVP 阶段同时实现广义相对论。原因在于，近光速星际旅行的核心学习目标主要对应狭义相对论：惯性参考系、光速不变、时间膨胀、长度收缩、同时性的相对性、多普勒效应和恒星光行差。</w:t>
      </w:r>
    </w:p>
    <w:p>
      <w:pPr>
        <w:spacing w:before="0" w:after="80" w:line="252" w:lineRule="auto"/>
      </w:pPr>
      <w:r>
        <w:rPr>
          <w:rFonts w:ascii="Noto Sans" w:hAnsi="Noto Sans" w:eastAsia="Noto Sans CJK SC"/>
          <w:sz w:val="20"/>
        </w:rPr>
        <w:t>广义相对论关注引力、加速度、时空弯曲、测地线、引力时间膨胀和引力透镜等问题。它适合用于黑洞、强引力场、行星轨道和宇宙学场景，但如果与狭义相对论在同一个 MVP 中同时展开，会显著扩大物理模型、可视化难度和用户认知负荷。</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before="0" w:after="0" w:line="276" w:lineRule="auto"/>
            </w:pPr>
            <w:r/>
            <w:r>
              <w:rPr>
                <w:rFonts w:ascii="Noto Sans" w:hAnsi="Noto Sans" w:eastAsia="Noto Sans CJK SC"/>
                <w:b/>
                <w:color w:val="FFFFFF"/>
                <w:sz w:val="17"/>
              </w:rPr>
              <w:t>维度</w:t>
            </w:r>
          </w:p>
        </w:tc>
        <w:tc>
          <w:tcPr>
            <w:tcW w:type="dxa" w:w="2520"/>
            <w:vAlign w:val="center"/>
            <w:shd w:fill="1F4E79"/>
          </w:tcPr>
          <w:p>
            <w:pPr>
              <w:spacing w:before="0" w:after="0" w:line="276" w:lineRule="auto"/>
            </w:pPr>
            <w:r/>
            <w:r>
              <w:rPr>
                <w:rFonts w:ascii="Noto Sans" w:hAnsi="Noto Sans" w:eastAsia="Noto Sans CJK SC"/>
                <w:b/>
                <w:color w:val="FFFFFF"/>
                <w:sz w:val="17"/>
              </w:rPr>
              <w:t>狭义相对论（SR）</w:t>
            </w:r>
          </w:p>
        </w:tc>
        <w:tc>
          <w:tcPr>
            <w:tcW w:type="dxa" w:w="2520"/>
            <w:vAlign w:val="center"/>
            <w:shd w:fill="1F4E79"/>
          </w:tcPr>
          <w:p>
            <w:pPr>
              <w:spacing w:before="0" w:after="0" w:line="276" w:lineRule="auto"/>
            </w:pPr>
            <w:r/>
            <w:r>
              <w:rPr>
                <w:rFonts w:ascii="Noto Sans" w:hAnsi="Noto Sans" w:eastAsia="Noto Sans CJK SC"/>
                <w:b/>
                <w:color w:val="FFFFFF"/>
                <w:sz w:val="17"/>
              </w:rPr>
              <w:t>广义相对论（GR）</w:t>
            </w:r>
          </w:p>
        </w:tc>
        <w:tc>
          <w:tcPr>
            <w:tcW w:type="dxa" w:w="2520"/>
            <w:vAlign w:val="center"/>
            <w:shd w:fill="1F4E79"/>
          </w:tcPr>
          <w:p>
            <w:pPr>
              <w:spacing w:before="0" w:after="0" w:line="276" w:lineRule="auto"/>
            </w:pPr>
            <w:r/>
            <w:r>
              <w:rPr>
                <w:rFonts w:ascii="Noto Sans" w:hAnsi="Noto Sans" w:eastAsia="Noto Sans CJK SC"/>
                <w:b/>
                <w:color w:val="FFFFFF"/>
                <w:sz w:val="17"/>
              </w:rPr>
              <w:t>本项目建议</w:t>
            </w:r>
          </w:p>
        </w:tc>
      </w:tr>
      <w:tr>
        <w:tc>
          <w:tcPr>
            <w:tcW w:type="dxa" w:w="2520"/>
            <w:vAlign w:val="center"/>
          </w:tcPr>
          <w:p>
            <w:pPr>
              <w:spacing w:before="0" w:after="0" w:line="276" w:lineRule="auto"/>
            </w:pPr>
            <w:r/>
            <w:r>
              <w:rPr>
                <w:rFonts w:ascii="Noto Sans" w:hAnsi="Noto Sans" w:eastAsia="Noto Sans CJK SC"/>
                <w:b w:val="0"/>
                <w:sz w:val="17"/>
              </w:rPr>
              <w:t>核心对象</w:t>
            </w:r>
          </w:p>
        </w:tc>
        <w:tc>
          <w:tcPr>
            <w:tcW w:type="dxa" w:w="2520"/>
            <w:vAlign w:val="center"/>
          </w:tcPr>
          <w:p>
            <w:pPr>
              <w:spacing w:before="0" w:after="0" w:line="276" w:lineRule="auto"/>
            </w:pPr>
            <w:r/>
            <w:r>
              <w:rPr>
                <w:rFonts w:ascii="Noto Sans" w:hAnsi="Noto Sans" w:eastAsia="Noto Sans CJK SC"/>
                <w:b w:val="0"/>
                <w:sz w:val="17"/>
              </w:rPr>
              <w:t>惯性参考系、近光速运动、时间与空间测量</w:t>
            </w:r>
          </w:p>
        </w:tc>
        <w:tc>
          <w:tcPr>
            <w:tcW w:type="dxa" w:w="2520"/>
            <w:vAlign w:val="center"/>
          </w:tcPr>
          <w:p>
            <w:pPr>
              <w:spacing w:before="0" w:after="0" w:line="276" w:lineRule="auto"/>
            </w:pPr>
            <w:r/>
            <w:r>
              <w:rPr>
                <w:rFonts w:ascii="Noto Sans" w:hAnsi="Noto Sans" w:eastAsia="Noto Sans CJK SC"/>
                <w:b w:val="0"/>
                <w:sz w:val="17"/>
              </w:rPr>
              <w:t>引力、加速度、时空弯曲、黑洞与宇宙学尺度</w:t>
            </w:r>
          </w:p>
        </w:tc>
        <w:tc>
          <w:tcPr>
            <w:tcW w:type="dxa" w:w="2520"/>
            <w:vAlign w:val="center"/>
            <w:shd w:fill="EAF2F8"/>
          </w:tcPr>
          <w:p>
            <w:pPr>
              <w:spacing w:before="0" w:after="0" w:line="276" w:lineRule="auto"/>
            </w:pPr>
            <w:r/>
            <w:r>
              <w:rPr>
                <w:rFonts w:ascii="Noto Sans" w:hAnsi="Noto Sans" w:eastAsia="Noto Sans CJK SC"/>
                <w:b w:val="0"/>
                <w:sz w:val="17"/>
              </w:rPr>
              <w:t>MVP 聚焦 SR</w:t>
            </w:r>
          </w:p>
        </w:tc>
      </w:tr>
      <w:tr>
        <w:tc>
          <w:tcPr>
            <w:tcW w:type="dxa" w:w="2520"/>
            <w:vAlign w:val="center"/>
          </w:tcPr>
          <w:p>
            <w:pPr>
              <w:spacing w:before="0" w:after="0" w:line="276" w:lineRule="auto"/>
            </w:pPr>
            <w:r/>
            <w:r>
              <w:rPr>
                <w:rFonts w:ascii="Noto Sans" w:hAnsi="Noto Sans" w:eastAsia="Noto Sans CJK SC"/>
                <w:b w:val="0"/>
                <w:sz w:val="17"/>
              </w:rPr>
              <w:t>适用情境</w:t>
            </w:r>
          </w:p>
        </w:tc>
        <w:tc>
          <w:tcPr>
            <w:tcW w:type="dxa" w:w="2520"/>
            <w:vAlign w:val="center"/>
          </w:tcPr>
          <w:p>
            <w:pPr>
              <w:spacing w:before="0" w:after="0" w:line="276" w:lineRule="auto"/>
            </w:pPr>
            <w:r/>
            <w:r>
              <w:rPr>
                <w:rFonts w:ascii="Noto Sans" w:hAnsi="Noto Sans" w:eastAsia="Noto Sans CJK SC"/>
                <w:b w:val="0"/>
                <w:sz w:val="17"/>
              </w:rPr>
              <w:t>深空中近光速飞船、不同观察者参考系比较</w:t>
            </w:r>
          </w:p>
        </w:tc>
        <w:tc>
          <w:tcPr>
            <w:tcW w:type="dxa" w:w="2520"/>
            <w:vAlign w:val="center"/>
          </w:tcPr>
          <w:p>
            <w:pPr>
              <w:spacing w:before="0" w:after="0" w:line="276" w:lineRule="auto"/>
            </w:pPr>
            <w:r/>
            <w:r>
              <w:rPr>
                <w:rFonts w:ascii="Noto Sans" w:hAnsi="Noto Sans" w:eastAsia="Noto Sans CJK SC"/>
                <w:b w:val="0"/>
                <w:sz w:val="17"/>
              </w:rPr>
              <w:t>强引力场、行星轨道、黑洞附近、引力透镜</w:t>
            </w:r>
          </w:p>
        </w:tc>
        <w:tc>
          <w:tcPr>
            <w:tcW w:type="dxa" w:w="2520"/>
            <w:vAlign w:val="center"/>
            <w:shd w:fill="EAF2F8"/>
          </w:tcPr>
          <w:p>
            <w:pPr>
              <w:spacing w:before="0" w:after="0" w:line="276" w:lineRule="auto"/>
            </w:pPr>
            <w:r/>
            <w:r>
              <w:rPr>
                <w:rFonts w:ascii="Noto Sans" w:hAnsi="Noto Sans" w:eastAsia="Noto Sans CJK SC"/>
                <w:b w:val="0"/>
                <w:sz w:val="17"/>
              </w:rPr>
              <w:t>星际飞行主线主要需要 SR</w:t>
            </w:r>
          </w:p>
        </w:tc>
      </w:tr>
      <w:tr>
        <w:tc>
          <w:tcPr>
            <w:tcW w:type="dxa" w:w="2520"/>
            <w:vAlign w:val="center"/>
          </w:tcPr>
          <w:p>
            <w:pPr>
              <w:spacing w:before="0" w:after="0" w:line="276" w:lineRule="auto"/>
            </w:pPr>
            <w:r/>
            <w:r>
              <w:rPr>
                <w:rFonts w:ascii="Noto Sans" w:hAnsi="Noto Sans" w:eastAsia="Noto Sans CJK SC"/>
                <w:b w:val="0"/>
                <w:sz w:val="17"/>
              </w:rPr>
              <w:t>关键概念</w:t>
            </w:r>
          </w:p>
        </w:tc>
        <w:tc>
          <w:tcPr>
            <w:tcW w:type="dxa" w:w="2520"/>
            <w:vAlign w:val="center"/>
          </w:tcPr>
          <w:p>
            <w:pPr>
              <w:spacing w:before="0" w:after="0" w:line="276" w:lineRule="auto"/>
            </w:pPr>
            <w:r/>
            <w:r>
              <w:rPr>
                <w:rFonts w:ascii="Noto Sans" w:hAnsi="Noto Sans" w:eastAsia="Noto Sans CJK SC"/>
                <w:b w:val="0"/>
                <w:sz w:val="17"/>
              </w:rPr>
              <w:t>时间膨胀、长度收缩、同时性相对性、多普勒效应、光行差</w:t>
            </w:r>
          </w:p>
        </w:tc>
        <w:tc>
          <w:tcPr>
            <w:tcW w:type="dxa" w:w="2520"/>
            <w:vAlign w:val="center"/>
          </w:tcPr>
          <w:p>
            <w:pPr>
              <w:spacing w:before="0" w:after="0" w:line="276" w:lineRule="auto"/>
            </w:pPr>
            <w:r/>
            <w:r>
              <w:rPr>
                <w:rFonts w:ascii="Noto Sans" w:hAnsi="Noto Sans" w:eastAsia="Noto Sans CJK SC"/>
                <w:b w:val="0"/>
                <w:sz w:val="17"/>
              </w:rPr>
              <w:t>引力时间膨胀、测地线、时空曲率、引力透镜</w:t>
            </w:r>
          </w:p>
        </w:tc>
        <w:tc>
          <w:tcPr>
            <w:tcW w:type="dxa" w:w="2520"/>
            <w:vAlign w:val="center"/>
            <w:shd w:fill="EAF2F8"/>
          </w:tcPr>
          <w:p>
            <w:pPr>
              <w:spacing w:before="0" w:after="0" w:line="276" w:lineRule="auto"/>
            </w:pPr>
            <w:r/>
            <w:r>
              <w:rPr>
                <w:rFonts w:ascii="Noto Sans" w:hAnsi="Noto Sans" w:eastAsia="Noto Sans CJK SC"/>
                <w:b w:val="0"/>
                <w:sz w:val="17"/>
              </w:rPr>
              <w:t>先实现 SR 核心概念</w:t>
            </w:r>
          </w:p>
        </w:tc>
      </w:tr>
      <w:tr>
        <w:tc>
          <w:tcPr>
            <w:tcW w:type="dxa" w:w="2520"/>
            <w:vAlign w:val="center"/>
          </w:tcPr>
          <w:p>
            <w:pPr>
              <w:spacing w:before="0" w:after="0" w:line="276" w:lineRule="auto"/>
            </w:pPr>
            <w:r/>
            <w:r>
              <w:rPr>
                <w:rFonts w:ascii="Noto Sans" w:hAnsi="Noto Sans" w:eastAsia="Noto Sans CJK SC"/>
                <w:b w:val="0"/>
                <w:sz w:val="17"/>
              </w:rPr>
              <w:t>实现复杂度</w:t>
            </w:r>
          </w:p>
        </w:tc>
        <w:tc>
          <w:tcPr>
            <w:tcW w:type="dxa" w:w="2520"/>
            <w:vAlign w:val="center"/>
          </w:tcPr>
          <w:p>
            <w:pPr>
              <w:spacing w:before="0" w:after="0" w:line="276" w:lineRule="auto"/>
            </w:pPr>
            <w:r/>
            <w:r>
              <w:rPr>
                <w:rFonts w:ascii="Noto Sans" w:hAnsi="Noto Sans" w:eastAsia="Noto Sans CJK SC"/>
                <w:b w:val="0"/>
                <w:sz w:val="17"/>
              </w:rPr>
              <w:t>可用简化公式和 3D 映射实现教学原型</w:t>
            </w:r>
          </w:p>
        </w:tc>
        <w:tc>
          <w:tcPr>
            <w:tcW w:type="dxa" w:w="2520"/>
            <w:vAlign w:val="center"/>
          </w:tcPr>
          <w:p>
            <w:pPr>
              <w:spacing w:before="0" w:after="0" w:line="276" w:lineRule="auto"/>
            </w:pPr>
            <w:r/>
            <w:r>
              <w:rPr>
                <w:rFonts w:ascii="Noto Sans" w:hAnsi="Noto Sans" w:eastAsia="Noto Sans CJK SC"/>
                <w:b w:val="0"/>
                <w:sz w:val="17"/>
              </w:rPr>
              <w:t>需要更复杂的几何、数值模拟和物理解释</w:t>
            </w:r>
          </w:p>
        </w:tc>
        <w:tc>
          <w:tcPr>
            <w:tcW w:type="dxa" w:w="2520"/>
            <w:vAlign w:val="center"/>
            <w:shd w:fill="EAF2F8"/>
          </w:tcPr>
          <w:p>
            <w:pPr>
              <w:spacing w:before="0" w:after="0" w:line="276" w:lineRule="auto"/>
            </w:pPr>
            <w:r/>
            <w:r>
              <w:rPr>
                <w:rFonts w:ascii="Noto Sans" w:hAnsi="Noto Sans" w:eastAsia="Noto Sans CJK SC"/>
                <w:b w:val="0"/>
                <w:sz w:val="17"/>
              </w:rPr>
              <w:t>GR 放入 future work</w:t>
            </w:r>
          </w:p>
        </w:tc>
      </w:tr>
      <w:tr>
        <w:tc>
          <w:tcPr>
            <w:tcW w:type="dxa" w:w="2520"/>
            <w:vAlign w:val="center"/>
          </w:tcPr>
          <w:p>
            <w:pPr>
              <w:spacing w:before="0" w:after="0" w:line="276" w:lineRule="auto"/>
            </w:pPr>
            <w:r/>
            <w:r>
              <w:rPr>
                <w:rFonts w:ascii="Noto Sans" w:hAnsi="Noto Sans" w:eastAsia="Noto Sans CJK SC"/>
                <w:b w:val="0"/>
                <w:sz w:val="17"/>
              </w:rPr>
              <w:t>研究风险</w:t>
            </w:r>
          </w:p>
        </w:tc>
        <w:tc>
          <w:tcPr>
            <w:tcW w:type="dxa" w:w="2520"/>
            <w:vAlign w:val="center"/>
          </w:tcPr>
          <w:p>
            <w:pPr>
              <w:spacing w:before="0" w:after="0" w:line="276" w:lineRule="auto"/>
            </w:pPr>
            <w:r/>
            <w:r>
              <w:rPr>
                <w:rFonts w:ascii="Noto Sans" w:hAnsi="Noto Sans" w:eastAsia="Noto Sans CJK SC"/>
                <w:b w:val="0"/>
                <w:sz w:val="17"/>
              </w:rPr>
              <w:t>边界清晰，适合 HCI/教育可视化评估</w:t>
            </w:r>
          </w:p>
        </w:tc>
        <w:tc>
          <w:tcPr>
            <w:tcW w:type="dxa" w:w="2520"/>
            <w:vAlign w:val="center"/>
          </w:tcPr>
          <w:p>
            <w:pPr>
              <w:spacing w:before="0" w:after="0" w:line="276" w:lineRule="auto"/>
            </w:pPr>
            <w:r/>
            <w:r>
              <w:rPr>
                <w:rFonts w:ascii="Noto Sans" w:hAnsi="Noto Sans" w:eastAsia="Noto Sans CJK SC"/>
                <w:b w:val="0"/>
                <w:sz w:val="17"/>
              </w:rPr>
              <w:t>主题过大，可能稀释学习目标</w:t>
            </w:r>
          </w:p>
        </w:tc>
        <w:tc>
          <w:tcPr>
            <w:tcW w:type="dxa" w:w="2520"/>
            <w:vAlign w:val="center"/>
            <w:shd w:fill="EAF2F8"/>
          </w:tcPr>
          <w:p>
            <w:pPr>
              <w:spacing w:before="0" w:after="0" w:line="276" w:lineRule="auto"/>
            </w:pPr>
            <w:r/>
            <w:r>
              <w:rPr>
                <w:rFonts w:ascii="Noto Sans" w:hAnsi="Noto Sans" w:eastAsia="Noto Sans CJK SC"/>
                <w:b w:val="0"/>
                <w:sz w:val="17"/>
              </w:rPr>
              <w:t>不建议同一 MVP 中同时实现</w:t>
            </w:r>
          </w:p>
        </w:tc>
      </w:tr>
    </w:tbl>
    <w:p/>
    <w:p>
      <w:pPr>
        <w:spacing w:before="0" w:after="80" w:line="252" w:lineRule="auto"/>
      </w:pPr>
      <w:r>
        <w:rPr>
          <w:rFonts w:ascii="Noto Sans" w:hAnsi="Noto Sans" w:eastAsia="Noto Sans CJK SC"/>
          <w:sz w:val="20"/>
        </w:rPr>
        <w:t>因此，建议将广义相对论作为 future work 或高级扩展模块，例如“黑洞附近的时空弯曲体验”“引力透镜可视化”或“引力时间膨胀扩展关卡”。当前项目应保持主线清晰：通过近光速星际旅行帮助用户理解狭义相对论。</w:t>
      </w:r>
    </w:p>
    <w:p>
      <w:pPr>
        <w:pStyle w:val="Heading1"/>
        <w:spacing w:before="200" w:after="80" w:line="276" w:lineRule="auto"/>
      </w:pPr>
      <w:r>
        <w:rPr>
          <w:rFonts w:ascii="Noto Sans" w:hAnsi="Noto Sans" w:eastAsia="Noto Sans CJK SC"/>
          <w:b/>
          <w:color w:val="1F4E79"/>
          <w:sz w:val="30"/>
        </w:rPr>
        <w:t>3. Research Gap / 研究空白</w:t>
      </w:r>
    </w:p>
    <w:p>
      <w:pPr>
        <w:pStyle w:val="ListNumber"/>
        <w:spacing w:before="0" w:after="20" w:line="252" w:lineRule="auto"/>
      </w:pPr>
      <w:r>
        <w:rPr>
          <w:rFonts w:ascii="Noto Sans" w:hAnsi="Noto Sans" w:eastAsia="Noto Sans CJK SC"/>
          <w:sz w:val="20"/>
        </w:rPr>
        <w:t>现有教学材料通常以静态公式和二维图示为主，较难表现近光速运动下时间、空间和视觉现象的动态变化。</w:t>
      </w:r>
    </w:p>
    <w:p>
      <w:pPr>
        <w:pStyle w:val="ListNumber"/>
        <w:spacing w:before="0" w:after="20" w:line="252" w:lineRule="auto"/>
      </w:pPr>
      <w:r>
        <w:rPr>
          <w:rFonts w:ascii="Noto Sans" w:hAnsi="Noto Sans" w:eastAsia="Noto Sans CJK SC"/>
          <w:sz w:val="20"/>
        </w:rPr>
        <w:t>部分 3D 或 VR 系统强调视觉奇观，但缺少对参考系、测量和观察之间关系的清晰解释。</w:t>
      </w:r>
    </w:p>
    <w:p>
      <w:pPr>
        <w:pStyle w:val="ListNumber"/>
        <w:spacing w:before="0" w:after="20" w:line="252" w:lineRule="auto"/>
      </w:pPr>
      <w:r>
        <w:rPr>
          <w:rFonts w:ascii="Noto Sans" w:hAnsi="Noto Sans" w:eastAsia="Noto Sans CJK SC"/>
          <w:sz w:val="20"/>
        </w:rPr>
        <w:t>现有系统常常没有区分 measured quantities 与 observed appearances，容易导致学习者混淆“物理测量结果”和“视觉观察结果”。</w:t>
      </w:r>
    </w:p>
    <w:p>
      <w:pPr>
        <w:pStyle w:val="ListNumber"/>
        <w:spacing w:before="0" w:after="20" w:line="252" w:lineRule="auto"/>
      </w:pPr>
      <w:r>
        <w:rPr>
          <w:rFonts w:ascii="Noto Sans" w:hAnsi="Noto Sans" w:eastAsia="Noto Sans CJK SC"/>
          <w:sz w:val="20"/>
        </w:rPr>
        <w:t>沉浸式体验与概念理解之间的关系仍需要系统评估，尤其是沉浸感、控制感和认知负荷如何共同影响学习效果。</w:t>
      </w:r>
    </w:p>
    <w:p>
      <w:pPr>
        <w:pStyle w:val="Heading1"/>
        <w:spacing w:before="200" w:after="80" w:line="276" w:lineRule="auto"/>
      </w:pPr>
      <w:r>
        <w:rPr>
          <w:rFonts w:ascii="Noto Sans" w:hAnsi="Noto Sans" w:eastAsia="Noto Sans CJK SC"/>
          <w:b/>
          <w:color w:val="1F4E79"/>
          <w:sz w:val="30"/>
        </w:rPr>
        <w:t>4. Research Questions / 研究问题</w:t>
      </w:r>
    </w:p>
    <w:p>
      <w:pPr>
        <w:pStyle w:val="ListBullet"/>
        <w:spacing w:before="0" w:after="20" w:line="252" w:lineRule="auto"/>
      </w:pPr>
      <w:r>
        <w:rPr>
          <w:rFonts w:ascii="Noto Sans" w:hAnsi="Noto Sans" w:eastAsia="Noto Sans CJK SC"/>
          <w:sz w:val="20"/>
        </w:rPr>
        <w:t>RQ1：如何将狭义相对论中的抽象概念转化为可感知、可操作、可比较的 3D 沉浸式可视化体验？</w:t>
      </w:r>
    </w:p>
    <w:p>
      <w:pPr>
        <w:pStyle w:val="ListBullet"/>
        <w:spacing w:before="0" w:after="20" w:line="252" w:lineRule="auto"/>
      </w:pPr>
      <w:r>
        <w:rPr>
          <w:rFonts w:ascii="Noto Sans" w:hAnsi="Noto Sans" w:eastAsia="Noto Sans CJK SC"/>
          <w:sz w:val="20"/>
        </w:rPr>
        <w:t>RQ2：什么样的参考系切换与并列比较机制能够帮助用户理解不同观察者对时间、距离和事件顺序的不同描述？</w:t>
      </w:r>
    </w:p>
    <w:p>
      <w:pPr>
        <w:pStyle w:val="ListBullet"/>
        <w:spacing w:before="0" w:after="20" w:line="252" w:lineRule="auto"/>
      </w:pPr>
      <w:r>
        <w:rPr>
          <w:rFonts w:ascii="Noto Sans" w:hAnsi="Noto Sans" w:eastAsia="Noto Sans CJK SC"/>
          <w:sz w:val="20"/>
        </w:rPr>
        <w:t>RQ3：如何通过 Measured Mode 与 Observed Mode 帮助用户区分物理测量结果与视觉观察结果？</w:t>
      </w:r>
    </w:p>
    <w:p>
      <w:pPr>
        <w:pStyle w:val="ListBullet"/>
        <w:spacing w:before="0" w:after="20" w:line="252" w:lineRule="auto"/>
      </w:pPr>
      <w:r>
        <w:rPr>
          <w:rFonts w:ascii="Noto Sans" w:hAnsi="Noto Sans" w:eastAsia="Noto Sans CJK SC"/>
          <w:sz w:val="20"/>
        </w:rPr>
        <w:t>RQ4：与传统二维材料或非交互式 3D 演示相比，沉浸式 3D 交互系统是否能够提升用户对狭义相对论的概念理解？</w:t>
      </w:r>
    </w:p>
    <w:p>
      <w:pPr>
        <w:pStyle w:val="ListBullet"/>
        <w:spacing w:before="0" w:after="20" w:line="252" w:lineRule="auto"/>
      </w:pPr>
      <w:r>
        <w:rPr>
          <w:rFonts w:ascii="Noto Sans" w:hAnsi="Noto Sans" w:eastAsia="Noto Sans CJK SC"/>
          <w:sz w:val="20"/>
        </w:rPr>
        <w:t>RQ5：沉浸感、控制感和认知负荷如何影响用户的科学概念学习体验？</w:t>
      </w:r>
    </w:p>
    <w:p>
      <w:pPr>
        <w:pStyle w:val="Heading1"/>
        <w:spacing w:before="200" w:after="80" w:line="276" w:lineRule="auto"/>
      </w:pPr>
      <w:r>
        <w:rPr>
          <w:rFonts w:ascii="Noto Sans" w:hAnsi="Noto Sans" w:eastAsia="Noto Sans CJK SC"/>
          <w:b/>
          <w:color w:val="1F4E79"/>
          <w:sz w:val="30"/>
        </w:rPr>
        <w:t>5. Proposed System: Relativistic Voyager / 系统设计</w:t>
      </w:r>
    </w:p>
    <w:p>
      <w:pPr>
        <w:spacing w:before="0" w:after="80" w:line="252" w:lineRule="auto"/>
      </w:pPr>
      <w:r>
        <w:rPr>
          <w:rFonts w:ascii="Noto Sans" w:hAnsi="Noto Sans" w:eastAsia="Noto Sans CJK SC"/>
          <w:sz w:val="20"/>
        </w:rPr>
        <w:t>Relativistic Voyager 是一个基于浏览器的沉浸式 3D 交互系统。用户在系统中驾驶一艘虚拟飞船，从地球附近出发，逐渐加速到 0.1c、0.5c、0.8c、0.9c 乃至 0.99c。系统实时呈现速度、洛伦兹因子、地球参考系时间、飞船固有时间、地球参考系距离、飞船参考系距离以及星空视觉变化。</w:t>
      </w:r>
    </w:p>
    <w:p>
      <w:pPr>
        <w:pStyle w:val="Heading2"/>
        <w:spacing w:before="120" w:after="80" w:line="276" w:lineRule="auto"/>
      </w:pPr>
      <w:r>
        <w:rPr>
          <w:rFonts w:ascii="Noto Sans" w:hAnsi="Noto Sans" w:eastAsia="Noto Sans CJK SC"/>
          <w:b/>
          <w:color w:val="444444"/>
          <w:sz w:val="25"/>
        </w:rPr>
        <w:t>5.1 Core Learning Scenario / 核心学习场景</w:t>
      </w:r>
    </w:p>
    <w:p>
      <w:pPr>
        <w:pStyle w:val="ListNumber"/>
        <w:spacing w:before="0" w:after="20" w:line="252" w:lineRule="auto"/>
      </w:pPr>
      <w:r>
        <w:rPr>
          <w:rFonts w:ascii="Noto Sans" w:hAnsi="Noto Sans" w:eastAsia="Noto Sans CJK SC"/>
          <w:sz w:val="20"/>
        </w:rPr>
        <w:t>Classical Baseline：用户以低速飞行，建立日常经验基线。</w:t>
      </w:r>
    </w:p>
    <w:p>
      <w:pPr>
        <w:pStyle w:val="ListNumber"/>
        <w:spacing w:before="0" w:after="20" w:line="252" w:lineRule="auto"/>
      </w:pPr>
      <w:r>
        <w:rPr>
          <w:rFonts w:ascii="Noto Sans" w:hAnsi="Noto Sans" w:eastAsia="Noto Sans CJK SC"/>
          <w:sz w:val="20"/>
        </w:rPr>
        <w:t>Relativistic Acceleration：用户逐渐加速，观察 γ 值、时间和距离如何变化。</w:t>
      </w:r>
    </w:p>
    <w:p>
      <w:pPr>
        <w:pStyle w:val="ListNumber"/>
        <w:spacing w:before="0" w:after="20" w:line="252" w:lineRule="auto"/>
      </w:pPr>
      <w:r>
        <w:rPr>
          <w:rFonts w:ascii="Noto Sans" w:hAnsi="Noto Sans" w:eastAsia="Noto Sans CJK SC"/>
          <w:sz w:val="20"/>
        </w:rPr>
        <w:t>Visual Phenomena：用户观察星空向前方集中、前方蓝移、后方红移等现象。</w:t>
      </w:r>
    </w:p>
    <w:p>
      <w:pPr>
        <w:pStyle w:val="ListNumber"/>
        <w:spacing w:before="0" w:after="20" w:line="252" w:lineRule="auto"/>
      </w:pPr>
      <w:r>
        <w:rPr>
          <w:rFonts w:ascii="Noto Sans" w:hAnsi="Noto Sans" w:eastAsia="Noto Sans CJK SC"/>
          <w:sz w:val="20"/>
        </w:rPr>
        <w:t>Frame Comparison：用户切换地球参考系与飞船参考系，比较不同观察者得到的时间和距离。</w:t>
      </w:r>
    </w:p>
    <w:p>
      <w:pPr>
        <w:pStyle w:val="ListNumber"/>
        <w:spacing w:before="0" w:after="20" w:line="252" w:lineRule="auto"/>
      </w:pPr>
      <w:r>
        <w:rPr>
          <w:rFonts w:ascii="Noto Sans" w:hAnsi="Noto Sans" w:eastAsia="Noto Sans CJK SC"/>
          <w:sz w:val="20"/>
        </w:rPr>
        <w:t>Measured vs Observed：用户比较测量模式与观察模式，理解“测量结果”和“视觉外观”之间的差异。</w:t>
      </w:r>
    </w:p>
    <w:p>
      <w:pPr>
        <w:pStyle w:val="ListNumber"/>
        <w:spacing w:before="0" w:after="20" w:line="252" w:lineRule="auto"/>
      </w:pPr>
      <w:r>
        <w:rPr>
          <w:rFonts w:ascii="Noto Sans" w:hAnsi="Noto Sans" w:eastAsia="Noto Sans CJK SC"/>
          <w:sz w:val="20"/>
        </w:rPr>
        <w:t>Reflection and Quiz：系统提出问题并生成概念总结，帮助用户形成可迁移理解。</w:t>
      </w:r>
    </w:p>
    <w:p>
      <w:pPr>
        <w:pStyle w:val="Heading2"/>
        <w:spacing w:before="120" w:after="80" w:line="276" w:lineRule="auto"/>
      </w:pPr>
      <w:r>
        <w:rPr>
          <w:rFonts w:ascii="Noto Sans" w:hAnsi="Noto Sans" w:eastAsia="Noto Sans CJK SC"/>
          <w:b/>
          <w:color w:val="444444"/>
          <w:sz w:val="25"/>
        </w:rPr>
        <w:t>5.2 System Architecture / 系统架构</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before="0" w:after="0" w:line="276" w:lineRule="auto"/>
            </w:pPr>
            <w:r/>
            <w:r>
              <w:rPr>
                <w:rFonts w:ascii="Noto Sans" w:hAnsi="Noto Sans" w:eastAsia="Noto Sans CJK SC"/>
                <w:b/>
                <w:color w:val="FFFFFF"/>
                <w:sz w:val="17"/>
              </w:rPr>
              <w:t>层级 / 模块</w:t>
            </w:r>
          </w:p>
        </w:tc>
        <w:tc>
          <w:tcPr>
            <w:tcW w:type="dxa" w:w="3360"/>
            <w:vAlign w:val="center"/>
            <w:shd w:fill="1F4E79"/>
          </w:tcPr>
          <w:p>
            <w:pPr>
              <w:spacing w:before="0" w:after="0" w:line="276" w:lineRule="auto"/>
            </w:pPr>
            <w:r/>
            <w:r>
              <w:rPr>
                <w:rFonts w:ascii="Noto Sans" w:hAnsi="Noto Sans" w:eastAsia="Noto Sans CJK SC"/>
                <w:b/>
                <w:color w:val="FFFFFF"/>
                <w:sz w:val="17"/>
              </w:rPr>
              <w:t>主要职责</w:t>
            </w:r>
          </w:p>
        </w:tc>
        <w:tc>
          <w:tcPr>
            <w:tcW w:type="dxa" w:w="3360"/>
            <w:vAlign w:val="center"/>
            <w:shd w:fill="1F4E79"/>
          </w:tcPr>
          <w:p>
            <w:pPr>
              <w:spacing w:before="0" w:after="0" w:line="276" w:lineRule="auto"/>
            </w:pPr>
            <w:r/>
            <w:r>
              <w:rPr>
                <w:rFonts w:ascii="Noto Sans" w:hAnsi="Noto Sans" w:eastAsia="Noto Sans CJK SC"/>
                <w:b/>
                <w:color w:val="FFFFFF"/>
                <w:sz w:val="17"/>
              </w:rPr>
              <w:t>MVP 实现内容</w:t>
            </w:r>
          </w:p>
        </w:tc>
      </w:tr>
      <w:tr>
        <w:tc>
          <w:tcPr>
            <w:tcW w:type="dxa" w:w="3360"/>
            <w:vAlign w:val="center"/>
          </w:tcPr>
          <w:p>
            <w:pPr>
              <w:spacing w:before="0" w:after="0" w:line="276" w:lineRule="auto"/>
            </w:pPr>
            <w:r/>
            <w:r>
              <w:rPr>
                <w:rFonts w:ascii="Noto Sans" w:hAnsi="Noto Sans" w:eastAsia="Noto Sans CJK SC"/>
                <w:b w:val="0"/>
                <w:sz w:val="17"/>
              </w:rPr>
              <w:t>Presentation Layer</w:t>
            </w:r>
          </w:p>
        </w:tc>
        <w:tc>
          <w:tcPr>
            <w:tcW w:type="dxa" w:w="3360"/>
            <w:vAlign w:val="center"/>
          </w:tcPr>
          <w:p>
            <w:pPr>
              <w:spacing w:before="0" w:after="0" w:line="276" w:lineRule="auto"/>
            </w:pPr>
            <w:r/>
            <w:r>
              <w:rPr>
                <w:rFonts w:ascii="Noto Sans" w:hAnsi="Noto Sans" w:eastAsia="Noto Sans CJK SC"/>
                <w:b w:val="0"/>
                <w:sz w:val="17"/>
              </w:rPr>
              <w:t>3D 场景、HUD、解释面板、任务界面</w:t>
            </w:r>
          </w:p>
        </w:tc>
        <w:tc>
          <w:tcPr>
            <w:tcW w:type="dxa" w:w="3360"/>
            <w:vAlign w:val="center"/>
          </w:tcPr>
          <w:p>
            <w:pPr>
              <w:spacing w:before="0" w:after="0" w:line="276" w:lineRule="auto"/>
            </w:pPr>
            <w:r/>
            <w:r>
              <w:rPr>
                <w:rFonts w:ascii="Noto Sans" w:hAnsi="Noto Sans" w:eastAsia="Noto Sans CJK SC"/>
                <w:b w:val="0"/>
                <w:sz w:val="17"/>
              </w:rPr>
              <w:t>星空、飞船、目标恒星、速度与时间面板</w:t>
            </w:r>
          </w:p>
        </w:tc>
      </w:tr>
      <w:tr>
        <w:tc>
          <w:tcPr>
            <w:tcW w:type="dxa" w:w="3360"/>
            <w:vAlign w:val="center"/>
          </w:tcPr>
          <w:p>
            <w:pPr>
              <w:spacing w:before="0" w:after="0" w:line="276" w:lineRule="auto"/>
            </w:pPr>
            <w:r/>
            <w:r>
              <w:rPr>
                <w:rFonts w:ascii="Noto Sans" w:hAnsi="Noto Sans" w:eastAsia="Noto Sans CJK SC"/>
                <w:b w:val="0"/>
                <w:sz w:val="17"/>
              </w:rPr>
              <w:t>Interaction Layer</w:t>
            </w:r>
          </w:p>
        </w:tc>
        <w:tc>
          <w:tcPr>
            <w:tcW w:type="dxa" w:w="3360"/>
            <w:vAlign w:val="center"/>
          </w:tcPr>
          <w:p>
            <w:pPr>
              <w:spacing w:before="0" w:after="0" w:line="276" w:lineRule="auto"/>
            </w:pPr>
            <w:r/>
            <w:r>
              <w:rPr>
                <w:rFonts w:ascii="Noto Sans" w:hAnsi="Noto Sans" w:eastAsia="Noto Sans CJK SC"/>
                <w:b w:val="0"/>
                <w:sz w:val="17"/>
              </w:rPr>
              <w:t>速度控制、模式切换、暂停检查、WebXR 输入</w:t>
            </w:r>
          </w:p>
        </w:tc>
        <w:tc>
          <w:tcPr>
            <w:tcW w:type="dxa" w:w="3360"/>
            <w:vAlign w:val="center"/>
          </w:tcPr>
          <w:p>
            <w:pPr>
              <w:spacing w:before="0" w:after="0" w:line="276" w:lineRule="auto"/>
            </w:pPr>
            <w:r/>
            <w:r>
              <w:rPr>
                <w:rFonts w:ascii="Noto Sans" w:hAnsi="Noto Sans" w:eastAsia="Noto Sans CJK SC"/>
                <w:b w:val="0"/>
                <w:sz w:val="17"/>
              </w:rPr>
              <w:t>速度滑块、Measured/Observed 切换、暂停/重置</w:t>
            </w:r>
          </w:p>
        </w:tc>
      </w:tr>
      <w:tr>
        <w:tc>
          <w:tcPr>
            <w:tcW w:type="dxa" w:w="3360"/>
            <w:vAlign w:val="center"/>
          </w:tcPr>
          <w:p>
            <w:pPr>
              <w:spacing w:before="0" w:after="0" w:line="276" w:lineRule="auto"/>
            </w:pPr>
            <w:r/>
            <w:r>
              <w:rPr>
                <w:rFonts w:ascii="Noto Sans" w:hAnsi="Noto Sans" w:eastAsia="Noto Sans CJK SC"/>
                <w:b w:val="0"/>
                <w:sz w:val="17"/>
              </w:rPr>
              <w:t>Physics Simulation Layer</w:t>
            </w:r>
          </w:p>
        </w:tc>
        <w:tc>
          <w:tcPr>
            <w:tcW w:type="dxa" w:w="3360"/>
            <w:vAlign w:val="center"/>
          </w:tcPr>
          <w:p>
            <w:pPr>
              <w:spacing w:before="0" w:after="0" w:line="276" w:lineRule="auto"/>
            </w:pPr>
            <w:r/>
            <w:r>
              <w:rPr>
                <w:rFonts w:ascii="Noto Sans" w:hAnsi="Noto Sans" w:eastAsia="Noto Sans CJK SC"/>
                <w:b w:val="0"/>
                <w:sz w:val="17"/>
              </w:rPr>
              <w:t>相对论参数计算</w:t>
            </w:r>
          </w:p>
        </w:tc>
        <w:tc>
          <w:tcPr>
            <w:tcW w:type="dxa" w:w="3360"/>
            <w:vAlign w:val="center"/>
          </w:tcPr>
          <w:p>
            <w:pPr>
              <w:spacing w:before="0" w:after="0" w:line="276" w:lineRule="auto"/>
            </w:pPr>
            <w:r/>
            <w:r>
              <w:rPr>
                <w:rFonts w:ascii="Noto Sans" w:hAnsi="Noto Sans" w:eastAsia="Noto Sans CJK SC"/>
                <w:b w:val="0"/>
                <w:sz w:val="17"/>
              </w:rPr>
              <w:t>β、γ、时间膨胀、长度收缩、距离收缩</w:t>
            </w:r>
          </w:p>
        </w:tc>
      </w:tr>
      <w:tr>
        <w:tc>
          <w:tcPr>
            <w:tcW w:type="dxa" w:w="3360"/>
            <w:vAlign w:val="center"/>
          </w:tcPr>
          <w:p>
            <w:pPr>
              <w:spacing w:before="0" w:after="0" w:line="276" w:lineRule="auto"/>
            </w:pPr>
            <w:r/>
            <w:r>
              <w:rPr>
                <w:rFonts w:ascii="Noto Sans" w:hAnsi="Noto Sans" w:eastAsia="Noto Sans CJK SC"/>
                <w:b w:val="0"/>
                <w:sz w:val="17"/>
              </w:rPr>
              <w:t>Visualization Mapping Layer</w:t>
            </w:r>
          </w:p>
        </w:tc>
        <w:tc>
          <w:tcPr>
            <w:tcW w:type="dxa" w:w="3360"/>
            <w:vAlign w:val="center"/>
          </w:tcPr>
          <w:p>
            <w:pPr>
              <w:spacing w:before="0" w:after="0" w:line="276" w:lineRule="auto"/>
            </w:pPr>
            <w:r/>
            <w:r>
              <w:rPr>
                <w:rFonts w:ascii="Noto Sans" w:hAnsi="Noto Sans" w:eastAsia="Noto Sans CJK SC"/>
                <w:b w:val="0"/>
                <w:sz w:val="17"/>
              </w:rPr>
              <w:t>把物理量映射到视觉表现</w:t>
            </w:r>
          </w:p>
        </w:tc>
        <w:tc>
          <w:tcPr>
            <w:tcW w:type="dxa" w:w="3360"/>
            <w:vAlign w:val="center"/>
          </w:tcPr>
          <w:p>
            <w:pPr>
              <w:spacing w:before="0" w:after="0" w:line="276" w:lineRule="auto"/>
            </w:pPr>
            <w:r/>
            <w:r>
              <w:rPr>
                <w:rFonts w:ascii="Noto Sans" w:hAnsi="Noto Sans" w:eastAsia="Noto Sans CJK SC"/>
                <w:b w:val="0"/>
                <w:sz w:val="17"/>
              </w:rPr>
              <w:t>星空集中、蓝移/红移、测量杆缩短</w:t>
            </w:r>
          </w:p>
        </w:tc>
      </w:tr>
      <w:tr>
        <w:tc>
          <w:tcPr>
            <w:tcW w:type="dxa" w:w="3360"/>
            <w:vAlign w:val="center"/>
          </w:tcPr>
          <w:p>
            <w:pPr>
              <w:spacing w:before="0" w:after="0" w:line="276" w:lineRule="auto"/>
            </w:pPr>
            <w:r/>
            <w:r>
              <w:rPr>
                <w:rFonts w:ascii="Noto Sans" w:hAnsi="Noto Sans" w:eastAsia="Noto Sans CJK SC"/>
                <w:b w:val="0"/>
                <w:sz w:val="17"/>
              </w:rPr>
              <w:t>Learning Scaffolding Layer</w:t>
            </w:r>
          </w:p>
        </w:tc>
        <w:tc>
          <w:tcPr>
            <w:tcW w:type="dxa" w:w="3360"/>
            <w:vAlign w:val="center"/>
          </w:tcPr>
          <w:p>
            <w:pPr>
              <w:spacing w:before="0" w:after="0" w:line="276" w:lineRule="auto"/>
            </w:pPr>
            <w:r/>
            <w:r>
              <w:rPr>
                <w:rFonts w:ascii="Noto Sans" w:hAnsi="Noto Sans" w:eastAsia="Noto Sans CJK SC"/>
                <w:b w:val="0"/>
                <w:sz w:val="17"/>
              </w:rPr>
              <w:t>分层解释、引导任务、概念反馈</w:t>
            </w:r>
          </w:p>
        </w:tc>
        <w:tc>
          <w:tcPr>
            <w:tcW w:type="dxa" w:w="3360"/>
            <w:vAlign w:val="center"/>
          </w:tcPr>
          <w:p>
            <w:pPr>
              <w:spacing w:before="0" w:after="0" w:line="276" w:lineRule="auto"/>
            </w:pPr>
            <w:r/>
            <w:r>
              <w:rPr>
                <w:rFonts w:ascii="Noto Sans" w:hAnsi="Noto Sans" w:eastAsia="Noto Sans CJK SC"/>
                <w:b w:val="0"/>
                <w:sz w:val="17"/>
              </w:rPr>
              <w:t>Level 1-3 解释、基础任务提示</w:t>
            </w:r>
          </w:p>
        </w:tc>
      </w:tr>
      <w:tr>
        <w:tc>
          <w:tcPr>
            <w:tcW w:type="dxa" w:w="3360"/>
            <w:vAlign w:val="center"/>
          </w:tcPr>
          <w:p>
            <w:pPr>
              <w:spacing w:before="0" w:after="0" w:line="276" w:lineRule="auto"/>
            </w:pPr>
            <w:r/>
            <w:r>
              <w:rPr>
                <w:rFonts w:ascii="Noto Sans" w:hAnsi="Noto Sans" w:eastAsia="Noto Sans CJK SC"/>
                <w:b w:val="0"/>
                <w:sz w:val="17"/>
              </w:rPr>
              <w:t>Data Logging Layer</w:t>
            </w:r>
          </w:p>
        </w:tc>
        <w:tc>
          <w:tcPr>
            <w:tcW w:type="dxa" w:w="3360"/>
            <w:vAlign w:val="center"/>
          </w:tcPr>
          <w:p>
            <w:pPr>
              <w:spacing w:before="0" w:after="0" w:line="276" w:lineRule="auto"/>
            </w:pPr>
            <w:r/>
            <w:r>
              <w:rPr>
                <w:rFonts w:ascii="Noto Sans" w:hAnsi="Noto Sans" w:eastAsia="Noto Sans CJK SC"/>
                <w:b w:val="0"/>
                <w:sz w:val="17"/>
              </w:rPr>
              <w:t>记录用户行为用于评估</w:t>
            </w:r>
          </w:p>
        </w:tc>
        <w:tc>
          <w:tcPr>
            <w:tcW w:type="dxa" w:w="3360"/>
            <w:vAlign w:val="center"/>
          </w:tcPr>
          <w:p>
            <w:pPr>
              <w:spacing w:before="0" w:after="0" w:line="276" w:lineRule="auto"/>
            </w:pPr>
            <w:r/>
            <w:r>
              <w:rPr>
                <w:rFonts w:ascii="Noto Sans" w:hAnsi="Noto Sans" w:eastAsia="Noto Sans CJK SC"/>
                <w:b w:val="0"/>
                <w:sz w:val="17"/>
              </w:rPr>
              <w:t>速度变化、模式切换、停留时间、导出 JSON</w:t>
            </w:r>
          </w:p>
        </w:tc>
      </w:tr>
    </w:tbl>
    <w:p/>
    <w:p>
      <w:pPr>
        <w:pStyle w:val="Heading1"/>
        <w:spacing w:before="200" w:after="80" w:line="276" w:lineRule="auto"/>
      </w:pPr>
      <w:r>
        <w:rPr>
          <w:rFonts w:ascii="Noto Sans" w:hAnsi="Noto Sans" w:eastAsia="Noto Sans CJK SC"/>
          <w:b/>
          <w:color w:val="1F4E79"/>
          <w:sz w:val="30"/>
        </w:rPr>
        <w:t>6. Design and Method / 设计与方法</w:t>
      </w:r>
    </w:p>
    <w:p>
      <w:pPr>
        <w:pStyle w:val="Heading2"/>
        <w:spacing w:before="120" w:after="80" w:line="276" w:lineRule="auto"/>
      </w:pPr>
      <w:r>
        <w:rPr>
          <w:rFonts w:ascii="Noto Sans" w:hAnsi="Noto Sans" w:eastAsia="Noto Sans CJK SC"/>
          <w:b/>
          <w:color w:val="444444"/>
          <w:sz w:val="25"/>
        </w:rPr>
        <w:t>6.1 Physics Model / 物理模型</w:t>
      </w:r>
    </w:p>
    <w:p>
      <w:pPr>
        <w:spacing w:before="0" w:after="80" w:line="252" w:lineRule="auto"/>
      </w:pPr>
      <w:r>
        <w:rPr>
          <w:rFonts w:ascii="Noto Sans" w:hAnsi="Noto Sans" w:eastAsia="Noto Sans CJK SC"/>
          <w:sz w:val="20"/>
        </w:rPr>
        <w:t>MVP 阶段采用简化但概念清晰的狭义相对论模型。核心变量包括速度比例 β = v/c、洛伦兹因子 γ = 1 / √(1 − β²)、时间膨胀、长度收缩、相对论性多普勒效应和恒星光行差。</w:t>
      </w:r>
    </w:p>
    <w:p>
      <w:pPr>
        <w:pStyle w:val="ListBullet"/>
        <w:spacing w:before="0" w:after="20" w:line="252" w:lineRule="auto"/>
      </w:pPr>
      <w:r>
        <w:rPr>
          <w:rFonts w:ascii="Noto Sans" w:hAnsi="Noto Sans" w:eastAsia="Noto Sans CJK SC"/>
          <w:sz w:val="20"/>
        </w:rPr>
        <w:t>时间膨胀：地球参考系时间 Δt 与飞船固有时间 Δτ 的关系为 Δt = γΔτ。</w:t>
      </w:r>
    </w:p>
    <w:p>
      <w:pPr>
        <w:pStyle w:val="ListBullet"/>
        <w:spacing w:before="0" w:after="20" w:line="252" w:lineRule="auto"/>
      </w:pPr>
      <w:r>
        <w:rPr>
          <w:rFonts w:ascii="Noto Sans" w:hAnsi="Noto Sans" w:eastAsia="Noto Sans CJK SC"/>
          <w:sz w:val="20"/>
        </w:rPr>
        <w:t>长度收缩：沿运动方向的长度 L = L₀ / γ。</w:t>
      </w:r>
    </w:p>
    <w:p>
      <w:pPr>
        <w:pStyle w:val="ListBullet"/>
        <w:spacing w:before="0" w:after="20" w:line="252" w:lineRule="auto"/>
      </w:pPr>
      <w:r>
        <w:rPr>
          <w:rFonts w:ascii="Noto Sans" w:hAnsi="Noto Sans" w:eastAsia="Noto Sans CJK SC"/>
          <w:sz w:val="20"/>
        </w:rPr>
        <w:t>距离收缩：在飞船参考系中，前方目标距离可按 1/γ 缩短，用于解释为什么旅行者经历的时间更短。</w:t>
      </w:r>
    </w:p>
    <w:p>
      <w:pPr>
        <w:pStyle w:val="ListBullet"/>
        <w:spacing w:before="0" w:after="20" w:line="252" w:lineRule="auto"/>
      </w:pPr>
      <w:r>
        <w:rPr>
          <w:rFonts w:ascii="Noto Sans" w:hAnsi="Noto Sans" w:eastAsia="Noto Sans CJK SC"/>
          <w:sz w:val="20"/>
        </w:rPr>
        <w:t>多普勒效应：前方光源向蓝移方向变化，后方光源向红移方向变化。MVP 可采用简化颜色映射，后续可扩展为 shader。</w:t>
      </w:r>
    </w:p>
    <w:p>
      <w:pPr>
        <w:pStyle w:val="Heading2"/>
        <w:spacing w:before="120" w:after="80" w:line="276" w:lineRule="auto"/>
      </w:pPr>
      <w:r>
        <w:rPr>
          <w:rFonts w:ascii="Noto Sans" w:hAnsi="Noto Sans" w:eastAsia="Noto Sans CJK SC"/>
          <w:b/>
          <w:color w:val="444444"/>
          <w:sz w:val="25"/>
        </w:rPr>
        <w:t>6.2 Visual Design / 视觉设计</w:t>
      </w:r>
    </w:p>
    <w:p>
      <w:pPr>
        <w:pStyle w:val="ListBullet"/>
        <w:spacing w:before="0" w:after="20" w:line="252" w:lineRule="auto"/>
      </w:pPr>
      <w:r>
        <w:rPr>
          <w:rFonts w:ascii="Noto Sans" w:hAnsi="Noto Sans" w:eastAsia="Noto Sans CJK SC"/>
          <w:sz w:val="20"/>
        </w:rPr>
        <w:t>星空场：随着速度增加，星星向飞船前进方向集中，用于表达 stellar aberration。</w:t>
      </w:r>
    </w:p>
    <w:p>
      <w:pPr>
        <w:pStyle w:val="ListBullet"/>
        <w:spacing w:before="0" w:after="20" w:line="252" w:lineRule="auto"/>
      </w:pPr>
      <w:r>
        <w:rPr>
          <w:rFonts w:ascii="Noto Sans" w:hAnsi="Noto Sans" w:eastAsia="Noto Sans CJK SC"/>
          <w:sz w:val="20"/>
        </w:rPr>
        <w:t>颜色变化：前方星光偏蓝，后方星光偏红，用于表达相对论性多普勒效应。</w:t>
      </w:r>
    </w:p>
    <w:p>
      <w:pPr>
        <w:pStyle w:val="ListBullet"/>
        <w:spacing w:before="0" w:after="20" w:line="252" w:lineRule="auto"/>
      </w:pPr>
      <w:r>
        <w:rPr>
          <w:rFonts w:ascii="Noto Sans" w:hAnsi="Noto Sans" w:eastAsia="Noto Sans CJK SC"/>
          <w:sz w:val="20"/>
        </w:rPr>
        <w:t>测量杆：在 Measured Mode 中沿运动方向缩短，用于表达长度收缩。</w:t>
      </w:r>
    </w:p>
    <w:p>
      <w:pPr>
        <w:pStyle w:val="ListBullet"/>
        <w:spacing w:before="0" w:after="20" w:line="252" w:lineRule="auto"/>
      </w:pPr>
      <w:r>
        <w:rPr>
          <w:rFonts w:ascii="Noto Sans" w:hAnsi="Noto Sans" w:eastAsia="Noto Sans CJK SC"/>
          <w:sz w:val="20"/>
        </w:rPr>
        <w:t>双时钟：并列显示地球时间与飞船固有时间。</w:t>
      </w:r>
    </w:p>
    <w:p>
      <w:pPr>
        <w:pStyle w:val="ListBullet"/>
        <w:spacing w:before="0" w:after="20" w:line="252" w:lineRule="auto"/>
      </w:pPr>
      <w:r>
        <w:rPr>
          <w:rFonts w:ascii="Noto Sans" w:hAnsi="Noto Sans" w:eastAsia="Noto Sans CJK SC"/>
          <w:sz w:val="20"/>
        </w:rPr>
        <w:t>双距离：并列显示地球参考系距离与飞船参考系距离。</w:t>
      </w:r>
    </w:p>
    <w:p>
      <w:pPr>
        <w:pStyle w:val="ListBullet"/>
        <w:spacing w:before="0" w:after="20" w:line="252" w:lineRule="auto"/>
      </w:pPr>
      <w:r>
        <w:rPr>
          <w:rFonts w:ascii="Noto Sans" w:hAnsi="Noto Sans" w:eastAsia="Noto Sans CJK SC"/>
          <w:sz w:val="20"/>
        </w:rPr>
        <w:t>解释面板：提供从现象、通俗解释到公式的分层说明。</w:t>
      </w:r>
    </w:p>
    <w:p>
      <w:pPr>
        <w:pStyle w:val="Heading2"/>
        <w:spacing w:before="120" w:after="80" w:line="276" w:lineRule="auto"/>
      </w:pPr>
      <w:r>
        <w:rPr>
          <w:rFonts w:ascii="Noto Sans" w:hAnsi="Noto Sans" w:eastAsia="Noto Sans CJK SC"/>
          <w:b/>
          <w:color w:val="444444"/>
          <w:sz w:val="25"/>
        </w:rPr>
        <w:t>6.3 Interaction Design / 交互设计</w:t>
      </w:r>
    </w:p>
    <w:p>
      <w:pPr>
        <w:pStyle w:val="ListBullet"/>
        <w:spacing w:before="0" w:after="20" w:line="252" w:lineRule="auto"/>
      </w:pPr>
      <w:r>
        <w:rPr>
          <w:rFonts w:ascii="Noto Sans" w:hAnsi="Noto Sans" w:eastAsia="Noto Sans CJK SC"/>
          <w:sz w:val="20"/>
        </w:rPr>
        <w:t>速度控制：用户通过滑块或 VR 控制器调节 β，系统实时更新视觉和数值。</w:t>
      </w:r>
    </w:p>
    <w:p>
      <w:pPr>
        <w:pStyle w:val="ListBullet"/>
        <w:spacing w:before="0" w:after="20" w:line="252" w:lineRule="auto"/>
      </w:pPr>
      <w:r>
        <w:rPr>
          <w:rFonts w:ascii="Noto Sans" w:hAnsi="Noto Sans" w:eastAsia="Noto Sans CJK SC"/>
          <w:sz w:val="20"/>
        </w:rPr>
        <w:t>参考系切换：用户在 Earth Frame、Ship Frame 和 Visual Observer 之间切换。</w:t>
      </w:r>
    </w:p>
    <w:p>
      <w:pPr>
        <w:pStyle w:val="ListBullet"/>
        <w:spacing w:before="0" w:after="20" w:line="252" w:lineRule="auto"/>
      </w:pPr>
      <w:r>
        <w:rPr>
          <w:rFonts w:ascii="Noto Sans" w:hAnsi="Noto Sans" w:eastAsia="Noto Sans CJK SC"/>
          <w:sz w:val="20"/>
        </w:rPr>
        <w:t>Measured / Observed 模式：帮助用户区分物理测量和视觉观察。</w:t>
      </w:r>
    </w:p>
    <w:p>
      <w:pPr>
        <w:pStyle w:val="ListBullet"/>
        <w:spacing w:before="0" w:after="20" w:line="252" w:lineRule="auto"/>
      </w:pPr>
      <w:r>
        <w:rPr>
          <w:rFonts w:ascii="Noto Sans" w:hAnsi="Noto Sans" w:eastAsia="Noto Sans CJK SC"/>
          <w:sz w:val="20"/>
        </w:rPr>
        <w:t>Pause &amp; Inspect：用户可暂停飞行并检查当前速度、γ 值、时间差异和长度变化。</w:t>
      </w:r>
    </w:p>
    <w:p>
      <w:pPr>
        <w:pStyle w:val="ListBullet"/>
        <w:spacing w:before="0" w:after="20" w:line="252" w:lineRule="auto"/>
      </w:pPr>
      <w:r>
        <w:rPr>
          <w:rFonts w:ascii="Noto Sans" w:hAnsi="Noto Sans" w:eastAsia="Noto Sans CJK SC"/>
          <w:sz w:val="20"/>
        </w:rPr>
        <w:t>Guided Mission：系统通过任务引导用户解释所观察到的现象。</w:t>
      </w:r>
    </w:p>
    <w:p>
      <w:pPr>
        <w:pStyle w:val="Heading2"/>
        <w:spacing w:before="120" w:after="80" w:line="276" w:lineRule="auto"/>
      </w:pPr>
      <w:r>
        <w:rPr>
          <w:rFonts w:ascii="Noto Sans" w:hAnsi="Noto Sans" w:eastAsia="Noto Sans CJK SC"/>
          <w:b/>
          <w:color w:val="444444"/>
          <w:sz w:val="25"/>
        </w:rPr>
        <w:t>6.4 Technical Implementation / 技术实现</w:t>
      </w:r>
    </w:p>
    <w:p>
      <w:pPr>
        <w:spacing w:before="0" w:after="80" w:line="252" w:lineRule="auto"/>
      </w:pPr>
      <w:r>
        <w:rPr>
          <w:rFonts w:ascii="Noto Sans" w:hAnsi="Noto Sans" w:eastAsia="Noto Sans CJK SC"/>
          <w:sz w:val="20"/>
        </w:rPr>
        <w:t>本项目采用 Three.js + WebXR 技术路线。Three.js 负责 3D 场景构建与渲染，WebXR 支持浏览器中的 VR 体验。JavaScript 或 TypeScript 用于实现核心逻辑，GLSL shader 可在后续用于更精确的星空颜色偏移和视觉特效。</w:t>
      </w:r>
    </w:p>
    <w:p>
      <w:pPr>
        <w:pStyle w:val="ListBullet"/>
        <w:spacing w:before="0" w:after="20" w:line="252" w:lineRule="auto"/>
      </w:pPr>
      <w:r>
        <w:rPr>
          <w:rFonts w:ascii="Noto Sans" w:hAnsi="Noto Sans" w:eastAsia="Noto Sans CJK SC"/>
          <w:sz w:val="20"/>
        </w:rPr>
        <w:t>Three.js：3D 场景、相机、渲染器、星空、飞船和测量对象。</w:t>
      </w:r>
    </w:p>
    <w:p>
      <w:pPr>
        <w:pStyle w:val="ListBullet"/>
        <w:spacing w:before="0" w:after="20" w:line="252" w:lineRule="auto"/>
      </w:pPr>
      <w:r>
        <w:rPr>
          <w:rFonts w:ascii="Noto Sans" w:hAnsi="Noto Sans" w:eastAsia="Noto Sans CJK SC"/>
          <w:sz w:val="20"/>
        </w:rPr>
        <w:t>WebXR：为 VR 设备提供沉浸式入口。</w:t>
      </w:r>
    </w:p>
    <w:p>
      <w:pPr>
        <w:pStyle w:val="ListBullet"/>
        <w:spacing w:before="0" w:after="20" w:line="252" w:lineRule="auto"/>
      </w:pPr>
      <w:r>
        <w:rPr>
          <w:rFonts w:ascii="Noto Sans" w:hAnsi="Noto Sans" w:eastAsia="Noto Sans CJK SC"/>
          <w:sz w:val="20"/>
        </w:rPr>
        <w:t>HTML/CSS：HUD、控制面板、解释面板和任务界面。</w:t>
      </w:r>
    </w:p>
    <w:p>
      <w:pPr>
        <w:pStyle w:val="ListBullet"/>
        <w:spacing w:before="0" w:after="20" w:line="252" w:lineRule="auto"/>
      </w:pPr>
      <w:r>
        <w:rPr>
          <w:rFonts w:ascii="Noto Sans" w:hAnsi="Noto Sans" w:eastAsia="Noto Sans CJK SC"/>
          <w:sz w:val="20"/>
        </w:rPr>
        <w:t>Physics.js：相对论核心计算模块。</w:t>
      </w:r>
    </w:p>
    <w:p>
      <w:pPr>
        <w:pStyle w:val="ListBullet"/>
        <w:spacing w:before="0" w:after="20" w:line="252" w:lineRule="auto"/>
      </w:pPr>
      <w:r>
        <w:rPr>
          <w:rFonts w:ascii="Noto Sans" w:hAnsi="Noto Sans" w:eastAsia="Noto Sans CJK SC"/>
          <w:sz w:val="20"/>
        </w:rPr>
        <w:t>Logger.js：记录用户操作，用于后续学习效果评估。</w:t>
      </w:r>
    </w:p>
    <w:p>
      <w:pPr>
        <w:pStyle w:val="Heading1"/>
        <w:spacing w:before="200" w:after="80" w:line="276" w:lineRule="auto"/>
      </w:pPr>
      <w:r>
        <w:rPr>
          <w:rFonts w:ascii="Noto Sans" w:hAnsi="Noto Sans" w:eastAsia="Noto Sans CJK SC"/>
          <w:b/>
          <w:color w:val="1F4E79"/>
          <w:sz w:val="30"/>
        </w:rPr>
        <w:t>7. MVP Development Plan / MVP 开发计划</w:t>
      </w:r>
    </w:p>
    <w:p>
      <w:pPr>
        <w:pStyle w:val="Heading2"/>
        <w:spacing w:before="120" w:after="80" w:line="276" w:lineRule="auto"/>
      </w:pPr>
      <w:r>
        <w:rPr>
          <w:rFonts w:ascii="Noto Sans" w:hAnsi="Noto Sans" w:eastAsia="Noto Sans CJK SC"/>
          <w:b/>
          <w:color w:val="444444"/>
          <w:sz w:val="25"/>
        </w:rPr>
        <w:t>Phase 1: Basic 3D Prototype / 基础 3D 原型</w:t>
      </w:r>
    </w:p>
    <w:p>
      <w:pPr>
        <w:pStyle w:val="ListBullet"/>
        <w:spacing w:before="0" w:after="20" w:line="252" w:lineRule="auto"/>
      </w:pPr>
      <w:r>
        <w:rPr>
          <w:rFonts w:ascii="Noto Sans" w:hAnsi="Noto Sans" w:eastAsia="Noto Sans CJK SC"/>
          <w:sz w:val="20"/>
        </w:rPr>
        <w:t>实现星空背景、飞船视角、目标恒星和测量杆。</w:t>
      </w:r>
    </w:p>
    <w:p>
      <w:pPr>
        <w:pStyle w:val="ListBullet"/>
        <w:spacing w:before="0" w:after="20" w:line="252" w:lineRule="auto"/>
      </w:pPr>
      <w:r>
        <w:rPr>
          <w:rFonts w:ascii="Noto Sans" w:hAnsi="Noto Sans" w:eastAsia="Noto Sans CJK SC"/>
          <w:sz w:val="20"/>
        </w:rPr>
        <w:t>实现速度控制滑块与 HUD 面板。</w:t>
      </w:r>
    </w:p>
    <w:p>
      <w:pPr>
        <w:pStyle w:val="ListBullet"/>
        <w:spacing w:before="0" w:after="20" w:line="252" w:lineRule="auto"/>
      </w:pPr>
      <w:r>
        <w:rPr>
          <w:rFonts w:ascii="Noto Sans" w:hAnsi="Noto Sans" w:eastAsia="Noto Sans CJK SC"/>
          <w:sz w:val="20"/>
        </w:rPr>
        <w:t>实时显示 β、γ、地球时间和飞船时间。</w:t>
      </w:r>
    </w:p>
    <w:p>
      <w:pPr>
        <w:pStyle w:val="Heading2"/>
        <w:spacing w:before="120" w:after="80" w:line="276" w:lineRule="auto"/>
      </w:pPr>
      <w:r>
        <w:rPr>
          <w:rFonts w:ascii="Noto Sans" w:hAnsi="Noto Sans" w:eastAsia="Noto Sans CJK SC"/>
          <w:b/>
          <w:color w:val="444444"/>
          <w:sz w:val="25"/>
        </w:rPr>
        <w:t>Phase 2: Relativistic Visualization / 相对论可视化</w:t>
      </w:r>
    </w:p>
    <w:p>
      <w:pPr>
        <w:pStyle w:val="ListBullet"/>
        <w:spacing w:before="0" w:after="20" w:line="252" w:lineRule="auto"/>
      </w:pPr>
      <w:r>
        <w:rPr>
          <w:rFonts w:ascii="Noto Sans" w:hAnsi="Noto Sans" w:eastAsia="Noto Sans CJK SC"/>
          <w:sz w:val="20"/>
        </w:rPr>
        <w:t>加入长度收缩、距离收缩、星空集中和多普勒颜色变化。</w:t>
      </w:r>
    </w:p>
    <w:p>
      <w:pPr>
        <w:pStyle w:val="ListBullet"/>
        <w:spacing w:before="0" w:after="20" w:line="252" w:lineRule="auto"/>
      </w:pPr>
      <w:r>
        <w:rPr>
          <w:rFonts w:ascii="Noto Sans" w:hAnsi="Noto Sans" w:eastAsia="Noto Sans CJK SC"/>
          <w:sz w:val="20"/>
        </w:rPr>
        <w:t>加入 Measured / Observed 模式切换。</w:t>
      </w:r>
    </w:p>
    <w:p>
      <w:pPr>
        <w:pStyle w:val="ListBullet"/>
        <w:spacing w:before="0" w:after="20" w:line="252" w:lineRule="auto"/>
      </w:pPr>
      <w:r>
        <w:rPr>
          <w:rFonts w:ascii="Noto Sans" w:hAnsi="Noto Sans" w:eastAsia="Noto Sans CJK SC"/>
          <w:sz w:val="20"/>
        </w:rPr>
        <w:t>加入参考系比较面板。</w:t>
      </w:r>
    </w:p>
    <w:p>
      <w:pPr>
        <w:pStyle w:val="Heading2"/>
        <w:spacing w:before="120" w:after="80" w:line="276" w:lineRule="auto"/>
      </w:pPr>
      <w:r>
        <w:rPr>
          <w:rFonts w:ascii="Noto Sans" w:hAnsi="Noto Sans" w:eastAsia="Noto Sans CJK SC"/>
          <w:b/>
          <w:color w:val="444444"/>
          <w:sz w:val="25"/>
        </w:rPr>
        <w:t>Phase 3: Learning and Evaluation Version / 学习评估版本</w:t>
      </w:r>
    </w:p>
    <w:p>
      <w:pPr>
        <w:pStyle w:val="ListBullet"/>
        <w:spacing w:before="0" w:after="20" w:line="252" w:lineRule="auto"/>
      </w:pPr>
      <w:r>
        <w:rPr>
          <w:rFonts w:ascii="Noto Sans" w:hAnsi="Noto Sans" w:eastAsia="Noto Sans CJK SC"/>
          <w:sz w:val="20"/>
        </w:rPr>
        <w:t>加入引导式任务、概念解释层级和小测验。</w:t>
      </w:r>
    </w:p>
    <w:p>
      <w:pPr>
        <w:pStyle w:val="ListBullet"/>
        <w:spacing w:before="0" w:after="20" w:line="252" w:lineRule="auto"/>
      </w:pPr>
      <w:r>
        <w:rPr>
          <w:rFonts w:ascii="Noto Sans" w:hAnsi="Noto Sans" w:eastAsia="Noto Sans CJK SC"/>
          <w:sz w:val="20"/>
        </w:rPr>
        <w:t>加入交互日志导出、pre-test/post-test 和问卷入口。</w:t>
      </w:r>
    </w:p>
    <w:p>
      <w:pPr>
        <w:pStyle w:val="ListBullet"/>
        <w:spacing w:before="0" w:after="20" w:line="252" w:lineRule="auto"/>
      </w:pPr>
      <w:r>
        <w:rPr>
          <w:rFonts w:ascii="Noto Sans" w:hAnsi="Noto Sans" w:eastAsia="Noto Sans CJK SC"/>
          <w:sz w:val="20"/>
        </w:rPr>
        <w:t>准备对照实验版本。</w:t>
      </w:r>
    </w:p>
    <w:p>
      <w:pPr>
        <w:pStyle w:val="Heading1"/>
        <w:spacing w:before="200" w:after="80" w:line="276" w:lineRule="auto"/>
      </w:pPr>
      <w:r>
        <w:rPr>
          <w:rFonts w:ascii="Noto Sans" w:hAnsi="Noto Sans" w:eastAsia="Noto Sans CJK SC"/>
          <w:b/>
          <w:color w:val="1F4E79"/>
          <w:sz w:val="30"/>
        </w:rPr>
        <w:t>8. Evaluation Plan / 评估方案</w:t>
      </w:r>
    </w:p>
    <w:p>
      <w:pPr>
        <w:pStyle w:val="Heading2"/>
        <w:spacing w:before="120" w:after="80" w:line="276" w:lineRule="auto"/>
      </w:pPr>
      <w:r>
        <w:rPr>
          <w:rFonts w:ascii="Noto Sans" w:hAnsi="Noto Sans" w:eastAsia="Noto Sans CJK SC"/>
          <w:b/>
          <w:color w:val="444444"/>
          <w:sz w:val="25"/>
        </w:rPr>
        <w:t>8.1 Technical Validation / 技术验证</w:t>
      </w:r>
    </w:p>
    <w:p>
      <w:pPr>
        <w:spacing w:before="0" w:after="80" w:line="252" w:lineRule="auto"/>
      </w:pPr>
      <w:r>
        <w:rPr>
          <w:rFonts w:ascii="Noto Sans" w:hAnsi="Noto Sans" w:eastAsia="Noto Sans CJK SC"/>
          <w:sz w:val="20"/>
        </w:rPr>
        <w:t>技术验证将检查系统中相对论计算是否与理论公式一致。可选取 0.5c、0.8c、0.9c 和 0.99c 等典型速度，验证洛伦兹因子、时间膨胀、长度收缩和距离收缩的数值是否正确，并确认可视化映射是否与计算结果一致。</w:t>
      </w:r>
    </w:p>
    <w:p>
      <w:pPr>
        <w:pStyle w:val="Heading2"/>
        <w:spacing w:before="120" w:after="80" w:line="276" w:lineRule="auto"/>
      </w:pPr>
      <w:r>
        <w:rPr>
          <w:rFonts w:ascii="Noto Sans" w:hAnsi="Noto Sans" w:eastAsia="Noto Sans CJK SC"/>
          <w:b/>
          <w:color w:val="444444"/>
          <w:sz w:val="25"/>
        </w:rPr>
        <w:t>8.2 User Study / 用户研究</w:t>
      </w:r>
    </w:p>
    <w:p>
      <w:pPr>
        <w:spacing w:before="0" w:after="80" w:line="252" w:lineRule="auto"/>
      </w:pPr>
      <w:r>
        <w:rPr>
          <w:rFonts w:ascii="Noto Sans" w:hAnsi="Noto Sans" w:eastAsia="Noto Sans CJK SC"/>
          <w:sz w:val="20"/>
        </w:rPr>
        <w:t>用户研究采用前测—干预—后测—访谈的流程。参与者可分为三组：传统文本与二维图示组、桌面端 3D 可视化组、Relativistic Voyager 沉浸式 3D 交互组。</w:t>
      </w:r>
    </w:p>
    <w:p>
      <w:pPr>
        <w:pStyle w:val="ListBullet"/>
        <w:spacing w:before="0" w:after="20" w:line="252" w:lineRule="auto"/>
      </w:pPr>
      <w:r>
        <w:rPr>
          <w:rFonts w:ascii="Noto Sans" w:hAnsi="Noto Sans" w:eastAsia="Noto Sans CJK SC"/>
          <w:sz w:val="20"/>
        </w:rPr>
        <w:t>Learning Gain：比较前测与后测成绩变化。</w:t>
      </w:r>
    </w:p>
    <w:p>
      <w:pPr>
        <w:pStyle w:val="ListBullet"/>
        <w:spacing w:before="0" w:after="20" w:line="252" w:lineRule="auto"/>
      </w:pPr>
      <w:r>
        <w:rPr>
          <w:rFonts w:ascii="Noto Sans" w:hAnsi="Noto Sans" w:eastAsia="Noto Sans CJK SC"/>
          <w:sz w:val="20"/>
        </w:rPr>
        <w:t>Misconception Reduction：考察用户是否纠正“时间膨胀只是错觉”“长度收缩就是看起来变短”等误解。</w:t>
      </w:r>
    </w:p>
    <w:p>
      <w:pPr>
        <w:pStyle w:val="ListBullet"/>
        <w:spacing w:before="0" w:after="20" w:line="252" w:lineRule="auto"/>
      </w:pPr>
      <w:r>
        <w:rPr>
          <w:rFonts w:ascii="Noto Sans" w:hAnsi="Noto Sans" w:eastAsia="Noto Sans CJK SC"/>
          <w:sz w:val="20"/>
        </w:rPr>
        <w:t>Transfer Ability：考察用户是否能解释新情境。</w:t>
      </w:r>
    </w:p>
    <w:p>
      <w:pPr>
        <w:pStyle w:val="ListBullet"/>
        <w:spacing w:before="0" w:after="20" w:line="252" w:lineRule="auto"/>
      </w:pPr>
      <w:r>
        <w:rPr>
          <w:rFonts w:ascii="Noto Sans" w:hAnsi="Noto Sans" w:eastAsia="Noto Sans CJK SC"/>
          <w:sz w:val="20"/>
        </w:rPr>
        <w:t>Usability：通过 SUS 或类似量表评估系统可用性。</w:t>
      </w:r>
    </w:p>
    <w:p>
      <w:pPr>
        <w:pStyle w:val="ListBullet"/>
        <w:spacing w:before="0" w:after="20" w:line="252" w:lineRule="auto"/>
      </w:pPr>
      <w:r>
        <w:rPr>
          <w:rFonts w:ascii="Noto Sans" w:hAnsi="Noto Sans" w:eastAsia="Noto Sans CJK SC"/>
          <w:sz w:val="20"/>
        </w:rPr>
        <w:t>Cognitive Load：通过 NASA-TLX 或类似量表评估认知负荷。</w:t>
      </w:r>
    </w:p>
    <w:p>
      <w:pPr>
        <w:pStyle w:val="ListBullet"/>
        <w:spacing w:before="0" w:after="20" w:line="252" w:lineRule="auto"/>
      </w:pPr>
      <w:r>
        <w:rPr>
          <w:rFonts w:ascii="Noto Sans" w:hAnsi="Noto Sans" w:eastAsia="Noto Sans CJK SC"/>
          <w:sz w:val="20"/>
        </w:rPr>
        <w:t>Presence and Engagement：评估沉浸感、参与感、控制感和学习动机。</w:t>
      </w:r>
    </w:p>
    <w:p>
      <w:pPr>
        <w:pStyle w:val="ListBullet"/>
        <w:spacing w:before="0" w:after="20" w:line="252" w:lineRule="auto"/>
      </w:pPr>
      <w:r>
        <w:rPr>
          <w:rFonts w:ascii="Noto Sans" w:hAnsi="Noto Sans" w:eastAsia="Noto Sans CJK SC"/>
          <w:sz w:val="20"/>
        </w:rPr>
        <w:t>Qualitative Feedback：通过半结构化访谈分析用户理解路径和困惑点。</w:t>
      </w:r>
    </w:p>
    <w:p>
      <w:pPr>
        <w:pStyle w:val="Heading1"/>
        <w:spacing w:before="200" w:after="80" w:line="276" w:lineRule="auto"/>
      </w:pPr>
      <w:r>
        <w:rPr>
          <w:rFonts w:ascii="Noto Sans" w:hAnsi="Noto Sans" w:eastAsia="Noto Sans CJK SC"/>
          <w:b/>
          <w:color w:val="1F4E79"/>
          <w:sz w:val="30"/>
        </w:rPr>
        <w:t>9. Expected Contributions / 预期贡献</w:t>
      </w:r>
    </w:p>
    <w:p>
      <w:pPr>
        <w:pStyle w:val="ListNumber"/>
        <w:spacing w:before="0" w:after="20" w:line="252" w:lineRule="auto"/>
      </w:pPr>
      <w:r>
        <w:rPr>
          <w:rFonts w:ascii="Noto Sans" w:hAnsi="Noto Sans" w:eastAsia="Noto Sans CJK SC"/>
          <w:sz w:val="20"/>
        </w:rPr>
        <w:t>提出一个面向狭义相对论理解的沉浸式 3D 交互可视化框架。</w:t>
      </w:r>
    </w:p>
    <w:p>
      <w:pPr>
        <w:pStyle w:val="ListNumber"/>
        <w:spacing w:before="0" w:after="20" w:line="252" w:lineRule="auto"/>
      </w:pPr>
      <w:r>
        <w:rPr>
          <w:rFonts w:ascii="Noto Sans" w:hAnsi="Noto Sans" w:eastAsia="Noto Sans CJK SC"/>
          <w:sz w:val="20"/>
        </w:rPr>
        <w:t>开发一个基于 Three.js + WebXR 的可运行研究原型。</w:t>
      </w:r>
    </w:p>
    <w:p>
      <w:pPr>
        <w:pStyle w:val="ListNumber"/>
        <w:spacing w:before="0" w:after="20" w:line="252" w:lineRule="auto"/>
      </w:pPr>
      <w:r>
        <w:rPr>
          <w:rFonts w:ascii="Noto Sans" w:hAnsi="Noto Sans" w:eastAsia="Noto Sans CJK SC"/>
          <w:sz w:val="20"/>
        </w:rPr>
        <w:t>提出 Measured Mode 与 Observed Mode 双模式设计，用于帮助学习者区分物理测量和视觉观察。</w:t>
      </w:r>
    </w:p>
    <w:p>
      <w:pPr>
        <w:pStyle w:val="ListNumber"/>
        <w:spacing w:before="0" w:after="20" w:line="252" w:lineRule="auto"/>
      </w:pPr>
      <w:r>
        <w:rPr>
          <w:rFonts w:ascii="Noto Sans" w:hAnsi="Noto Sans" w:eastAsia="Noto Sans CJK SC"/>
          <w:sz w:val="20"/>
        </w:rPr>
        <w:t>提出 reference-frame switching as interaction design 的设计思路，用于支持参考系理解。</w:t>
      </w:r>
    </w:p>
    <w:p>
      <w:pPr>
        <w:pStyle w:val="ListNumber"/>
        <w:spacing w:before="0" w:after="20" w:line="252" w:lineRule="auto"/>
      </w:pPr>
      <w:r>
        <w:rPr>
          <w:rFonts w:ascii="Noto Sans" w:hAnsi="Noto Sans" w:eastAsia="Noto Sans CJK SC"/>
          <w:sz w:val="20"/>
        </w:rPr>
        <w:t>通过用户实验评估沉浸式 3D 交互对狭义相对论概念理解的影响。</w:t>
      </w:r>
    </w:p>
    <w:p>
      <w:pPr>
        <w:pStyle w:val="ListNumber"/>
        <w:spacing w:before="0" w:after="20" w:line="252" w:lineRule="auto"/>
      </w:pPr>
      <w:r>
        <w:rPr>
          <w:rFonts w:ascii="Noto Sans" w:hAnsi="Noto Sans" w:eastAsia="Noto Sans CJK SC"/>
          <w:sz w:val="20"/>
        </w:rPr>
        <w:t>总结面向抽象科学概念的沉浸式可视化设计原则。</w:t>
      </w:r>
    </w:p>
    <w:p>
      <w:pPr>
        <w:pStyle w:val="Heading1"/>
        <w:spacing w:before="200" w:after="80" w:line="276" w:lineRule="auto"/>
      </w:pPr>
      <w:r>
        <w:rPr>
          <w:rFonts w:ascii="Noto Sans" w:hAnsi="Noto Sans" w:eastAsia="Noto Sans CJK SC"/>
          <w:b/>
          <w:color w:val="1F4E79"/>
          <w:sz w:val="30"/>
        </w:rPr>
        <w:t>10. Risks and Scope Control / 风险与边界控制</w:t>
      </w:r>
    </w:p>
    <w:p>
      <w:pPr>
        <w:pStyle w:val="ListBullet"/>
        <w:spacing w:before="0" w:after="20" w:line="252" w:lineRule="auto"/>
      </w:pPr>
      <w:r>
        <w:rPr>
          <w:rFonts w:ascii="Noto Sans" w:hAnsi="Noto Sans" w:eastAsia="Noto Sans CJK SC"/>
          <w:sz w:val="20"/>
        </w:rPr>
        <w:t>物理复杂度风险：MVP 只实现狭义相对论，不加入广义相对论和强引力模拟。</w:t>
      </w:r>
    </w:p>
    <w:p>
      <w:pPr>
        <w:pStyle w:val="ListBullet"/>
        <w:spacing w:before="0" w:after="20" w:line="252" w:lineRule="auto"/>
      </w:pPr>
      <w:r>
        <w:rPr>
          <w:rFonts w:ascii="Noto Sans" w:hAnsi="Noto Sans" w:eastAsia="Noto Sans CJK SC"/>
          <w:sz w:val="20"/>
        </w:rPr>
        <w:t>视觉误导风险：必须明确区分 measured mode 与 observed mode，避免把视觉畸变误讲为物理收缩。</w:t>
      </w:r>
    </w:p>
    <w:p>
      <w:pPr>
        <w:pStyle w:val="ListBullet"/>
        <w:spacing w:before="0" w:after="20" w:line="252" w:lineRule="auto"/>
      </w:pPr>
      <w:r>
        <w:rPr>
          <w:rFonts w:ascii="Noto Sans" w:hAnsi="Noto Sans" w:eastAsia="Noto Sans CJK SC"/>
          <w:sz w:val="20"/>
        </w:rPr>
        <w:t>认知负荷风险：采用分层解释，不在初始界面展示过多公式。</w:t>
      </w:r>
    </w:p>
    <w:p>
      <w:pPr>
        <w:pStyle w:val="ListBullet"/>
        <w:spacing w:before="0" w:after="20" w:line="252" w:lineRule="auto"/>
      </w:pPr>
      <w:r>
        <w:rPr>
          <w:rFonts w:ascii="Noto Sans" w:hAnsi="Noto Sans" w:eastAsia="Noto Sans CJK SC"/>
          <w:sz w:val="20"/>
        </w:rPr>
        <w:t>性能风险：星空数量和 shader 效果应逐步增加，优先保证浏览器端流畅运行。</w:t>
      </w:r>
    </w:p>
    <w:p>
      <w:pPr>
        <w:pStyle w:val="ListBullet"/>
        <w:spacing w:before="0" w:after="20" w:line="252" w:lineRule="auto"/>
      </w:pPr>
      <w:r>
        <w:rPr>
          <w:rFonts w:ascii="Noto Sans" w:hAnsi="Noto Sans" w:eastAsia="Noto Sans CJK SC"/>
          <w:sz w:val="20"/>
        </w:rPr>
        <w:t>评估风险：实验任务应聚焦少量核心概念，避免一次性测试过多物理知识。</w:t>
      </w:r>
    </w:p>
    <w:p>
      <w:pPr>
        <w:pStyle w:val="Heading1"/>
        <w:spacing w:before="200" w:after="80" w:line="276" w:lineRule="auto"/>
      </w:pPr>
      <w:r>
        <w:rPr>
          <w:rFonts w:ascii="Noto Sans" w:hAnsi="Noto Sans" w:eastAsia="Noto Sans CJK SC"/>
          <w:b/>
          <w:color w:val="1F4E79"/>
          <w:sz w:val="30"/>
        </w:rPr>
        <w:t>11. Future Work / 后续扩展</w:t>
      </w:r>
    </w:p>
    <w:p>
      <w:pPr>
        <w:spacing w:before="0" w:after="80" w:line="252" w:lineRule="auto"/>
      </w:pPr>
      <w:r>
        <w:rPr>
          <w:rFonts w:ascii="Noto Sans" w:hAnsi="Noto Sans" w:eastAsia="Noto Sans CJK SC"/>
          <w:sz w:val="20"/>
        </w:rPr>
        <w:t>在狭义相对论 MVP 完成后，可考虑以下扩展：</w:t>
      </w:r>
    </w:p>
    <w:p>
      <w:pPr>
        <w:pStyle w:val="ListBullet"/>
        <w:spacing w:before="0" w:after="20" w:line="252" w:lineRule="auto"/>
      </w:pPr>
      <w:r>
        <w:rPr>
          <w:rFonts w:ascii="Noto Sans" w:hAnsi="Noto Sans" w:eastAsia="Noto Sans CJK SC"/>
          <w:sz w:val="20"/>
        </w:rPr>
        <w:t>加入更准确的 relativistic Doppler shader。</w:t>
      </w:r>
    </w:p>
    <w:p>
      <w:pPr>
        <w:pStyle w:val="ListBullet"/>
        <w:spacing w:before="0" w:after="20" w:line="252" w:lineRule="auto"/>
      </w:pPr>
      <w:r>
        <w:rPr>
          <w:rFonts w:ascii="Noto Sans" w:hAnsi="Noto Sans" w:eastAsia="Noto Sans CJK SC"/>
          <w:sz w:val="20"/>
        </w:rPr>
        <w:t>加入更精确的 light travel time 与 Penrose-Terrell visual appearance。</w:t>
      </w:r>
    </w:p>
    <w:p>
      <w:pPr>
        <w:pStyle w:val="ListBullet"/>
        <w:spacing w:before="0" w:after="20" w:line="252" w:lineRule="auto"/>
      </w:pPr>
      <w:r>
        <w:rPr>
          <w:rFonts w:ascii="Noto Sans" w:hAnsi="Noto Sans" w:eastAsia="Noto Sans CJK SC"/>
          <w:sz w:val="20"/>
        </w:rPr>
        <w:t>加入 Minkowski spacetime diagram 与事件同步可视化。</w:t>
      </w:r>
    </w:p>
    <w:p>
      <w:pPr>
        <w:pStyle w:val="ListBullet"/>
        <w:spacing w:before="0" w:after="20" w:line="252" w:lineRule="auto"/>
      </w:pPr>
      <w:r>
        <w:rPr>
          <w:rFonts w:ascii="Noto Sans" w:hAnsi="Noto Sans" w:eastAsia="Noto Sans CJK SC"/>
          <w:sz w:val="20"/>
        </w:rPr>
        <w:t>加入正式实验平台，包括用户 ID、条件分组、日志上传和问卷模块。</w:t>
      </w:r>
    </w:p>
    <w:p>
      <w:pPr>
        <w:pStyle w:val="ListBullet"/>
        <w:spacing w:before="0" w:after="20" w:line="252" w:lineRule="auto"/>
      </w:pPr>
      <w:r>
        <w:rPr>
          <w:rFonts w:ascii="Noto Sans" w:hAnsi="Noto Sans" w:eastAsia="Noto Sans CJK SC"/>
          <w:sz w:val="20"/>
        </w:rPr>
        <w:t>将广义相对论作为独立高级模块，例如黑洞附近的引力透镜、引力时间膨胀和时空弯曲体验。</w:t>
      </w:r>
    </w:p>
    <w:p>
      <w:pPr>
        <w:pStyle w:val="Heading1"/>
        <w:spacing w:before="200" w:after="80" w:line="276" w:lineRule="auto"/>
      </w:pPr>
      <w:r>
        <w:rPr>
          <w:rFonts w:ascii="Noto Sans" w:hAnsi="Noto Sans" w:eastAsia="Noto Sans CJK SC"/>
          <w:b/>
          <w:color w:val="1F4E79"/>
          <w:sz w:val="30"/>
        </w:rPr>
        <w:t>12. Summary / 总结</w:t>
      </w:r>
    </w:p>
    <w:p>
      <w:pPr>
        <w:spacing w:before="0" w:after="80" w:line="252" w:lineRule="auto"/>
      </w:pPr>
      <w:r>
        <w:rPr>
          <w:rFonts w:ascii="Noto Sans" w:hAnsi="Noto Sans" w:eastAsia="Noto Sans CJK SC"/>
          <w:sz w:val="20"/>
        </w:rPr>
        <w:t>Relativistic Voyager 的研究目标是把狭义相对论从抽象公式转化为沉浸式、可交互、可比较的学习体验。项目的核心创新不在于简单展示星空特效，而在于通过速度调节、参考系切换、Measured/Observed 双模式和分层解释脚手架，帮助学习者理解近光速运动下时间、空间和观察结果之间的关系。</w:t>
      </w:r>
    </w:p>
    <w:p>
      <w:pPr>
        <w:spacing w:before="0" w:after="80" w:line="252" w:lineRule="auto"/>
      </w:pPr>
      <w:r>
        <w:rPr>
          <w:rFonts w:ascii="Noto Sans" w:hAnsi="Noto Sans" w:eastAsia="Noto Sans CJK SC"/>
          <w:sz w:val="20"/>
        </w:rPr>
        <w:t>从项目边界上看，当前阶段应聚焦狭义相对论，而不是同时实现广义相对论。这样可以保证研究问题清晰、技术实现可控、用户评估可操作，也更适合形成 HCI、可视化、科学教育和天文科普方向的研究贡献。</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CJK SC"/>
        <w:color w:val="808080"/>
        <w:sz w:val="16"/>
      </w:rPr>
      <w:t>Relativistic Voyager Proposal | Three.js + WebXR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