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 Mei 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Email: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lin_mei_an@mpa.gov.sg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own words explain the 4 sub constraints in REST’s Uniform Interface. Give an everyday example to illustrate each of the constraint.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Resource can be uniquely identified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 should have unique names/primary keys for identification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cust1 and cust2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can be manipulated through representations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different formats of the same data can be generated (e.g. text/html, pdf or json) and the changes made to the data are done through the different representations at different stages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e.g.data is converted to html for display and edit on browser and then changed again when sending back to database for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Self describing messages: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messages passed from client to server must be self contained and contains all information needed to understand and decode the message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message contains request type, request item and query string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HATEOAS: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is provided dynamically through hypermedia/hyperlinks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details page of an item that can be accessed through clicking on 1 item in a list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the following HTTP methods?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creates a new record every call, PUT inserts the record or replaces the existing copy, PATCH updates only selected parts of a record.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(new, update full, update partial)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returns the payload along with the header while HEAD only returns the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a monolithic web application for managing warehouses. The application exposes the following end points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list of all warehouses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/warehouse/&lt;warehouse_id&gt;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returns the warehouse’s details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/warehouse/&lt;warehouse_id&gt;/inventories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inventory list for the warehouse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list of all the inventories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/inventory/&lt;inventory_id&gt;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inventory detail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/inventory/&lt;inventory_id&gt;/report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generate a report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how you can scale this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duplication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the number of application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functional decomposition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 up the applications into individual modules according to their functions and the portions of the database that they work with. Can be partitioned according to below: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/warehouse/&lt;warehouse_id&gt;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/warehouse/&lt;warehouse_id&gt;/inventories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API call from warehouse database to inventories database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/inventories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/inventory/&lt;inventory_id&gt;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/inventory/&lt;inventory_id&gt;/report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(separate database by domain name e.g. warehouse.domain.com vs inventory.domain.com → handled by the application or 1 database with 2 applications → each handling requests for a different domain name)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171825" cy="3457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1225" y="983450"/>
                          <a:ext cx="3171825" cy="3457575"/>
                          <a:chOff x="1711225" y="983450"/>
                          <a:chExt cx="3152000" cy="3437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1225" y="2222600"/>
                            <a:ext cx="954000" cy="8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09225" y="2222600"/>
                            <a:ext cx="954000" cy="8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17750" y="983450"/>
                            <a:ext cx="2488200" cy="5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8350" y="1534250"/>
                            <a:ext cx="9735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61850" y="1534250"/>
                            <a:ext cx="12243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52000" y="3545300"/>
                            <a:ext cx="954000" cy="87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8925" y="3098000"/>
                            <a:ext cx="957300" cy="4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8225" y="3098000"/>
                            <a:ext cx="1240800" cy="4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71825" cy="3457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457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data partitioning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 partition of database (e.g. region)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from warehouses of the same region can be stored in 1 database, multiple databases used to store all information of all warehouses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have many or 1 application server retrieving data from all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the top headlines REST API 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newsapi.org</w:t>
      </w:r>
      <w:r w:rsidDel="00000000" w:rsidR="00000000" w:rsidRPr="00000000">
        <w:rPr>
          <w:sz w:val="28"/>
          <w:szCs w:val="28"/>
          <w:rtl w:val="0"/>
        </w:rPr>
        <w:t xml:space="preserve">. Answer the following questions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different ways you can present the API key when performing an invocation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apiKey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querystring parameter.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X-Api-Key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HTTP header.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HTTP header. Including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Bearer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is optional, and be sure not to base 64 encode it like you may have seen in other authentication tutorials.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408" w:lineRule="auto"/>
        <w:rPr>
          <w:rFonts w:ascii="Roboto" w:cs="Roboto" w:eastAsia="Roboto" w:hAnsi="Roboto"/>
          <w:color w:val="5f6368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5f6368"/>
              <w:sz w:val="28"/>
              <w:szCs w:val="28"/>
              <w:rtl w:val="0"/>
            </w:rPr>
            <w:t xml:space="preserve">(always much better for it to be in the header &gt; in query string because it can be bookmarked and revealed → security reasons)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 a URL to get 30 technologies headlines from Japan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f6368"/>
          <w:sz w:val="28"/>
          <w:szCs w:val="28"/>
          <w:shd w:fill="fbfcfd" w:val="clear"/>
          <w:rtl w:val="0"/>
        </w:rPr>
        <w:t xml:space="preserve">https://newsapi.org/v2/everything?country=jp&amp;category=technology&amp;sortBy=popularity&amp;pageSize=30&amp;apiKey=API_KEY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status code if an incorrect API key is used?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7f7f9" w:val="clear"/>
          <w:rtl w:val="0"/>
        </w:rPr>
        <w:t xml:space="preserve">401 - Unauthorized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long will the result be cached?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the following entity-relationship diagram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5152" cy="30815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customer and shippers has a one to many relationships with orders.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one or more API endpoints to return a list of customers and a single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request.get(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‘/customers, (req, resp) =&gt;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cust[] = //retrieve list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resp.status(200).type(‘text/plain’)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resp.send(cust)})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single: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request.get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‘/customer/&lt;id&gt;, (req, resp) =&gt; 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 = //get customer fromid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resp.status(200).type(‘text/plain’)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resp.send(cust)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some criteria and how might you might include in your endpoint (wrt Q5a)?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paging/cursor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chunked encoding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compression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a sample output of a customer’s list as a result of performing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 the resource. (wrt Q5a)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provide flow control or pagination support (wrt Q5a)?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“accept-ranges”?????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6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charge the subscribers based on the 2 criteria.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Subscription rates based on the cumulative video sizes: 500GB, 1TB, 1.5TB, etc. A subscriber who subscribe to the 500GB package can upload a maximum amount of 500GB videos.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the subscribe based on their ingress and egress traffic viz. the upload and downloads of the videos.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 API for this encoding service to give your subscribers control over their encoding process.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ignore authentication.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rate limiting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warnings → partial response to stop upload before it goes over the maximum amount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compression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Word document to your repository and commit it.</w:t>
      </w:r>
    </w:p>
    <w:p w:rsidR="00000000" w:rsidDel="00000000" w:rsidP="00000000" w:rsidRDefault="00000000" w:rsidRPr="00000000" w14:paraId="0000008C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add .</w:t>
      </w:r>
    </w:p>
    <w:p w:rsidR="00000000" w:rsidDel="00000000" w:rsidP="00000000" w:rsidRDefault="00000000" w:rsidRPr="00000000" w14:paraId="0000008D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commit -m ‘worksheet01’</w:t>
      </w:r>
    </w:p>
    <w:p w:rsidR="00000000" w:rsidDel="00000000" w:rsidP="00000000" w:rsidRDefault="00000000" w:rsidRPr="00000000" w14:paraId="0000008E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Day 1 Worksheet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Duration: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90 mins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RESTful API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321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 w:val="1"/>
    <w:rsid w:val="00ED321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ISaSodZreP3SggC262ICXYBQ==">AMUW2mU2R5KBq95RTTGvJjoPs+vl4id/Nhj8vNH2AuDFiBPZMbizBL3ADeGptUq5TNuPQpUcUBU2VlJ0AUu++6t8UTsoJt7L+Lrw9DuK9L8E3rdKPFlt8p6zDcj1hRXJKzDL6Pl5CNM2VjFe/9yR0EZ11RtcEJEhGQ==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2018-02-26T00:09:00Z</dcterms:created>
  <dc:creator>Lee Chuk Munn</dc:creator>
</cp:coreProperties>
</file>