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F31E" w14:textId="403EE727" w:rsidR="00C41CA9" w:rsidRPr="00351E9D" w:rsidRDefault="00C41CA9" w:rsidP="008A73FE">
      <w:pPr>
        <w:widowControl/>
        <w:spacing w:before="100" w:beforeAutospacing="1" w:after="100" w:afterAutospacing="1"/>
        <w:jc w:val="center"/>
        <w:rPr>
          <w:rFonts w:ascii="Times New Roman" w:eastAsia="宋体" w:hAnsi="Times New Roman" w:cs="Times New Roman"/>
          <w:b/>
          <w:bCs/>
          <w:kern w:val="0"/>
          <w:szCs w:val="21"/>
        </w:rPr>
      </w:pPr>
      <w:r w:rsidRPr="00351E9D">
        <w:rPr>
          <w:rFonts w:ascii="Times New Roman" w:eastAsia="宋体" w:hAnsi="Times New Roman" w:cs="Times New Roman"/>
          <w:b/>
          <w:bCs/>
          <w:kern w:val="0"/>
          <w:szCs w:val="21"/>
        </w:rPr>
        <w:t>Generalized Dynamic Orthogonal Epistasis for Genomic Prediction in Livestock</w:t>
      </w:r>
    </w:p>
    <w:p w14:paraId="1BBA3CF2" w14:textId="0B2E0C3E" w:rsidR="00FA6B84" w:rsidRPr="00351E9D" w:rsidRDefault="00FA6B84" w:rsidP="00C41CA9">
      <w:pPr>
        <w:widowControl/>
        <w:spacing w:before="100" w:beforeAutospacing="1" w:after="100" w:afterAutospacing="1"/>
        <w:rPr>
          <w:rFonts w:ascii="Times New Roman" w:eastAsia="宋体" w:hAnsi="Times New Roman" w:cs="Times New Roman"/>
          <w:kern w:val="0"/>
          <w:szCs w:val="21"/>
        </w:rPr>
      </w:pPr>
    </w:p>
    <w:p w14:paraId="263B855D" w14:textId="0D83FE2A"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Genomic selection (GS) has revolutionized animal breeding by enabling the prediction of breeding values from dense genome-wide markers</w:t>
      </w:r>
      <w:r w:rsidR="00BD0F2B" w:rsidRPr="00351E9D">
        <w:rPr>
          <w:rFonts w:ascii="Times New Roman" w:eastAsia="宋体" w:hAnsi="Times New Roman" w:cs="Times New Roman" w:hint="eastAsia"/>
          <w:kern w:val="0"/>
          <w:szCs w:val="21"/>
        </w:rPr>
        <w:t xml:space="preserve"> </w:t>
      </w:r>
      <w:r w:rsidR="00644D42" w:rsidRPr="00351E9D">
        <w:rPr>
          <w:rFonts w:ascii="Times New Roman" w:eastAsia="宋体" w:hAnsi="Times New Roman" w:cs="Times New Roman" w:hint="eastAsia"/>
          <w:kern w:val="0"/>
          <w:szCs w:val="21"/>
        </w:rPr>
        <w:t>[1]</w:t>
      </w:r>
      <w:r w:rsidRPr="00351E9D">
        <w:rPr>
          <w:rFonts w:ascii="Times New Roman" w:eastAsia="宋体" w:hAnsi="Times New Roman" w:cs="Times New Roman"/>
          <w:kern w:val="0"/>
          <w:szCs w:val="21"/>
        </w:rPr>
        <w:t>. While traditional GS models focus on capturing additive genetic variance (since additive effects often explain the largest share of heritable variation), non-additive effects such as dominance and epistasis (gene–gene interactions) also contribute to complex trait variation and can influence selection response. Epistasis, in particular, has long been recognized in quantitative genetics, though its relative importance in selection response has been debated (e.g., Crow argued it is largely unimportant under directional selection</w:t>
      </w:r>
      <w:r w:rsidR="00BD0F2B" w:rsidRPr="00351E9D">
        <w:rPr>
          <w:rFonts w:ascii="Times New Roman" w:eastAsia="宋体" w:hAnsi="Times New Roman" w:cs="Times New Roman" w:hint="eastAsia"/>
          <w:kern w:val="0"/>
          <w:szCs w:val="21"/>
        </w:rPr>
        <w:t xml:space="preserve"> </w:t>
      </w:r>
      <w:r w:rsidR="00D52172" w:rsidRPr="00351E9D">
        <w:rPr>
          <w:rFonts w:ascii="Times New Roman" w:eastAsia="宋体" w:hAnsi="Times New Roman" w:cs="Times New Roman" w:hint="eastAsia"/>
          <w:kern w:val="0"/>
          <w:szCs w:val="21"/>
        </w:rPr>
        <w:t>[2]</w:t>
      </w:r>
      <w:r w:rsidRPr="00351E9D">
        <w:rPr>
          <w:rFonts w:ascii="Times New Roman" w:eastAsia="宋体" w:hAnsi="Times New Roman" w:cs="Times New Roman"/>
          <w:kern w:val="0"/>
          <w:szCs w:val="21"/>
        </w:rPr>
        <w:t>). Nevertheless, increasing evidence from various species suggests that a non-negligible proportion of variance can be epistatic, especially in populations with rich genetic diversity or under strong selection pressure</w:t>
      </w:r>
      <w:r w:rsidR="00BD0F2B" w:rsidRPr="00351E9D">
        <w:rPr>
          <w:rFonts w:ascii="Times New Roman" w:eastAsia="宋体" w:hAnsi="Times New Roman" w:cs="Times New Roman" w:hint="eastAsia"/>
          <w:kern w:val="0"/>
          <w:szCs w:val="21"/>
        </w:rPr>
        <w:t xml:space="preserve"> [18]</w:t>
      </w:r>
      <w:r w:rsidRPr="00351E9D">
        <w:rPr>
          <w:rFonts w:ascii="Times New Roman" w:eastAsia="宋体" w:hAnsi="Times New Roman" w:cs="Times New Roman"/>
          <w:kern w:val="0"/>
          <w:szCs w:val="21"/>
        </w:rPr>
        <w:t>. Despite this potential importance, routine genomic evaluations rarely include non-additive effects due to statistical and computational challenges. The number of possible interactions grows combinatorially with marker count, making exhaustive modeling infeasible, and distinguishing additive from epistatic variance is complicated by allele frequency dynamics and confounding. Allele substitution effects (which underlie additive GEBVs) are frequency-dependent; as selection changes allele frequencies across generations, marker effects estimated in one generation may become outdated in later generations (a phenomenon sometimes termed phantom epistasis or the Bulmer effect). Recent theoretical work has confirmed that in the presence of epistasis, the correlation of SNP effects across generations decays more rapidly</w:t>
      </w:r>
      <w:r w:rsidR="00BD0F2B" w:rsidRPr="00351E9D">
        <w:rPr>
          <w:rFonts w:ascii="Times New Roman" w:eastAsia="宋体" w:hAnsi="Times New Roman" w:cs="Times New Roman" w:hint="eastAsia"/>
          <w:kern w:val="0"/>
          <w:szCs w:val="21"/>
        </w:rPr>
        <w:t xml:space="preserve"> [3]</w:t>
      </w:r>
      <w:r w:rsidRPr="00351E9D">
        <w:rPr>
          <w:rFonts w:ascii="Times New Roman" w:eastAsia="宋体" w:hAnsi="Times New Roman" w:cs="Times New Roman"/>
          <w:kern w:val="0"/>
          <w:szCs w:val="21"/>
        </w:rPr>
        <w:t>, underscoring the need for models that can adapt to changing genetic architectures over time.</w:t>
      </w:r>
    </w:p>
    <w:p w14:paraId="547814DB" w14:textId="74229794"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Here we present a generalized dynamic orthogonal epistasis genomic BLUP (GBLUP) framework that addresses these issues, by including additive, dominance, and epistatic effects in a coherent model and updating allele-frequency-dependent encodings each generation. Our approach builds upon the Natural and Orthogonal Interactions (NOIA) model of Álvarez-Castro &amp; </w:t>
      </w:r>
      <w:proofErr w:type="spellStart"/>
      <w:r w:rsidRPr="00351E9D">
        <w:rPr>
          <w:rFonts w:ascii="Times New Roman" w:eastAsia="宋体" w:hAnsi="Times New Roman" w:cs="Times New Roman"/>
          <w:kern w:val="0"/>
          <w:szCs w:val="21"/>
        </w:rPr>
        <w:t>Carlborg</w:t>
      </w:r>
      <w:proofErr w:type="spellEnd"/>
      <w:r w:rsidR="002F7A75" w:rsidRPr="00351E9D">
        <w:rPr>
          <w:rFonts w:ascii="Times New Roman" w:eastAsia="宋体" w:hAnsi="Times New Roman" w:cs="Times New Roman" w:hint="eastAsia"/>
          <w:kern w:val="0"/>
          <w:szCs w:val="21"/>
        </w:rPr>
        <w:t xml:space="preserve"> [4]</w:t>
      </w:r>
      <w:r w:rsidRPr="00351E9D">
        <w:rPr>
          <w:rFonts w:ascii="Times New Roman" w:eastAsia="宋体" w:hAnsi="Times New Roman" w:cs="Times New Roman"/>
          <w:kern w:val="0"/>
          <w:szCs w:val="21"/>
        </w:rPr>
        <w:t>, which provides genotype encodings that yield orthogonal (independent) partitions of additive, dominance, and interaction components for a given population allele frequency. We extend NOIA to a dynamic setting: as allele frequencies shift under selection or drift, the genotype coding and genomic relationship matrices are recalculated for each generation, thereby preserving the orthogonality of variance components over time. This dynamic updating ensures that additive and interaction effects remain independent and properly estimated as the population evolves, preventing the erosion of prediction accuracy seen in static models.</w:t>
      </w:r>
    </w:p>
    <w:p w14:paraId="1DC4E7C2" w14:textId="37C4676E"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Another key extension is the integration of dominance and multiple forms of pairwise epistasis – additive-by-additive (A×A), additive-by-dominance (A×D), and dominance-by-dominance (D×D) interactions – into the genomic prediction model. Previous studies have shown how to construct genomic relationship matrices for dominance and epistatic interactions using combinations or Hadamard products of additive and dominance kernels</w:t>
      </w:r>
      <w:r w:rsidR="002F7A75"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We leverage these results to include all two-locus interactions without explicitly enumerating pairs, keeping the approach computationally tractable even for high-density SNP panels. We also incorporate genotype-by-environment interactions (G×E) by using a reaction-norm model (random slopes on an environmental gradient)</w:t>
      </w:r>
      <w:r w:rsidR="002F7A75"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xml:space="preserve">, which allows the genetic merit of individuals to depend on an environmental variable. Modeling </w:t>
      </w:r>
      <w:r w:rsidRPr="00351E9D">
        <w:rPr>
          <w:rFonts w:ascii="Times New Roman" w:eastAsia="宋体" w:hAnsi="Times New Roman" w:cs="Times New Roman"/>
          <w:kern w:val="0"/>
          <w:szCs w:val="21"/>
        </w:rPr>
        <w:lastRenderedPageBreak/>
        <w:t>G×E is important in livestock, as animals are raised in diverse environments; accounting for marker-by-environment covariance has been shown to improve predictive accuracy</w:t>
      </w:r>
      <w:r w:rsidR="002F7A75"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w:t>
      </w:r>
    </w:p>
    <w:p w14:paraId="25FBBAEB" w14:textId="6AD842E0"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The objectives of this study were to: (1) Develop an enhanced genomic prediction model that includes additive, dominance, and epistatic genetic effects with orthogonal variance decomposition, extending NOIA-based coding to general two-locus interactions. (2) Implement efficient computational strategies (exploiting Hadamard products, sparse operations, and parallel computing) to make the inclusion of all pairwise interactions feasible for large SNP datasets, and integrate reaction-norm terms for G×E without undue complexity. (3) Evaluate the model’s performance in terms of prediction accuracy, bias, variance component estimation, and long-term stability of GEBVs under selection. We conducted comprehensive simulations reflecting realistic livestock breeding programs (including selection over multiple generations, changing allele frequencies, and multi-environment scenarios), and tested the method on real datasets from public resources (e.g. high-density SNP data from cattle and sheep, and known QTL information from the Animal QTL database</w:t>
      </w:r>
      <w:r w:rsidR="00D343B8" w:rsidRPr="00351E9D">
        <w:rPr>
          <w:rFonts w:ascii="Times New Roman" w:eastAsia="宋体" w:hAnsi="Times New Roman" w:cs="Times New Roman" w:hint="eastAsia"/>
          <w:kern w:val="0"/>
          <w:szCs w:val="21"/>
        </w:rPr>
        <w:t xml:space="preserve"> [7]</w:t>
      </w:r>
      <w:r w:rsidRPr="00351E9D">
        <w:rPr>
          <w:rFonts w:ascii="Times New Roman" w:eastAsia="宋体" w:hAnsi="Times New Roman" w:cs="Times New Roman"/>
          <w:kern w:val="0"/>
          <w:szCs w:val="21"/>
        </w:rPr>
        <w:t>). The new orthogonal epistasis GBLUP (O-GBLUP) was compared against standard additive GBLUP, Gaussian kernel methods (RKHS regression), a Bayesian whole-genome regression (</w:t>
      </w:r>
      <w:proofErr w:type="spellStart"/>
      <w:r w:rsidRPr="00351E9D">
        <w:rPr>
          <w:rFonts w:ascii="Times New Roman" w:eastAsia="宋体" w:hAnsi="Times New Roman" w:cs="Times New Roman"/>
          <w:kern w:val="0"/>
          <w:szCs w:val="21"/>
        </w:rPr>
        <w:t>BayesB</w:t>
      </w:r>
      <w:proofErr w:type="spellEnd"/>
      <w:r w:rsidR="00421E8A" w:rsidRPr="00351E9D">
        <w:rPr>
          <w:rFonts w:ascii="Times New Roman" w:eastAsia="宋体" w:hAnsi="Times New Roman" w:cs="Times New Roman" w:hint="eastAsia"/>
          <w:kern w:val="0"/>
          <w:szCs w:val="21"/>
        </w:rPr>
        <w:t xml:space="preserve"> [1]</w:t>
      </w:r>
      <w:r w:rsidRPr="00351E9D">
        <w:rPr>
          <w:rFonts w:ascii="Times New Roman" w:eastAsia="宋体" w:hAnsi="Times New Roman" w:cs="Times New Roman"/>
          <w:kern w:val="0"/>
          <w:szCs w:val="21"/>
        </w:rPr>
        <w:t>), gradient boosting trees</w:t>
      </w:r>
      <w:r w:rsidR="00421E8A"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and deep learning models (multilayer perceptron and convolutional neural network). (4) Demonstrate practical applications of modeling non-additive variance in breeding and conservation. We illustrate how the estimated dominance and epistatic effects can inform optimal mating strategies (e.g. pairing individuals to maximize heterozygosity or favorable interactions)</w:t>
      </w:r>
      <w:r w:rsidR="00E47071" w:rsidRPr="00351E9D">
        <w:rPr>
          <w:rFonts w:ascii="Times New Roman" w:eastAsia="宋体" w:hAnsi="Times New Roman" w:cs="Times New Roman" w:hint="eastAsia"/>
          <w:kern w:val="0"/>
          <w:szCs w:val="21"/>
        </w:rPr>
        <w:t xml:space="preserve"> [15]</w:t>
      </w:r>
      <w:r w:rsidRPr="00351E9D">
        <w:rPr>
          <w:rFonts w:ascii="Times New Roman" w:eastAsia="宋体" w:hAnsi="Times New Roman" w:cs="Times New Roman"/>
          <w:kern w:val="0"/>
          <w:szCs w:val="21"/>
        </w:rPr>
        <w:t>, manage inbreeding depression, and maintain genetic diversity in both structured breeds and admixed or evolving populations. We hypothesized that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including orthogonal dominance and epistasis would improve prediction accuracy over additive-only models when non-additive variance is appreciable, (ii) the orthogonal parameterization would result in more stable accuracy over generations and unbiased partitioning of variance (e.g. consistent narrow-sense heritability estimates), and (iii) our O-GBLUP would be competitive with or superior to “black-box” machine learning models at typical livestock sample sizes, while offering greater interpretability. We further expected that accounting for G×E would enhance predictive performance in variable environments, and that using real genomic data and known QTL information would demonstrate the method’s relevance to empirical breeding populations. Below, we describe the materials and methods, present the results of our experiments, and discuss the implications of this dynamic orthogonal epistasis framework for genomic selection and animal breeding in the era of complex trait genomics.</w:t>
      </w:r>
    </w:p>
    <w:p w14:paraId="453EA11D" w14:textId="77777777" w:rsidR="00C41CA9" w:rsidRPr="00351E9D" w:rsidRDefault="00C41CA9" w:rsidP="00C41CA9">
      <w:pPr>
        <w:widowControl/>
        <w:spacing w:before="100" w:beforeAutospacing="1" w:after="100" w:afterAutospacing="1"/>
        <w:rPr>
          <w:rFonts w:ascii="Times New Roman" w:eastAsia="宋体" w:hAnsi="Times New Roman" w:cs="Times New Roman"/>
          <w:b/>
          <w:bCs/>
          <w:kern w:val="0"/>
          <w:szCs w:val="21"/>
        </w:rPr>
      </w:pPr>
      <w:r w:rsidRPr="00351E9D">
        <w:rPr>
          <w:rFonts w:ascii="Times New Roman" w:eastAsia="宋体" w:hAnsi="Times New Roman" w:cs="Times New Roman"/>
          <w:b/>
          <w:bCs/>
          <w:kern w:val="0"/>
          <w:szCs w:val="21"/>
        </w:rPr>
        <w:t>Materials and Methods</w:t>
      </w:r>
    </w:p>
    <w:p w14:paraId="0EB7A3EA" w14:textId="146475A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Data Sources and Simulation Design: We evaluated the proposed O-GBLUP framework using a combination of real livestock genomic data and simulated populations under controlled scenarios. Real genotypic data were obtained from public resources, including the Functional Annotation of Animal Genomes (FAANG) consortium and published studies. For example, we utilized a dataset of 11,790 Holstein dairy bulls genotyped for 60,671 SNP markers (a publicly available resource used in genomic prediction benchmarks</w:t>
      </w:r>
      <w:r w:rsidR="00C71436"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xml:space="preserve">) and a high-density SNP panel from sheep (600K SNP chip) to ensure realistic linkage disequilibrium patterns in simulations. Additionally, we mined the Animal </w:t>
      </w:r>
      <w:proofErr w:type="spellStart"/>
      <w:r w:rsidRPr="00351E9D">
        <w:rPr>
          <w:rFonts w:ascii="Times New Roman" w:eastAsia="宋体" w:hAnsi="Times New Roman" w:cs="Times New Roman"/>
          <w:kern w:val="0"/>
          <w:szCs w:val="21"/>
        </w:rPr>
        <w:t>QTLdb</w:t>
      </w:r>
      <w:proofErr w:type="spellEnd"/>
      <w:r w:rsidRPr="00351E9D">
        <w:rPr>
          <w:rFonts w:ascii="Times New Roman" w:eastAsia="宋体" w:hAnsi="Times New Roman" w:cs="Times New Roman"/>
          <w:kern w:val="0"/>
          <w:szCs w:val="21"/>
        </w:rPr>
        <w:t xml:space="preserve"> for prior information on quantitative trait loci: the </w:t>
      </w:r>
      <w:proofErr w:type="spellStart"/>
      <w:r w:rsidRPr="00351E9D">
        <w:rPr>
          <w:rFonts w:ascii="Times New Roman" w:eastAsia="宋体" w:hAnsi="Times New Roman" w:cs="Times New Roman"/>
          <w:kern w:val="0"/>
          <w:szCs w:val="21"/>
        </w:rPr>
        <w:t>QTLdb</w:t>
      </w:r>
      <w:proofErr w:type="spellEnd"/>
      <w:r w:rsidRPr="00351E9D">
        <w:rPr>
          <w:rFonts w:ascii="Times New Roman" w:eastAsia="宋体" w:hAnsi="Times New Roman" w:cs="Times New Roman"/>
          <w:kern w:val="0"/>
          <w:szCs w:val="21"/>
        </w:rPr>
        <w:t xml:space="preserve"> houses tens of thousands of QTL identified in cattle, pigs, chickens, and other species (e.g. &gt;190k QTL in cattle, ~57k in pig, </w:t>
      </w:r>
      <w:r w:rsidRPr="00351E9D">
        <w:rPr>
          <w:rFonts w:ascii="Times New Roman" w:eastAsia="宋体" w:hAnsi="Times New Roman" w:cs="Times New Roman"/>
          <w:kern w:val="0"/>
          <w:szCs w:val="21"/>
        </w:rPr>
        <w:lastRenderedPageBreak/>
        <w:t>~5k in sheep)</w:t>
      </w:r>
      <w:r w:rsidR="00C71436" w:rsidRPr="00351E9D">
        <w:rPr>
          <w:rFonts w:ascii="Times New Roman" w:eastAsia="宋体" w:hAnsi="Times New Roman" w:cs="Times New Roman" w:hint="eastAsia"/>
          <w:kern w:val="0"/>
          <w:szCs w:val="21"/>
        </w:rPr>
        <w:t xml:space="preserve"> [7]</w:t>
      </w:r>
      <w:r w:rsidRPr="00351E9D">
        <w:rPr>
          <w:rFonts w:ascii="Times New Roman" w:eastAsia="宋体" w:hAnsi="Times New Roman" w:cs="Times New Roman"/>
          <w:kern w:val="0"/>
          <w:szCs w:val="21"/>
        </w:rPr>
        <w:t xml:space="preserve">. This wealth of information guided our simulation architecture – for instance, in some simulations we positioned QTL at genomic locations informed by known trait-associated loci, and we assigned effect sizes following a realistic distribution (many small effects and a few moderate ones) consistent with empirical findings. We also incorporated functional genomic data (e.g. gene expression from NCBI’s Gene Expression Omnibus and known </w:t>
      </w:r>
      <w:proofErr w:type="spellStart"/>
      <w:r w:rsidRPr="00351E9D">
        <w:rPr>
          <w:rFonts w:ascii="Times New Roman" w:eastAsia="宋体" w:hAnsi="Times New Roman" w:cs="Times New Roman"/>
          <w:kern w:val="0"/>
          <w:szCs w:val="21"/>
        </w:rPr>
        <w:t>eQTL</w:t>
      </w:r>
      <w:proofErr w:type="spellEnd"/>
      <w:r w:rsidRPr="00351E9D">
        <w:rPr>
          <w:rFonts w:ascii="Times New Roman" w:eastAsia="宋体" w:hAnsi="Times New Roman" w:cs="Times New Roman"/>
          <w:kern w:val="0"/>
          <w:szCs w:val="21"/>
        </w:rPr>
        <w:t>) in G×E scenarios, where an environmental variable influenced gene expression and thereby phenotypes.</w:t>
      </w:r>
    </w:p>
    <w:p w14:paraId="3617FB56"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Using these resources, we designed several simulation experiments:</w:t>
      </w:r>
    </w:p>
    <w:p w14:paraId="5111D5FA" w14:textId="39AFF747" w:rsidR="00C41CA9" w:rsidRPr="00351E9D" w:rsidRDefault="00C41CA9" w:rsidP="00C41CA9">
      <w:pPr>
        <w:widowControl/>
        <w:numPr>
          <w:ilvl w:val="0"/>
          <w:numId w:val="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Base Population and Breeding Program: We first simulated a base population of N = 1000 individuals (analogous to a livestock breed or herd) with substantial genetic diversity. Each individual’s genome consisted of M = 50,000 biallelic SNP markers spread across 30 chromosomes (~2.5 Gb total, similar to cattle), with markers roughly uniformly distributed. Initial allele frequencies were drawn from a </w:t>
      </w:r>
      <w:proofErr w:type="gramStart"/>
      <w:r w:rsidRPr="00351E9D">
        <w:rPr>
          <w:rFonts w:ascii="Times New Roman" w:eastAsia="宋体" w:hAnsi="Times New Roman" w:cs="Times New Roman"/>
          <w:kern w:val="0"/>
          <w:szCs w:val="21"/>
        </w:rPr>
        <w:t>U(</w:t>
      </w:r>
      <w:proofErr w:type="gramEnd"/>
      <w:r w:rsidRPr="00351E9D">
        <w:rPr>
          <w:rFonts w:ascii="Times New Roman" w:eastAsia="宋体" w:hAnsi="Times New Roman" w:cs="Times New Roman"/>
          <w:kern w:val="0"/>
          <w:szCs w:val="21"/>
        </w:rPr>
        <w:t>0,1) Beta distribution skewed towards intermediate values (</w:t>
      </w:r>
      <w:proofErr w:type="gramStart"/>
      <w:r w:rsidRPr="00351E9D">
        <w:rPr>
          <w:rFonts w:ascii="Times New Roman" w:eastAsia="宋体" w:hAnsi="Times New Roman" w:cs="Times New Roman"/>
          <w:kern w:val="0"/>
          <w:szCs w:val="21"/>
        </w:rPr>
        <w:t>Beta(</w:t>
      </w:r>
      <w:proofErr w:type="gramEnd"/>
      <m:oMath>
        <m:r>
          <m:rPr>
            <m:sty m:val="p"/>
          </m:rPr>
          <w:rPr>
            <w:rFonts w:ascii="Cambria Math" w:eastAsia="等线" w:hAnsi="Cambria Math" w:cs="Times New Roman"/>
            <w:sz w:val="22"/>
            <w:szCs w:val="24"/>
            <w14:ligatures w14:val="standardContextual"/>
          </w:rPr>
          <m:t>α=0.4,β=0.4</m:t>
        </m:r>
      </m:oMath>
      <w:r w:rsidRPr="00351E9D">
        <w:rPr>
          <w:rFonts w:ascii="Times New Roman" w:eastAsia="宋体" w:hAnsi="Times New Roman" w:cs="Times New Roman"/>
          <w:kern w:val="0"/>
          <w:szCs w:val="21"/>
        </w:rPr>
        <w:t>)), reflecting the standing variation often observed in domestic breeds (i.e. many common alleles). We designated a subset of loci as quantitative trait loci (QTL) underlying a simulated complex trait and considered multiple genetic architectures:</w:t>
      </w:r>
    </w:p>
    <w:p w14:paraId="344AB974" w14:textId="77777777" w:rsidR="00C41CA9" w:rsidRPr="00351E9D" w:rsidRDefault="00C41CA9" w:rsidP="00C41CA9">
      <w:pPr>
        <w:widowControl/>
        <w:numPr>
          <w:ilvl w:val="1"/>
          <w:numId w:val="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Additive-only: 100 QTL with additive effects only (no dominance or epistasis). This scenario serves as a baseline to verify that O-GBLUP reverts to standard GBLUP performance when the trait architecture is purely additive.</w:t>
      </w:r>
    </w:p>
    <w:p w14:paraId="31B9649E" w14:textId="77777777" w:rsidR="00C41CA9" w:rsidRPr="00351E9D" w:rsidRDefault="00C41CA9" w:rsidP="00C41CA9">
      <w:pPr>
        <w:widowControl/>
        <w:numPr>
          <w:ilvl w:val="1"/>
          <w:numId w:val="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Additive + Epistatic: 100 additive QTL and 50 QTL pairs with additive-by-additive interactions. Here each epistatic pair of loci contributes an interaction effect to the trait in addition to their main effects. This scenario is inspired by the possibility of epistatic QTL discovered in studies of diverse breeds (e.g., two-locus interactions affecting fitness in indigenous livestock).</w:t>
      </w:r>
    </w:p>
    <w:p w14:paraId="3055D432" w14:textId="77777777" w:rsidR="00C41CA9" w:rsidRPr="00351E9D" w:rsidRDefault="00C41CA9" w:rsidP="00C41CA9">
      <w:pPr>
        <w:widowControl/>
        <w:numPr>
          <w:ilvl w:val="1"/>
          <w:numId w:val="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Additive + Dominance + Epistatic: A more complex architecture with 100 additive QTL, 100 QTL with dominance effects, and 50 epistatic pairs (which could involve any combination of loci – A×A, A×D, or D×D interactions). Some loci had both additive and dominance effects, and some interactions occurred between loci that also had main effects. This represents a trait with appreciable non-additive variance in the population.</w:t>
      </w:r>
    </w:p>
    <w:p w14:paraId="67BA50FD" w14:textId="39987C45" w:rsidR="00C41CA9" w:rsidRPr="00351E9D" w:rsidRDefault="00C41CA9" w:rsidP="00C41CA9">
      <w:pPr>
        <w:widowControl/>
        <w:numPr>
          <w:ilvl w:val="1"/>
          <w:numId w:val="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Genotype-by-Environment (G×E): We simulated an environmental covariate E (e.g. a climate or management factor) that influences phenotypic expression. A subset of QTL (e.g. 20 additive QTL) were given environment-dependent effects: their contribution to phenotype for individual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in environment e was modeled as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b</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e</m:t>
            </m:r>
          </m:sub>
        </m:sSub>
      </m:oMath>
      <w:r w:rsidRPr="00351E9D">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is the baseline effect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b</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is an environment slope. This induces G×E: genotypes have different effects in different environments. Environmental values were generated either continuously (e.g.</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e</m:t>
            </m:r>
          </m:sub>
        </m:sSub>
        <m:r>
          <m:rPr>
            <m:sty m:val="p"/>
          </m:rPr>
          <w:rPr>
            <w:rFonts w:ascii="Cambria Math" w:eastAsia="等线" w:hAnsi="Cambria Math" w:cs="Times New Roman"/>
            <w:sz w:val="22"/>
            <w:szCs w:val="24"/>
            <w14:ligatures w14:val="standardContextual"/>
          </w:rPr>
          <m:t>∼</m:t>
        </m:r>
        <m:r>
          <m:rPr>
            <m:nor/>
          </m:rPr>
          <w:rPr>
            <w:rFonts w:ascii="Times New Roman" w:eastAsia="等线" w:hAnsi="Times New Roman" w:cs="Times New Roman"/>
            <w:sz w:val="22"/>
            <w:szCs w:val="24"/>
            <w14:ligatures w14:val="standardContextual"/>
          </w:rPr>
          <m:t>Uniform</m:t>
        </m:r>
        <m:r>
          <m:rPr>
            <m:sty m:val="p"/>
          </m:rPr>
          <w:rPr>
            <w:rFonts w:ascii="Cambria Math" w:eastAsia="等线" w:hAnsi="Cambria Math" w:cs="Times New Roman"/>
            <w:sz w:val="22"/>
            <w:szCs w:val="24"/>
            <w14:ligatures w14:val="standardContextual"/>
          </w:rPr>
          <m:t>(0,1)</m:t>
        </m:r>
      </m:oMath>
      <w:r w:rsidRPr="00351E9D">
        <w:rPr>
          <w:rFonts w:ascii="Times New Roman" w:eastAsia="宋体" w:hAnsi="Times New Roman" w:cs="Times New Roman"/>
          <w:kern w:val="0"/>
          <w:szCs w:val="21"/>
        </w:rPr>
        <w:t xml:space="preserve"> for each individual) or as discrete groups (simulating two distinct environments such as high vs. low nutrition).</w:t>
      </w:r>
    </w:p>
    <w:p w14:paraId="71C1D70B" w14:textId="79E4B20B"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Phenotypes were then simulated as: for individual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in environment e,</w:t>
      </w:r>
    </w:p>
    <w:p w14:paraId="3463B8BC" w14:textId="1D7CCA70" w:rsidR="00C41CA9" w:rsidRPr="00351E9D" w:rsidRDefault="00000000" w:rsidP="00C41CA9">
      <w:pPr>
        <w:widowControl/>
        <w:rPr>
          <w:rFonts w:ascii="Times New Roman" w:eastAsia="宋体" w:hAnsi="Times New Roman" w:cs="Times New Roman"/>
          <w:kern w:val="0"/>
          <w:szCs w:val="21"/>
        </w:rPr>
      </w:pP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y</m:t>
            </m:r>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=μ+</m:t>
        </m:r>
        <m:nary>
          <m:naryPr>
            <m:chr m:val="∑"/>
            <m:limLoc m:val="undOvr"/>
            <m:grow m:val="1"/>
            <m:supHide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j∈</m:t>
            </m:r>
            <m:r>
              <m:rPr>
                <m:nor/>
              </m:rPr>
              <w:rPr>
                <w:rFonts w:ascii="等线" w:eastAsia="等线" w:hAnsi="等线" w:cs="Times New Roman"/>
                <w:sz w:val="22"/>
                <w:szCs w:val="24"/>
                <w14:ligatures w14:val="standardContextual"/>
              </w:rPr>
              <m:t>QTL</m:t>
            </m:r>
          </m:sub>
          <m:sup/>
          <m:e>
            <m:r>
              <m:rPr>
                <m:sty m:val="p"/>
              </m:rPr>
              <w:rPr>
                <w:rFonts w:ascii="Cambria Math" w:eastAsia="等线" w:hAnsi="Cambria Math" w:cs="Times New Roman"/>
                <w:sz w:val="22"/>
                <w:szCs w:val="24"/>
                <w14:ligatures w14:val="standardContextual"/>
              </w:rPr>
              <m:t>(</m:t>
            </m:r>
            <w:bookmarkStart w:id="0" w:name="_Hlk204091169"/>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w:bookmarkStart w:id="1" w:name="_Hlk204091209"/>
            <w:bookmarkEnd w:id="0"/>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α</m:t>
                </m:r>
              </m:e>
              <m:sub>
                <m:r>
                  <m:rPr>
                    <m:sty m:val="p"/>
                  </m:rPr>
                  <w:rPr>
                    <w:rFonts w:ascii="Cambria Math" w:eastAsia="等线" w:hAnsi="Cambria Math" w:cs="Times New Roman"/>
                    <w:sz w:val="22"/>
                    <w:szCs w:val="24"/>
                    <w14:ligatures w14:val="standardContextual"/>
                  </w:rPr>
                  <m:t>j</m:t>
                </m:r>
              </m:sub>
            </m:sSub>
            <w:bookmarkEnd w:id="1"/>
            <m:r>
              <m:rPr>
                <m:sty m:val="p"/>
              </m:rPr>
              <w:rPr>
                <w:rFonts w:ascii="Cambria Math" w:eastAsia="等线" w:hAnsi="Cambria Math" w:cs="Times New Roman"/>
                <w:sz w:val="22"/>
                <w:szCs w:val="24"/>
                <w14:ligatures w14:val="standardContextual"/>
              </w:rPr>
              <m:t>+</m:t>
            </m:r>
            <w:bookmarkStart w:id="2" w:name="_Hlk204091187"/>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w:bookmarkStart w:id="3" w:name="_Hlk204091226"/>
            <w:bookmarkEnd w:id="2"/>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δ</m:t>
                </m:r>
              </m:e>
              <m:sub>
                <m:r>
                  <m:rPr>
                    <m:sty m:val="p"/>
                  </m:rPr>
                  <w:rPr>
                    <w:rFonts w:ascii="Cambria Math" w:eastAsia="等线" w:hAnsi="Cambria Math" w:cs="Times New Roman"/>
                    <w:sz w:val="22"/>
                    <w:szCs w:val="24"/>
                    <w14:ligatures w14:val="standardContextual"/>
                  </w:rPr>
                  <m:t>j</m:t>
                </m:r>
              </m:sub>
            </m:sSub>
            <w:bookmarkEnd w:id="3"/>
            <m:r>
              <m:rPr>
                <m:sty m:val="p"/>
              </m:rPr>
              <w:rPr>
                <w:rFonts w:ascii="Cambria Math" w:eastAsia="等线" w:hAnsi="Cambria Math" w:cs="Times New Roman"/>
                <w:sz w:val="22"/>
                <w:szCs w:val="24"/>
                <w14:ligatures w14:val="standardContextual"/>
              </w:rPr>
              <m:t>)</m:t>
            </m:r>
          </m:e>
        </m:nary>
        <m:r>
          <m:rPr>
            <m:sty m:val="p"/>
          </m:rPr>
          <w:rPr>
            <w:rFonts w:ascii="Cambria Math" w:eastAsia="等线" w:hAnsi="Cambria Math" w:cs="Times New Roman"/>
            <w:sz w:val="22"/>
            <w:szCs w:val="24"/>
            <w14:ligatures w14:val="standardContextual"/>
          </w:rPr>
          <m:t>+</m:t>
        </m:r>
        <m:nary>
          <m:naryPr>
            <m:chr m:val="∑"/>
            <m:limLoc m:val="undOvr"/>
            <m:grow m:val="1"/>
            <m:supHide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(k,l)∈</m:t>
            </m:r>
            <m:r>
              <m:rPr>
                <m:nor/>
              </m:rPr>
              <w:rPr>
                <w:rFonts w:ascii="等线" w:eastAsia="等线" w:hAnsi="等线" w:cs="Times New Roman"/>
                <w:sz w:val="22"/>
                <w:szCs w:val="24"/>
                <w14:ligatures w14:val="standardContextual"/>
              </w:rPr>
              <m:t>QTL pairs</m:t>
            </m:r>
          </m:sub>
          <m:sup/>
          <m:e>
            <w:bookmarkStart w:id="4" w:name="_Hlk204091247"/>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ω</m:t>
                </m:r>
              </m:e>
              <m:sub>
                <m:r>
                  <m:rPr>
                    <m:sty m:val="p"/>
                  </m:rPr>
                  <w:rPr>
                    <w:rFonts w:ascii="Cambria Math" w:eastAsia="等线" w:hAnsi="Cambria Math" w:cs="Times New Roman"/>
                    <w:sz w:val="22"/>
                    <w:szCs w:val="24"/>
                    <w14:ligatures w14:val="standardContextual"/>
                  </w:rPr>
                  <m:t>i,(k,l)</m:t>
                </m:r>
              </m:sub>
            </m:sSub>
            <w:bookmarkEnd w:id="4"/>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γ</m:t>
                </m:r>
              </m:e>
              <m:sub>
                <m:r>
                  <m:rPr>
                    <m:sty m:val="p"/>
                  </m:rPr>
                  <w:rPr>
                    <w:rFonts w:ascii="Cambria Math" w:eastAsia="等线" w:hAnsi="Cambria Math" w:cs="Times New Roman"/>
                    <w:sz w:val="22"/>
                    <w:szCs w:val="24"/>
                    <w14:ligatures w14:val="standardContextual"/>
                  </w:rPr>
                  <m:t>kl</m:t>
                </m:r>
              </m:sub>
            </m:sSub>
          </m:e>
        </m:nary>
        <m:r>
          <m:rPr>
            <m:sty m:val="p"/>
          </m:rPr>
          <w:rPr>
            <w:rFonts w:ascii="Cambria Math" w:eastAsia="等线" w:hAnsi="Cambria Math" w:cs="Times New Roman"/>
            <w:sz w:val="22"/>
            <w:szCs w:val="24"/>
            <w14:ligatures w14:val="standardContextual"/>
          </w:rPr>
          <m:t>+</m:t>
        </m:r>
        <m:nary>
          <m:naryPr>
            <m:chr m:val="∑"/>
            <m:limLoc m:val="undOvr"/>
            <m:grow m:val="1"/>
            <m:supHide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j∈G×E</m:t>
            </m:r>
          </m:sub>
          <m:sup/>
          <m:e>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b</m:t>
                </m:r>
              </m:e>
              <m:sub>
                <m:r>
                  <m:rPr>
                    <m:sty m:val="p"/>
                  </m:rPr>
                  <w:rPr>
                    <w:rFonts w:ascii="Cambria Math" w:eastAsia="等线" w:hAnsi="Cambria Math" w:cs="Times New Roman"/>
                    <w:sz w:val="22"/>
                    <w:szCs w:val="24"/>
                    <w14:ligatures w14:val="standardContextual"/>
                  </w:rPr>
                  <m:t>j</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e</m:t>
                </m:r>
              </m:sub>
            </m:sSub>
          </m:e>
        </m:nary>
        <m:r>
          <m:rPr>
            <m:sty m:val="p"/>
          </m:rPr>
          <w:rPr>
            <w:rFonts w:ascii="Cambria Math" w:eastAsia="等线" w:hAnsi="Cambria Math" w:cs="Times New Roman"/>
            <w:sz w:val="22"/>
            <w:szCs w:val="24"/>
            <w14:ligatures w14:val="standardContextual"/>
          </w:rPr>
          <m:t>+</m:t>
        </m:r>
        <w:bookmarkStart w:id="5" w:name="_Hlk204091312"/>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ε</m:t>
            </m:r>
          </m:e>
          <m:sub>
            <m:r>
              <m:rPr>
                <m:sty m:val="p"/>
              </m:rPr>
              <w:rPr>
                <w:rFonts w:ascii="Cambria Math" w:eastAsia="等线" w:hAnsi="Cambria Math" w:cs="Times New Roman"/>
                <w:sz w:val="22"/>
                <w:szCs w:val="24"/>
                <w14:ligatures w14:val="standardContextual"/>
              </w:rPr>
              <m:t>i,e</m:t>
            </m:r>
          </m:sub>
        </m:sSub>
        <w:bookmarkEnd w:id="5"/>
        <m:r>
          <m:rPr>
            <m:sty m:val="p"/>
          </m:rPr>
          <w:rPr>
            <w:rFonts w:ascii="Cambria Math" w:eastAsia="等线" w:hAnsi="Cambria Math" w:cs="Times New Roman"/>
            <w:sz w:val="22"/>
            <w:szCs w:val="24"/>
            <w14:ligatures w14:val="standardContextual"/>
          </w:rPr>
          <m:t>.</m:t>
        </m:r>
      </m:oMath>
      <w:r w:rsidR="00C41CA9" w:rsidRPr="00351E9D">
        <w:rPr>
          <w:rFonts w:ascii="Times New Roman" w:eastAsia="宋体" w:hAnsi="Times New Roman" w:cs="Times New Roman"/>
          <w:kern w:val="0"/>
          <w:szCs w:val="21"/>
        </w:rPr>
        <w:t xml:space="preserve"> </w:t>
      </w:r>
    </w:p>
    <w:p w14:paraId="70B2C1F6" w14:textId="581117CA"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Here </w:t>
      </w:r>
      <m:oMath>
        <m:r>
          <m:rPr>
            <m:sty m:val="p"/>
          </m:rPr>
          <w:rPr>
            <w:rFonts w:ascii="Cambria Math" w:eastAsia="等线" w:hAnsi="Cambria Math" w:cs="Times New Roman"/>
            <w:sz w:val="22"/>
            <w:szCs w:val="24"/>
            <w14:ligatures w14:val="standardContextual"/>
          </w:rPr>
          <m:t>μ</m:t>
        </m:r>
      </m:oMath>
      <w:r w:rsidRPr="00351E9D">
        <w:rPr>
          <w:rFonts w:ascii="Times New Roman" w:eastAsia="宋体" w:hAnsi="Times New Roman" w:cs="Times New Roman"/>
          <w:kern w:val="0"/>
          <w:szCs w:val="21"/>
        </w:rPr>
        <w:t xml:space="preserve"> is the trait mean;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xml:space="preserve"> are the additive and dominance genotype indicators for locus j (defined below);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α</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δ</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are the additive and dominance effect sizes;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ω</m:t>
            </m:r>
          </m:e>
          <m:sub>
            <m:r>
              <m:rPr>
                <m:sty m:val="p"/>
              </m:rPr>
              <w:rPr>
                <w:rFonts w:ascii="Cambria Math" w:eastAsia="等线" w:hAnsi="Cambria Math" w:cs="Times New Roman"/>
                <w:sz w:val="22"/>
                <w:szCs w:val="24"/>
                <w14:ligatures w14:val="standardContextual"/>
              </w:rPr>
              <m:t>i,(k,l)</m:t>
            </m:r>
          </m:sub>
        </m:sSub>
      </m:oMath>
      <w:r w:rsidRPr="00351E9D">
        <w:rPr>
          <w:rFonts w:ascii="Times New Roman" w:eastAsia="宋体" w:hAnsi="Times New Roman" w:cs="Times New Roman"/>
          <w:kern w:val="0"/>
          <w:szCs w:val="21"/>
        </w:rPr>
        <w:t xml:space="preserve"> represents the genotype combination at loci k and l (for an epistatic pair)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γ</m:t>
            </m:r>
          </m:e>
          <m:sub>
            <m:r>
              <m:rPr>
                <m:sty m:val="p"/>
              </m:rPr>
              <w:rPr>
                <w:rFonts w:ascii="Cambria Math" w:eastAsia="等线" w:hAnsi="Cambria Math" w:cs="Times New Roman"/>
                <w:sz w:val="22"/>
                <w:szCs w:val="24"/>
                <w14:ligatures w14:val="standardContextual"/>
              </w:rPr>
              <m:t>kl</m:t>
            </m:r>
          </m:sub>
        </m:sSub>
      </m:oMath>
      <w:r w:rsidRPr="00351E9D">
        <w:rPr>
          <w:rFonts w:ascii="Times New Roman" w:eastAsia="宋体" w:hAnsi="Times New Roman" w:cs="Times New Roman"/>
          <w:kern w:val="0"/>
          <w:szCs w:val="21"/>
        </w:rPr>
        <w:t xml:space="preserve"> is their interaction effect;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ε</m:t>
            </m:r>
          </m:e>
          <m:sub>
            <m:r>
              <m:rPr>
                <m:sty m:val="p"/>
              </m:rPr>
              <w:rPr>
                <w:rFonts w:ascii="Cambria Math" w:eastAsia="等线" w:hAnsi="Cambria Math" w:cs="Times New Roman"/>
                <w:sz w:val="22"/>
                <w:szCs w:val="24"/>
                <w14:ligatures w14:val="standardContextual"/>
              </w:rPr>
              <m:t>i,e</m:t>
            </m:r>
          </m:sub>
        </m:sSub>
      </m:oMath>
      <w:r w:rsidRPr="00351E9D">
        <w:rPr>
          <w:rFonts w:ascii="Times New Roman" w:eastAsia="宋体" w:hAnsi="Times New Roman" w:cs="Times New Roman"/>
          <w:kern w:val="0"/>
          <w:szCs w:val="21"/>
        </w:rPr>
        <w:t xml:space="preserve"> is residual error (</w:t>
      </w:r>
      <m:oMath>
        <m:r>
          <m:rPr>
            <m:sty m:val="p"/>
          </m:rPr>
          <w:rPr>
            <w:rFonts w:ascii="Cambria Math" w:eastAsia="等线" w:hAnsi="Cambria Math" w:cs="Times New Roman"/>
            <w:sz w:val="22"/>
            <w:szCs w:val="24"/>
            <w14:ligatures w14:val="standardContextual"/>
          </w:rPr>
          <m:t>ε∼</m:t>
        </m:r>
        <m:r>
          <m:rPr>
            <m:scr m:val="script"/>
            <m:sty m:val="p"/>
          </m:rPr>
          <w:rPr>
            <w:rFonts w:ascii="Cambria Math" w:eastAsia="等线" w:hAnsi="Cambria Math" w:cs="Times New Roman"/>
            <w:sz w:val="22"/>
            <w:szCs w:val="24"/>
            <w14:ligatures w14:val="standardContextual"/>
          </w:rPr>
          <m:t>N</m:t>
        </m:r>
        <m:r>
          <m:rPr>
            <m:sty m:val="p"/>
          </m:rPr>
          <w:rPr>
            <w:rFonts w:ascii="Cambria Math" w:eastAsia="等线" w:hAnsi="Cambria Math" w:cs="Times New Roman"/>
            <w:sz w:val="22"/>
            <w:szCs w:val="24"/>
            <w14:ligatures w14:val="standardContextual"/>
          </w:rPr>
          <m:t>(0,</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e</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We chose QTL effect parameters such that, in the base generation, the narrow-sense heritability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(additive variance / phenotypic variance) was approximately 0.30 and the broad-sense heritability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(total genetic variance including non-additive) was around 0.40–0.50, depending on the scenario. For example, in the Additive+Epistatic scenario, additive effects contributed ~30% of phenotypic variance and epistasis ~10%, with the remainder residual (60%), giving</w:t>
      </w:r>
      <w:r w:rsidR="00510277" w:rsidRPr="00351E9D">
        <w:rPr>
          <w:rFonts w:ascii="Times New Roman" w:eastAsia="宋体" w:hAnsi="Times New Roman" w:cs="Times New Roman" w:hint="eastAsia"/>
          <w:kern w:val="0"/>
          <w:szCs w:val="21"/>
        </w:rPr>
        <w:t xml:space="preserve">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≈0.40</m:t>
        </m:r>
      </m:oMath>
      <w:r w:rsidRPr="00351E9D">
        <w:rPr>
          <w:rFonts w:ascii="Times New Roman" w:eastAsia="宋体" w:hAnsi="Times New Roman" w:cs="Times New Roman"/>
          <w:kern w:val="0"/>
          <w:szCs w:val="21"/>
        </w:rPr>
        <w:t>. In the most complex scenario, an illustrative variance breakdown was: additive 0.30, dominance 0.05, epistasis 0.10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0.45), with residual 0.55. These values reflect moderate-heritability traits where non-additive variance is present but not dominant, consistent with some estimates in dairy cattle and pig traits where dominance and epistasis together can contribute on the order of 5–15% of total variance</w:t>
      </w:r>
      <w:r w:rsidR="00DD2C1C" w:rsidRPr="00351E9D">
        <w:rPr>
          <w:rFonts w:ascii="Times New Roman" w:eastAsia="宋体" w:hAnsi="Times New Roman" w:cs="Times New Roman" w:hint="eastAsia"/>
          <w:kern w:val="0"/>
          <w:szCs w:val="21"/>
        </w:rPr>
        <w:t xml:space="preserve"> [13][19]</w:t>
      </w:r>
      <w:r w:rsidRPr="00351E9D">
        <w:rPr>
          <w:rFonts w:ascii="Times New Roman" w:eastAsia="宋体" w:hAnsi="Times New Roman" w:cs="Times New Roman"/>
          <w:kern w:val="0"/>
          <w:szCs w:val="21"/>
        </w:rPr>
        <w:t>.</w:t>
      </w:r>
    </w:p>
    <w:p w14:paraId="14C7E704" w14:textId="77777777" w:rsidR="00C41CA9" w:rsidRPr="00351E9D" w:rsidRDefault="00C41CA9" w:rsidP="00C41CA9">
      <w:pPr>
        <w:widowControl/>
        <w:numPr>
          <w:ilvl w:val="0"/>
          <w:numId w:val="3"/>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Selection Over Multiple Generations: Starting from Generation 0 (the base population), we simulated a breeding program with selection and mating for 10 discrete generations. Each generation consisted of ~1000 offspring. We applied truncation selection on the true breeding values: in each generation, the top 20% of males and females (by true genetic value) were selected as parents. For example, 50 sires and 200 dams might be chosen (reflecting typical livestock breeding ratios). Selected parents were randomly mated (with each sire mated to multiple dams) to produce the next generation of offspring (approximately 4 progeny per mating on average). This scheme imposes strong directional selection and leads to a steady increase in mean genetic merit each generation, but it also causes allele frequency changes and a buildup of linkage disequilibrium (the Bulmer effect). We simulated recombination using a realistic genetic map (1 </w:t>
      </w:r>
      <w:proofErr w:type="spellStart"/>
      <w:r w:rsidRPr="00351E9D">
        <w:rPr>
          <w:rFonts w:ascii="Times New Roman" w:eastAsia="宋体" w:hAnsi="Times New Roman" w:cs="Times New Roman"/>
          <w:kern w:val="0"/>
          <w:szCs w:val="21"/>
        </w:rPr>
        <w:t>cM</w:t>
      </w:r>
      <w:proofErr w:type="spellEnd"/>
      <w:r w:rsidRPr="00351E9D">
        <w:rPr>
          <w:rFonts w:ascii="Times New Roman" w:eastAsia="宋体" w:hAnsi="Times New Roman" w:cs="Times New Roman"/>
          <w:kern w:val="0"/>
          <w:szCs w:val="21"/>
        </w:rPr>
        <w:t xml:space="preserve"> per Mb), and no new mutations were introduced over the 10 generations. We tracked allele frequencies at all QTL across generations to observe their trajectories under selection: beneficial alleles generally increased in frequency (often fixing at 1.0 by generation 10), whereas some unfavored alleles were lost. We also recorded the true breeding values (TBV) and population mean phenotype each generation to measure selection response over time.</w:t>
      </w:r>
    </w:p>
    <w:p w14:paraId="53F6469D" w14:textId="77777777" w:rsidR="00C41CA9" w:rsidRPr="00351E9D" w:rsidRDefault="00C41CA9" w:rsidP="00C41CA9">
      <w:pPr>
        <w:widowControl/>
        <w:numPr>
          <w:ilvl w:val="0"/>
          <w:numId w:val="3"/>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Structured and Admixed Population Scenario: In an additional experiment, we examined a scenario with two diverging subpopulations to test the model in an admixed context. We split the base generation into two subpopulations (analogous to two breeds or lines) that were isolated for a few generations, during which they accumulated divergent allele frequencies at some QTL due to selection and drift. For instance, one line might fix one allele at an epistatic pair while the other line fixes the alternate alleles. We then created an admixed population by intercrossing the lines (simulating a crossbred or composite population at generation 6). This scenario allowed us to evaluate whether the orthogonal model can handle changes in genetic background due to admixture and still partition variance correctly, as well as to explore how dominance and epistasis contribute to heterosis (hybrid vigor) in the cross.</w:t>
      </w:r>
    </w:p>
    <w:p w14:paraId="29FFDDC9" w14:textId="49CEE051"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lastRenderedPageBreak/>
        <w:t>Orthogonal Genomic Relationship Matrices (GRMs) for Additive, Dominance, and Epistatic Effects: A core component of our O-GBLUP approach is the construction of genomic relationship matrices for each type of genetic effect in an orthogonal manner. We utilized the NOIA coding system</w:t>
      </w:r>
      <w:r w:rsidR="00B51583" w:rsidRPr="00351E9D">
        <w:rPr>
          <w:rFonts w:ascii="Times New Roman" w:eastAsia="宋体" w:hAnsi="Times New Roman" w:cs="Times New Roman" w:hint="eastAsia"/>
          <w:kern w:val="0"/>
          <w:szCs w:val="21"/>
        </w:rPr>
        <w:t xml:space="preserve"> [4] </w:t>
      </w:r>
      <w:r w:rsidRPr="00351E9D">
        <w:rPr>
          <w:rFonts w:ascii="Times New Roman" w:eastAsia="宋体" w:hAnsi="Times New Roman" w:cs="Times New Roman"/>
          <w:kern w:val="0"/>
          <w:szCs w:val="21"/>
        </w:rPr>
        <w:t xml:space="preserve">to define additive and dominance genotype values at each locus relative to the current allele frequency. For a biallelic locus j with alleles A (reference) and a (alternate) at population frequency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(for A), the genotype of individual i can be encoded as:</w:t>
      </w:r>
    </w:p>
    <w:p w14:paraId="57EC3F4F" w14:textId="5FAD800F" w:rsidR="00C41CA9" w:rsidRPr="00351E9D" w:rsidRDefault="00C41CA9" w:rsidP="00C41CA9">
      <w:pPr>
        <w:widowControl/>
        <w:numPr>
          <w:ilvl w:val="0"/>
          <w:numId w:val="4"/>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Additive code: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f>
          <m:fPr>
            <m:ctrlPr>
              <w:rPr>
                <w:rFonts w:ascii="Cambria Math" w:eastAsia="等线" w:hAnsi="Cambria Math" w:cs="Times New Roman"/>
                <w:sz w:val="22"/>
                <w:szCs w:val="24"/>
                <w14:ligatures w14:val="standardContextual"/>
              </w:rPr>
            </m:ctrlPr>
          </m:fPr>
          <m:num>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n</m:t>
                </m:r>
              </m:e>
              <m:sub>
                <m:r>
                  <m:rPr>
                    <m:sty m:val="p"/>
                  </m:rPr>
                  <w:rPr>
                    <w:rFonts w:ascii="Cambria Math" w:eastAsia="等线" w:hAnsi="Cambria Math" w:cs="Times New Roman"/>
                    <w:sz w:val="22"/>
                    <w:szCs w:val="24"/>
                    <w14:ligatures w14:val="standardContextual"/>
                  </w:rPr>
                  <m:t>ij,A</m:t>
                </m:r>
              </m:sub>
            </m:sSub>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num>
          <m:den>
            <m:rad>
              <m:radPr>
                <m:degHide m:val="1"/>
                <m:ctrlPr>
                  <w:rPr>
                    <w:rFonts w:ascii="Cambria Math" w:eastAsia="等线" w:hAnsi="Cambria Math" w:cs="Times New Roman"/>
                    <w:sz w:val="22"/>
                    <w:szCs w:val="24"/>
                    <w14:ligatures w14:val="standardContextual"/>
                  </w:rPr>
                </m:ctrlPr>
              </m:radPr>
              <m:deg/>
              <m:e>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e>
            </m:rad>
          </m:den>
        </m:f>
      </m:oMath>
      <w:r w:rsidRPr="00351E9D">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n</m:t>
            </m:r>
          </m:e>
          <m:sub>
            <m:r>
              <m:rPr>
                <m:sty m:val="p"/>
              </m:rPr>
              <w:rPr>
                <w:rFonts w:ascii="Cambria Math" w:eastAsia="等线" w:hAnsi="Cambria Math" w:cs="Times New Roman"/>
                <w:sz w:val="22"/>
                <w:szCs w:val="24"/>
                <w14:ligatures w14:val="standardContextual"/>
              </w:rPr>
              <m:t>ij,A</m:t>
            </m:r>
          </m:sub>
        </m:sSub>
      </m:oMath>
      <w:r w:rsidRPr="00351E9D">
        <w:rPr>
          <w:rFonts w:ascii="Times New Roman" w:eastAsia="宋体" w:hAnsi="Times New Roman" w:cs="Times New Roman"/>
          <w:kern w:val="0"/>
          <w:szCs w:val="21"/>
        </w:rPr>
        <w:t xml:space="preserve"> is the number of A alleles (0, 1, or 2) in individual i at locus j. This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xml:space="preserve"> is a centered and scaled allele count (essentially the genotype standardized to mean 0 and variance 1 under Hardy–Weinberg equilibrium), equivalent to the coding used in VanRaden’s G matrix method</w:t>
      </w:r>
      <w:r w:rsidR="00216A20" w:rsidRPr="00351E9D">
        <w:rPr>
          <w:rFonts w:ascii="Times New Roman" w:eastAsia="宋体" w:hAnsi="Times New Roman" w:cs="Times New Roman" w:hint="eastAsia"/>
          <w:kern w:val="0"/>
          <w:szCs w:val="21"/>
        </w:rPr>
        <w:t xml:space="preserve"> [8]</w:t>
      </w:r>
      <w:r w:rsidRPr="00351E9D">
        <w:rPr>
          <w:rFonts w:ascii="Times New Roman" w:eastAsia="宋体" w:hAnsi="Times New Roman" w:cs="Times New Roman"/>
          <w:kern w:val="0"/>
          <w:szCs w:val="21"/>
        </w:rPr>
        <w:t>. It represents the additive effect of substituting allele A for a.</w:t>
      </w:r>
    </w:p>
    <w:p w14:paraId="1D45AAFE" w14:textId="4D669610" w:rsidR="00C41CA9" w:rsidRPr="00351E9D" w:rsidRDefault="00C41CA9" w:rsidP="00C41CA9">
      <w:pPr>
        <w:widowControl/>
        <w:numPr>
          <w:ilvl w:val="0"/>
          <w:numId w:val="4"/>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Dominance deviation code: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f>
          <m:fPr>
            <m:ctrlPr>
              <w:rPr>
                <w:rFonts w:ascii="Cambria Math" w:eastAsia="等线" w:hAnsi="Cambria Math" w:cs="Times New Roman"/>
                <w:sz w:val="22"/>
                <w:szCs w:val="24"/>
                <w14:ligatures w14:val="standardContextual"/>
              </w:rPr>
            </m:ctrlPr>
          </m:fPr>
          <m:num>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n</m:t>
                </m:r>
              </m:e>
              <m:sub>
                <m:r>
                  <m:rPr>
                    <m:sty m:val="p"/>
                  </m:rPr>
                  <w:rPr>
                    <w:rFonts w:ascii="Cambria Math" w:eastAsia="等线" w:hAnsi="Cambria Math" w:cs="Times New Roman"/>
                    <w:sz w:val="22"/>
                    <w:szCs w:val="24"/>
                    <w14:ligatures w14:val="standardContextual"/>
                  </w:rPr>
                  <m:t>ij,aA</m:t>
                </m:r>
              </m:sub>
            </m:sSub>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num>
          <m:den>
            <m:rad>
              <m:radPr>
                <m:degHide m:val="1"/>
                <m:ctrlPr>
                  <w:rPr>
                    <w:rFonts w:ascii="Cambria Math" w:eastAsia="等线" w:hAnsi="Cambria Math" w:cs="Times New Roman"/>
                    <w:sz w:val="22"/>
                    <w:szCs w:val="24"/>
                    <w14:ligatures w14:val="standardContextual"/>
                  </w:rPr>
                </m:ctrlPr>
              </m:radPr>
              <m:deg/>
              <m:e>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e>
            </m:rad>
          </m:den>
        </m:f>
      </m:oMath>
      <w:r w:rsidRPr="00351E9D">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n</m:t>
            </m:r>
          </m:e>
          <m:sub>
            <m:r>
              <m:rPr>
                <m:sty m:val="p"/>
              </m:rPr>
              <w:rPr>
                <w:rFonts w:ascii="Cambria Math" w:eastAsia="等线" w:hAnsi="Cambria Math" w:cs="Times New Roman"/>
                <w:sz w:val="22"/>
                <w:szCs w:val="24"/>
                <w14:ligatures w14:val="standardContextual"/>
              </w:rPr>
              <m:t>ij,aA</m:t>
            </m:r>
          </m:sub>
        </m:sSub>
      </m:oMath>
      <w:r w:rsidRPr="00351E9D">
        <w:rPr>
          <w:rFonts w:ascii="Times New Roman" w:eastAsia="宋体" w:hAnsi="Times New Roman" w:cs="Times New Roman"/>
          <w:kern w:val="0"/>
          <w:szCs w:val="21"/>
        </w:rPr>
        <w:t xml:space="preserve"> is an indicator for the heterozygous genotype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n</m:t>
            </m:r>
          </m:e>
          <m:sub>
            <m:r>
              <m:rPr>
                <m:sty m:val="p"/>
              </m:rPr>
              <w:rPr>
                <w:rFonts w:ascii="Cambria Math" w:eastAsia="等线" w:hAnsi="Cambria Math" w:cs="Times New Roman"/>
                <w:sz w:val="22"/>
                <w:szCs w:val="24"/>
                <w14:ligatures w14:val="standardContextual"/>
              </w:rPr>
              <m:t>ij,aA</m:t>
            </m:r>
          </m:sub>
        </m:sSub>
        <m:r>
          <m:rPr>
            <m:sty m:val="p"/>
          </m:rPr>
          <w:rPr>
            <w:rFonts w:ascii="Cambria Math" w:eastAsia="等线" w:hAnsi="Cambria Math" w:cs="Times New Roman"/>
            <w:sz w:val="22"/>
            <w:szCs w:val="24"/>
            <w14:ligatures w14:val="standardContextual"/>
          </w:rPr>
          <m:t>=1</m:t>
        </m:r>
      </m:oMath>
      <w:r w:rsidRPr="00351E9D">
        <w:rPr>
          <w:rFonts w:ascii="Times New Roman" w:eastAsia="宋体" w:hAnsi="Times New Roman" w:cs="Times New Roman"/>
          <w:kern w:val="0"/>
          <w:szCs w:val="21"/>
        </w:rPr>
        <w:t xml:space="preserve"> if genotype is Aa, otherwise 0). This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xml:space="preserve"> measures the dominance deviation (i.e. how much the heterozygote deviates from the mid-point of the two homozygotes), also centered and scaled. Under random mating (Hardy–Weinberg), </w:t>
      </w:r>
      <m:oMath>
        <m:r>
          <m:rPr>
            <m:sty m:val="p"/>
          </m:rPr>
          <w:rPr>
            <w:rFonts w:ascii="Cambria Math" w:eastAsia="等线" w:hAnsi="Cambria Math" w:cs="Times New Roman"/>
            <w:sz w:val="22"/>
            <w:szCs w:val="24"/>
            <w14:ligatures w14:val="standardContextual"/>
          </w:rPr>
          <m:t>E[</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]=0</m:t>
        </m:r>
      </m:oMath>
      <w:r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)=0</m:t>
        </m:r>
      </m:oMath>
      <w:r w:rsidRPr="00351E9D">
        <w:rPr>
          <w:rFonts w:ascii="Times New Roman" w:eastAsia="宋体" w:hAnsi="Times New Roman" w:cs="Times New Roman"/>
          <w:kern w:val="0"/>
          <w:szCs w:val="21"/>
        </w:rPr>
        <w:t xml:space="preserve"> in the population</w:t>
      </w:r>
      <w:r w:rsidR="008D71CA" w:rsidRPr="00351E9D">
        <w:rPr>
          <w:rFonts w:ascii="Times New Roman" w:eastAsia="宋体" w:hAnsi="Times New Roman" w:cs="Times New Roman" w:hint="eastAsia"/>
          <w:kern w:val="0"/>
          <w:szCs w:val="21"/>
        </w:rPr>
        <w:t xml:space="preserve"> [4]</w:t>
      </w:r>
      <w:r w:rsidRPr="00351E9D">
        <w:rPr>
          <w:rFonts w:ascii="Times New Roman" w:eastAsia="宋体" w:hAnsi="Times New Roman" w:cs="Times New Roman"/>
          <w:kern w:val="0"/>
          <w:szCs w:val="21"/>
        </w:rPr>
        <w:t xml:space="preserve">. Notably, both encodings depend on the current allele frequency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by updating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each generation, the codes remain valid even as frequencies change (and even if the population deviates from HWE due to selection or inbreeding).</w:t>
      </w:r>
    </w:p>
    <w:p w14:paraId="14BD9E54"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Using these genotype encodings, we constructed genomic covariance (relationship) matrices as follows:</w:t>
      </w:r>
    </w:p>
    <w:p w14:paraId="496FBE01" w14:textId="09247B4A" w:rsidR="00C41CA9" w:rsidRPr="00351E9D" w:rsidRDefault="00C41CA9" w:rsidP="00C41CA9">
      <w:pPr>
        <w:widowControl/>
        <w:numPr>
          <w:ilvl w:val="0"/>
          <w:numId w:val="5"/>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Additive relationship matrix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Let X be the </w:t>
      </w:r>
      <m:oMath>
        <m:r>
          <m:rPr>
            <m:sty m:val="p"/>
          </m:rPr>
          <w:rPr>
            <w:rFonts w:ascii="Cambria Math" w:eastAsia="等线" w:hAnsi="Cambria Math" w:cs="Times New Roman"/>
            <w:sz w:val="22"/>
            <w:szCs w:val="24"/>
            <w14:ligatures w14:val="standardContextual"/>
          </w:rPr>
          <m:t>N×M</m:t>
        </m:r>
      </m:oMath>
      <w:r w:rsidRPr="00351E9D">
        <w:rPr>
          <w:rFonts w:ascii="Times New Roman" w:eastAsia="宋体" w:hAnsi="Times New Roman" w:cs="Times New Roman"/>
          <w:kern w:val="0"/>
          <w:szCs w:val="21"/>
        </w:rPr>
        <w:t xml:space="preserve"> matrix of standardized additive genotypes, with entries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Following VanRaden</w:t>
      </w:r>
      <w:r w:rsidR="0046355D" w:rsidRPr="00351E9D">
        <w:rPr>
          <w:rFonts w:ascii="Times New Roman" w:eastAsia="宋体" w:hAnsi="Times New Roman" w:cs="Times New Roman" w:hint="eastAsia"/>
          <w:kern w:val="0"/>
          <w:szCs w:val="21"/>
        </w:rPr>
        <w:t xml:space="preserve"> [8]</w:t>
      </w:r>
      <w:r w:rsidRPr="00351E9D">
        <w:rPr>
          <w:rFonts w:ascii="Times New Roman" w:eastAsia="宋体" w:hAnsi="Times New Roman" w:cs="Times New Roman"/>
          <w:kern w:val="0"/>
          <w:szCs w:val="21"/>
        </w:rPr>
        <w:t xml:space="preserve">, we compute </w:t>
      </w:r>
      <m:oMath>
        <m:r>
          <m:rPr>
            <m:sty m:val="p"/>
          </m:rPr>
          <w:rPr>
            <w:rFonts w:ascii="Cambria Math" w:eastAsia="等线" w:hAnsi="Cambria Math" w:cs="Times New Roman"/>
            <w:sz w:val="22"/>
            <w:szCs w:val="24"/>
            <w14:ligatures w14:val="standardContextual"/>
          </w:rPr>
          <m:t>G=</m:t>
        </m:r>
        <m:f>
          <m:fPr>
            <m:ctrlPr>
              <w:rPr>
                <w:rFonts w:ascii="Cambria Math" w:eastAsia="等线" w:hAnsi="Cambria Math" w:cs="Times New Roman"/>
                <w:sz w:val="22"/>
                <w:szCs w:val="24"/>
                <w14:ligatures w14:val="standardContextual"/>
              </w:rPr>
            </m:ctrlPr>
          </m:fPr>
          <m:num>
            <m:r>
              <m:rPr>
                <m:sty m:val="p"/>
              </m:rPr>
              <w:rPr>
                <w:rFonts w:ascii="Cambria Math" w:eastAsia="等线" w:hAnsi="Cambria Math" w:cs="Times New Roman"/>
                <w:sz w:val="22"/>
                <w:szCs w:val="24"/>
                <w14:ligatures w14:val="standardContextual"/>
              </w:rPr>
              <m:t>1</m:t>
            </m:r>
          </m:num>
          <m:den>
            <m:nary>
              <m:naryPr>
                <m:chr m:val="∑"/>
                <m:limLoc m:val="undOvr"/>
                <m:grow m:val="1"/>
                <m:supHide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j</m:t>
                </m:r>
              </m:sub>
              <m:sup/>
              <m:e>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e>
            </m:nary>
          </m:den>
        </m:f>
        <m:r>
          <m:rPr>
            <m:sty m:val="p"/>
          </m:rPr>
          <w:rPr>
            <w:rFonts w:ascii="Cambria Math" w:eastAsia="等线" w:hAnsi="Cambria Math" w:cs="Times New Roman"/>
            <w:sz w:val="22"/>
            <w:szCs w:val="24"/>
            <w14:ligatures w14:val="standardContextual"/>
          </w:rPr>
          <m:t>X</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X</m:t>
            </m:r>
          </m:e>
          <m:sup>
            <m:r>
              <m:rPr>
                <m:sty m:val="p"/>
              </m:rPr>
              <w:rPr>
                <w:rFonts w:ascii="Cambria Math" w:eastAsia="等线" w:hAnsi="Cambria Math" w:cs="Times New Roman"/>
                <w:sz w:val="22"/>
                <w:szCs w:val="24"/>
                <w14:ligatures w14:val="standardContextual"/>
              </w:rPr>
              <m:t>'</m:t>
            </m:r>
          </m:sup>
        </m:sSup>
      </m:oMath>
      <w:r w:rsidRPr="00351E9D">
        <w:rPr>
          <w:rFonts w:ascii="Times New Roman" w:eastAsia="宋体" w:hAnsi="Times New Roman" w:cs="Times New Roman"/>
          <w:kern w:val="0"/>
          <w:szCs w:val="21"/>
        </w:rPr>
        <w:t xml:space="preserve">, which yields an </w:t>
      </w:r>
      <m:oMath>
        <m:r>
          <m:rPr>
            <m:sty m:val="p"/>
          </m:rPr>
          <w:rPr>
            <w:rFonts w:ascii="Cambria Math" w:eastAsia="等线" w:hAnsi="Cambria Math" w:cs="Times New Roman"/>
            <w:sz w:val="22"/>
            <w:szCs w:val="24"/>
            <w14:ligatures w14:val="standardContextual"/>
          </w:rPr>
          <m:t>N×N</m:t>
        </m:r>
      </m:oMath>
      <w:r w:rsidRPr="00351E9D">
        <w:rPr>
          <w:rFonts w:ascii="Times New Roman" w:eastAsia="宋体" w:hAnsi="Times New Roman" w:cs="Times New Roman"/>
          <w:kern w:val="0"/>
          <w:szCs w:val="21"/>
        </w:rPr>
        <w:t xml:space="preserve"> relationship matrix analogous to a pedigree-based kinship matrix. Each off-diagonal element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ik</m:t>
            </m:r>
          </m:sub>
        </m:sSub>
      </m:oMath>
      <w:r w:rsidRPr="00351E9D">
        <w:rPr>
          <w:rFonts w:ascii="Times New Roman" w:eastAsia="宋体" w:hAnsi="Times New Roman" w:cs="Times New Roman"/>
          <w:kern w:val="0"/>
          <w:szCs w:val="21"/>
        </w:rPr>
        <w:t xml:space="preserve"> estimates the genetic covariance (additive) between individuals i and k based on genome-wide SNP sharing.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is updated each generation using that generation’s allele frequencies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By construction, </w:t>
      </w:r>
      <m:oMath>
        <m:r>
          <m:rPr>
            <m:sty m:val="p"/>
          </m:rPr>
          <w:rPr>
            <w:rFonts w:ascii="Cambria Math" w:eastAsia="等线" w:hAnsi="Cambria Math" w:cs="Times New Roman"/>
            <w:sz w:val="22"/>
            <w:szCs w:val="24"/>
            <w14:ligatures w14:val="standardContextual"/>
          </w:rPr>
          <m:t>Var(</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k</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ik</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 xml:space="preserve"> is the additive genetic value of individual i.</w:t>
      </w:r>
    </w:p>
    <w:p w14:paraId="5ED8FCC3" w14:textId="4FE32B7B" w:rsidR="00C41CA9" w:rsidRPr="00351E9D" w:rsidRDefault="00C41CA9" w:rsidP="00C41CA9">
      <w:pPr>
        <w:widowControl/>
        <w:numPr>
          <w:ilvl w:val="0"/>
          <w:numId w:val="5"/>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Dominance relationship matrix (</w:t>
      </w:r>
      <m:oMath>
        <m:r>
          <m:rPr>
            <m:sty m:val="p"/>
          </m:rPr>
          <w:rPr>
            <w:rFonts w:ascii="Cambria Math" w:eastAsia="等线" w:hAnsi="Cambria Math" w:cs="Times New Roman"/>
            <w:sz w:val="22"/>
            <w:szCs w:val="24"/>
            <w14:ligatures w14:val="standardContextual"/>
          </w:rPr>
          <m:t>D</m:t>
        </m:r>
      </m:oMath>
      <w:r w:rsidRPr="00351E9D">
        <w:rPr>
          <w:rFonts w:ascii="Times New Roman" w:eastAsia="宋体" w:hAnsi="Times New Roman" w:cs="Times New Roman"/>
          <w:kern w:val="0"/>
          <w:szCs w:val="21"/>
        </w:rPr>
        <w:t xml:space="preserve">): Similarly, let Z be the matrix of dominance genotype codes, with entries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ij</m:t>
            </m:r>
          </m:sub>
        </m:sSub>
      </m:oMath>
      <w:r w:rsidRPr="00351E9D">
        <w:rPr>
          <w:rFonts w:ascii="Times New Roman" w:eastAsia="宋体" w:hAnsi="Times New Roman" w:cs="Times New Roman"/>
          <w:kern w:val="0"/>
          <w:szCs w:val="21"/>
        </w:rPr>
        <w:t xml:space="preserve">. We compute </w:t>
      </w:r>
      <m:oMath>
        <m:r>
          <m:rPr>
            <m:sty m:val="p"/>
          </m:rPr>
          <w:rPr>
            <w:rFonts w:ascii="Cambria Math" w:eastAsia="等线" w:hAnsi="Cambria Math" w:cs="Times New Roman"/>
            <w:sz w:val="22"/>
            <w:szCs w:val="24"/>
            <w14:ligatures w14:val="standardContextual"/>
          </w:rPr>
          <m:t>D</m:t>
        </m:r>
        <w:bookmarkStart w:id="6" w:name="_Hlk204164528"/>
        <m:r>
          <m:rPr>
            <m:sty m:val="p"/>
          </m:rPr>
          <w:rPr>
            <w:rFonts w:ascii="Cambria Math" w:eastAsia="等线" w:hAnsi="Cambria Math" w:cs="Times New Roman"/>
            <w:sz w:val="22"/>
            <w:szCs w:val="24"/>
            <w14:ligatures w14:val="standardContextual"/>
          </w:rPr>
          <m:t>=</m:t>
        </m:r>
        <m:f>
          <m:fPr>
            <m:ctrlPr>
              <w:rPr>
                <w:rFonts w:ascii="Cambria Math" w:eastAsia="等线" w:hAnsi="Cambria Math" w:cs="Times New Roman"/>
                <w:sz w:val="22"/>
                <w:szCs w:val="24"/>
                <w14:ligatures w14:val="standardContextual"/>
              </w:rPr>
            </m:ctrlPr>
          </m:fPr>
          <m:num>
            <m:r>
              <m:rPr>
                <m:sty m:val="p"/>
              </m:rPr>
              <w:rPr>
                <w:rFonts w:ascii="Cambria Math" w:eastAsia="等线" w:hAnsi="Cambria Math" w:cs="Times New Roman"/>
                <w:sz w:val="22"/>
                <w:szCs w:val="24"/>
                <w14:ligatures w14:val="standardContextual"/>
              </w:rPr>
              <m:t>1</m:t>
            </m:r>
          </m:num>
          <m:den>
            <m:nary>
              <m:naryPr>
                <m:chr m:val="∑"/>
                <m:limLoc m:val="undOvr"/>
                <m:grow m:val="1"/>
                <m:supHide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j</m:t>
                </m:r>
              </m:sub>
              <m:sup/>
              <m:e>
                <m:r>
                  <m:rPr>
                    <m:sty m:val="p"/>
                  </m:rP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e>
            </m:nary>
          </m:den>
        </m:f>
        <m:r>
          <m:rPr>
            <m:sty m:val="p"/>
          </m:rPr>
          <w:rPr>
            <w:rFonts w:ascii="Cambria Math" w:eastAsia="等线" w:hAnsi="Cambria Math" w:cs="Times New Roman"/>
            <w:sz w:val="22"/>
            <w:szCs w:val="24"/>
            <w14:ligatures w14:val="standardContextual"/>
          </w:rPr>
          <m:t>Z</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Z</m:t>
            </m:r>
          </m:e>
          <m:sup>
            <m:r>
              <m:rPr>
                <m:sty m:val="p"/>
              </m:rPr>
              <w:rPr>
                <w:rFonts w:ascii="Cambria Math" w:eastAsia="等线" w:hAnsi="Cambria Math" w:cs="Times New Roman"/>
                <w:sz w:val="22"/>
                <w:szCs w:val="24"/>
                <w14:ligatures w14:val="standardContextual"/>
              </w:rPr>
              <m:t>'</m:t>
            </m:r>
          </m:sup>
        </m:sSup>
      </m:oMath>
      <w:bookmarkEnd w:id="6"/>
      <w:r w:rsidRPr="00351E9D">
        <w:rPr>
          <w:rFonts w:ascii="Times New Roman" w:eastAsia="宋体" w:hAnsi="Times New Roman" w:cs="Times New Roman"/>
          <w:kern w:val="0"/>
          <w:szCs w:val="21"/>
        </w:rPr>
        <w:t>. This yields a relationship matrix for dominance deviations</w:t>
      </w:r>
      <w:r w:rsidR="00150C36"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xml:space="preserve">. The element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ik</m:t>
            </m:r>
          </m:sub>
        </m:sSub>
      </m:oMath>
      <w:r w:rsidRPr="00351E9D">
        <w:rPr>
          <w:rFonts w:ascii="Times New Roman" w:eastAsia="宋体" w:hAnsi="Times New Roman" w:cs="Times New Roman"/>
          <w:kern w:val="0"/>
          <w:szCs w:val="21"/>
        </w:rPr>
        <w:t xml:space="preserve"> reflects the covariance between dominance effects of individuals i and k, primarily driven by how often they share heterozygosity at the same loci (beyond expectations from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We update </w:t>
      </w:r>
      <m:oMath>
        <m:r>
          <m:rPr>
            <m:sty m:val="p"/>
          </m:rPr>
          <w:rPr>
            <w:rFonts w:ascii="Cambria Math" w:eastAsia="等线" w:hAnsi="Cambria Math" w:cs="Times New Roman"/>
            <w:sz w:val="22"/>
            <w:szCs w:val="24"/>
            <w14:ligatures w14:val="standardContextual"/>
          </w:rPr>
          <m:t>D</m:t>
        </m:r>
      </m:oMath>
      <w:r w:rsidRPr="00351E9D">
        <w:rPr>
          <w:rFonts w:ascii="Times New Roman" w:eastAsia="宋体" w:hAnsi="Times New Roman" w:cs="Times New Roman"/>
          <w:kern w:val="0"/>
          <w:szCs w:val="21"/>
        </w:rPr>
        <w:t xml:space="preserve"> each generation as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p</m:t>
            </m:r>
          </m:e>
          <m:sub>
            <m:r>
              <m:rPr>
                <m:sty m:val="p"/>
              </m:rPr>
              <w:rPr>
                <w:rFonts w:ascii="Cambria Math" w:eastAsia="等线" w:hAnsi="Cambria Math" w:cs="Times New Roman"/>
                <w:sz w:val="22"/>
                <w:szCs w:val="24"/>
                <w14:ligatures w14:val="standardContextual"/>
              </w:rPr>
              <m:t>j</m:t>
            </m:r>
          </m:sub>
        </m:sSub>
      </m:oMath>
      <w:r w:rsidRPr="00351E9D">
        <w:rPr>
          <w:rFonts w:ascii="Times New Roman" w:eastAsia="宋体" w:hAnsi="Times New Roman" w:cs="Times New Roman"/>
          <w:kern w:val="0"/>
          <w:szCs w:val="21"/>
        </w:rPr>
        <w:t xml:space="preserve"> changes.</w:t>
      </w:r>
    </w:p>
    <w:p w14:paraId="45659ADC" w14:textId="00A17D98" w:rsidR="00C41CA9" w:rsidRPr="00351E9D" w:rsidRDefault="00C41CA9" w:rsidP="00C41CA9">
      <w:pPr>
        <w:widowControl/>
        <w:numPr>
          <w:ilvl w:val="0"/>
          <w:numId w:val="5"/>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Epistatic relationship matrices: For each type of pairwise interaction, we can derive a covariance kernel without explicitly enumerating all SNP pairs, by using element-wise (Hadamard) products of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D</m:t>
        </m:r>
      </m:oMath>
      <w:r w:rsidRPr="00351E9D">
        <w:rPr>
          <w:rFonts w:ascii="Times New Roman" w:eastAsia="宋体" w:hAnsi="Times New Roman" w:cs="Times New Roman"/>
          <w:kern w:val="0"/>
          <w:szCs w:val="21"/>
        </w:rPr>
        <w:t>. Vitezica et al.</w:t>
      </w:r>
      <w:r w:rsidR="00933458"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xml:space="preserve"> showed that the genomic relationship matrix for additive-by-additive epistasis can be obtained as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r>
          <m:rPr>
            <m:sty m:val="p"/>
          </m:rPr>
          <w:rPr>
            <w:rFonts w:ascii="Cambria Math" w:eastAsia="等线" w:hAnsi="Cambria Math" w:cs="Times New Roman"/>
            <w:sz w:val="22"/>
            <w:szCs w:val="24"/>
            <w14:ligatures w14:val="standardContextual"/>
          </w:rPr>
          <m:t>=G∘G</m:t>
        </m:r>
      </m:oMath>
      <w:r w:rsidRPr="00351E9D">
        <w:rPr>
          <w:rFonts w:ascii="Times New Roman" w:eastAsia="宋体" w:hAnsi="Times New Roman" w:cs="Times New Roman"/>
          <w:kern w:val="0"/>
          <w:szCs w:val="21"/>
        </w:rPr>
        <w:t xml:space="preserve"> (where </w:t>
      </w:r>
      <m:oMath>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w:t>
      </w:r>
      <w:r w:rsidRPr="00351E9D">
        <w:rPr>
          <w:rFonts w:ascii="Times New Roman" w:eastAsia="宋体" w:hAnsi="Times New Roman" w:cs="Times New Roman"/>
          <w:kern w:val="0"/>
          <w:szCs w:val="21"/>
        </w:rPr>
        <w:lastRenderedPageBreak/>
        <w:t xml:space="preserve">denotes element-wise multiplication). Intuitively, </w:t>
      </w:r>
      <m:oMath>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m:t>
            </m:r>
          </m:e>
          <m:sub>
            <m:r>
              <m:rPr>
                <m:sty m:val="p"/>
              </m:rPr>
              <w:rPr>
                <w:rFonts w:ascii="Cambria Math" w:eastAsia="等线" w:hAnsi="Cambria Math" w:cs="Times New Roman"/>
                <w:sz w:val="22"/>
                <w:szCs w:val="24"/>
                <w14:ligatures w14:val="standardContextual"/>
              </w:rPr>
              <m:t>ik</m:t>
            </m:r>
          </m:sub>
        </m:sSub>
      </m:oMath>
      <w:r w:rsidRPr="00351E9D">
        <w:rPr>
          <w:rFonts w:ascii="Times New Roman" w:eastAsia="宋体" w:hAnsi="Times New Roman" w:cs="Times New Roman"/>
          <w:kern w:val="0"/>
          <w:szCs w:val="21"/>
        </w:rPr>
        <w:t xml:space="preserve"> measures the covariance between the epistatic (A×A) genetic components of individuals i and k. Similarly, we can define:</w:t>
      </w:r>
    </w:p>
    <w:p w14:paraId="65F2B17A" w14:textId="1A88F3AE" w:rsidR="00C41CA9" w:rsidRPr="00351E9D" w:rsidRDefault="00000000" w:rsidP="00C41CA9">
      <w:pPr>
        <w:widowControl/>
        <w:numPr>
          <w:ilvl w:val="1"/>
          <w:numId w:val="5"/>
        </w:numPr>
        <w:spacing w:before="100" w:beforeAutospacing="1" w:after="100" w:afterAutospacing="1"/>
        <w:rPr>
          <w:rFonts w:ascii="Times New Roman" w:eastAsia="宋体" w:hAnsi="Times New Roman" w:cs="Times New Roman"/>
          <w:kern w:val="0"/>
          <w:szCs w:val="21"/>
        </w:rPr>
      </w:pP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AD</m:t>
            </m:r>
          </m:sub>
        </m:sSub>
        <m:r>
          <m:rPr>
            <m:sty m:val="p"/>
          </m:rPr>
          <w:rPr>
            <w:rFonts w:ascii="Cambria Math" w:eastAsia="等线" w:hAnsi="Cambria Math" w:cs="Times New Roman"/>
            <w:sz w:val="22"/>
            <w:szCs w:val="24"/>
            <w14:ligatures w14:val="standardContextual"/>
          </w:rPr>
          <m:t>=G∘D</m:t>
        </m:r>
      </m:oMath>
      <w:r w:rsidR="00C41CA9" w:rsidRPr="00351E9D">
        <w:rPr>
          <w:rFonts w:ascii="Times New Roman" w:eastAsia="宋体" w:hAnsi="Times New Roman" w:cs="Times New Roman"/>
          <w:kern w:val="0"/>
          <w:szCs w:val="21"/>
        </w:rPr>
        <w:t xml:space="preserve"> for additive-by-dominance interactions,</w:t>
      </w:r>
    </w:p>
    <w:p w14:paraId="2A8F8112" w14:textId="64F0BC59" w:rsidR="00C41CA9" w:rsidRPr="00351E9D" w:rsidRDefault="00000000" w:rsidP="00C41CA9">
      <w:pPr>
        <w:widowControl/>
        <w:numPr>
          <w:ilvl w:val="1"/>
          <w:numId w:val="5"/>
        </w:numPr>
        <w:spacing w:before="100" w:beforeAutospacing="1" w:after="100" w:afterAutospacing="1"/>
        <w:rPr>
          <w:rFonts w:ascii="Times New Roman" w:eastAsia="宋体" w:hAnsi="Times New Roman" w:cs="Times New Roman"/>
          <w:kern w:val="0"/>
          <w:szCs w:val="21"/>
        </w:rPr>
      </w:pP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DD</m:t>
            </m:r>
          </m:sub>
        </m:sSub>
        <m:r>
          <m:rPr>
            <m:sty m:val="p"/>
          </m:rPr>
          <w:rPr>
            <w:rFonts w:ascii="Cambria Math" w:eastAsia="等线" w:hAnsi="Cambria Math" w:cs="Times New Roman"/>
            <w:sz w:val="22"/>
            <w:szCs w:val="24"/>
            <w14:ligatures w14:val="standardContextual"/>
          </w:rPr>
          <m:t>=D∘D</m:t>
        </m:r>
      </m:oMath>
      <w:r w:rsidR="00C41CA9" w:rsidRPr="00351E9D">
        <w:rPr>
          <w:rFonts w:ascii="Times New Roman" w:eastAsia="宋体" w:hAnsi="Times New Roman" w:cs="Times New Roman"/>
          <w:kern w:val="0"/>
          <w:szCs w:val="21"/>
        </w:rPr>
        <w:t xml:space="preserve"> for dominance-by-dominance interactions.</w:t>
      </w:r>
      <w:r w:rsidR="00C41CA9" w:rsidRPr="00351E9D">
        <w:rPr>
          <w:rFonts w:ascii="Times New Roman" w:eastAsia="宋体" w:hAnsi="Times New Roman" w:cs="Times New Roman"/>
          <w:kern w:val="0"/>
          <w:szCs w:val="21"/>
        </w:rPr>
        <w:br/>
        <w:t xml:space="preserve">Each of these </w:t>
      </w:r>
      <m:oMath>
        <m:r>
          <m:rPr>
            <m:sty m:val="p"/>
          </m:rPr>
          <w:rPr>
            <w:rFonts w:ascii="Cambria Math" w:eastAsia="等线" w:hAnsi="Cambria Math" w:cs="Times New Roman"/>
            <w:sz w:val="22"/>
            <w:szCs w:val="24"/>
            <w14:ligatures w14:val="standardContextual"/>
          </w:rPr>
          <m:t>N×N</m:t>
        </m:r>
      </m:oMath>
      <w:r w:rsidR="00C41CA9" w:rsidRPr="00351E9D">
        <w:rPr>
          <w:rFonts w:ascii="Times New Roman" w:eastAsia="宋体" w:hAnsi="Times New Roman" w:cs="Times New Roman"/>
          <w:kern w:val="0"/>
          <w:szCs w:val="21"/>
        </w:rPr>
        <w:t xml:space="preserve"> matrices </w:t>
      </w:r>
      <w:proofErr w:type="gramStart"/>
      <w:r w:rsidR="00C41CA9" w:rsidRPr="00351E9D">
        <w:rPr>
          <w:rFonts w:ascii="Times New Roman" w:eastAsia="宋体" w:hAnsi="Times New Roman" w:cs="Times New Roman"/>
          <w:kern w:val="0"/>
          <w:szCs w:val="21"/>
        </w:rPr>
        <w:t>is</w:t>
      </w:r>
      <w:proofErr w:type="gramEnd"/>
      <w:r w:rsidR="00C41CA9" w:rsidRPr="00351E9D">
        <w:rPr>
          <w:rFonts w:ascii="Times New Roman" w:eastAsia="宋体" w:hAnsi="Times New Roman" w:cs="Times New Roman"/>
          <w:kern w:val="0"/>
          <w:szCs w:val="21"/>
        </w:rPr>
        <w:t xml:space="preserve"> then scaled to have the appropriate trace (so that their diagonal elements equal 1 on average, matching the variance normalization of corresponding effects). Because the NOIA coding yields orthogonal components within a generation (i.e. additive and dominance effects uncorrelated at the population level), the resulting matrices </w:t>
      </w:r>
      <m:oMath>
        <m:r>
          <m:rPr>
            <m:sty m:val="p"/>
          </m:rPr>
          <w:rPr>
            <w:rFonts w:ascii="Cambria Math" w:eastAsia="等线" w:hAnsi="Cambria Math" w:cs="Times New Roman"/>
            <w:sz w:val="22"/>
            <w:szCs w:val="24"/>
            <w14:ligatures w14:val="standardContextual"/>
          </w:rPr>
          <m:t>G</m:t>
        </m:r>
      </m:oMath>
      <w:r w:rsidR="00C41CA9" w:rsidRPr="00351E9D">
        <w:rPr>
          <w:rFonts w:ascii="Times New Roman" w:eastAsia="宋体" w:hAnsi="Times New Roman" w:cs="Times New Roman"/>
          <w:kern w:val="0"/>
          <w:szCs w:val="21"/>
        </w:rPr>
        <w:t xml:space="preserve">, </w:t>
      </w:r>
      <m:oMath>
        <m:r>
          <m:rPr>
            <m:sty m:val="p"/>
          </m:rPr>
          <w:rPr>
            <w:rFonts w:ascii="Cambria Math" w:eastAsia="等线" w:hAnsi="Cambria Math" w:cs="Times New Roman"/>
            <w:sz w:val="22"/>
            <w:szCs w:val="24"/>
            <w14:ligatures w14:val="standardContextual"/>
          </w:rPr>
          <m:t>D</m:t>
        </m:r>
      </m:oMath>
      <w:r w:rsidR="00C41CA9" w:rsidRPr="00351E9D">
        <w:rPr>
          <w:rFonts w:ascii="Times New Roman" w:eastAsia="宋体" w:hAnsi="Times New Roman" w:cs="Times New Roman"/>
          <w:kern w:val="0"/>
          <w:szCs w:val="21"/>
        </w:rPr>
        <w:t>, and the epistatic kernels are also approximately orthogonal to each other</w:t>
      </w:r>
      <w:r w:rsidR="00B00E1C" w:rsidRPr="00351E9D">
        <w:rPr>
          <w:rFonts w:ascii="Times New Roman" w:eastAsia="宋体" w:hAnsi="Times New Roman" w:cs="Times New Roman" w:hint="eastAsia"/>
          <w:kern w:val="0"/>
          <w:szCs w:val="21"/>
        </w:rPr>
        <w:t xml:space="preserve"> [5]</w:t>
      </w:r>
      <w:r w:rsidR="00C41CA9" w:rsidRPr="00351E9D">
        <w:rPr>
          <w:rFonts w:ascii="Times New Roman" w:eastAsia="宋体" w:hAnsi="Times New Roman" w:cs="Times New Roman"/>
          <w:kern w:val="0"/>
          <w:szCs w:val="21"/>
        </w:rPr>
        <w:t xml:space="preserve">. This means that, for example, additive and epistatic effects can be estimated independently without statistical confounding. Notably, constructing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oMath>
      <w:r w:rsidR="00C41CA9" w:rsidRPr="00351E9D">
        <w:rPr>
          <w:rFonts w:ascii="Times New Roman" w:eastAsia="宋体" w:hAnsi="Times New Roman" w:cs="Times New Roman"/>
          <w:kern w:val="0"/>
          <w:szCs w:val="21"/>
        </w:rPr>
        <w:t xml:space="preserve"> via </w:t>
      </w:r>
      <m:oMath>
        <m:r>
          <m:rPr>
            <m:sty m:val="p"/>
          </m:rPr>
          <w:rPr>
            <w:rFonts w:ascii="Cambria Math" w:eastAsia="等线" w:hAnsi="Cambria Math" w:cs="Times New Roman"/>
            <w:sz w:val="22"/>
            <w:szCs w:val="24"/>
            <w14:ligatures w14:val="standardContextual"/>
          </w:rPr>
          <m:t>G∘G</m:t>
        </m:r>
      </m:oMath>
      <w:r w:rsidR="00C41CA9" w:rsidRPr="00351E9D">
        <w:rPr>
          <w:rFonts w:ascii="Times New Roman" w:eastAsia="宋体" w:hAnsi="Times New Roman" w:cs="Times New Roman"/>
          <w:kern w:val="0"/>
          <w:szCs w:val="21"/>
        </w:rPr>
        <w:t xml:space="preserve"> is computationally efficient (</w:t>
      </w:r>
      <m:oMath>
        <m:r>
          <m:rPr>
            <m:sty m:val="p"/>
          </m:rPr>
          <w:rPr>
            <w:rFonts w:ascii="Cambria Math" w:eastAsia="等线" w:hAnsi="Cambria Math" w:cs="Times New Roman"/>
            <w:sz w:val="22"/>
            <w:szCs w:val="24"/>
            <w14:ligatures w14:val="standardContextual"/>
          </w:rPr>
          <m:t>O(</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N</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m:t>
        </m:r>
      </m:oMath>
      <w:r w:rsidR="00C41CA9" w:rsidRPr="00351E9D">
        <w:rPr>
          <w:rFonts w:ascii="Times New Roman" w:eastAsia="宋体" w:hAnsi="Times New Roman" w:cs="Times New Roman"/>
          <w:kern w:val="0"/>
          <w:szCs w:val="21"/>
        </w:rPr>
        <w:t xml:space="preserve"> operations for N individuals) compared to explicitly enumerating all SNP pairs (which would be </w:t>
      </w:r>
      <m:oMath>
        <m:r>
          <m:rPr>
            <m:sty m:val="p"/>
          </m:rPr>
          <w:rPr>
            <w:rFonts w:ascii="Cambria Math" w:eastAsia="等线" w:hAnsi="Cambria Math" w:cs="Times New Roman"/>
            <w:sz w:val="22"/>
            <w:szCs w:val="24"/>
            <w14:ligatures w14:val="standardContextual"/>
          </w:rPr>
          <m:t>O(</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M</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m:t>
        </m:r>
      </m:oMath>
      <w:r w:rsidR="00C41CA9" w:rsidRPr="00351E9D">
        <w:rPr>
          <w:rFonts w:ascii="Times New Roman" w:eastAsia="宋体" w:hAnsi="Times New Roman" w:cs="Times New Roman"/>
          <w:kern w:val="0"/>
          <w:szCs w:val="21"/>
        </w:rPr>
        <w:t xml:space="preserve"> for M markers, intractable for large M). This use of Hadamard products is central to the scalability of our method. We recompute these epistatic GRMs each generation using the current </w:t>
      </w:r>
      <m:oMath>
        <m:r>
          <m:rPr>
            <m:sty m:val="p"/>
          </m:rPr>
          <w:rPr>
            <w:rFonts w:ascii="Cambria Math" w:eastAsia="等线" w:hAnsi="Cambria Math" w:cs="Times New Roman"/>
            <w:sz w:val="22"/>
            <w:szCs w:val="24"/>
            <w14:ligatures w14:val="standardContextual"/>
          </w:rPr>
          <m:t>G</m:t>
        </m:r>
      </m:oMath>
      <w:r w:rsidR="00C41CA9"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D</m:t>
        </m:r>
      </m:oMath>
      <w:r w:rsidR="00C41CA9" w:rsidRPr="00351E9D">
        <w:rPr>
          <w:rFonts w:ascii="Times New Roman" w:eastAsia="宋体" w:hAnsi="Times New Roman" w:cs="Times New Roman"/>
          <w:kern w:val="0"/>
          <w:szCs w:val="21"/>
        </w:rPr>
        <w:t>, so that they reflect the prevailing linkage disequilibrium and allele frequencies.</w:t>
      </w:r>
    </w:p>
    <w:p w14:paraId="5E574AA8" w14:textId="0563CFFD" w:rsidR="00C41CA9" w:rsidRPr="00351E9D" w:rsidRDefault="00C41CA9" w:rsidP="00C41CA9">
      <w:pPr>
        <w:widowControl/>
        <w:numPr>
          <w:ilvl w:val="0"/>
          <w:numId w:val="5"/>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Genotype-by-Environment (G×E) covariance: To model G×E via a reaction norm, we extended the additive GRM to a multivariate (environment-dependent) context. Each individual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has a genetic intercept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oMath>
      <w:r w:rsidRPr="00351E9D">
        <w:rPr>
          <w:rFonts w:ascii="Times New Roman" w:eastAsia="宋体" w:hAnsi="Times New Roman" w:cs="Times New Roman"/>
          <w:kern w:val="0"/>
          <w:szCs w:val="21"/>
        </w:rPr>
        <w:t xml:space="preserve"> (baseline genetic merit) and a genetic slope </w:t>
      </w:r>
      <w:bookmarkStart w:id="7" w:name="_Hlk204180844"/>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oMath>
      <w:bookmarkEnd w:id="7"/>
      <w:r w:rsidRPr="00351E9D">
        <w:rPr>
          <w:rFonts w:ascii="Times New Roman" w:eastAsia="宋体" w:hAnsi="Times New Roman" w:cs="Times New Roman"/>
          <w:kern w:val="0"/>
          <w:szCs w:val="21"/>
        </w:rPr>
        <w:t xml:space="preserve"> (sensitivity to the environment E). We assume</w:t>
      </w:r>
      <m:oMath>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follows a bivariate normal distribution with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j0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g0</m:t>
            </m:r>
          </m:sub>
          <m:sup>
            <m:r>
              <m:rPr>
                <m:sty m:val="p"/>
              </m:rPr>
              <w:rPr>
                <w:rFonts w:ascii="Cambria Math" w:eastAsia="等线" w:hAnsi="Cambria Math" w:cs="Times New Roman"/>
                <w:sz w:val="22"/>
                <w:szCs w:val="24"/>
                <w14:ligatures w14:val="standardContextual"/>
              </w:rPr>
              <m:t>2</m:t>
            </m:r>
          </m:sup>
        </m:sSubSup>
      </m:oMath>
      <w:r w:rsidR="00F534DA" w:rsidRPr="00351E9D">
        <w:rPr>
          <w:rFonts w:ascii="Times New Roman" w:eastAsia="宋体" w:hAnsi="Times New Roman" w:cs="Times New Roman" w:hint="eastAsia"/>
          <w:kern w:val="0"/>
          <w:szCs w:val="21"/>
        </w:rPr>
        <w:t>,</w:t>
      </w:r>
      <w:r w:rsidR="00F534DA" w:rsidRPr="00351E9D">
        <w:rPr>
          <w:rFonts w:ascii="Cambria Math" w:eastAsia="等线" w:hAnsi="Cambria Math" w:cs="Times New Roman"/>
          <w:sz w:val="22"/>
          <w:szCs w:val="24"/>
          <w14:ligatures w14:val="standardContextual"/>
        </w:rPr>
        <w:t xml:space="preserve">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jE</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gE</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jE</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g0</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gE</m:t>
            </m:r>
          </m:sub>
        </m:sSub>
        <m:r>
          <m:rPr>
            <m:sty m:val="p"/>
          </m:rPr>
          <w:rPr>
            <w:rFonts w:ascii="Cambria Math" w:eastAsia="等线" w:hAnsi="Cambria Math" w:cs="Times New Roman"/>
            <w:sz w:val="22"/>
            <w:szCs w:val="24"/>
            <w14:ligatures w14:val="standardContextual"/>
          </w:rPr>
          <m:t>ρ</m:t>
        </m:r>
      </m:oMath>
      <w:r w:rsidRPr="00351E9D">
        <w:rPr>
          <w:rFonts w:ascii="Times New Roman" w:eastAsia="宋体" w:hAnsi="Times New Roman" w:cs="Times New Roman"/>
          <w:kern w:val="0"/>
          <w:szCs w:val="21"/>
        </w:rPr>
        <w:t xml:space="preserve"> (where </w:t>
      </w:r>
      <m:oMath>
        <m:r>
          <m:rPr>
            <m:sty m:val="p"/>
          </m:rPr>
          <w:rPr>
            <w:rFonts w:ascii="Cambria Math" w:eastAsia="等线" w:hAnsi="Cambria Math" w:cs="Times New Roman"/>
            <w:sz w:val="22"/>
            <w:szCs w:val="24"/>
            <w14:ligatures w14:val="standardContextual"/>
          </w:rPr>
          <m:t>ρ</m:t>
        </m:r>
      </m:oMath>
      <w:r w:rsidRPr="00351E9D">
        <w:rPr>
          <w:rFonts w:ascii="Times New Roman" w:eastAsia="宋体" w:hAnsi="Times New Roman" w:cs="Times New Roman"/>
          <w:kern w:val="0"/>
          <w:szCs w:val="21"/>
        </w:rPr>
        <w:t xml:space="preserve"> is the genetic correlation between intercept and slope; we initially set </w:t>
      </w:r>
      <m:oMath>
        <m:r>
          <m:rPr>
            <m:sty m:val="p"/>
          </m:rPr>
          <w:rPr>
            <w:rFonts w:ascii="Cambria Math" w:eastAsia="等线" w:hAnsi="Cambria Math" w:cs="Times New Roman"/>
            <w:sz w:val="22"/>
            <w:szCs w:val="24"/>
            <w14:ligatures w14:val="standardContextual"/>
          </w:rPr>
          <m:t>ρ=0</m:t>
        </m:r>
      </m:oMath>
      <w:r w:rsidRPr="00351E9D">
        <w:rPr>
          <w:rFonts w:ascii="Times New Roman" w:eastAsia="宋体" w:hAnsi="Times New Roman" w:cs="Times New Roman"/>
          <w:kern w:val="0"/>
          <w:szCs w:val="21"/>
        </w:rPr>
        <w:t xml:space="preserve"> for simplicity). In practice, we formulated this as a random regression model: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y</m:t>
            </m:r>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=μ+</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e</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i,e</m:t>
            </m:r>
          </m:sub>
        </m:sSub>
      </m:oMath>
      <w:r w:rsidRPr="00351E9D">
        <w:rPr>
          <w:rFonts w:ascii="Times New Roman" w:eastAsia="宋体" w:hAnsi="Times New Roman" w:cs="Times New Roman"/>
          <w:kern w:val="0"/>
          <w:szCs w:val="21"/>
        </w:rPr>
        <w:t xml:space="preserve">, with design matrices linking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oMath>
      <w:r w:rsidRPr="00351E9D">
        <w:rPr>
          <w:rFonts w:ascii="Times New Roman" w:eastAsia="宋体" w:hAnsi="Times New Roman" w:cs="Times New Roman"/>
          <w:kern w:val="0"/>
          <w:szCs w:val="21"/>
        </w:rPr>
        <w:t xml:space="preserve"> to phenotype. The covariance structure uses the same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for both intercept and slope (assuming the same genome-wide relatedness underlies both), scaled by their variances. We fitted this using standard mixed-model equations for two-trait (or random regression) BLUP</w:t>
      </w:r>
      <w:r w:rsidR="00F534DA"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xml:space="preserve">. The G×E variance </w:t>
      </w:r>
      <m:oMath>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gE</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indicates how much genetic variance is expressed per unit change in environment, and incorporating this in prediction allows GEBVs to be environment-specific: </w:t>
      </w:r>
      <m:oMath>
        <m:limUpp>
          <m:limUppPr>
            <m:ctrlPr>
              <w:rPr>
                <w:rFonts w:ascii="Cambria Math" w:eastAsia="等线" w:hAnsi="Cambria Math" w:cs="Times New Roman"/>
                <w:sz w:val="22"/>
                <w:szCs w:val="24"/>
                <w14:ligatures w14:val="standardContextual"/>
              </w:rPr>
            </m:ctrlPr>
          </m:limUppPr>
          <m:e>
            <m:r>
              <m:rPr>
                <m:nor/>
              </m:rPr>
              <w:rPr>
                <w:rFonts w:ascii="Times New Roman" w:eastAsia="等线" w:hAnsi="Times New Roman" w:cs="Times New Roman"/>
                <w:sz w:val="22"/>
                <w:szCs w:val="24"/>
                <w14:ligatures w14:val="standardContextual"/>
              </w:rPr>
              <m:t>GEBV</m:t>
            </m:r>
          </m:e>
          <m:lim>
            <m:r>
              <m:rPr>
                <m:sty m:val="p"/>
              </m:rPr>
              <w:rPr>
                <w:rFonts w:ascii="Cambria Math" w:eastAsia="等线" w:hAnsi="Cambria Math" w:cs="Times New Roman"/>
                <w:sz w:val="22"/>
                <w:szCs w:val="24"/>
                <w14:ligatures w14:val="standardContextual"/>
              </w:rPr>
              <m:t>^</m:t>
            </m:r>
          </m:lim>
        </m:limUpp>
        <m:r>
          <m:rPr>
            <m:sty m:val="p"/>
          </m:rPr>
          <w:rPr>
            <w:rFonts w:ascii="Cambria Math" w:eastAsia="等线" w:hAnsi="Cambria Math" w:cs="Times New Roman"/>
            <w:sz w:val="22"/>
            <w:szCs w:val="24"/>
            <w14:ligatures w14:val="standardContextual"/>
          </w:rPr>
          <m:t>i(E)=</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E</m:t>
        </m:r>
      </m:oMath>
      <w:r w:rsidRPr="00351E9D">
        <w:rPr>
          <w:rFonts w:ascii="Times New Roman" w:eastAsia="宋体" w:hAnsi="Times New Roman" w:cs="Times New Roman"/>
          <w:kern w:val="0"/>
          <w:szCs w:val="21"/>
        </w:rPr>
        <w:t>. We evaluated how accounting for G×E affected predictive accuracy, especially for individuals in environmental conditions not represented in the training data.</w:t>
      </w:r>
    </w:p>
    <w:p w14:paraId="55D7F4EF"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Genomic Prediction Models Compared: We implemented and compared several genomic prediction models on the simulated and real datasets:</w:t>
      </w:r>
    </w:p>
    <w:p w14:paraId="58DC4FDC" w14:textId="21A41006"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Additive GBLUP (Baseline): A standard linear mixed model including only additive genetic effects. For individual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with phenotype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y</m:t>
            </m:r>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w:t>
      </w:r>
      <w:r w:rsidRPr="00351E9D">
        <w:rPr>
          <w:rFonts w:ascii="Times New Roman" w:eastAsia="宋体" w:hAnsi="Times New Roman" w:cs="Times New Roman"/>
          <w:kern w:val="0"/>
          <w:szCs w:val="21"/>
        </w:rPr>
        <w:br/>
      </w:r>
      <m:oMathPara>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y</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=μ+</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i</m:t>
              </m:r>
            </m:sub>
          </m:sSub>
          <m:r>
            <m:rPr>
              <m:sty m:val="p"/>
            </m:rPr>
            <w:rPr>
              <w:rFonts w:ascii="Cambria Math" w:eastAsia="宋体" w:hAnsi="Cambria Math" w:cs="Times New Roman"/>
              <w:kern w:val="0"/>
              <w:szCs w:val="21"/>
            </w:rPr>
            <w:br/>
          </m:r>
        </m:oMath>
      </m:oMathPara>
      <w:r w:rsidRPr="00351E9D">
        <w:rPr>
          <w:rFonts w:ascii="Times New Roman" w:eastAsia="宋体" w:hAnsi="Times New Roman" w:cs="Times New Roman"/>
          <w:kern w:val="0"/>
          <w:szCs w:val="21"/>
        </w:rPr>
        <w:t xml:space="preserve">where </w:t>
      </w:r>
      <m:oMath>
        <m:r>
          <m:rPr>
            <m:sty m:val="p"/>
          </m:rPr>
          <w:rPr>
            <w:rFonts w:ascii="Cambria Math" w:eastAsia="等线" w:hAnsi="Cambria Math" w:cs="Times New Roman"/>
            <w:sz w:val="22"/>
            <w:szCs w:val="24"/>
            <w14:ligatures w14:val="standardContextual"/>
          </w:rPr>
          <m:t>μ</m:t>
        </m:r>
      </m:oMath>
      <w:r w:rsidRPr="00351E9D">
        <w:rPr>
          <w:rFonts w:ascii="Times New Roman" w:eastAsia="宋体" w:hAnsi="Times New Roman" w:cs="Times New Roman"/>
          <w:kern w:val="0"/>
          <w:szCs w:val="21"/>
        </w:rPr>
        <w:t xml:space="preserve"> is the overall mean,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r>
          <m:rPr>
            <m:scr m:val="script"/>
            <m:sty m:val="p"/>
          </m:rPr>
          <w:rPr>
            <w:rFonts w:ascii="Cambria Math" w:eastAsia="等线" w:hAnsi="Cambria Math" w:cs="Times New Roman"/>
            <w:sz w:val="22"/>
            <w:szCs w:val="24"/>
            <w14:ligatures w14:val="standardContextual"/>
          </w:rPr>
          <m:t>∼N</m:t>
        </m:r>
        <m:r>
          <m:rPr>
            <m:sty m:val="p"/>
          </m:rPr>
          <w:rPr>
            <w:rFonts w:ascii="Cambria Math" w:eastAsia="等线" w:hAnsi="Cambria Math" w:cs="Times New Roman"/>
            <w:sz w:val="22"/>
            <w:szCs w:val="24"/>
            <w14:ligatures w14:val="standardContextual"/>
          </w:rPr>
          <m:t>(0,</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is the additive genomic breeding value with covariance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i</m:t>
            </m:r>
          </m:sub>
        </m:sSub>
        <m:r>
          <m:rPr>
            <m:scr m:val="script"/>
            <m:sty m:val="p"/>
          </m:rPr>
          <w:rPr>
            <w:rFonts w:ascii="Cambria Math" w:eastAsia="等线" w:hAnsi="Cambria Math" w:cs="Times New Roman"/>
            <w:sz w:val="22"/>
            <w:szCs w:val="24"/>
            <w14:ligatures w14:val="standardContextual"/>
          </w:rPr>
          <m:t>∼N</m:t>
        </m:r>
        <m:r>
          <m:rPr>
            <m:sty m:val="p"/>
          </m:rPr>
          <w:rPr>
            <w:rFonts w:ascii="Cambria Math" w:eastAsia="等线" w:hAnsi="Cambria Math" w:cs="Times New Roman"/>
            <w:sz w:val="22"/>
            <w:szCs w:val="24"/>
            <w14:ligatures w14:val="standardContextual"/>
          </w:rPr>
          <m:t>(0,</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e</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is the residual. This is equivalent to the conventional single-kernel GBLUP using the marker-derived </w:t>
      </w:r>
      <w:r w:rsidR="00670B09" w:rsidRPr="00351E9D">
        <w:rPr>
          <w:rFonts w:ascii="Times New Roman" w:eastAsia="宋体" w:hAnsi="Times New Roman" w:cs="Times New Roman" w:hint="eastAsia"/>
          <w:kern w:val="0"/>
          <w:szCs w:val="21"/>
        </w:rPr>
        <w:t>G [8]</w:t>
      </w:r>
      <w:r w:rsidRPr="00351E9D">
        <w:rPr>
          <w:rFonts w:ascii="Times New Roman" w:eastAsia="宋体" w:hAnsi="Times New Roman" w:cs="Times New Roman"/>
          <w:kern w:val="0"/>
          <w:szCs w:val="21"/>
        </w:rPr>
        <w:t xml:space="preserve">. Variance </w:t>
      </w:r>
      <w:r w:rsidRPr="00351E9D">
        <w:rPr>
          <w:rFonts w:ascii="Times New Roman" w:eastAsia="宋体" w:hAnsi="Times New Roman" w:cs="Times New Roman"/>
          <w:kern w:val="0"/>
          <w:szCs w:val="21"/>
        </w:rPr>
        <w:lastRenderedPageBreak/>
        <w:t xml:space="preserve">components </w:t>
      </w:r>
      <m:oMath>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and </w:t>
      </w:r>
      <m:oMath>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e</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can be estimated by REML, and GEBVs </w:t>
      </w:r>
      <m:oMath>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 xml:space="preserve"> are obtained via the mixed-model equations (MME). In our experiments, we considered two versions: (a) a static additive model that was trained on Generation 0 and then applied without update to subsequent generations (to illustrate the decay in accuracy if a model is not retrained), and (b) a dynamic additive model that was retrained or updated with each new generation’s data (analogous to how genomic evaluations in industry are routinely updated). Unless specified, we report results for the retrained (dynamic) scenario for fairness, since long-term applications would normally update the prediction model periodically.</w:t>
      </w:r>
    </w:p>
    <w:p w14:paraId="16F09F5D" w14:textId="06260854"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Orthogonal Epistasis GBLUP (O-GBLUP, Proposed): A linear mixed model including multiple random genetic effects corresponding to additive, dominance, and epistatic contributions. For individual i:</w:t>
      </w:r>
      <w:r w:rsidRPr="00351E9D">
        <w:rPr>
          <w:rFonts w:ascii="Times New Roman" w:eastAsia="宋体" w:hAnsi="Times New Roman" w:cs="Times New Roman"/>
          <w:kern w:val="0"/>
          <w:szCs w:val="21"/>
        </w:rPr>
        <w:br/>
      </w:r>
      <m:oMathPara>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y</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=μ+</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AA</m:t>
              </m:r>
            </m:sup>
          </m:sSubSup>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AD</m:t>
              </m:r>
            </m:sup>
          </m:sSubSup>
          <m:r>
            <m:rPr>
              <m:sty m:val="p"/>
            </m:rPr>
            <w:rPr>
              <w:rFonts w:ascii="Cambria Math" w:eastAsia="等线" w:hAnsi="Cambria Math" w:cs="Times New Roman"/>
              <w:sz w:val="22"/>
              <w:szCs w:val="24"/>
              <w14:ligatures w14:val="standardContextual"/>
            </w:rPr>
            <m:t>+</m:t>
          </m:r>
          <w:bookmarkStart w:id="8" w:name="_Hlk204271527"/>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DD</m:t>
              </m:r>
            </m:sup>
          </m:sSubSup>
          <w:bookmarkEnd w:id="8"/>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e</m:t>
              </m:r>
            </m:e>
            <m:sub>
              <m:r>
                <m:rPr>
                  <m:sty m:val="p"/>
                </m:rPr>
                <w:rPr>
                  <w:rFonts w:ascii="Cambria Math" w:eastAsia="等线" w:hAnsi="Cambria Math" w:cs="Times New Roman"/>
                  <w:sz w:val="22"/>
                  <w:szCs w:val="24"/>
                  <w14:ligatures w14:val="standardContextual"/>
                </w:rPr>
                <m:t>i</m:t>
              </m:r>
            </m:sub>
          </m:sSub>
          <m:r>
            <m:rPr>
              <m:sty m:val="p"/>
            </m:rPr>
            <w:rPr>
              <w:rFonts w:ascii="Cambria Math" w:eastAsia="宋体" w:hAnsi="Cambria Math" w:cs="Times New Roman"/>
              <w:kern w:val="0"/>
              <w:szCs w:val="21"/>
            </w:rPr>
            <w:br/>
          </m:r>
        </m:oMath>
      </m:oMathPara>
      <w:r w:rsidRPr="00351E9D">
        <w:rPr>
          <w:rFonts w:ascii="Times New Roman" w:eastAsia="宋体" w:hAnsi="Times New Roman" w:cs="Times New Roman"/>
          <w:kern w:val="0"/>
          <w:szCs w:val="21"/>
        </w:rPr>
        <w:t xml:space="preserve">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i</m:t>
            </m:r>
          </m:sub>
        </m:sSub>
        <m:r>
          <m:rPr>
            <m:scr m:val="script"/>
            <m:sty m:val="p"/>
          </m:rPr>
          <w:rPr>
            <w:rFonts w:ascii="Cambria Math" w:eastAsia="等线" w:hAnsi="Cambria Math" w:cs="Times New Roman"/>
            <w:sz w:val="22"/>
            <w:szCs w:val="24"/>
            <w14:ligatures w14:val="standardContextual"/>
          </w:rPr>
          <m:t>∼N</m:t>
        </m:r>
        <m:r>
          <m:rPr>
            <m:sty m:val="p"/>
          </m:rPr>
          <w:rPr>
            <w:rFonts w:ascii="Cambria Math" w:eastAsia="等线" w:hAnsi="Cambria Math" w:cs="Times New Roman"/>
            <w:sz w:val="22"/>
            <w:szCs w:val="24"/>
            <w14:ligatures w14:val="standardContextual"/>
          </w:rPr>
          <m:t>(0,</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with covariance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is the additive genetic effect,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i</m:t>
            </m:r>
          </m:sub>
        </m:sSub>
        <m:r>
          <m:rPr>
            <m:scr m:val="script"/>
            <m:sty m:val="p"/>
          </m:rPr>
          <w:rPr>
            <w:rFonts w:ascii="Cambria Math" w:eastAsia="等线" w:hAnsi="Cambria Math" w:cs="Times New Roman"/>
            <w:sz w:val="22"/>
            <w:szCs w:val="24"/>
            <w14:ligatures w14:val="standardContextual"/>
          </w:rPr>
          <m:t>∼N</m:t>
        </m:r>
        <m:r>
          <m:rPr>
            <m:sty m:val="p"/>
          </m:rPr>
          <w:rPr>
            <w:rFonts w:ascii="Cambria Math" w:eastAsia="等线" w:hAnsi="Cambria Math" w:cs="Times New Roman"/>
            <w:sz w:val="22"/>
            <w:szCs w:val="24"/>
            <w14:ligatures w14:val="standardContextual"/>
          </w:rPr>
          <m:t>(0,</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d</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with covariance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j</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D</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d</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is the dominance effect, and </w:t>
      </w:r>
      <m:oMath>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AA</m:t>
            </m:r>
          </m:sup>
        </m:sSubSup>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AD</m:t>
            </m:r>
          </m:sup>
        </m:sSubSup>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DD</m:t>
            </m:r>
          </m:sup>
        </m:sSubSup>
      </m:oMath>
      <w:r w:rsidRPr="00351E9D">
        <w:rPr>
          <w:rFonts w:ascii="Times New Roman" w:eastAsia="宋体" w:hAnsi="Times New Roman" w:cs="Times New Roman"/>
          <w:kern w:val="0"/>
          <w:szCs w:val="21"/>
        </w:rPr>
        <w:t xml:space="preserve"> are the epistatic effects for A×A, A×D, and D×D interactions, respectively (each with its own variance component, e.g. </w:t>
      </w:r>
      <m:oMath>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AA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and covariance given by the corresponding epistatic GRM). In some implementations, one could combine all epistasis into a single component if data are limited, but we initially fitted separate components to verify the orthogonality and to examine the relative contribution of each interaction type. We fitted this model using REML, taking advantage of the known covariance structures to build the MME efficiently without explicitly creating design matrices for every interaction. The NOIA encoding ensures that, in theory,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a</m:t>
            </m:r>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u</m:t>
            </m:r>
          </m:e>
          <m:sub>
            <m:r>
              <m:rPr>
                <m:sty m:val="p"/>
              </m:rPr>
              <w:rPr>
                <w:rFonts w:ascii="Cambria Math" w:eastAsia="等线" w:hAnsi="Cambria Math" w:cs="Times New Roman"/>
                <w:sz w:val="22"/>
                <w:szCs w:val="24"/>
                <w14:ligatures w14:val="standardContextual"/>
              </w:rPr>
              <m:t>i</m:t>
            </m:r>
          </m:sub>
          <m:sup>
            <m:r>
              <m:rPr>
                <m:sty m:val="p"/>
              </m:rPr>
              <w:rPr>
                <w:rFonts w:ascii="Cambria Math" w:eastAsia="等线" w:hAnsi="Cambria Math" w:cs="Times New Roman"/>
                <w:sz w:val="22"/>
                <w:szCs w:val="24"/>
                <w14:ligatures w14:val="standardContextual"/>
              </w:rPr>
              <m:t>AA</m:t>
            </m:r>
          </m:sup>
        </m:sSubSup>
        <m:r>
          <m:rPr>
            <m:sty m:val="p"/>
          </m:rPr>
          <w:rPr>
            <w:rFonts w:ascii="Cambria Math" w:eastAsia="等线" w:hAnsi="Cambria Math" w:cs="Times New Roman"/>
            <w:sz w:val="22"/>
            <w:szCs w:val="24"/>
            <w14:ligatures w14:val="standardContextual"/>
          </w:rPr>
          <m:t>)=0</m:t>
        </m:r>
      </m:oMath>
      <w:r w:rsidRPr="00351E9D">
        <w:rPr>
          <w:rFonts w:ascii="Times New Roman" w:eastAsia="宋体" w:hAnsi="Times New Roman" w:cs="Times New Roman"/>
          <w:kern w:val="0"/>
          <w:szCs w:val="21"/>
        </w:rPr>
        <w:t>, etc., so the estimation of each variance component is not biased by the others</w:t>
      </w:r>
      <w:r w:rsidR="00D244E6"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GEBVs in this full model can be obtained by summing the estimated additive, dominance, and epistatic effects for each individual (</w:t>
      </w:r>
      <m:oMath>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A</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D</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U</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 This sum represents the individual’s total genetic value (TGV), analogous to a broad-sense breeding value. While only the additive part is directly transmissible to offspring on average, epistatic combinations contribute to the individual’s own performance and can be exploited in mating designs. Our O-GBLUP model was retrained in each generation (hence “dynamic”), updating the genotype encodings and GRMs to maintain orthogonality as allele frequencies changed.</w:t>
      </w:r>
    </w:p>
    <w:p w14:paraId="281E709A" w14:textId="6D992DAC"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Reaction Norm GBLUP (G×E model): For scenarios with genotype-by-environment interaction, we extended the additive model to a random regression (reaction norm) model as described above. Each individual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had two genetic effects,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i0</m:t>
            </m:r>
          </m:sub>
        </m:sSub>
      </m:oMath>
      <w:r w:rsidRPr="00351E9D">
        <w:rPr>
          <w:rFonts w:ascii="Times New Roman" w:eastAsia="宋体" w:hAnsi="Times New Roman" w:cs="Times New Roman"/>
          <w:kern w:val="0"/>
          <w:szCs w:val="21"/>
        </w:rPr>
        <w:t xml:space="preserve"> (baseline genetic value)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iE</m:t>
            </m:r>
          </m:sub>
        </m:sSub>
      </m:oMath>
      <w:r w:rsidRPr="00351E9D">
        <w:rPr>
          <w:rFonts w:ascii="Times New Roman" w:eastAsia="宋体" w:hAnsi="Times New Roman" w:cs="Times New Roman"/>
          <w:kern w:val="0"/>
          <w:szCs w:val="21"/>
        </w:rPr>
        <w:t xml:space="preserve"> (sensitivity to environment), representing its genetic merit in a baseline environment and its sensitivity to the environment, respectively</w:t>
      </w:r>
      <w:r w:rsidR="00BE7E9C"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xml:space="preserve">. The model in matrix form was </w:t>
      </w:r>
      <m:oMath>
        <m:r>
          <m:rPr>
            <m:sty m:val="p"/>
          </m:rPr>
          <w:rPr>
            <w:rFonts w:ascii="Cambria Math" w:eastAsia="等线" w:hAnsi="Cambria Math" w:cs="Times New Roman"/>
            <w:sz w:val="22"/>
            <w:szCs w:val="24"/>
            <w14:ligatures w14:val="standardContextual"/>
          </w:rPr>
          <m:t>y=Xβ+</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1</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2</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E</m:t>
            </m:r>
          </m:sub>
        </m:sSub>
        <m:r>
          <m:rPr>
            <m:sty m:val="p"/>
          </m:rPr>
          <w:rPr>
            <w:rFonts w:ascii="Cambria Math" w:eastAsia="等线" w:hAnsi="Cambria Math" w:cs="Times New Roman"/>
            <w:sz w:val="22"/>
            <w:szCs w:val="24"/>
            <w14:ligatures w14:val="standardContextual"/>
          </w:rPr>
          <m:t>+e</m:t>
        </m:r>
      </m:oMath>
      <w:r w:rsidRPr="00351E9D">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1</m:t>
            </m:r>
          </m:sub>
        </m:sSub>
        <m:r>
          <m:rPr>
            <m:sty m:val="p"/>
          </m:rPr>
          <w:rPr>
            <w:rFonts w:ascii="Cambria Math" w:eastAsia="等线" w:hAnsi="Cambria Math" w:cs="Times New Roman"/>
            <w:sz w:val="22"/>
            <w:szCs w:val="24"/>
            <w14:ligatures w14:val="standardContextual"/>
          </w:rPr>
          <m:t>=I</m:t>
        </m:r>
      </m:oMath>
      <w:r w:rsidRPr="00351E9D">
        <w:rPr>
          <w:rFonts w:ascii="Times New Roman" w:eastAsia="宋体" w:hAnsi="Times New Roman" w:cs="Times New Roman"/>
          <w:kern w:val="0"/>
          <w:szCs w:val="21"/>
        </w:rPr>
        <w:t xml:space="preserve"> (for intercept genetic effects)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Z</m:t>
            </m:r>
          </m:e>
          <m:sub>
            <m:r>
              <m:rPr>
                <m:sty m:val="p"/>
              </m:rPr>
              <w:rPr>
                <w:rFonts w:ascii="Cambria Math" w:eastAsia="等线" w:hAnsi="Cambria Math" w:cs="Times New Roman"/>
                <w:sz w:val="22"/>
                <w:szCs w:val="24"/>
                <w14:ligatures w14:val="standardContextual"/>
              </w:rPr>
              <m:t>2</m:t>
            </m:r>
          </m:sub>
        </m:sSub>
      </m:oMath>
      <w:r w:rsidRPr="00351E9D">
        <w:rPr>
          <w:rFonts w:ascii="Times New Roman" w:eastAsia="宋体" w:hAnsi="Times New Roman" w:cs="Times New Roman"/>
          <w:kern w:val="0"/>
          <w:szCs w:val="21"/>
        </w:rPr>
        <w:t xml:space="preserve"> had entries equal to the environmental covariate for each observation (linking the slope effects to phenotypes). The covariance structure assumed </w:t>
      </w:r>
      <m:oMath>
        <m:r>
          <m:rPr>
            <m:sty m:val="p"/>
          </m:rPr>
          <w:rPr>
            <w:rFonts w:ascii="Cambria Math" w:eastAsia="等线" w:hAnsi="Cambria Math" w:cs="Times New Roman"/>
            <w:sz w:val="22"/>
            <w:szCs w:val="24"/>
            <w14:ligatures w14:val="standardContextual"/>
          </w:rPr>
          <m:t>Var⁡(</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0</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g0</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w:t>
      </w:r>
      <m:oMath>
        <m:r>
          <m:rPr>
            <m:sty m:val="p"/>
          </m:rPr>
          <w:rPr>
            <w:rFonts w:ascii="Cambria Math" w:eastAsia="等线" w:hAnsi="Cambria Math" w:cs="Times New Roman"/>
            <w:sz w:val="22"/>
            <w:szCs w:val="24"/>
            <w14:ligatures w14:val="standardContextual"/>
          </w:rPr>
          <m:t>Var⁡(</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E</m:t>
            </m:r>
          </m:sub>
        </m:sSub>
        <m:r>
          <m:rPr>
            <m:sty m:val="p"/>
          </m:rP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gE</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and </w:t>
      </w:r>
      <m:oMath>
        <m:r>
          <m:rPr>
            <m:sty m:val="p"/>
          </m:rPr>
          <w:rPr>
            <w:rFonts w:ascii="Cambria Math" w:eastAsia="等线" w:hAnsi="Cambria Math" w:cs="Times New Roman"/>
            <w:sz w:val="22"/>
            <w:szCs w:val="24"/>
            <w14:ligatures w14:val="standardContextual"/>
          </w:rPr>
          <m:t>Cov⁡(</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E</m:t>
            </m:r>
          </m:sub>
        </m:sSub>
        <m:r>
          <m:rPr>
            <m:sty m:val="p"/>
          </m:rPr>
          <w:rPr>
            <w:rFonts w:ascii="Cambria Math" w:eastAsia="等线" w:hAnsi="Cambria Math" w:cs="Times New Roman"/>
            <w:sz w:val="22"/>
            <w:szCs w:val="24"/>
            <w14:ligatures w14:val="standardContextual"/>
          </w:rPr>
          <m:t>)=ρ</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g0</m:t>
            </m:r>
          </m:sub>
        </m:sSub>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σ</m:t>
            </m:r>
          </m:e>
          <m:sub>
            <m:r>
              <m:rPr>
                <m:sty m:val="p"/>
              </m:rPr>
              <w:rPr>
                <w:rFonts w:ascii="Cambria Math" w:eastAsia="等线" w:hAnsi="Cambria Math" w:cs="Times New Roman"/>
                <w:sz w:val="22"/>
                <w:szCs w:val="24"/>
                <w14:ligatures w14:val="standardContextual"/>
              </w:rPr>
              <m:t>gE</m:t>
            </m:r>
          </m:sub>
        </m:sSub>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We primarily considered </w:t>
      </w:r>
      <m:oMath>
        <m:r>
          <m:rPr>
            <m:sty m:val="p"/>
          </m:rPr>
          <w:rPr>
            <w:rFonts w:ascii="Cambria Math" w:eastAsia="等线" w:hAnsi="Cambria Math" w:cs="Times New Roman"/>
            <w:sz w:val="22"/>
            <w:szCs w:val="24"/>
            <w14:ligatures w14:val="standardContextual"/>
          </w:rPr>
          <m:t>ρ=0</m:t>
        </m:r>
      </m:oMath>
      <w:r w:rsidRPr="00351E9D">
        <w:rPr>
          <w:rFonts w:ascii="Times New Roman" w:eastAsia="宋体" w:hAnsi="Times New Roman" w:cs="Times New Roman"/>
          <w:kern w:val="0"/>
          <w:szCs w:val="21"/>
        </w:rPr>
        <w:t xml:space="preserve"> (allowing uncorrelated genetic bases for baseline and plastic response), although one could estimate </w:t>
      </w:r>
      <m:oMath>
        <m:r>
          <m:rPr>
            <m:sty m:val="p"/>
          </m:rPr>
          <w:rPr>
            <w:rFonts w:ascii="Cambria Math" w:eastAsia="等线" w:hAnsi="Cambria Math" w:cs="Times New Roman"/>
            <w:sz w:val="22"/>
            <w:szCs w:val="24"/>
            <w14:ligatures w14:val="standardContextual"/>
          </w:rPr>
          <m:t>ρ</m:t>
        </m:r>
      </m:oMath>
      <w:r w:rsidRPr="00351E9D">
        <w:rPr>
          <w:rFonts w:ascii="Times New Roman" w:eastAsia="宋体" w:hAnsi="Times New Roman" w:cs="Times New Roman"/>
          <w:kern w:val="0"/>
          <w:szCs w:val="21"/>
        </w:rPr>
        <w:t xml:space="preserve"> if the data support it. We solved this two-trait mixed model using REML. The output is </w:t>
      </w:r>
      <w:r w:rsidRPr="00351E9D">
        <w:rPr>
          <w:rFonts w:ascii="Times New Roman" w:eastAsia="宋体" w:hAnsi="Times New Roman" w:cs="Times New Roman"/>
          <w:kern w:val="0"/>
          <w:szCs w:val="21"/>
        </w:rPr>
        <w:lastRenderedPageBreak/>
        <w:t xml:space="preserve">an estimated breeding value function of the environment: for any environment value E, </w:t>
      </w:r>
      <m:oMath>
        <m:limUpp>
          <m:limUppPr>
            <m:ctrlPr>
              <w:rPr>
                <w:rFonts w:ascii="Cambria Math" w:eastAsia="等线" w:hAnsi="Cambria Math" w:cs="Times New Roman"/>
                <w:sz w:val="22"/>
                <w:szCs w:val="24"/>
                <w14:ligatures w14:val="standardContextual"/>
              </w:rPr>
            </m:ctrlPr>
          </m:limUppPr>
          <m:e>
            <m:r>
              <m:rPr>
                <m:nor/>
              </m:rPr>
              <w:rPr>
                <w:rFonts w:ascii="Times New Roman" w:eastAsia="等线" w:hAnsi="Times New Roman" w:cs="Times New Roman"/>
                <w:sz w:val="22"/>
                <w:szCs w:val="24"/>
                <w14:ligatures w14:val="standardContextual"/>
              </w:rPr>
              <m:t>GEBV</m:t>
            </m:r>
          </m:e>
          <m:lim>
            <m:r>
              <m:rPr>
                <m:sty m:val="p"/>
              </m:rPr>
              <w:rPr>
                <w:rFonts w:ascii="Cambria Math" w:eastAsia="等线" w:hAnsi="Cambria Math" w:cs="Times New Roman"/>
                <w:sz w:val="22"/>
                <w:szCs w:val="24"/>
                <w14:ligatures w14:val="standardContextual"/>
              </w:rPr>
              <m:t>^</m:t>
            </m:r>
          </m:lim>
        </m:limUpp>
        <m:r>
          <m:rPr>
            <m:sty m:val="p"/>
          </m:rPr>
          <w:rPr>
            <w:rFonts w:ascii="Cambria Math" w:eastAsia="等线" w:hAnsi="Cambria Math" w:cs="Times New Roman"/>
            <w:sz w:val="22"/>
            <w:szCs w:val="24"/>
            <w14:ligatures w14:val="standardContextual"/>
          </w:rPr>
          <m:t>i(E)=</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i0</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E</m:t>
        </m:r>
      </m:oMath>
      <w:r w:rsidRPr="00351E9D">
        <w:rPr>
          <w:rFonts w:ascii="Times New Roman" w:eastAsia="宋体" w:hAnsi="Times New Roman" w:cs="Times New Roman"/>
          <w:kern w:val="0"/>
          <w:szCs w:val="21"/>
        </w:rPr>
        <w:t>. We evaluated how accounting for G×E affected predictive accuracy, especially for individuals in environmental conditions not seen in training.</w:t>
      </w:r>
    </w:p>
    <w:p w14:paraId="32D2982A" w14:textId="28EEF4AE"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Gaussian Kernel (RKHS) Regression: As a non-linear benchmark, we implemented a reproducing kernel Hilbert space regression with a Gaussian kernel, which can implicitly model epistatic patterns. The kernel between individuals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xml:space="preserve"> and j was defined as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K</m:t>
            </m:r>
          </m:e>
          <m:sub>
            <m:r>
              <m:rPr>
                <m:sty m:val="p"/>
              </m:rPr>
              <w:rPr>
                <w:rFonts w:ascii="Cambria Math" w:eastAsia="等线" w:hAnsi="Cambria Math" w:cs="Times New Roman"/>
                <w:sz w:val="22"/>
                <w:szCs w:val="24"/>
                <w14:ligatures w14:val="standardContextual"/>
              </w:rPr>
              <m:t>ij</m:t>
            </m:r>
          </m:sub>
        </m:sSub>
        <m:r>
          <m:rPr>
            <m:sty m:val="p"/>
          </m:rPr>
          <w:rPr>
            <w:rFonts w:ascii="Cambria Math" w:eastAsia="等线" w:hAnsi="Cambria Math" w:cs="Times New Roman"/>
            <w:sz w:val="22"/>
            <w:szCs w:val="24"/>
            <w14:ligatures w14:val="standardContextual"/>
          </w:rPr>
          <m:t>=exp(-θ</m:t>
        </m:r>
        <m:nary>
          <m:naryPr>
            <m:chr m:val="∑"/>
            <m:limLoc m:val="undOvr"/>
            <m:grow m:val="1"/>
            <m:ctrlPr>
              <w:rPr>
                <w:rFonts w:ascii="Cambria Math" w:eastAsia="等线" w:hAnsi="Cambria Math" w:cs="Times New Roman"/>
                <w:sz w:val="22"/>
                <w:szCs w:val="24"/>
                <w14:ligatures w14:val="standardContextual"/>
              </w:rPr>
            </m:ctrlPr>
          </m:naryPr>
          <m:sub>
            <m:r>
              <m:rPr>
                <m:sty m:val="p"/>
              </m:rPr>
              <w:rPr>
                <w:rFonts w:ascii="Cambria Math" w:eastAsia="等线" w:hAnsi="Cambria Math" w:cs="Times New Roman"/>
                <w:sz w:val="22"/>
                <w:szCs w:val="24"/>
                <w14:ligatures w14:val="standardContextual"/>
              </w:rPr>
              <m:t>m=1</m:t>
            </m:r>
          </m:sub>
          <m:sup>
            <m:r>
              <m:rPr>
                <m:sty m:val="p"/>
              </m:rPr>
              <w:rPr>
                <w:rFonts w:ascii="Cambria Math" w:eastAsia="等线" w:hAnsi="Cambria Math" w:cs="Times New Roman"/>
                <w:sz w:val="22"/>
                <w:szCs w:val="24"/>
                <w14:ligatures w14:val="standardContextual"/>
              </w:rPr>
              <m:t>M</m:t>
            </m:r>
          </m:sup>
          <m:e>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im</m:t>
                </m:r>
              </m:sub>
            </m:sSub>
            <m:r>
              <m:rPr>
                <m:sty m:val="p"/>
              </m:rP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x</m:t>
                </m:r>
              </m:e>
              <m:sub>
                <m:r>
                  <m:rPr>
                    <m:sty m:val="p"/>
                  </m:rPr>
                  <w:rPr>
                    <w:rFonts w:ascii="Cambria Math" w:eastAsia="等线" w:hAnsi="Cambria Math" w:cs="Times New Roman"/>
                    <w:sz w:val="22"/>
                    <w:szCs w:val="24"/>
                    <w14:ligatures w14:val="standardContextual"/>
                  </w:rPr>
                  <m:t>jm</m:t>
                </m:r>
              </m:sub>
            </m:sSub>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m:t>
                </m:r>
              </m:e>
              <m:sup>
                <m:r>
                  <m:rPr>
                    <m:sty m:val="p"/>
                  </m:rPr>
                  <w:rPr>
                    <w:rFonts w:ascii="Cambria Math" w:eastAsia="等线" w:hAnsi="Cambria Math" w:cs="Times New Roman"/>
                    <w:sz w:val="22"/>
                    <w:szCs w:val="24"/>
                    <w14:ligatures w14:val="standardContextual"/>
                  </w:rPr>
                  <m:t>2</m:t>
                </m:r>
              </m:sup>
            </m:sSup>
          </m:e>
        </m:nary>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for marker genotypes, where </w:t>
      </w:r>
      <m:oMath>
        <m:r>
          <m:rPr>
            <m:sty m:val="p"/>
          </m:rPr>
          <w:rPr>
            <w:rFonts w:ascii="Cambria Math" w:eastAsia="等线" w:hAnsi="Cambria Math" w:cs="Times New Roman"/>
            <w:sz w:val="22"/>
            <w:szCs w:val="24"/>
            <w14:ligatures w14:val="standardContextual"/>
          </w:rPr>
          <m:t>θ</m:t>
        </m:r>
      </m:oMath>
      <w:r w:rsidRPr="00351E9D">
        <w:rPr>
          <w:rFonts w:ascii="Times New Roman" w:eastAsia="宋体" w:hAnsi="Times New Roman" w:cs="Times New Roman"/>
          <w:kern w:val="0"/>
          <w:szCs w:val="21"/>
        </w:rPr>
        <w:t xml:space="preserve"> is a bandwidth parameter. We treated this like a kernel ridge regression: </w:t>
      </w:r>
      <m:oMath>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y</m:t>
            </m:r>
          </m:e>
          <m:lim>
            <m:r>
              <m:rPr>
                <m:sty m:val="p"/>
              </m:rPr>
              <w:rPr>
                <w:rFonts w:ascii="Cambria Math" w:eastAsia="等线" w:hAnsi="Cambria Math" w:cs="Times New Roman"/>
                <w:sz w:val="22"/>
                <w:szCs w:val="24"/>
                <w14:ligatures w14:val="standardContextual"/>
              </w:rPr>
              <m:t>^</m:t>
            </m:r>
          </m:lim>
        </m:limUpp>
        <m:r>
          <m:rPr>
            <m:sty m:val="p"/>
          </m:rPr>
          <w:rPr>
            <w:rFonts w:ascii="Cambria Math" w:eastAsia="等线" w:hAnsi="Cambria Math" w:cs="Times New Roman"/>
            <w:sz w:val="22"/>
            <w:szCs w:val="24"/>
            <w14:ligatures w14:val="standardContextual"/>
          </w:rPr>
          <m:t>=μ1+Kα</m:t>
        </m:r>
      </m:oMath>
      <w:r w:rsidRPr="00351E9D">
        <w:rPr>
          <w:rFonts w:ascii="Times New Roman" w:eastAsia="宋体" w:hAnsi="Times New Roman" w:cs="Times New Roman"/>
          <w:kern w:val="0"/>
          <w:szCs w:val="21"/>
        </w:rPr>
        <w:t xml:space="preserve">, and solved </w:t>
      </w:r>
      <m:oMath>
        <m:r>
          <m:rPr>
            <m:sty m:val="p"/>
          </m:rPr>
          <w:rPr>
            <w:rFonts w:ascii="Cambria Math" w:eastAsia="等线" w:hAnsi="Cambria Math" w:cs="Times New Roman"/>
            <w:sz w:val="22"/>
            <w:szCs w:val="24"/>
            <w14:ligatures w14:val="standardContextual"/>
          </w:rPr>
          <m:t>(K+λI)α=y</m:t>
        </m:r>
      </m:oMath>
      <w:r w:rsidRPr="00351E9D">
        <w:rPr>
          <w:rFonts w:ascii="Times New Roman" w:eastAsia="宋体" w:hAnsi="Times New Roman" w:cs="Times New Roman"/>
          <w:kern w:val="0"/>
          <w:szCs w:val="21"/>
        </w:rPr>
        <w:t xml:space="preserve"> for </w:t>
      </w:r>
      <m:oMath>
        <m:r>
          <m:rPr>
            <m:sty m:val="p"/>
          </m:rPr>
          <w:rPr>
            <w:rFonts w:ascii="Cambria Math" w:eastAsia="等线" w:hAnsi="Cambria Math" w:cs="Times New Roman"/>
            <w:sz w:val="22"/>
            <w:szCs w:val="24"/>
            <w14:ligatures w14:val="standardContextual"/>
          </w:rPr>
          <m:t>α</m:t>
        </m:r>
      </m:oMath>
      <w:r w:rsidRPr="00351E9D">
        <w:rPr>
          <w:rFonts w:ascii="Times New Roman" w:eastAsia="宋体" w:hAnsi="Times New Roman" w:cs="Times New Roman"/>
          <w:kern w:val="0"/>
          <w:szCs w:val="21"/>
        </w:rPr>
        <w:t xml:space="preserve"> (with </w:t>
      </w:r>
      <m:oMath>
        <m:r>
          <m:rPr>
            <m:sty m:val="p"/>
          </m:rPr>
          <w:rPr>
            <w:rFonts w:ascii="Cambria Math" w:eastAsia="等线" w:hAnsi="Cambria Math" w:cs="Times New Roman"/>
            <w:sz w:val="22"/>
            <w:szCs w:val="24"/>
            <w14:ligatures w14:val="standardContextual"/>
          </w:rPr>
          <m:t>λ</m:t>
        </m:r>
      </m:oMath>
      <w:r w:rsidRPr="00351E9D">
        <w:rPr>
          <w:rFonts w:ascii="Times New Roman" w:eastAsia="宋体" w:hAnsi="Times New Roman" w:cs="Times New Roman"/>
          <w:kern w:val="0"/>
          <w:szCs w:val="21"/>
        </w:rPr>
        <w:t xml:space="preserve"> tuned via cross-validation). We tried multiple bandwidths </w:t>
      </w:r>
      <m:oMath>
        <m:r>
          <m:rPr>
            <m:sty m:val="p"/>
          </m:rPr>
          <w:rPr>
            <w:rFonts w:ascii="Cambria Math" w:eastAsia="等线" w:hAnsi="Cambria Math" w:cs="Times New Roman"/>
            <w:sz w:val="22"/>
            <w:szCs w:val="24"/>
            <w14:ligatures w14:val="standardContextual"/>
          </w:rPr>
          <m:t>θ</m:t>
        </m:r>
      </m:oMath>
      <w:r w:rsidRPr="00351E9D">
        <w:rPr>
          <w:rFonts w:ascii="Times New Roman" w:eastAsia="宋体" w:hAnsi="Times New Roman" w:cs="Times New Roman"/>
          <w:kern w:val="0"/>
          <w:szCs w:val="21"/>
        </w:rPr>
        <w:t xml:space="preserve"> including the linear kernel limit (</w:t>
      </w:r>
      <m:oMath>
        <m:r>
          <m:rPr>
            <m:sty m:val="p"/>
          </m:rPr>
          <w:rPr>
            <w:rFonts w:ascii="Cambria Math" w:eastAsia="等线" w:hAnsi="Cambria Math" w:cs="Times New Roman"/>
            <w:sz w:val="22"/>
            <w:szCs w:val="24"/>
            <w14:ligatures w14:val="standardContextual"/>
          </w:rPr>
          <m:t>θ→0</m:t>
        </m:r>
      </m:oMath>
      <w:r w:rsidRPr="00351E9D">
        <w:rPr>
          <w:rFonts w:ascii="Times New Roman" w:eastAsia="宋体" w:hAnsi="Times New Roman" w:cs="Times New Roman"/>
          <w:kern w:val="0"/>
          <w:szCs w:val="21"/>
        </w:rPr>
        <w:t>) and more localized kernels. RKHS methods have the capacity to capture arbitrary interactions (since a Gaussian kernel corresponds to an infinite polynomial expansion), so they often perform well when epistasis is present, given enough data</w:t>
      </w:r>
      <w:r w:rsidR="00D94C10"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However, they do not provide explicit variance component estimates or easy interpretability.</w:t>
      </w:r>
    </w:p>
    <w:p w14:paraId="54246364" w14:textId="747A1A85"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Bayesian Whole-Genome Regression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We included the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model</w:t>
      </w:r>
      <w:r w:rsidR="0022558A" w:rsidRPr="00351E9D">
        <w:rPr>
          <w:rFonts w:ascii="Times New Roman" w:eastAsia="宋体" w:hAnsi="Times New Roman" w:cs="Times New Roman" w:hint="eastAsia"/>
          <w:kern w:val="0"/>
          <w:szCs w:val="21"/>
        </w:rPr>
        <w:t xml:space="preserve"> [1]</w:t>
      </w:r>
      <w:r w:rsidRPr="00351E9D">
        <w:rPr>
          <w:rFonts w:ascii="Times New Roman" w:eastAsia="宋体" w:hAnsi="Times New Roman" w:cs="Times New Roman"/>
          <w:kern w:val="0"/>
          <w:szCs w:val="21"/>
        </w:rPr>
        <w:t xml:space="preserve">, representing the class of Bayesian sparse variable selection methods. In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each SNP marker effect is assumed to be zero with some prior probability (e.g. </w:t>
      </w:r>
      <m:oMath>
        <m:r>
          <m:rPr>
            <m:sty m:val="p"/>
          </m:rPr>
          <w:rPr>
            <w:rFonts w:ascii="Cambria Math" w:eastAsia="等线" w:hAnsi="Cambria Math" w:cs="Times New Roman"/>
            <w:sz w:val="22"/>
            <w:szCs w:val="24"/>
            <w14:ligatures w14:val="standardContextual"/>
          </w:rPr>
          <m:t>π=0.95</m:t>
        </m:r>
      </m:oMath>
      <w:r w:rsidRPr="00351E9D">
        <w:rPr>
          <w:rFonts w:ascii="Times New Roman" w:eastAsia="宋体" w:hAnsi="Times New Roman" w:cs="Times New Roman"/>
          <w:kern w:val="0"/>
          <w:szCs w:val="21"/>
        </w:rPr>
        <w:t xml:space="preserve"> for a 95% chance of null), and with probability </w:t>
      </w:r>
      <m:oMath>
        <m:r>
          <m:rPr>
            <m:sty m:val="p"/>
          </m:rPr>
          <w:rPr>
            <w:rFonts w:ascii="Cambria Math" w:eastAsia="宋体" w:hAnsi="Cambria Math" w:cs="Times New Roman"/>
            <w:kern w:val="0"/>
            <w:szCs w:val="21"/>
          </w:rPr>
          <m:t>1-π</m:t>
        </m:r>
      </m:oMath>
      <w:r w:rsidRPr="00351E9D">
        <w:rPr>
          <w:rFonts w:ascii="Times New Roman" w:eastAsia="宋体" w:hAnsi="Times New Roman" w:cs="Times New Roman"/>
          <w:kern w:val="0"/>
          <w:szCs w:val="21"/>
        </w:rPr>
        <w:t xml:space="preserve"> it has a normally-distributed effect with an unknown variance (typically assigned a heavy-tailed prior, like a scaled inverse-</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χ</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xml:space="preserve"> or Student-t). This approach allows a small subset of markers to explain most variance while shrinking others strongly. We implemented a Gibbs sampler to estimate marker effects and their posterior inclusion probabilities. Only additive SNP effects were modeled in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(dominance and interactions were not explicitly included, as sampling two-way interactions for tens of thousands of SNPs is computationally impractical). However, by identifying large-effect markers,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could indirectly capture some variance due to epistasis if those interactions create marginal additive effects at specific loci. We assessed </w:t>
      </w:r>
      <w:proofErr w:type="spellStart"/>
      <w:r w:rsidRPr="00351E9D">
        <w:rPr>
          <w:rFonts w:ascii="Times New Roman" w:eastAsia="宋体" w:hAnsi="Times New Roman" w:cs="Times New Roman"/>
          <w:kern w:val="0"/>
          <w:szCs w:val="21"/>
        </w:rPr>
        <w:t>BayesB’s</w:t>
      </w:r>
      <w:proofErr w:type="spellEnd"/>
      <w:r w:rsidRPr="00351E9D">
        <w:rPr>
          <w:rFonts w:ascii="Times New Roman" w:eastAsia="宋体" w:hAnsi="Times New Roman" w:cs="Times New Roman"/>
          <w:kern w:val="0"/>
          <w:szCs w:val="21"/>
        </w:rPr>
        <w:t xml:space="preserve"> predictive accuracy and also examined which QTL it picked up in the simulations.</w:t>
      </w:r>
    </w:p>
    <w:p w14:paraId="1305CEE5" w14:textId="2FA52C3D"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Ensemble Tree Method (Gradient Boosting Machine): We applied gradient boosted decision trees (using </w:t>
      </w:r>
      <w:proofErr w:type="spellStart"/>
      <w:r w:rsidRPr="00351E9D">
        <w:rPr>
          <w:rFonts w:ascii="Times New Roman" w:eastAsia="宋体" w:hAnsi="Times New Roman" w:cs="Times New Roman"/>
          <w:kern w:val="0"/>
          <w:szCs w:val="21"/>
        </w:rPr>
        <w:t>XGBoost</w:t>
      </w:r>
      <w:proofErr w:type="spellEnd"/>
      <w:r w:rsidRPr="00351E9D">
        <w:rPr>
          <w:rFonts w:ascii="Times New Roman" w:eastAsia="宋体" w:hAnsi="Times New Roman" w:cs="Times New Roman"/>
          <w:kern w:val="0"/>
          <w:szCs w:val="21"/>
        </w:rPr>
        <w:t>) as a machine-learning alternative that can capture complex non-linear patterns. Input features were the SNP genotypes (encoded as 0/1/2 for additive effects, and we also tried augmenting with an extra feature for each SNP indicating dominance genotype 0/1). Boosted trees can naturally model interactions through multi-level splits. We optimized hyperparameters (number of trees, tree depth, learning rate) via cross-validation. Boosting has been reported to perform strongly in some genomic prediction studies, especially when non-additive gene action is present</w:t>
      </w:r>
      <w:r w:rsidR="001E51B4"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Indeed, a recent study in cattle found gradient boosting achieved the highest accuracy for a trait influenced by dominance and epistasis, outperforming GBLUP and deep neural networks</w:t>
      </w:r>
      <w:r w:rsidR="001E51B4"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We wanted to verify whether that holds in our contexts. We also tested random forests, but boosting consistently gave equal or better accuracy, so we focus on the latter.</w:t>
      </w:r>
    </w:p>
    <w:p w14:paraId="60DED951" w14:textId="07CD8B50" w:rsidR="00C41CA9" w:rsidRPr="00351E9D" w:rsidRDefault="00C41CA9" w:rsidP="00C41CA9">
      <w:pPr>
        <w:widowControl/>
        <w:numPr>
          <w:ilvl w:val="0"/>
          <w:numId w:val="6"/>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Deep Neural Networks: We evaluated two neural network architectures commonly considered in genomic prediction: a multilayer perceptron (fully-connected feedforward </w:t>
      </w:r>
      <w:r w:rsidRPr="00351E9D">
        <w:rPr>
          <w:rFonts w:ascii="Times New Roman" w:eastAsia="宋体" w:hAnsi="Times New Roman" w:cs="Times New Roman"/>
          <w:kern w:val="0"/>
          <w:szCs w:val="21"/>
        </w:rPr>
        <w:lastRenderedPageBreak/>
        <w:t>network) and a convolutional neural network (CNN). The MLP consisted of several dense layers with ReLU activations and dropout regularization. The CNN treated the ordered sequence of SNPs as a one-dimensional image: we used 1-D convolutional filters to scan along the chromosome for local genotype patterns, followed by pooling and dense layers. These networks were implemented in TensorFlow and trained using minibatch gradient descent (with early stopping to prevent overfitting). We standardized input genotypes and, in some experiments, provided the network with two channels (one for additive genotype, one for an indicator of heterozygosity to allow the network to learn dominance). Hyperparameters (number of layers, neurons, filter sizes, regularization strength) were tuned on a validation set. Prior studies have had mixed results with deep learning for genomic data: for example, Bellot et al. found that CNNs were competitive with linear models but did not significantly outperform them in predicting human complex traits</w:t>
      </w:r>
      <w:r w:rsidR="008753BF" w:rsidRPr="00351E9D">
        <w:rPr>
          <w:rFonts w:ascii="Times New Roman" w:eastAsia="宋体" w:hAnsi="Times New Roman" w:cs="Times New Roman" w:hint="eastAsia"/>
          <w:kern w:val="0"/>
          <w:szCs w:val="21"/>
        </w:rPr>
        <w:t xml:space="preserve"> [10]</w:t>
      </w:r>
      <w:r w:rsidRPr="00351E9D">
        <w:rPr>
          <w:rFonts w:ascii="Times New Roman" w:eastAsia="宋体" w:hAnsi="Times New Roman" w:cs="Times New Roman"/>
          <w:kern w:val="0"/>
          <w:szCs w:val="21"/>
        </w:rPr>
        <w:t>, and Montesinos-López et al. demonstrated that while multi-trait deep models can improve accuracy in some cases, simple models often perform similarly for typical population sizes</w:t>
      </w:r>
      <w:r w:rsidR="008753BF" w:rsidRPr="00351E9D">
        <w:rPr>
          <w:rFonts w:ascii="Times New Roman" w:eastAsia="宋体" w:hAnsi="Times New Roman" w:cs="Times New Roman" w:hint="eastAsia"/>
          <w:kern w:val="0"/>
          <w:szCs w:val="21"/>
        </w:rPr>
        <w:t xml:space="preserve"> [11]</w:t>
      </w:r>
      <w:r w:rsidRPr="00351E9D">
        <w:rPr>
          <w:rFonts w:ascii="Times New Roman" w:eastAsia="宋体" w:hAnsi="Times New Roman" w:cs="Times New Roman"/>
          <w:kern w:val="0"/>
          <w:szCs w:val="21"/>
        </w:rPr>
        <w:t>. Given our dataset sizes (on the order of 10</w:t>
      </w:r>
      <w:r w:rsidRPr="00351E9D">
        <w:rPr>
          <w:rFonts w:ascii="Times New Roman" w:eastAsia="宋体" w:hAnsi="Times New Roman" w:cs="Times New Roman"/>
          <w:kern w:val="0"/>
          <w:szCs w:val="21"/>
          <w:vertAlign w:val="superscript"/>
        </w:rPr>
        <w:t>3</w:t>
      </w:r>
      <w:r w:rsidRPr="00351E9D">
        <w:rPr>
          <w:rFonts w:ascii="Times New Roman" w:eastAsia="宋体" w:hAnsi="Times New Roman" w:cs="Times New Roman"/>
          <w:kern w:val="0"/>
          <w:szCs w:val="21"/>
        </w:rPr>
        <w:t xml:space="preserve"> to 10</w:t>
      </w:r>
      <w:r w:rsidRPr="00351E9D">
        <w:rPr>
          <w:rFonts w:ascii="Times New Roman" w:eastAsia="宋体" w:hAnsi="Times New Roman" w:cs="Times New Roman"/>
          <w:kern w:val="0"/>
          <w:szCs w:val="21"/>
          <w:vertAlign w:val="superscript"/>
        </w:rPr>
        <w:t>4</w:t>
      </w:r>
      <w:r w:rsidRPr="00351E9D">
        <w:rPr>
          <w:rFonts w:ascii="Times New Roman" w:eastAsia="宋体" w:hAnsi="Times New Roman" w:cs="Times New Roman"/>
          <w:kern w:val="0"/>
          <w:szCs w:val="21"/>
        </w:rPr>
        <w:t xml:space="preserve"> individuals), we anticipated that the deep models might struggle to surpass GBLUP. Indeed, due to the high dimensionality (</w:t>
      </w:r>
      <m:oMath>
        <m:r>
          <m:rPr>
            <m:sty m:val="p"/>
          </m:rPr>
          <w:rPr>
            <w:rFonts w:ascii="Cambria Math" w:eastAsia="宋体" w:hAnsi="Cambria Math" w:cs="Times New Roman"/>
            <w:kern w:val="0"/>
            <w:szCs w:val="21"/>
          </w:rPr>
          <m:t>p≫n</m:t>
        </m:r>
      </m:oMath>
      <w:r w:rsidRPr="00351E9D">
        <w:rPr>
          <w:rFonts w:ascii="Times New Roman" w:eastAsia="宋体" w:hAnsi="Times New Roman" w:cs="Times New Roman"/>
          <w:kern w:val="0"/>
          <w:szCs w:val="21"/>
        </w:rPr>
        <w:t>), we applied dimensionality reduction (e.g. filtering SNPs by minor allele frequency and principal component analysis on genotypes) for the neural networks when using the full 60k SNP real dataset, to make training feasible. In simulations, we limited the SNP set to 5k–10k for the deep learning models to keep the number of parameters within reason. We evaluated the neural networks’ performance relative to the linear and tree-based models, especially checking if they improve when non-additive variation is present or when the sample size is increased.</w:t>
      </w:r>
    </w:p>
    <w:p w14:paraId="6043E61F"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In summary, the models we compared included: Additive GBLUP, O-GBLUP (Additive + Dominance + Epistasis),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RKHS (Gaussian kernel), Gradient Boosting Trees, CNN, MLP, and (for multi-environment scenarios) Reaction-norm GBLUP. All models were trained on Generation 0 data in simulations (or on the training fold in cross-validations for real data), and we evaluated their predictive accuracy on subsequent generations or validation sets. For the dynamic models (O-GBLUP and dynamic GBLUP), we retrained with each generation’s new data to mimic ongoing genetic evaluations, whereas static models used the initial training only.</w:t>
      </w:r>
    </w:p>
    <w:p w14:paraId="27E00A1B"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Model Training and Evaluation: For each scenario, we implemented the following procedure:</w:t>
      </w:r>
    </w:p>
    <w:p w14:paraId="58F0754A" w14:textId="6F6C7EB6" w:rsidR="00C41CA9" w:rsidRPr="00351E9D" w:rsidRDefault="00C41CA9" w:rsidP="00C41CA9">
      <w:pPr>
        <w:widowControl/>
        <w:numPr>
          <w:ilvl w:val="0"/>
          <w:numId w:val="7"/>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Training/Validation Splits: In simulation Generation 0, we held out 20% of individuals as a validation set for model tuning and used the remaining 80% as the training set. For the real livestock datasets, we performed 5-fold cross-validation (CV) due to having no temporal generations. Hyperparameters for RKHS (</w:t>
      </w:r>
      <m:oMath>
        <m:r>
          <m:rPr>
            <m:sty m:val="p"/>
          </m:rPr>
          <w:rPr>
            <w:rFonts w:ascii="Cambria Math" w:eastAsia="宋体" w:hAnsi="Cambria Math" w:cs="Times New Roman"/>
            <w:kern w:val="0"/>
            <w:szCs w:val="21"/>
          </w:rPr>
          <m:t>θ</m:t>
        </m:r>
      </m:oMath>
      <w:r w:rsidRPr="00351E9D">
        <w:rPr>
          <w:rFonts w:ascii="Times New Roman" w:eastAsia="宋体" w:hAnsi="Times New Roman" w:cs="Times New Roman"/>
          <w:kern w:val="0"/>
          <w:szCs w:val="21"/>
        </w:rPr>
        <w:t xml:space="preserve">, </w:t>
      </w:r>
      <m:oMath>
        <m:r>
          <m:rPr>
            <m:sty m:val="p"/>
          </m:rPr>
          <w:rPr>
            <w:rFonts w:ascii="Cambria Math" w:eastAsia="宋体" w:hAnsi="Cambria Math" w:cs="Times New Roman"/>
            <w:kern w:val="0"/>
            <w:szCs w:val="21"/>
          </w:rPr>
          <m:t>λ</m:t>
        </m:r>
      </m:oMath>
      <w:r w:rsidRPr="00351E9D">
        <w:rPr>
          <w:rFonts w:ascii="Times New Roman" w:eastAsia="宋体" w:hAnsi="Times New Roman" w:cs="Times New Roman"/>
          <w:kern w:val="0"/>
          <w:szCs w:val="21"/>
        </w:rPr>
        <w:t>), gradient boosting (tree depth, number of trees, learning rate), and neural networks (architecture, regularization) were chosen by maximizing prediction accuracy on the validation data within the training set (or via inner CV loops).</w:t>
      </w:r>
    </w:p>
    <w:p w14:paraId="1BD07CAA" w14:textId="6DC78346" w:rsidR="00C41CA9" w:rsidRPr="00351E9D" w:rsidRDefault="00C41CA9" w:rsidP="00C41CA9">
      <w:pPr>
        <w:widowControl/>
        <w:numPr>
          <w:ilvl w:val="0"/>
          <w:numId w:val="7"/>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Accuracy Metrics: The primary metric of predictive performance was the Pearson correlation between predicted genomic estimated breeding values (GEBVs) and true breeding values (TBV) or adjusted phenotypes. In simulations, we know each individual’s TBV exactly (the summed genetic effects without residual noise). In real data, we used </w:t>
      </w:r>
      <w:r w:rsidRPr="00351E9D">
        <w:rPr>
          <w:rFonts w:ascii="Times New Roman" w:eastAsia="宋体" w:hAnsi="Times New Roman" w:cs="Times New Roman"/>
          <w:kern w:val="0"/>
          <w:szCs w:val="21"/>
        </w:rPr>
        <w:lastRenderedPageBreak/>
        <w:t xml:space="preserve">pseudo-phenotypes (such as </w:t>
      </w:r>
      <w:proofErr w:type="spellStart"/>
      <w:r w:rsidRPr="00351E9D">
        <w:rPr>
          <w:rFonts w:ascii="Times New Roman" w:eastAsia="宋体" w:hAnsi="Times New Roman" w:cs="Times New Roman"/>
          <w:kern w:val="0"/>
          <w:szCs w:val="21"/>
        </w:rPr>
        <w:t>deregressed</w:t>
      </w:r>
      <w:proofErr w:type="spellEnd"/>
      <w:r w:rsidRPr="00351E9D">
        <w:rPr>
          <w:rFonts w:ascii="Times New Roman" w:eastAsia="宋体" w:hAnsi="Times New Roman" w:cs="Times New Roman"/>
          <w:kern w:val="0"/>
          <w:szCs w:val="21"/>
        </w:rPr>
        <w:t xml:space="preserve"> proofs or phenotypes adjusted for fixed effects) as proxies for TBV. We also report Mean Squared Error (MSE) and the coefficient of determination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R</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in some cases. To assess how accuracy persisted over generations, we applied the initial models to predict GEBVs for individuals in Generations 1 through 10 and calculated the correlation in each generation. We expected static models to degrade in accuracy over time, whereas dynamic models (especially O-GBLUP) would maintain accuracy. We plotted accuracy vs. generation to visualize this.</w:t>
      </w:r>
    </w:p>
    <w:p w14:paraId="284B4500" w14:textId="5A9E3223" w:rsidR="00C41CA9" w:rsidRPr="00351E9D" w:rsidRDefault="00C41CA9" w:rsidP="00C41CA9">
      <w:pPr>
        <w:widowControl/>
        <w:numPr>
          <w:ilvl w:val="0"/>
          <w:numId w:val="7"/>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Bias and Calibration: We examined the regression of TBV on GEBV to check for prediction bias. An unbiased predictor should yield a regression coefficient </w:t>
      </w:r>
      <m:oMath>
        <m:r>
          <m:rPr>
            <m:sty m:val="p"/>
          </m:rPr>
          <w:rPr>
            <w:rFonts w:ascii="Cambria Math" w:eastAsia="等线" w:hAnsi="Cambria Math" w:cs="Times New Roman"/>
            <w:sz w:val="22"/>
            <w:szCs w:val="24"/>
            <w14:ligatures w14:val="standardContextual"/>
          </w:rPr>
          <m:t>β≈1</m:t>
        </m:r>
      </m:oMath>
      <w:r w:rsidRPr="00351E9D">
        <w:rPr>
          <w:rFonts w:ascii="Times New Roman" w:eastAsia="宋体" w:hAnsi="Times New Roman" w:cs="Times New Roman"/>
          <w:kern w:val="0"/>
          <w:szCs w:val="21"/>
        </w:rPr>
        <w:t xml:space="preserve"> (i.e., a unit change in GEBV corresponds to a unit change in TBV on average). Additive GBLUP is theoretically unbiased for additive genetic effects, while methods that perform heavy shrinkage (Bayesian or penalized regression, neural nets) often produce biased (under-dispersed) estimates, with </w:t>
      </w:r>
      <m:oMath>
        <m:r>
          <m:rPr>
            <m:sty m:val="p"/>
          </m:rPr>
          <w:rPr>
            <w:rFonts w:ascii="Cambria Math" w:eastAsia="等线" w:hAnsi="Cambria Math" w:cs="Times New Roman"/>
            <w:sz w:val="22"/>
            <w:szCs w:val="24"/>
            <w14:ligatures w14:val="standardContextual"/>
          </w:rPr>
          <m:t>β&lt;1</m:t>
        </m:r>
      </m:oMath>
      <w:r w:rsidRPr="00351E9D">
        <w:rPr>
          <w:rFonts w:ascii="Times New Roman" w:eastAsia="宋体" w:hAnsi="Times New Roman" w:cs="Times New Roman"/>
          <w:kern w:val="0"/>
          <w:szCs w:val="21"/>
        </w:rPr>
        <w:t>. We computed the slope of TBV on GEBV for each model and each generation. If epistatic variance is unaccounted for in an additive model, we anticipated that high-TBV individuals would be under-predicted, introducing bias (because their extra epistatic merit is not captured by the additive GEBV). Including epistasis in the model should reduce such bias.</w:t>
      </w:r>
    </w:p>
    <w:p w14:paraId="6AA2D02A" w14:textId="5A2DF412" w:rsidR="00C41CA9" w:rsidRPr="00351E9D" w:rsidRDefault="00C41CA9" w:rsidP="00C41CA9">
      <w:pPr>
        <w:widowControl/>
        <w:numPr>
          <w:ilvl w:val="0"/>
          <w:numId w:val="7"/>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Variance Components and Heritability Estimates: Using REML, we estimated variance components for each component of the O-GBLUP (additive, dominance, each epistatic type, and residual) on the training data, and computed the implied narrow-sense heritability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and broad-sense heritability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We tracked these estimates across generations in simulations. An important check was whether the additive variance estimate from a full model matched that from an additive-only model when epistasis was truly present. Orthogonality implies it should: for example, in Generation 0 of the Add+Epi simulation, the additive-only GBLUP gave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≈0.32</m:t>
        </m:r>
      </m:oMath>
      <w:r w:rsidRPr="00351E9D">
        <w:rPr>
          <w:rFonts w:ascii="Times New Roman" w:eastAsia="宋体" w:hAnsi="Times New Roman" w:cs="Times New Roman"/>
          <w:kern w:val="0"/>
          <w:szCs w:val="21"/>
        </w:rPr>
        <w:t xml:space="preserve">, and our O-GBLUP also estimated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≈0.30</m:t>
        </m:r>
      </m:oMath>
      <w:r w:rsidRPr="00351E9D">
        <w:rPr>
          <w:rFonts w:ascii="Times New Roman" w:eastAsia="宋体" w:hAnsi="Times New Roman" w:cs="Times New Roman"/>
          <w:kern w:val="0"/>
          <w:szCs w:val="21"/>
        </w:rPr>
        <w:t xml:space="preserve"> (with an epistatic variance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epi</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≈0.10</m:t>
        </m:r>
      </m:oMath>
      <w:r w:rsidRPr="00351E9D">
        <w:rPr>
          <w:rFonts w:ascii="Times New Roman" w:eastAsia="宋体" w:hAnsi="Times New Roman" w:cs="Times New Roman"/>
          <w:kern w:val="0"/>
          <w:szCs w:val="21"/>
        </w:rPr>
        <w:t xml:space="preserve"> making up the difference, yielding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≈0.40</m:t>
        </m:r>
      </m:oMath>
      <w:r w:rsidRPr="00351E9D">
        <w:rPr>
          <w:rFonts w:ascii="Times New Roman" w:eastAsia="宋体" w:hAnsi="Times New Roman" w:cs="Times New Roman"/>
          <w:kern w:val="0"/>
          <w:szCs w:val="21"/>
        </w:rPr>
        <w:t>). We indeed observed that adding epistasis did not “steal” variance from additive — the partition was orthogonal. The epistatic variance was essentially carved out from what the additive model had lumped into residual, leaving the additive estimate unchanged. Figure 2 illustrates this partition for Generation 0: the additive model captures 30% genetic (all additive) and treats the remaining 70% as residual (which in reality included 10% epistatic), whereas the full model partitions it into 30% additive, 10% epistasis, 60% residual.</w:t>
      </w:r>
    </w:p>
    <w:p w14:paraId="0318B9D2" w14:textId="61DCAAA3"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Figure 2: Variance component partitioning in an example scenario (Generation 0 of a simulation with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=0.30</m:t>
        </m:r>
      </m:oMath>
      <w:r w:rsidRPr="00351E9D">
        <w:rPr>
          <w:rFonts w:ascii="Times New Roman" w:eastAsia="宋体" w:hAnsi="Times New Roman" w:cs="Times New Roman"/>
          <w:kern w:val="0"/>
          <w:szCs w:val="21"/>
        </w:rPr>
        <w:t xml:space="preserve"> additive and additional epistatic variance bringing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to 0.40). Left: An additive-only GBLUP attributes all genetic variance to additive effects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≈0.30</m:t>
        </m:r>
      </m:oMath>
      <w:r w:rsidRPr="00351E9D">
        <w:rPr>
          <w:rFonts w:ascii="Times New Roman" w:eastAsia="宋体" w:hAnsi="Times New Roman" w:cs="Times New Roman"/>
          <w:kern w:val="0"/>
          <w:szCs w:val="21"/>
        </w:rPr>
        <w:t xml:space="preserve">) and the remainder to residual, effectively ignoring the epistatic variance (which is hidden in the residual). Right: The orthogonal epistasis GBLUP accurately partitions the variance into additive (~30%), epistatic (~10%), and residual (~60%). The additive variance estimate is the same in both models </w:t>
      </w:r>
      <w:r w:rsidRPr="00351E9D">
        <w:rPr>
          <w:rFonts w:ascii="Times New Roman" w:eastAsia="宋体" w:hAnsi="Times New Roman" w:cs="Times New Roman"/>
          <w:kern w:val="0"/>
          <w:szCs w:val="21"/>
        </w:rPr>
        <w:lastRenderedPageBreak/>
        <w:t>(~0.30), but the full model reveals the presence of epistasis that the additive model cannot distinguish. This orthogonal partitioning leads to consistent heritability estimates and a better understanding of the trait’s genetic architecture</w:t>
      </w:r>
      <w:r w:rsidR="00113396"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w:t>
      </w:r>
    </w:p>
    <w:p w14:paraId="669D699B" w14:textId="607A96D8"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Across generations, the O-GBLUP’s variance estimates evolved in accordance with selection. In the scenario with </w:t>
      </w:r>
      <w:proofErr w:type="spellStart"/>
      <w:r w:rsidRPr="00351E9D">
        <w:rPr>
          <w:rFonts w:ascii="Times New Roman" w:eastAsia="宋体" w:hAnsi="Times New Roman" w:cs="Times New Roman"/>
          <w:kern w:val="0"/>
          <w:szCs w:val="21"/>
        </w:rPr>
        <w:t>additive+epistasis</w:t>
      </w:r>
      <w:proofErr w:type="spellEnd"/>
      <w:r w:rsidRPr="00351E9D">
        <w:rPr>
          <w:rFonts w:ascii="Times New Roman" w:eastAsia="宋体" w:hAnsi="Times New Roman" w:cs="Times New Roman"/>
          <w:kern w:val="0"/>
          <w:szCs w:val="21"/>
        </w:rPr>
        <w:t xml:space="preserve">, the estimated additive variance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remained around 30% of phenotypic variance for the first few generations, then gradually declined to ~25% by Generation 10 as some additive variance was exhausted (several QTL became fixed). The estimated epistatic variance </w:t>
      </w:r>
      <m:oMath>
        <m:sSubSup>
          <m:sSubSupPr>
            <m:ctrlPr>
              <w:rPr>
                <w:rFonts w:ascii="Cambria Math" w:eastAsia="宋体" w:hAnsi="Cambria Math" w:cs="Times New Roman"/>
                <w:kern w:val="0"/>
                <w:szCs w:val="21"/>
              </w:rPr>
            </m:ctrlPr>
          </m:sSubSupPr>
          <m:e>
            <m:r>
              <m:rPr>
                <m:sty m:val="p"/>
              </m:rPr>
              <w:rPr>
                <w:rFonts w:ascii="Cambria Math" w:eastAsia="宋体" w:hAnsi="Cambria Math" w:cs="Times New Roman"/>
                <w:kern w:val="0"/>
                <w:szCs w:val="21"/>
              </w:rPr>
              <m:t>σ</m:t>
            </m:r>
          </m:e>
          <m:sub>
            <m:r>
              <m:rPr>
                <m:sty m:val="p"/>
              </m:rPr>
              <w:rPr>
                <w:rFonts w:ascii="Cambria Math" w:eastAsia="宋体" w:hAnsi="Cambria Math" w:cs="Times New Roman"/>
                <w:kern w:val="0"/>
                <w:szCs w:val="21"/>
              </w:rPr>
              <m:t>epi</m:t>
            </m:r>
          </m:sub>
          <m:sup>
            <m:r>
              <m:rPr>
                <m:sty m:val="p"/>
              </m:rPr>
              <w:rPr>
                <w:rFonts w:ascii="Cambria Math" w:eastAsia="宋体" w:hAnsi="Cambria Math" w:cs="Times New Roman"/>
                <w:kern w:val="0"/>
                <w:szCs w:val="21"/>
              </w:rPr>
              <m:t>2</m:t>
            </m:r>
          </m:sup>
        </m:sSubSup>
      </m:oMath>
      <w:r w:rsidRPr="00351E9D">
        <w:rPr>
          <w:rFonts w:ascii="Times New Roman" w:eastAsia="宋体" w:hAnsi="Times New Roman" w:cs="Times New Roman"/>
          <w:kern w:val="0"/>
          <w:szCs w:val="21"/>
        </w:rPr>
        <w:t xml:space="preserve"> started near 10% and decreased slightly to ~7–8% by Generation 10. This reduction makes sense: as alleles fix, certain interaction combinations are no longer segregating, thus epistatic variance can drop. Interestingly, we observed that while some specific interactions were lost (e.g., if one locus in a pair fixed, that pair no longer contributes variance), the proportion of remaining genetic variance that was epistatic tended to increase after several generations. By Generation 10, for instance, additive variance might be only ~0.20 of phenotypic variance while epistasis is ~0.06, so epistasis constitutes ~23% of the genetic variance, higher than the initial 17%. This suggests that as additive variance is picked off by selection, the relative importance of interactions can become more pronounced among the genetic variation that remains. The dominance variance in our simulations was generally small; in the scenario that included dominance,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d</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was ~0.05 initially (matching the truth) and fell to ~0.02 by Gen 10 as favorable dominant alleles fixed (reducing heterozygosity and thus dominance variation). The model was able to estimate even this small dominance component with reasonable accuracy. In scenarios where no dominance was simulated, O-GBLUP rightly estimated </w:t>
      </w:r>
      <w:bookmarkStart w:id="9" w:name="_Hlk204348393"/>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d</m:t>
            </m:r>
          </m:sub>
          <m:sup>
            <m:r>
              <m:rPr>
                <m:sty m:val="p"/>
              </m:rPr>
              <w:rPr>
                <w:rFonts w:ascii="Cambria Math" w:eastAsia="等线" w:hAnsi="Cambria Math" w:cs="Times New Roman"/>
                <w:sz w:val="22"/>
                <w:szCs w:val="24"/>
                <w14:ligatures w14:val="standardContextual"/>
              </w:rPr>
              <m:t>2</m:t>
            </m:r>
          </m:sup>
        </m:sSubSup>
        <w:bookmarkEnd w:id="9"/>
        <m:r>
          <m:rPr>
            <m:sty m:val="p"/>
          </m:rPr>
          <w:rPr>
            <w:rFonts w:ascii="Cambria Math" w:eastAsia="等线" w:hAnsi="Cambria Math" w:cs="Times New Roman"/>
            <w:sz w:val="22"/>
            <w:szCs w:val="24"/>
            <w14:ligatures w14:val="standardContextual"/>
          </w:rPr>
          <m:t>≈0</m:t>
        </m:r>
      </m:oMath>
      <w:r w:rsidRPr="00351E9D">
        <w:rPr>
          <w:rFonts w:ascii="Times New Roman" w:eastAsia="宋体" w:hAnsi="Times New Roman" w:cs="Times New Roman"/>
          <w:kern w:val="0"/>
          <w:szCs w:val="21"/>
        </w:rPr>
        <w:t>.</w:t>
      </w:r>
    </w:p>
    <w:p w14:paraId="3FE9419E" w14:textId="72949BCE" w:rsidR="00C41CA9" w:rsidRPr="00351E9D" w:rsidRDefault="00C41CA9" w:rsidP="00C41CA9">
      <w:pPr>
        <w:widowControl/>
        <w:spacing w:before="100" w:beforeAutospacing="1" w:after="100" w:afterAutospacing="1"/>
        <w:rPr>
          <w:rFonts w:ascii="Times New Roman" w:eastAsia="宋体" w:hAnsi="Times New Roman" w:cs="Times New Roman" w:hint="eastAsia"/>
          <w:kern w:val="0"/>
          <w:szCs w:val="21"/>
        </w:rPr>
      </w:pPr>
      <w:r w:rsidRPr="00351E9D">
        <w:rPr>
          <w:rFonts w:ascii="Times New Roman" w:eastAsia="宋体" w:hAnsi="Times New Roman" w:cs="Times New Roman"/>
          <w:kern w:val="0"/>
          <w:szCs w:val="21"/>
        </w:rPr>
        <w:t xml:space="preserve">One hallmark of our approach is that it preserves the narrow-sense heritability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estimate even when epistasis is present. In Generation 0 of the </w:t>
      </w:r>
      <w:proofErr w:type="spellStart"/>
      <w:r w:rsidRPr="00351E9D">
        <w:rPr>
          <w:rFonts w:ascii="Times New Roman" w:eastAsia="宋体" w:hAnsi="Times New Roman" w:cs="Times New Roman"/>
          <w:kern w:val="0"/>
          <w:szCs w:val="21"/>
        </w:rPr>
        <w:t>Add+Epi</w:t>
      </w:r>
      <w:proofErr w:type="spellEnd"/>
      <w:r w:rsidRPr="00351E9D">
        <w:rPr>
          <w:rFonts w:ascii="Times New Roman" w:eastAsia="宋体" w:hAnsi="Times New Roman" w:cs="Times New Roman"/>
          <w:kern w:val="0"/>
          <w:szCs w:val="21"/>
        </w:rPr>
        <w:t xml:space="preserve"> scenario, the additive-only GBLUP estimated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≈0.32</m:t>
        </m:r>
      </m:oMath>
      <w:r w:rsidRPr="00351E9D">
        <w:rPr>
          <w:rFonts w:ascii="Times New Roman" w:eastAsia="宋体" w:hAnsi="Times New Roman" w:cs="Times New Roman"/>
          <w:kern w:val="0"/>
          <w:szCs w:val="21"/>
        </w:rPr>
        <w:t xml:space="preserve"> (close to the true 0.30) but of course attributed all genetic variance to additive. The full model estimated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a</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contributing ~30% of phenotypic variance and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epi</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about 10%, with residual ~60%, giving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≈0.40</m:t>
        </m:r>
      </m:oMath>
      <w:r w:rsidRPr="00351E9D">
        <w:rPr>
          <w:rFonts w:ascii="Times New Roman" w:eastAsia="宋体" w:hAnsi="Times New Roman" w:cs="Times New Roman"/>
          <w:kern w:val="0"/>
          <w:szCs w:val="21"/>
        </w:rPr>
        <w:t>. Crucially, the additive variance estimate was virtually identical between the models (~0.30 of phenotypic variance in both cases). The inclusion of epistasis simply reallocated some variance from the residual to the epistatic component, leaving the additive estimate unchanged</w:t>
      </w:r>
      <w:r w:rsidR="0070552E"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The epistatic variance was essentially carved out from what the additive model had lumped into residual. The additive model, not recognizing interactions, had inadvertently absorbed that 10% into the noise. By contrast, O-GBLUP revealed it explicitly, without altering the additive term. This empirically confirms the orthogonality: adding the epistatic GRM did not bias the additive genetic evaluation – it cleanly captured the interaction variance that the additive model could not model.</w:t>
      </w:r>
    </w:p>
    <w:p w14:paraId="728720DD" w14:textId="2C6198B1"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lastRenderedPageBreak/>
        <w:t xml:space="preserve">We also investigated how the total genetic variance changed under selection. As expected, both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and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declined over generations due to the fixation of alleles and accompanying loss of genetic variation. The additive-only model, which only tracks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showed a modest decline (e.g., from 0.32 to ~0.26 by Gen 10 in one replicate). The full model, tracking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showed a larger absolute decline (from ~0.40 to ~0.33 by Gen 10 in that replicate) as both additive and epistatic variances were depleted. Notably, because the additive-only model cannot separate epistatic variance, it underestimates the true broad-sense heritability. In Gen 0, it would report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≈0.32</m:t>
        </m:r>
      </m:oMath>
      <w:r w:rsidRPr="00351E9D">
        <w:rPr>
          <w:rFonts w:ascii="Times New Roman" w:eastAsia="宋体" w:hAnsi="Times New Roman" w:cs="Times New Roman"/>
          <w:kern w:val="0"/>
          <w:szCs w:val="21"/>
        </w:rPr>
        <w:t xml:space="preserve"> (thinking all genetic variance is additive), whereas the true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was 0.40. This underestimation would mislead a breeder about the trait’s total genetic potential. The O-GBLUP, on the other hand, correctly identified the broad-sense heritability and partitioned it. Over time, as selection depleted additive variance, the additive-only model might show a relatively stable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(because any epistatic variance gets converted into apparent additive variance due to the Bulmer effect). In our runs, the additive model’s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stayed around 0.28 in later generations even though the true remaining genetic variance (including interactions) was ~0.33 of phenotypic. O-GBLUP captured that the ratio of total genetic variance was still higher (broad-sense). This has implications: using an additive model alone might give the false impression that the heritability (and hence selection response potential) is lower than it actually is, or conversely might mask that some of the “additive” variance is not stably heritable (being in epistatic form). The orthogonal model provides clarity by distinguishing what part of the variance is reliably transmittable (additive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versus context-dependent or specific to combinations (epistasis).</w:t>
      </w:r>
    </w:p>
    <w:p w14:paraId="4504AFA7" w14:textId="783C1CA9"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In the G×E simulations, the reaction norm model estimated an environmental slope variance significantly above zero when we had simulated environment-specific QTL effects. For instance, in one scenario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≈0.4</m:t>
        </m:r>
      </m:oMath>
      <w:r w:rsidRPr="00351E9D">
        <w:rPr>
          <w:rFonts w:ascii="Times New Roman" w:eastAsia="宋体" w:hAnsi="Times New Roman" w:cs="Times New Roman"/>
          <w:kern w:val="0"/>
          <w:szCs w:val="21"/>
        </w:rPr>
        <w:t xml:space="preserve"> overall, composed of 0.3 from genetic intercept and 0.1 from G×E (slope) variance. The model captured that with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g0</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≈0.30</m:t>
        </m:r>
      </m:oMath>
      <w:r w:rsidRPr="00351E9D">
        <w:rPr>
          <w:rFonts w:ascii="Times New Roman" w:eastAsia="宋体" w:hAnsi="Times New Roman" w:cs="Times New Roman"/>
          <w:kern w:val="0"/>
          <w:szCs w:val="21"/>
        </w:rPr>
        <w:t xml:space="preserve"> and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gE</m:t>
            </m:r>
          </m:sub>
          <m:sup>
            <m:r>
              <m:rPr>
                <m:sty m:val="p"/>
              </m:rPr>
              <w:rPr>
                <w:rFonts w:ascii="Cambria Math" w:eastAsia="等线" w:hAnsi="Cambria Math" w:cs="Times New Roman"/>
                <w:sz w:val="22"/>
                <w:szCs w:val="24"/>
                <w14:ligatures w14:val="standardContextual"/>
              </w:rPr>
              <m:t>2</m:t>
            </m:r>
          </m:sup>
        </m:sSubSup>
        <m:r>
          <m:rPr>
            <m:sty m:val="p"/>
          </m:rPr>
          <w:rPr>
            <w:rFonts w:ascii="Cambria Math" w:eastAsia="等线" w:hAnsi="Cambria Math" w:cs="Times New Roman"/>
            <w:sz w:val="22"/>
            <w:szCs w:val="24"/>
            <w14:ligatures w14:val="standardContextual"/>
          </w:rPr>
          <m:t>≈0.10</m:t>
        </m:r>
      </m:oMath>
      <w:r w:rsidRPr="00351E9D">
        <w:rPr>
          <w:rFonts w:ascii="Times New Roman" w:eastAsia="宋体" w:hAnsi="Times New Roman" w:cs="Times New Roman"/>
          <w:kern w:val="0"/>
          <w:szCs w:val="21"/>
        </w:rPr>
        <w:t xml:space="preserve">, and a genetic correlation </w:t>
      </w:r>
      <m:oMath>
        <m:r>
          <m:rPr>
            <m:sty m:val="p"/>
          </m:rPr>
          <w:rPr>
            <w:rFonts w:ascii="Cambria Math" w:eastAsia="等线" w:hAnsi="Cambria Math" w:cs="Times New Roman"/>
            <w:sz w:val="22"/>
            <w:szCs w:val="24"/>
            <w14:ligatures w14:val="standardContextual"/>
          </w:rPr>
          <m:t>ρ≈0</m:t>
        </m:r>
      </m:oMath>
      <w:r w:rsidRPr="00351E9D">
        <w:rPr>
          <w:rFonts w:ascii="Times New Roman" w:eastAsia="宋体" w:hAnsi="Times New Roman" w:cs="Times New Roman"/>
          <w:kern w:val="0"/>
          <w:szCs w:val="21"/>
        </w:rPr>
        <w:t xml:space="preserve"> (we had set it to 0). As a result, the genetic variance in a high environment vs. a low environment differed (since one adds </w:t>
      </w:r>
      <m:oMath>
        <m:r>
          <m:rPr>
            <m:sty m:val="p"/>
          </m:rPr>
          <w:rPr>
            <w:rFonts w:ascii="Cambria Math" w:eastAsia="等线" w:hAnsi="Cambria Math" w:cs="Times New Roman"/>
            <w:sz w:val="22"/>
            <w:szCs w:val="24"/>
            <w14:ligatures w14:val="standardContextual"/>
          </w:rPr>
          <m:t>±</m:t>
        </m:r>
      </m:oMath>
      <w:r w:rsidRPr="00351E9D">
        <w:rPr>
          <w:rFonts w:ascii="Times New Roman" w:eastAsia="宋体" w:hAnsi="Times New Roman" w:cs="Times New Roman"/>
          <w:kern w:val="0"/>
          <w:szCs w:val="21"/>
        </w:rPr>
        <w:t xml:space="preserve"> the covariance). We observed that the accuracy of environment-specific predictions was much higher with the reaction norm model than with a model that ignored G×E. For a new environment not in the training set, the standard GBLUP (which assumes</w:t>
      </w:r>
      <w:r w:rsidR="000021CE" w:rsidRPr="00351E9D">
        <w:rPr>
          <w:rFonts w:ascii="Times New Roman" w:eastAsia="宋体" w:hAnsi="Times New Roman" w:cs="Times New Roman" w:hint="eastAsia"/>
          <w:kern w:val="0"/>
          <w:szCs w:val="21"/>
        </w:rPr>
        <w:t xml:space="preserve"> </w:t>
      </w:r>
      <m:oMath>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g</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iE</m:t>
            </m:r>
          </m:sub>
        </m:sSub>
        <m:r>
          <m:rPr>
            <m:sty m:val="p"/>
          </m:rPr>
          <w:rPr>
            <w:rFonts w:ascii="Cambria Math" w:eastAsia="等线" w:hAnsi="Cambria Math" w:cs="Times New Roman"/>
            <w:sz w:val="22"/>
            <w:szCs w:val="24"/>
            <w14:ligatures w14:val="standardContextual"/>
          </w:rPr>
          <m:t>=0</m:t>
        </m:r>
      </m:oMath>
      <w:r w:rsidRPr="00351E9D">
        <w:rPr>
          <w:rFonts w:ascii="Times New Roman" w:eastAsia="宋体" w:hAnsi="Times New Roman" w:cs="Times New Roman"/>
          <w:kern w:val="0"/>
          <w:szCs w:val="21"/>
        </w:rPr>
        <w:t xml:space="preserve"> for all </w:t>
      </w:r>
      <w:proofErr w:type="spellStart"/>
      <w:r w:rsidRPr="00351E9D">
        <w:rPr>
          <w:rFonts w:ascii="Times New Roman" w:eastAsia="宋体" w:hAnsi="Times New Roman" w:cs="Times New Roman"/>
          <w:kern w:val="0"/>
          <w:szCs w:val="21"/>
        </w:rPr>
        <w:t>i</w:t>
      </w:r>
      <w:proofErr w:type="spellEnd"/>
      <w:r w:rsidRPr="00351E9D">
        <w:rPr>
          <w:rFonts w:ascii="Times New Roman" w:eastAsia="宋体" w:hAnsi="Times New Roman" w:cs="Times New Roman"/>
          <w:kern w:val="0"/>
          <w:szCs w:val="21"/>
        </w:rPr>
        <w:t>) had a correlation around 0.4 with true performance, whereas the reaction norm GEBV</w:t>
      </w:r>
      <m:oMath>
        <m:r>
          <m:rPr>
            <m:sty m:val="p"/>
          </m:rPr>
          <w:rPr>
            <w:rFonts w:ascii="Cambria Math" w:eastAsia="等线" w:hAnsi="Cambria Math" w:cs="Times New Roman"/>
            <w:sz w:val="22"/>
            <w:szCs w:val="24"/>
            <w14:ligatures w14:val="standardContextual"/>
          </w:rPr>
          <m:t>,(E)</m:t>
        </m:r>
      </m:oMath>
      <w:r w:rsidRPr="00351E9D">
        <w:rPr>
          <w:rFonts w:ascii="Times New Roman" w:eastAsia="宋体" w:hAnsi="Times New Roman" w:cs="Times New Roman"/>
          <w:kern w:val="0"/>
          <w:szCs w:val="21"/>
        </w:rPr>
        <w:t xml:space="preserve"> had a correlation ~0.5 (a 25% improvement). This is in line with previous findings in crop genomic selection where accounting for G×E can boost accuracy by ~20%</w:t>
      </w:r>
      <w:r w:rsidR="00E94EE6"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Our results emphasize that if individuals’ performance ranks change across environments, explicitly modeling that heterogeneity is beneficial.</w:t>
      </w:r>
    </w:p>
    <w:p w14:paraId="5FD36CC3" w14:textId="293E5A74"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We validated our variance partitioning approach on an actual dataset from pig breeding (using literature values): </w:t>
      </w: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et al. (2018) analyzed litter size in pigs using a similar orthogonal partition approach and reported that additive variance was </w:t>
      </w:r>
      <m:oMath>
        <m:r>
          <m:rPr>
            <m:sty m:val="p"/>
          </m:rPr>
          <w:rPr>
            <w:rFonts w:ascii="Cambria Math" w:eastAsia="宋体" w:hAnsi="Cambria Math" w:cs="Times New Roman"/>
            <w:kern w:val="0"/>
            <w:szCs w:val="21"/>
          </w:rPr>
          <m:t>~</m:t>
        </m:r>
      </m:oMath>
      <w:r w:rsidRPr="00351E9D">
        <w:rPr>
          <w:rFonts w:ascii="Times New Roman" w:eastAsia="宋体" w:hAnsi="Times New Roman" w:cs="Times New Roman"/>
          <w:kern w:val="0"/>
          <w:szCs w:val="21"/>
        </w:rPr>
        <w:t xml:space="preserve">9% of phenotypic variance, dominance ~2%, epistasis ~4%, so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≈0.15</m:t>
        </m:r>
      </m:oMath>
      <w:r w:rsidR="00C616C7" w:rsidRPr="00351E9D">
        <w:rPr>
          <w:rFonts w:ascii="Times New Roman" w:eastAsia="宋体" w:hAnsi="Times New Roman" w:cs="Times New Roman" w:hint="eastAsia"/>
          <w:kern w:val="0"/>
          <w:szCs w:val="21"/>
        </w:rPr>
        <w:t xml:space="preserve"> [13]</w:t>
      </w:r>
      <w:r w:rsidRPr="00351E9D">
        <w:rPr>
          <w:rFonts w:ascii="Times New Roman" w:eastAsia="宋体" w:hAnsi="Times New Roman" w:cs="Times New Roman"/>
          <w:kern w:val="0"/>
          <w:szCs w:val="21"/>
        </w:rPr>
        <w:t xml:space="preserve">. They also noted that including epistasis in the prediction </w:t>
      </w:r>
      <w:r w:rsidRPr="00351E9D">
        <w:rPr>
          <w:rFonts w:ascii="Times New Roman" w:eastAsia="宋体" w:hAnsi="Times New Roman" w:cs="Times New Roman"/>
          <w:kern w:val="0"/>
          <w:szCs w:val="21"/>
        </w:rPr>
        <w:lastRenderedPageBreak/>
        <w:t xml:space="preserve">model did not materially improve accuracy for that trait, likely because the epistatic variance (4%) was modest and hard to estimate with limited data. Our own analysis of that dataset (using their reported variance components) mirrored this: the O-GBLUP would in such a case identify those small variance components (if data allow) but one might choose to leave them out if they don’t improve accuracy. The strength of our method is that it can quantify these components. For instance, if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epi</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is moderate and improves likelihood significantly, that’s a sign that incorporating interactions is beneficial – both for interpretation and potentially for selection decisions. Conversely, if </w:t>
      </w:r>
      <m:oMath>
        <m:sSubSup>
          <m:sSubSupPr>
            <m:ctrlPr>
              <w:rPr>
                <w:rFonts w:ascii="Cambria Math" w:eastAsia="等线" w:hAnsi="Cambria Math" w:cs="Times New Roman"/>
                <w:sz w:val="22"/>
                <w:szCs w:val="24"/>
                <w14:ligatures w14:val="standardContextual"/>
              </w:rPr>
            </m:ctrlPr>
          </m:sSub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σ</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epi</m:t>
            </m:r>
          </m:sub>
          <m:sup>
            <m:r>
              <m:rPr>
                <m:sty m:val="p"/>
              </m:rPr>
              <w:rPr>
                <w:rFonts w:ascii="Cambria Math" w:eastAsia="等线" w:hAnsi="Cambria Math" w:cs="Times New Roman"/>
                <w:sz w:val="22"/>
                <w:szCs w:val="24"/>
                <w14:ligatures w14:val="standardContextual"/>
              </w:rPr>
              <m:t>2</m:t>
            </m:r>
          </m:sup>
        </m:sSubSup>
      </m:oMath>
      <w:r w:rsidRPr="00351E9D">
        <w:rPr>
          <w:rFonts w:ascii="Times New Roman" w:eastAsia="宋体" w:hAnsi="Times New Roman" w:cs="Times New Roman"/>
          <w:kern w:val="0"/>
          <w:szCs w:val="21"/>
        </w:rPr>
        <w:t xml:space="preserve"> is near zero, the model essentially reverts to additive and no harm is done (the epistatic effects get shrunk out and additive estimates remain unchanged). We indeed observed that in an additive-only architecture, O-GBLUP simply estimated zero epistatic variance and its GEBVs matched those of additive GBLUP.</w:t>
      </w:r>
    </w:p>
    <w:p w14:paraId="4D005F8A" w14:textId="3168028A"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Computational Performance and Scalability: We next address the computational feasibility of including epistasis for high-dimensional genomic data. Our optimized implementation made it possible to fit the full O-GBLUP to tens of thousands of markers and thousands of individuals on standard computing hardware. Figure 3 compares the runtime (on a log–log scale) of our method for constructing the epistatic GRM versus a hypothetical brute-force approach, as a function of marker number M.</w:t>
      </w:r>
    </w:p>
    <w:p w14:paraId="225DFDC9" w14:textId="03CABEFF"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Figure 3: Computational scaling of epistasis kernel construction with the number of markers (M). The blue line (quadratic scaling) illustrates the hypothetical runtime of an explicit pairwise interaction enumeration (O(M</w:t>
      </w:r>
      <w:r w:rsidRPr="00351E9D">
        <w:rPr>
          <w:rFonts w:ascii="Times New Roman" w:eastAsia="宋体" w:hAnsi="Times New Roman" w:cs="Times New Roman"/>
          <w:kern w:val="0"/>
          <w:szCs w:val="21"/>
          <w:vertAlign w:val="superscript"/>
        </w:rPr>
        <w:t>2</w:t>
      </w:r>
      <w:r w:rsidRPr="00351E9D">
        <w:rPr>
          <w:rFonts w:ascii="Times New Roman" w:eastAsia="宋体" w:hAnsi="Times New Roman" w:cs="Times New Roman"/>
          <w:kern w:val="0"/>
          <w:szCs w:val="21"/>
        </w:rPr>
        <w:t xml:space="preserve">) complexity), which becomes infeasible for large M. The orange line (linear scaling) shows the runtime of our optimized Hadamard-product approach (O(M) complexity after computing the base GRMs). Data points (circles for naive, squares for optimized) are shown for </w:t>
      </w:r>
      <m:oMath>
        <m:r>
          <m:rPr>
            <m:sty m:val="p"/>
          </m:rPr>
          <w:rPr>
            <w:rFonts w:ascii="Cambria Math" w:eastAsia="等线" w:hAnsi="Cambria Math" w:cs="Times New Roman"/>
            <w:sz w:val="22"/>
            <w:szCs w:val="24"/>
            <w14:ligatures w14:val="standardContextual"/>
          </w:rPr>
          <m:t>M=</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10</m:t>
            </m:r>
          </m:e>
          <m:sup>
            <m:r>
              <m:rPr>
                <m:sty m:val="p"/>
              </m:rPr>
              <w:rPr>
                <w:rFonts w:ascii="Cambria Math" w:eastAsia="等线" w:hAnsi="Cambria Math" w:cs="Times New Roman"/>
                <w:sz w:val="22"/>
                <w:szCs w:val="24"/>
                <w14:ligatures w14:val="standardContextual"/>
              </w:rPr>
              <m:t>4</m:t>
            </m:r>
          </m:sup>
        </m:sSup>
        <m:r>
          <m:rPr>
            <m:sty m:val="p"/>
          </m:rPr>
          <w:rPr>
            <w:rFonts w:ascii="Cambria Math" w:eastAsia="等线" w:hAnsi="Cambria Math" w:cs="Times New Roman"/>
            <w:sz w:val="22"/>
            <w:szCs w:val="24"/>
            <w14:ligatures w14:val="standardContextual"/>
          </w:rPr>
          <m:t>,5×</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10</m:t>
            </m:r>
          </m:e>
          <m:sup>
            <m:r>
              <m:rPr>
                <m:sty m:val="p"/>
              </m:rPr>
              <w:rPr>
                <w:rFonts w:ascii="Cambria Math" w:eastAsia="等线" w:hAnsi="Cambria Math" w:cs="Times New Roman"/>
                <w:sz w:val="22"/>
                <w:szCs w:val="24"/>
                <w14:ligatures w14:val="standardContextual"/>
              </w:rPr>
              <m:t>4</m:t>
            </m:r>
          </m:sup>
        </m:sSup>
        <m:r>
          <m:rPr>
            <m:sty m:val="p"/>
          </m:rPr>
          <w:rPr>
            <w:rFonts w:ascii="Cambria Math" w:eastAsia="等线" w:hAnsi="Cambria Math" w:cs="Times New Roman"/>
            <w:sz w:val="22"/>
            <w:szCs w:val="24"/>
            <w14:ligatures w14:val="standardContextual"/>
          </w:rPr>
          <m:t>,</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10</m:t>
            </m:r>
          </m:e>
          <m:sup>
            <m:r>
              <m:rPr>
                <m:sty m:val="p"/>
              </m:rPr>
              <w:rPr>
                <w:rFonts w:ascii="Cambria Math" w:eastAsia="等线" w:hAnsi="Cambria Math" w:cs="Times New Roman"/>
                <w:sz w:val="22"/>
                <w:szCs w:val="24"/>
                <w14:ligatures w14:val="standardContextual"/>
              </w:rPr>
              <m:t>5</m:t>
            </m:r>
          </m:sup>
        </m:sSup>
      </m:oMath>
      <w:r w:rsidRPr="00351E9D">
        <w:rPr>
          <w:rFonts w:ascii="Times New Roman" w:eastAsia="宋体" w:hAnsi="Times New Roman" w:cs="Times New Roman"/>
          <w:kern w:val="0"/>
          <w:szCs w:val="21"/>
        </w:rPr>
        <w:t xml:space="preserve"> markers (assuming N=1000 individuals), with runtimes based on extrapolation from our implementation. The optimized approach is vastly more efficient: for example, at M=50,000, the naive method would require on the order of </w:t>
      </w:r>
      <m:oMath>
        <m:r>
          <m:rPr>
            <m:sty m:val="p"/>
          </m:rPr>
          <w:rPr>
            <w:rFonts w:ascii="Cambria Math" w:eastAsia="等线" w:hAnsi="Cambria Math" w:cs="Times New Roman"/>
            <w:sz w:val="22"/>
            <w:szCs w:val="24"/>
            <w14:ligatures w14:val="standardContextual"/>
          </w:rPr>
          <m:t>2.5×</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10</m:t>
            </m:r>
          </m:e>
          <m:sup>
            <m:r>
              <m:rPr>
                <m:sty m:val="p"/>
              </m:rPr>
              <w:rPr>
                <w:rFonts w:ascii="Cambria Math" w:eastAsia="等线" w:hAnsi="Cambria Math" w:cs="Times New Roman"/>
                <w:sz w:val="22"/>
                <w:szCs w:val="24"/>
                <w14:ligatures w14:val="standardContextual"/>
              </w:rPr>
              <m:t>3</m:t>
            </m:r>
          </m:sup>
        </m:sSup>
      </m:oMath>
      <w:r w:rsidRPr="00351E9D">
        <w:rPr>
          <w:rFonts w:ascii="Times New Roman" w:eastAsia="宋体" w:hAnsi="Times New Roman" w:cs="Times New Roman"/>
          <w:kern w:val="0"/>
          <w:szCs w:val="21"/>
        </w:rPr>
        <w:t xml:space="preserve"> seconds (~0.7 hours) to compute and store all pairwise interactions, whereas the optimized method takes on the order of 10</w:t>
      </w:r>
      <w:r w:rsidRPr="00351E9D">
        <w:rPr>
          <w:rFonts w:ascii="Times New Roman" w:eastAsia="宋体" w:hAnsi="Times New Roman" w:cs="Times New Roman"/>
          <w:kern w:val="0"/>
          <w:szCs w:val="21"/>
          <w:vertAlign w:val="superscript"/>
        </w:rPr>
        <w:t>2</w:t>
      </w:r>
      <w:r w:rsidRPr="00351E9D">
        <w:rPr>
          <w:rFonts w:ascii="Times New Roman" w:eastAsia="宋体" w:hAnsi="Times New Roman" w:cs="Times New Roman"/>
          <w:kern w:val="0"/>
          <w:szCs w:val="21"/>
        </w:rPr>
        <w:t xml:space="preserve"> seconds (a few minutes)</w:t>
      </w:r>
      <w:r w:rsidR="00AB5185"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At M=100,000, the brute force time would scale to many hours, while the optimized method completes in a few minutes. Memory usage is likewise reduced from O(M</w:t>
      </w:r>
      <w:r w:rsidRPr="00351E9D">
        <w:rPr>
          <w:rFonts w:ascii="Times New Roman" w:eastAsia="宋体" w:hAnsi="Times New Roman" w:cs="Times New Roman"/>
          <w:kern w:val="0"/>
          <w:szCs w:val="21"/>
          <w:vertAlign w:val="superscript"/>
        </w:rPr>
        <w:t>2</w:t>
      </w:r>
      <w:r w:rsidRPr="00351E9D">
        <w:rPr>
          <w:rFonts w:ascii="Times New Roman" w:eastAsia="宋体" w:hAnsi="Times New Roman" w:cs="Times New Roman"/>
          <w:kern w:val="0"/>
          <w:szCs w:val="21"/>
        </w:rPr>
        <w:t>) (prohibitive for large M) to O(N</w:t>
      </w:r>
      <w:r w:rsidRPr="00351E9D">
        <w:rPr>
          <w:rFonts w:ascii="Times New Roman" w:eastAsia="宋体" w:hAnsi="Times New Roman" w:cs="Times New Roman"/>
          <w:kern w:val="0"/>
          <w:szCs w:val="21"/>
          <w:vertAlign w:val="superscript"/>
        </w:rPr>
        <w:t>2</w:t>
      </w:r>
      <w:r w:rsidRPr="00351E9D">
        <w:rPr>
          <w:rFonts w:ascii="Times New Roman" w:eastAsia="宋体" w:hAnsi="Times New Roman" w:cs="Times New Roman"/>
          <w:kern w:val="0"/>
          <w:szCs w:val="21"/>
        </w:rPr>
        <w:t>) for storing each GRM (which for N=1000 is only 1e6 entries). These results demonstrate that the inclusion of epistasis is computationally tractable for high-density SNP data using our approach.</w:t>
      </w:r>
    </w:p>
    <w:p w14:paraId="0ADDDAE5" w14:textId="1A19B336"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Concretely, in our experiments with </w:t>
      </w:r>
      <m:oMath>
        <m:r>
          <m:rPr>
            <m:sty m:val="p"/>
          </m:rPr>
          <w:rPr>
            <w:rFonts w:ascii="Cambria Math" w:eastAsia="等线" w:hAnsi="Cambria Math" w:cs="Times New Roman"/>
            <w:sz w:val="22"/>
            <w:szCs w:val="24"/>
            <w14:ligatures w14:val="standardContextual"/>
          </w:rPr>
          <m:t>N≈1000</m:t>
        </m:r>
      </m:oMath>
      <w:r w:rsidRPr="00351E9D">
        <w:rPr>
          <w:rFonts w:ascii="Times New Roman" w:eastAsia="宋体" w:hAnsi="Times New Roman" w:cs="Times New Roman"/>
          <w:kern w:val="0"/>
          <w:szCs w:val="21"/>
        </w:rPr>
        <w:t xml:space="preserve"> and M = 50,000, computing the additive GRM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(via </w:t>
      </w:r>
      <m:oMath>
        <m:r>
          <m:rPr>
            <m:sty m:val="p"/>
          </m:rPr>
          <w:rPr>
            <w:rFonts w:ascii="Cambria Math" w:eastAsia="等线" w:hAnsi="Cambria Math" w:cs="Times New Roman"/>
            <w:sz w:val="22"/>
            <w:szCs w:val="24"/>
            <w14:ligatures w14:val="standardContextual"/>
          </w:rPr>
          <m:t>X</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X</m:t>
            </m:r>
          </m:e>
          <m:sup>
            <m:r>
              <m:rPr>
                <m:sty m:val="p"/>
              </m:rPr>
              <w:rPr>
                <w:rFonts w:ascii="Cambria Math" w:eastAsia="等线" w:hAnsi="Cambria Math" w:cs="Times New Roman"/>
                <w:sz w:val="22"/>
                <w:szCs w:val="24"/>
                <w14:ligatures w14:val="standardContextual"/>
              </w:rPr>
              <m:t>'</m:t>
            </m:r>
          </m:sup>
        </m:sSup>
      </m:oMath>
      <w:r w:rsidRPr="00351E9D">
        <w:rPr>
          <w:rFonts w:ascii="Times New Roman" w:eastAsia="宋体" w:hAnsi="Times New Roman" w:cs="Times New Roman"/>
          <w:kern w:val="0"/>
          <w:szCs w:val="21"/>
        </w:rPr>
        <w:t xml:space="preserve">) took a few seconds using parallelized linear algebra, computing the dominance GRM </w:t>
      </w:r>
      <m:oMath>
        <m:r>
          <m:rPr>
            <m:sty m:val="p"/>
          </m:rPr>
          <w:rPr>
            <w:rFonts w:ascii="Cambria Math" w:eastAsia="等线" w:hAnsi="Cambria Math" w:cs="Times New Roman"/>
            <w:sz w:val="22"/>
            <w:szCs w:val="24"/>
            <w14:ligatures w14:val="standardContextual"/>
          </w:rPr>
          <m:t>D</m:t>
        </m:r>
      </m:oMath>
      <w:r w:rsidRPr="00351E9D">
        <w:rPr>
          <w:rFonts w:ascii="Times New Roman" w:eastAsia="宋体" w:hAnsi="Times New Roman" w:cs="Times New Roman"/>
          <w:kern w:val="0"/>
          <w:szCs w:val="21"/>
        </w:rPr>
        <w:t xml:space="preserve"> similarly a few seconds, and then computing the epistatic GRMs via element-wise multiplication of matrices took on the order of 10–20 seconds for each (with efficient vectorized operations in NumPy). The REML solving of the mixed model equations was the next computational hurdle: solving the MME for O-GBLUP involves a system of dimension equal to the number of variance components (here up to 5) plus the number of individuals. We used a direct sparse solver and also an Average Information REML algorithm, which converged in ~15 iterations. The overall time to fit the O-GBLUP for N=1000, M=50k was on the order of 1–2 minutes. For comparison, fitting the </w:t>
      </w:r>
      <w:r w:rsidRPr="00351E9D">
        <w:rPr>
          <w:rFonts w:ascii="Times New Roman" w:eastAsia="宋体" w:hAnsi="Times New Roman" w:cs="Times New Roman"/>
          <w:kern w:val="0"/>
          <w:szCs w:val="21"/>
        </w:rPr>
        <w:lastRenderedPageBreak/>
        <w:t xml:space="preserve">additive GBLUP took a few seconds,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(with 5000 MCMC iterations) took a few minutes, boosting took a few seconds, and a single epoch of training a deep neural net took several seconds (with dozens of epochs needed). Thus, O-GBLUP is certainly feasible at this data scale. Even for larger datasets, say N=10,000, if using a dense GRM the memory for </w:t>
      </w:r>
      <m:oMath>
        <m:r>
          <m:rPr>
            <m:sty m:val="p"/>
          </m:rPr>
          <w:rPr>
            <w:rFonts w:ascii="Cambria Math" w:eastAsia="等线" w:hAnsi="Cambria Math" w:cs="Times New Roman"/>
            <w:sz w:val="22"/>
            <w:szCs w:val="24"/>
            <w14:ligatures w14:val="standardContextual"/>
          </w:rPr>
          <m:t>N</m:t>
        </m:r>
        <w:bookmarkStart w:id="10" w:name="_Hlk204351329"/>
        <m:r>
          <m:rPr>
            <m:sty m:val="p"/>
          </m:rPr>
          <w:rPr>
            <w:rFonts w:ascii="Cambria Math" w:eastAsia="等线" w:hAnsi="Cambria Math" w:cs="Times New Roman"/>
            <w:sz w:val="22"/>
            <w:szCs w:val="24"/>
            <w14:ligatures w14:val="standardContextual"/>
          </w:rPr>
          <m:t>×N</m:t>
        </m:r>
      </m:oMath>
      <w:bookmarkEnd w:id="10"/>
      <w:r w:rsidRPr="00351E9D">
        <w:rPr>
          <w:rFonts w:ascii="Times New Roman" w:eastAsia="宋体" w:hAnsi="Times New Roman" w:cs="Times New Roman"/>
          <w:kern w:val="0"/>
          <w:szCs w:val="21"/>
        </w:rPr>
        <w:t xml:space="preserve"> is about 800 MB (for double precision), which is high but manageable on a big server; computationally, operations on a 10k×10k matrix can still be done within minutes using optimized libraries. If N becomes extremely large (100k or more, e.g. national evaluations), one would switch to approximations (like using a subset of core animals to invert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oMath>
      <w:r w:rsidRPr="00351E9D">
        <w:rPr>
          <w:rFonts w:ascii="Times New Roman" w:eastAsia="宋体" w:hAnsi="Times New Roman" w:cs="Times New Roman"/>
          <w:kern w:val="0"/>
          <w:szCs w:val="21"/>
        </w:rPr>
        <w:t xml:space="preserve">, as in the Algorithm for Proven and Young [APY] approach) to avoid storing all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N</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entries. Those techniques are being actively developed for additive models and could be adapted to epistatic kernels as well. Our focus was on showing that with currently available hardware, modeling all pairwise interactions for up to hundreds of thousands of markers is no longer prohibitive – a conclusion that would have seemed out of reach just a decade ago. The key is to not enumerate interactions explicitly, but to use algebraic constructions as we have done</w:t>
      </w:r>
      <w:r w:rsidR="00F41833"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w:t>
      </w:r>
    </w:p>
    <w:p w14:paraId="7C23329E"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The deep learning models were the most computationally demanding in our study: for the Holstein bull dataset (60k SNPs, ~12k bulls), we had to reduce input dimensionality to ~5k (via PCA) and even then, training a CNN for 100 epochs took ~2 hours on a GPU, with extensive tuning required to get stable results. In contrast, training a GBLUP or O-GBLUP (solving linear equations) took only seconds to minutes. This stark difference matters in breeding operations, where evaluations are done frequently (e.g. every week or month) and timeliness is important. The fast runtime of GBLUP and even the multi-kernel O-GBLUP means these models could be deployed routinely. The slower methods like deep nets or even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might be used in research or for occasional analyses, but they are less practical for frequent large-scale evaluations without substantial computing infrastructure. Our results dispel the notion that including epistasis is too computationally intensive – with the right algorithms, it is entirely feasible on standard hardware.</w:t>
      </w:r>
    </w:p>
    <w:p w14:paraId="6D59D6C6"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Comparison with Modern Genomic Prediction Methods: We have already touched on the comparative performance of O-GBLUP versus other methods in accuracy and computation. To consolidate those findings, Figure 4 provides a comparison of predictive accuracy for the main methods in two cases: a real Holstein bull fertility dataset, and a large simulated dataset with non-additive variance. The figure illustrates both the absolute accuracy and highlights which method performed best in each case.</w:t>
      </w:r>
    </w:p>
    <w:p w14:paraId="2A91620B" w14:textId="3049E5D2"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Figure 4: Genomic prediction accuracy of various methods in two example cases. Left panel: Results for a real Holstein bull fertility dataset (Sire Conception Rate), a trait with low heritability (~0.03). Right panel: Results for a large simulated dataset (N=8000 training individuals) with a trait including additive, dominance, and epistasis variance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≈0.45</m:t>
        </m:r>
      </m:oMath>
      <w:r w:rsidRPr="00351E9D">
        <w:rPr>
          <w:rFonts w:ascii="Times New Roman" w:eastAsia="宋体" w:hAnsi="Times New Roman" w:cs="Times New Roman"/>
          <w:kern w:val="0"/>
          <w:szCs w:val="21"/>
        </w:rPr>
        <w:t xml:space="preserve">). Methods compared: Additive GBLUP (A-GBLUP), Orthogonal Epistasis GBLUP (O-GBLUP), BayesB, RKHS (Gaussian kernel), Gradient Boosting Machine (GBM), Random Forest (RF), Convolutional Neural Network (CNN), and Multilayer Perceptron (MLP). Accuracy is measured as correlation between GEBV and true breeding value (or adjusted phenotype). In the Holstein fertility data (left), all models achieve moderate accuracy (correlations 0.25–0.36), with the tree-based methods (GBM and RF) slightly ahead; the trait appears nearly purely additive (little to no gain from non-linear models). In the large simulation (right), all models show higher accuracy due to the larger N and higher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The O-</w:t>
      </w:r>
      <w:r w:rsidRPr="00351E9D">
        <w:rPr>
          <w:rFonts w:ascii="Times New Roman" w:eastAsia="宋体" w:hAnsi="Times New Roman" w:cs="Times New Roman"/>
          <w:kern w:val="0"/>
          <w:szCs w:val="21"/>
        </w:rPr>
        <w:lastRenderedPageBreak/>
        <w:t>GBLUP and CNN are the top performers (both around 0.75–0.76 correlation), followed closely by MLP and GBM (~0.74–0.75). BayesB and additive GBLUP lag behind (~0.70 and 0.68, respectively), and RF also trails (~0.71). These results indicate that for complex traits with sufficient data, advanced non-linear models (CNN, etc.) can match the performance of a well-specified parametric model like O-GBLUP, but in typical livestock data settings, simpler models are often competitive and more interpretable.</w:t>
      </w:r>
    </w:p>
    <w:p w14:paraId="266AFA11" w14:textId="3A4FAEC9"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In the Holstein fertility case (left panel), we see that the differences between methods are small. The gradient boosting machine (GBM) had the highest correlation (~0.36), but additive GBLUP was not far behind (0.33). The orthogonal GBLUP with dominance didn’t show a noticeable difference from additive-only (both ~0.33).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and RKHS were around 0.34 and 0.32, respectively. The CNN and MLP were lower (0.29 and 0.26). This pattern reinforces that for a trait with such low heritability and presumably minimal non-additive </w:t>
      </w:r>
      <w:proofErr w:type="gramStart"/>
      <w:r w:rsidRPr="00351E9D">
        <w:rPr>
          <w:rFonts w:ascii="Times New Roman" w:eastAsia="宋体" w:hAnsi="Times New Roman" w:cs="Times New Roman"/>
          <w:kern w:val="0"/>
          <w:szCs w:val="21"/>
        </w:rPr>
        <w:t>variance,</w:t>
      </w:r>
      <w:proofErr w:type="gramEnd"/>
      <w:r w:rsidRPr="00351E9D">
        <w:rPr>
          <w:rFonts w:ascii="Times New Roman" w:eastAsia="宋体" w:hAnsi="Times New Roman" w:cs="Times New Roman"/>
          <w:kern w:val="0"/>
          <w:szCs w:val="21"/>
        </w:rPr>
        <w:t xml:space="preserve"> complex models do not have much signal to exploit – the simple linear predictor captures nearly all the actionable genetic signal. The slight edge of GBM could be due to its ability to handle some non-linear relationships or interactions with environmental or management variables not explicitly modeled (or it could be just slight overfitting to noise). Given that all methods’ confidence intervals overlap, it’s fair to say no method is dramatically superior in that scenario. These empirical results align with the general understanding that when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xml:space="preserve"> is low, prediction is challenging for all models, and purely additive genetic signals (which GBLUP captures) are the main source of whatever predictive power exists. The deep learning models performing worse is expected because they have far more parameters to estimate and not enough signal to learn (they may be capturing random noise patterns). This finding is consistent with Bellot et al.</w:t>
      </w:r>
      <w:r w:rsidR="00836F76" w:rsidRPr="00351E9D">
        <w:rPr>
          <w:rFonts w:ascii="Times New Roman" w:eastAsia="宋体" w:hAnsi="Times New Roman" w:cs="Times New Roman" w:hint="eastAsia"/>
          <w:kern w:val="0"/>
          <w:szCs w:val="21"/>
        </w:rPr>
        <w:t xml:space="preserve"> [10]</w:t>
      </w:r>
      <w:r w:rsidRPr="00351E9D">
        <w:rPr>
          <w:rFonts w:ascii="Times New Roman" w:eastAsia="宋体" w:hAnsi="Times New Roman" w:cs="Times New Roman"/>
          <w:kern w:val="0"/>
          <w:szCs w:val="21"/>
        </w:rPr>
        <w:t xml:space="preserve"> (who found no trait where CNN clearly beat linear models) and with the review by Varona et al.</w:t>
      </w:r>
      <w:r w:rsidR="00836F76" w:rsidRPr="00351E9D">
        <w:rPr>
          <w:rFonts w:ascii="Times New Roman" w:eastAsia="宋体" w:hAnsi="Times New Roman" w:cs="Times New Roman" w:hint="eastAsia"/>
          <w:kern w:val="0"/>
          <w:szCs w:val="21"/>
        </w:rPr>
        <w:t xml:space="preserve"> [</w:t>
      </w:r>
      <w:r w:rsidRPr="00351E9D">
        <w:rPr>
          <w:rFonts w:ascii="Times New Roman" w:eastAsia="宋体" w:hAnsi="Times New Roman" w:cs="Times New Roman"/>
          <w:kern w:val="0"/>
          <w:szCs w:val="21"/>
        </w:rPr>
        <w:t>19</w:t>
      </w:r>
      <w:r w:rsidR="00836F76" w:rsidRPr="00351E9D">
        <w:rPr>
          <w:rFonts w:ascii="Times New Roman" w:eastAsia="宋体" w:hAnsi="Times New Roman" w:cs="Times New Roman" w:hint="eastAsia"/>
          <w:kern w:val="0"/>
          <w:szCs w:val="21"/>
        </w:rPr>
        <w:t>]</w:t>
      </w:r>
      <w:r w:rsidRPr="00351E9D">
        <w:rPr>
          <w:rFonts w:ascii="Times New Roman" w:eastAsia="宋体" w:hAnsi="Times New Roman" w:cs="Times New Roman"/>
          <w:kern w:val="0"/>
          <w:szCs w:val="21"/>
        </w:rPr>
        <w:t xml:space="preserve"> noting that non-additive models showed minimal prediction gains in livestock data where non-additive variance was small.</w:t>
      </w:r>
    </w:p>
    <w:p w14:paraId="71082F3F"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In the large simulated non-additive trait (right panel of Figure 4), where we have ample data and significant </w:t>
      </w:r>
      <w:proofErr w:type="spellStart"/>
      <w:r w:rsidRPr="00351E9D">
        <w:rPr>
          <w:rFonts w:ascii="Times New Roman" w:eastAsia="宋体" w:hAnsi="Times New Roman" w:cs="Times New Roman"/>
          <w:kern w:val="0"/>
          <w:szCs w:val="21"/>
        </w:rPr>
        <w:t>dominance+epistasis</w:t>
      </w:r>
      <w:proofErr w:type="spellEnd"/>
      <w:r w:rsidRPr="00351E9D">
        <w:rPr>
          <w:rFonts w:ascii="Times New Roman" w:eastAsia="宋体" w:hAnsi="Times New Roman" w:cs="Times New Roman"/>
          <w:kern w:val="0"/>
          <w:szCs w:val="21"/>
        </w:rPr>
        <w:t xml:space="preserve">, we observe more separation. The O-GBLUP (A+D+E) achieved ~0.75 correlation. The CNN slightly edged it out at ~0.76, essentially tying within margin of error. The MLP was ~0.75, similar to O-GBLUP. Gradient boosting was ~0.74, not far behind.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xml:space="preserve"> and additive GBLUP were lower, ~0.70 and 0.68 respectively, reflecting that they cannot capture the 15% or so non-additive variance fully. Random forest lagged around 0.71 (we found RF often underperforms boosting for these data). These results indicate that with a large training set, flexible nonlinear models (CNN, MLP, GBM) can indeed capitalize on the non-additive variance and close the gap with a specialized parametric model. In fact, the CNN’s slight lead might be because, with so much data, it could start to learn some higher-order or more complex interactions that our model (limited to pairwise) does not capture. However, the difference is small. O-GBLUP was still among the top, demonstrating that our approach is competitive even against a fully general learning machine, provided the underlying assumptions (mostly pairwise interactions) are reasonable. It is worth noting that the CNN required substantial tuning and a lot of computation, whereas O-GBLUP gave a result quickly and yielded additional insights (variance components, etc.). Thus, one might argue O-GBLUP is more “sample-efficient” – it achieved top accuracy with fewer degrees of freedom by encoding prior knowledge of genetic architecture (linearity plus pairwise interactions). This speaks to hypothesis (iii) again: white-box models can keep up with black-box models </w:t>
      </w:r>
      <w:r w:rsidRPr="00351E9D">
        <w:rPr>
          <w:rFonts w:ascii="Times New Roman" w:eastAsia="宋体" w:hAnsi="Times New Roman" w:cs="Times New Roman"/>
          <w:kern w:val="0"/>
          <w:szCs w:val="21"/>
        </w:rPr>
        <w:lastRenderedPageBreak/>
        <w:t>especially in data-constrained regimes, and even in data-rich regimes they are not easily outclassed unless the true architecture deviates strongly from what the parametric model can represent.</w:t>
      </w:r>
    </w:p>
    <w:p w14:paraId="62097241" w14:textId="15FE96AC"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 subtle but important observation: when we tried an epistasis model without orthogonal encoding (e.g. using raw 0/1/2 coding and an unadjusted interaction GRM), its performance was actually a bit worse than O-GBLUP and its parameter estimates were unstable. For example, a naive interaction model (with uncentered genotype products) did not yield as high an accuracy improvement, and the additive variance estimate changed when the interaction term was added (indicating confounding). This highlights that how one includes epistasis matters. Simply throwing in interaction terms can lead to multicollinearity with main effects and inflate the model complexity. Our orthogonal approach prevented those pitfalls by design</w:t>
      </w:r>
      <w:r w:rsidR="00250654"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In practical terms, it means breeders and geneticists can include these additional genetic effects in their models without worrying that doing so will distort the estimation of additive effects or require astronomical sample sizes to disentangle them. Orthogonal models “separate the problems” and thereby make the estimation more efficient.</w:t>
      </w:r>
    </w:p>
    <w:p w14:paraId="1F7116E2" w14:textId="2172727B"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Practical Utility: Mating Strategies and Genetic Diversity: Beyond pure prediction metrics, a key motivation for modeling dominance and epistasis is to inform breeding decisions that go beyond selecting top individuals on additive merit. Our O-GBLUP framework provides estimates of dominance effects for each individual (or each locus) and an overall epistatic value for each individual (the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u</m:t>
            </m:r>
          </m:e>
          <m:sup>
            <m:r>
              <m:rPr>
                <m:sty m:val="p"/>
              </m:rPr>
              <w:rPr>
                <w:rFonts w:ascii="Cambria Math" w:eastAsia="等线" w:hAnsi="Cambria Math" w:cs="Times New Roman"/>
                <w:sz w:val="22"/>
                <w:szCs w:val="24"/>
                <w14:ligatures w14:val="standardContextual"/>
              </w:rPr>
              <m:t>AA</m:t>
            </m:r>
          </m:sup>
        </m:sSup>
        <m:r>
          <m:rPr>
            <m:sty m:val="p"/>
          </m:rPr>
          <w:rPr>
            <w:rFonts w:ascii="Cambria Math" w:eastAsia="等线" w:hAnsi="Cambria Math" w:cs="Times New Roman"/>
            <w:sz w:val="22"/>
            <w:szCs w:val="24"/>
            <w14:ligatures w14:val="standardContextual"/>
          </w:rPr>
          <m:t>+</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u</m:t>
            </m:r>
          </m:e>
          <m:sup>
            <m:r>
              <m:rPr>
                <m:sty m:val="p"/>
              </m:rPr>
              <w:rPr>
                <w:rFonts w:ascii="Cambria Math" w:eastAsia="等线" w:hAnsi="Cambria Math" w:cs="Times New Roman"/>
                <w:sz w:val="22"/>
                <w:szCs w:val="24"/>
                <w14:ligatures w14:val="standardContextual"/>
              </w:rPr>
              <m:t>AD</m:t>
            </m:r>
          </m:sup>
        </m:sSup>
        <m:r>
          <m:rPr>
            <m:sty m:val="p"/>
          </m:rPr>
          <w:rPr>
            <w:rFonts w:ascii="Cambria Math" w:eastAsia="等线" w:hAnsi="Cambria Math" w:cs="Times New Roman"/>
            <w:sz w:val="22"/>
            <w:szCs w:val="24"/>
            <w14:ligatures w14:val="standardContextual"/>
          </w:rPr>
          <m:t>+</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u</m:t>
            </m:r>
          </m:e>
          <m:sup>
            <m:r>
              <m:rPr>
                <m:sty m:val="p"/>
              </m:rPr>
              <w:rPr>
                <w:rFonts w:ascii="Cambria Math" w:eastAsia="等线" w:hAnsi="Cambria Math" w:cs="Times New Roman"/>
                <w:sz w:val="22"/>
                <w:szCs w:val="24"/>
                <w14:ligatures w14:val="standardContextual"/>
              </w:rPr>
              <m:t>DD</m:t>
            </m:r>
          </m:sup>
        </m:sSup>
      </m:oMath>
      <w:r w:rsidRPr="00351E9D">
        <w:rPr>
          <w:rFonts w:ascii="Times New Roman" w:eastAsia="宋体" w:hAnsi="Times New Roman" w:cs="Times New Roman"/>
          <w:kern w:val="0"/>
          <w:szCs w:val="21"/>
        </w:rPr>
        <w:t xml:space="preserve"> term), which can be utilized in mating planning.</w:t>
      </w:r>
    </w:p>
    <w:p w14:paraId="5087ABD3" w14:textId="24557B68" w:rsidR="00C41CA9" w:rsidRPr="00351E9D" w:rsidRDefault="00C41CA9" w:rsidP="00C41CA9">
      <w:pPr>
        <w:widowControl/>
        <w:numPr>
          <w:ilvl w:val="0"/>
          <w:numId w:val="8"/>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Mate Selection and Inbreeding Management: The dominance GEBVs </w:t>
      </w:r>
      <m:oMath>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d</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 xml:space="preserve"> estimated for each individual indicate the expected deviation of that individual’s phenotype from the additive expectation due to within-locus interactions (essentially, how much its homozygosity vs. heterozygosity contributes to performance). Breeders can use this information to design matings that maximize dominance complementation. For example, if two individuals both have high additive GEBVs but also carry certain deleterious recessives (negative dominance deviations), the dominance term would penalize their GEBVs. Our model could flag that mating those two might produce homozygous recessive offspring with poor performance. Instead, one might choose matings that complement each other’s genotypes, ensuring that where one parent has a recessive allele, the other carries the dominant allele, thus offspring are heterozygous. This is essentially a genomic mating strategy to avoid inbreeding depression and exploit dominance. Toro &amp; Varona (2010) discussed optimizing matings in genomic selection by considering dominance effects</w:t>
      </w:r>
      <w:r w:rsidR="00AD3168" w:rsidRPr="00351E9D">
        <w:rPr>
          <w:rFonts w:ascii="Times New Roman" w:eastAsia="宋体" w:hAnsi="Times New Roman" w:cs="Times New Roman" w:hint="eastAsia"/>
          <w:kern w:val="0"/>
          <w:szCs w:val="21"/>
        </w:rPr>
        <w:t xml:space="preserve"> [15]</w:t>
      </w:r>
      <w:r w:rsidRPr="00351E9D">
        <w:rPr>
          <w:rFonts w:ascii="Times New Roman" w:eastAsia="宋体" w:hAnsi="Times New Roman" w:cs="Times New Roman"/>
          <w:kern w:val="0"/>
          <w:szCs w:val="21"/>
        </w:rPr>
        <w:t xml:space="preserve">, and our results align with their suggestion: if dominance variance is non-negligible, selecting mating pairs based solely on additive breeding values is suboptimal. Using our dominance GRM, one can also compute the expected inbreeding coefficient of a potential mating and the expected dominance deviation in progeny; </w:t>
      </w:r>
      <w:proofErr w:type="gramStart"/>
      <w:r w:rsidRPr="00351E9D">
        <w:rPr>
          <w:rFonts w:ascii="Times New Roman" w:eastAsia="宋体" w:hAnsi="Times New Roman" w:cs="Times New Roman"/>
          <w:kern w:val="0"/>
          <w:szCs w:val="21"/>
        </w:rPr>
        <w:t>thus</w:t>
      </w:r>
      <w:proofErr w:type="gramEnd"/>
      <w:r w:rsidRPr="00351E9D">
        <w:rPr>
          <w:rFonts w:ascii="Times New Roman" w:eastAsia="宋体" w:hAnsi="Times New Roman" w:cs="Times New Roman"/>
          <w:kern w:val="0"/>
          <w:szCs w:val="21"/>
        </w:rPr>
        <w:t xml:space="preserve"> one can balance genetic gain with inbreeding control. In our simulations with a small dominance component, we illustrated this by computing the expected mean phenotype of all possible matings among top candidates. We found that choosing mates that maximize heterozygosity at loci with significant dominance effects could improve the progeny’s expected performance by a small margin (a few percent) relative to random mating among the top animals, and also </w:t>
      </w:r>
      <w:r w:rsidRPr="00351E9D">
        <w:rPr>
          <w:rFonts w:ascii="Times New Roman" w:eastAsia="宋体" w:hAnsi="Times New Roman" w:cs="Times New Roman"/>
          <w:kern w:val="0"/>
          <w:szCs w:val="21"/>
        </w:rPr>
        <w:lastRenderedPageBreak/>
        <w:t>reduce the variance of progeny outcomes (by avoiding occasional heavily inbred crosses). These considerations are particularly relevant in conservation or small populations where inbreeding depression is a concern. The O-GBLUP provides a direct way to quantify and thus manage inbreeding depression: individuals with large negative dominance GEBVs might be those with many deleterious recessives homozygous, so one might avoid mating two such individuals. Instead, one could mate a high additive GEBV animal that has some negative dominance load with another high additive animal that can compensate (i.e., not carrying the same recessives).</w:t>
      </w:r>
    </w:p>
    <w:p w14:paraId="7FD7A1AE" w14:textId="21F8F642" w:rsidR="00C41CA9" w:rsidRPr="00351E9D" w:rsidRDefault="00C41CA9" w:rsidP="00C41CA9">
      <w:pPr>
        <w:widowControl/>
        <w:numPr>
          <w:ilvl w:val="0"/>
          <w:numId w:val="8"/>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Exploiting Epistasis and Heterosis: Epistatic interactions are thought to contribute to heterosis (hybrid vigor) – specifically, if different lines have fixed alternative alleles at interacting loci, their cross can restore favorable combinations. By estimating epistatic effects, breeders might identify which loci combinations are favorable and then design crosses or composite populations to obtain those combinations. Our O-GBLUP can predict the total genetic value (including epistasis) of potential offspring from any mating. In our structured population simulation, for example, crossing two diverged lines resulted in a +5% mean advantage (heterosis) in the F1 for our trait, due to restoration of complementary allele pairs. The model predicted this crossbred advantage, whereas an additive model could not. Moreover, by examining which interaction terms contributed most to an individual’s </w:t>
      </w:r>
      <m:oMath>
        <m:sSub>
          <m:sSubPr>
            <m:ctrlPr>
              <w:rPr>
                <w:rFonts w:ascii="Cambria Math" w:eastAsia="等线" w:hAnsi="Cambria Math" w:cs="Times New Roman"/>
                <w:sz w:val="22"/>
                <w:szCs w:val="24"/>
                <w14:ligatures w14:val="standardContextual"/>
              </w:rPr>
            </m:ctrlPr>
          </m:sSub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u</m:t>
                </m:r>
              </m:e>
              <m:lim>
                <m:r>
                  <m:rPr>
                    <m:sty m:val="p"/>
                  </m:rPr>
                  <w:rPr>
                    <w:rFonts w:ascii="Cambria Math" w:eastAsia="等线" w:hAnsi="Cambria Math" w:cs="Times New Roman"/>
                    <w:sz w:val="22"/>
                    <w:szCs w:val="24"/>
                    <w14:ligatures w14:val="standardContextual"/>
                  </w:rPr>
                  <m:t>^</m:t>
                </m:r>
              </m:lim>
            </m:limUpp>
          </m:e>
          <m:sub>
            <m:r>
              <m:rPr>
                <m:sty m:val="p"/>
              </m:rPr>
              <w:rPr>
                <w:rFonts w:ascii="Cambria Math" w:eastAsia="等线" w:hAnsi="Cambria Math" w:cs="Times New Roman"/>
                <w:sz w:val="22"/>
                <w:szCs w:val="24"/>
                <w14:ligatures w14:val="standardContextual"/>
              </w:rPr>
              <m:t>i</m:t>
            </m:r>
          </m:sub>
        </m:sSub>
      </m:oMath>
      <w:r w:rsidRPr="00351E9D">
        <w:rPr>
          <w:rFonts w:ascii="Times New Roman" w:eastAsia="宋体" w:hAnsi="Times New Roman" w:cs="Times New Roman"/>
          <w:kern w:val="0"/>
          <w:szCs w:val="21"/>
        </w:rPr>
        <w:t xml:space="preserve"> (epistatic GEBV), we could pinpoint specific locus pairs driving heterosis. This kind of insight is difficult to glean from black-box models. It could guide breeders to either maintain those complementary loci in separate lines (to exploit in crosses) or attempt to fix them in one population if possible. For example, if allele A at locus 1 is only beneficial in combination with allele B at locus 2, then selecting for A alone in a single population might not yield progress unless B is also fixed; our model accounts for that by valuing A’s effect contingent on B. A breeder could then ensure to co-select A and B together, or keep line 1 fixed for A</w:t>
      </w:r>
      <w:r w:rsidR="003A0C44" w:rsidRPr="00351E9D">
        <w:rPr>
          <w:rFonts w:ascii="Times New Roman" w:eastAsia="宋体" w:hAnsi="Times New Roman" w:cs="Times New Roman" w:hint="eastAsia"/>
          <w:kern w:val="0"/>
          <w:szCs w:val="21"/>
        </w:rPr>
        <w:t xml:space="preserve">, </w:t>
      </w:r>
      <w:r w:rsidRPr="00351E9D">
        <w:rPr>
          <w:rFonts w:ascii="Times New Roman" w:eastAsia="宋体" w:hAnsi="Times New Roman" w:cs="Times New Roman"/>
          <w:kern w:val="0"/>
          <w:szCs w:val="21"/>
        </w:rPr>
        <w:t xml:space="preserve">B and line 2 fixed for </w:t>
      </w:r>
      <m:oMath>
        <m:r>
          <m:rPr>
            <m:sty m:val="p"/>
          </m:rPr>
          <w:rPr>
            <w:rFonts w:ascii="Cambria Math" w:eastAsia="等线" w:hAnsi="Cambria Math" w:cs="Times New Roman"/>
            <w:sz w:val="22"/>
            <w:szCs w:val="24"/>
            <w14:ligatures w14:val="standardContextual"/>
          </w:rPr>
          <m:t>a,b</m:t>
        </m:r>
      </m:oMath>
      <w:r w:rsidRPr="00351E9D">
        <w:rPr>
          <w:rFonts w:ascii="Times New Roman" w:eastAsia="宋体" w:hAnsi="Times New Roman" w:cs="Times New Roman"/>
          <w:kern w:val="0"/>
          <w:szCs w:val="21"/>
        </w:rPr>
        <w:t xml:space="preserve"> and cross them to get A</w:t>
      </w:r>
      <w:r w:rsidR="00523E43">
        <w:rPr>
          <w:rFonts w:ascii="Times New Roman" w:eastAsia="宋体" w:hAnsi="Times New Roman" w:cs="Times New Roman" w:hint="eastAsia"/>
          <w:kern w:val="0"/>
          <w:szCs w:val="21"/>
        </w:rPr>
        <w:t>#</w:t>
      </w:r>
      <w:r w:rsidRPr="00351E9D">
        <w:rPr>
          <w:rFonts w:ascii="Times New Roman" w:eastAsia="宋体" w:hAnsi="Times New Roman" w:cs="Times New Roman"/>
          <w:kern w:val="0"/>
          <w:szCs w:val="21"/>
        </w:rPr>
        <w:t>B/ab F1 with the favorable A</w:t>
      </w:r>
      <w:r w:rsidR="001E1CA8">
        <w:rPr>
          <w:rFonts w:ascii="Times New Roman" w:eastAsia="宋体" w:hAnsi="Times New Roman" w:cs="Times New Roman" w:hint="eastAsia"/>
          <w:kern w:val="0"/>
          <w:szCs w:val="21"/>
        </w:rPr>
        <w:t>#</w:t>
      </w:r>
      <w:r w:rsidRPr="00351E9D">
        <w:rPr>
          <w:rFonts w:ascii="Times New Roman" w:eastAsia="宋体" w:hAnsi="Times New Roman" w:cs="Times New Roman"/>
          <w:kern w:val="0"/>
          <w:szCs w:val="21"/>
        </w:rPr>
        <w:t>B interactions realized in heterozygotes. In short, orthogonal modeling of epistasis informs crossbreeding and composite-breeding strategies by quantifying gene combination values and indicating where complementary alleles reside.</w:t>
      </w:r>
    </w:p>
    <w:p w14:paraId="0E627CDC" w14:textId="67B62BB2" w:rsidR="00C41CA9" w:rsidRPr="00351E9D" w:rsidRDefault="00C41CA9" w:rsidP="00C41CA9">
      <w:pPr>
        <w:widowControl/>
        <w:numPr>
          <w:ilvl w:val="0"/>
          <w:numId w:val="8"/>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Maintaining Genetic Diversity: Long-term selection gains require preserving sufficient genetic variance. Epistasis poses an interesting dynamic: some epistatic variance is transient (it can disappear if interacting alleles become imbalanced in frequency), and some of it can convert into additive variance as allele frequencies change</w:t>
      </w:r>
      <w:r w:rsidR="00A57258" w:rsidRPr="00351E9D">
        <w:rPr>
          <w:rFonts w:ascii="Times New Roman" w:eastAsia="宋体" w:hAnsi="Times New Roman" w:cs="Times New Roman" w:hint="eastAsia"/>
          <w:kern w:val="0"/>
          <w:szCs w:val="21"/>
        </w:rPr>
        <w:t xml:space="preserve"> [3]</w:t>
      </w:r>
      <w:r w:rsidRPr="00351E9D">
        <w:rPr>
          <w:rFonts w:ascii="Times New Roman" w:eastAsia="宋体" w:hAnsi="Times New Roman" w:cs="Times New Roman"/>
          <w:kern w:val="0"/>
          <w:szCs w:val="21"/>
        </w:rPr>
        <w:t>. Our dynamic model allowed us to monitor the fate of genetic variance components. We observed, for example, that epistasis can slow down the fixation of alleles (since the selective advantage of an allele may diminish once its interaction partners change frequency). This aligns with recent findings by Wientjes et al. (2023) who reported that when epistasis was present, allele frequency changes per generation were about 15% smaller and fewer loci fixed over 50 generations than under purely additive architectures</w:t>
      </w:r>
      <w:r w:rsidR="00A13295" w:rsidRPr="00351E9D">
        <w:rPr>
          <w:rFonts w:ascii="Times New Roman" w:eastAsia="宋体" w:hAnsi="Times New Roman" w:cs="Times New Roman" w:hint="eastAsia"/>
          <w:kern w:val="0"/>
          <w:szCs w:val="21"/>
        </w:rPr>
        <w:t xml:space="preserve"> [14]</w:t>
      </w:r>
      <w:r w:rsidRPr="00351E9D">
        <w:rPr>
          <w:rFonts w:ascii="Times New Roman" w:eastAsia="宋体" w:hAnsi="Times New Roman" w:cs="Times New Roman"/>
          <w:kern w:val="0"/>
          <w:szCs w:val="21"/>
        </w:rPr>
        <w:t xml:space="preserve">. The rationale is that epistatic gene action creates a dependency of one locus’s effect on another locus’s state, which can temper the rush to fixation. This can help maintain diversity longer. Our results showed a similar trend: in the presence of epistasis, by Generation 10 we had fixed ~20% fewer QTL alleles than in an additive simulation with equal initial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xml:space="preserve">. This suggests epistasis can act as a </w:t>
      </w:r>
      <w:r w:rsidRPr="00351E9D">
        <w:rPr>
          <w:rFonts w:ascii="Times New Roman" w:eastAsia="宋体" w:hAnsi="Times New Roman" w:cs="Times New Roman"/>
          <w:kern w:val="0"/>
          <w:szCs w:val="21"/>
        </w:rPr>
        <w:lastRenderedPageBreak/>
        <w:t xml:space="preserve">buffer against variance depletion to some degree. From a practical standpoint, a breeder might monitor the epistatic variance over time: if it starts increasing in relative terms or if certain epistatic combinations are contributing a lot to performance, one might avoid breeding schemes that eliminate those combinations. For example, one might maintain two or more family lines that each carry alternative alleles at interacting loci, and intermate them occasionally to realize the favorable interactions in offspring, rather than merging everything into one homogeneous population where one allele may fix and the interaction is lost. Our model gives the breeder a quantitative handle on this: we can quantify </w:t>
      </w:r>
      <m:oMath>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m:t>
        </m:r>
        <m:sSup>
          <m:sSupPr>
            <m:ctrlPr>
              <w:rPr>
                <w:rFonts w:ascii="Cambria Math" w:eastAsia="等线" w:hAnsi="Cambria Math" w:cs="Times New Roman"/>
                <w:sz w:val="22"/>
                <w:szCs w:val="24"/>
                <w14:ligatures w14:val="standardContextual"/>
              </w:rPr>
            </m:ctrlPr>
          </m:sSupPr>
          <m:e>
            <m:r>
              <m:rPr>
                <m:sty m:val="p"/>
              </m:rPr>
              <w:rPr>
                <w:rFonts w:ascii="Cambria Math" w:eastAsia="等线" w:hAnsi="Cambria Math" w:cs="Times New Roman"/>
                <w:sz w:val="22"/>
                <w:szCs w:val="24"/>
                <w14:ligatures w14:val="standardContextual"/>
              </w:rPr>
              <m:t>h</m:t>
            </m:r>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at any point. If this difference is large, it implies a reservoir of “hidden” genetic variation in interactions (which, while not directly usable for cumulative selection gain, can be tapped via mating or crossing). We demonstrated that by implementing a negative-assortative mating scheme on epistatic genotype values – essentially mating individuals with complementary epistatic profiles – we could boost the next generation’s mean by a few percentage points compared to random mating, and also preserve more polymorphism at those loci (since opposite alleles are being paired, avoiding fixation). This suggests a strategy where, occasionally, breeders introduce matings specifically aimed at exploiting epistasis (and/or dominance) to maintain genetic variation and achieve short-term performance gains, rather than always mating the very top GEBV animals to each other (which tends to drive rapid allele fixation).</w:t>
      </w:r>
    </w:p>
    <w:p w14:paraId="735CC615"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In summary, while the primary goal of genomic selection is usually to improve additive genetic merit, our study illustrates how modeling non-additive effects can open new avenues for genetic management:</w:t>
      </w:r>
    </w:p>
    <w:p w14:paraId="4927FC61" w14:textId="77777777" w:rsidR="00C41CA9" w:rsidRPr="00351E9D" w:rsidRDefault="00C41CA9" w:rsidP="00C41CA9">
      <w:pPr>
        <w:widowControl/>
        <w:numPr>
          <w:ilvl w:val="0"/>
          <w:numId w:val="9"/>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It enables more accurate prediction of an individual’s performance (especially important when selecting mating pairs or evaluating crossbreds).</w:t>
      </w:r>
    </w:p>
    <w:p w14:paraId="1E09ECAF" w14:textId="77777777" w:rsidR="00C41CA9" w:rsidRPr="00351E9D" w:rsidRDefault="00C41CA9" w:rsidP="00C41CA9">
      <w:pPr>
        <w:widowControl/>
        <w:numPr>
          <w:ilvl w:val="0"/>
          <w:numId w:val="9"/>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It provides tools to design better matings (exploiting dominance to avoid inbreeding depression and epistasis to capture favorable combinations in crosses or within-line complementation).</w:t>
      </w:r>
    </w:p>
    <w:p w14:paraId="7DC9A813" w14:textId="77777777" w:rsidR="00C41CA9" w:rsidRPr="00351E9D" w:rsidRDefault="00C41CA9" w:rsidP="00C41CA9">
      <w:pPr>
        <w:widowControl/>
        <w:numPr>
          <w:ilvl w:val="0"/>
          <w:numId w:val="9"/>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It offers insight into the genetic architecture, which can inform broader strategy (e.g., whether to invest in crossbreeding programs or maintain multiple lines to harness epistatic gene networks).</w:t>
      </w:r>
    </w:p>
    <w:p w14:paraId="3C41CB14" w14:textId="77777777" w:rsidR="00C41CA9" w:rsidRPr="00351E9D" w:rsidRDefault="00C41CA9" w:rsidP="00C41CA9">
      <w:pPr>
        <w:widowControl/>
        <w:numPr>
          <w:ilvl w:val="0"/>
          <w:numId w:val="9"/>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It helps monitor and conserve diversity, ensuring that selection doesn’t inadvertently eliminate alleles that have value only in combination.</w:t>
      </w:r>
    </w:p>
    <w:p w14:paraId="43188094" w14:textId="0225CA6C"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These practical considerations underscore that even if epistasis does not contribute to permanent additive gain in isolation (as Crow noted</w:t>
      </w:r>
      <w:r w:rsidR="007D1E64" w:rsidRPr="00351E9D">
        <w:rPr>
          <w:rFonts w:ascii="Times New Roman" w:eastAsia="宋体" w:hAnsi="Times New Roman" w:cs="Times New Roman" w:hint="eastAsia"/>
          <w:kern w:val="0"/>
          <w:szCs w:val="21"/>
        </w:rPr>
        <w:t xml:space="preserve"> [2]</w:t>
      </w:r>
      <w:r w:rsidRPr="00351E9D">
        <w:rPr>
          <w:rFonts w:ascii="Times New Roman" w:eastAsia="宋体" w:hAnsi="Times New Roman" w:cs="Times New Roman"/>
          <w:kern w:val="0"/>
          <w:szCs w:val="21"/>
        </w:rPr>
        <w:t>), it has real significance for the phenotypic outcomes in finite populations. Our results nuance the viewpoint of Crow by showing that while epistasis may not add to asymptotic response in a single closed population, it definitely can affect short- and medium-term outcomes and can be leveraged via appropriate breeding designs.</w:t>
      </w:r>
    </w:p>
    <w:p w14:paraId="1E097E17"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10738C">
        <w:rPr>
          <w:rFonts w:ascii="Times New Roman" w:eastAsia="宋体" w:hAnsi="Times New Roman" w:cs="Times New Roman"/>
          <w:b/>
          <w:bCs/>
          <w:kern w:val="0"/>
          <w:szCs w:val="21"/>
        </w:rPr>
        <w:t>Discussion:</w:t>
      </w:r>
      <w:r w:rsidRPr="00351E9D">
        <w:rPr>
          <w:rFonts w:ascii="Times New Roman" w:eastAsia="宋体" w:hAnsi="Times New Roman" w:cs="Times New Roman"/>
          <w:kern w:val="0"/>
          <w:szCs w:val="21"/>
        </w:rPr>
        <w:br/>
        <w:t xml:space="preserve">This work expands the frontier of genomic prediction by systematically incorporating dynamic, orthogonal modeling of non-additive genetic effects in livestock populations. The results demonstrate that this approach can enhance prediction accuracy and consistency over time, </w:t>
      </w:r>
      <w:r w:rsidRPr="00351E9D">
        <w:rPr>
          <w:rFonts w:ascii="Times New Roman" w:eastAsia="宋体" w:hAnsi="Times New Roman" w:cs="Times New Roman"/>
          <w:kern w:val="0"/>
          <w:szCs w:val="21"/>
        </w:rPr>
        <w:lastRenderedPageBreak/>
        <w:t>particularly for traits and populations where dominance and epistasis contribute non-trivially to phenotypic variation. Here we discuss the implications of our findings, connections to previous studies, and practical considerations for deploying such models in breeding programs.</w:t>
      </w:r>
    </w:p>
    <w:p w14:paraId="6D370767" w14:textId="04AFB77B"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Epistasis in Genomic Prediction – Revisiting the Debate: The role of epistasis in complex traits has been long debated. Classical quantitative genetics acknowledged epistasis but often regarded it as a secondary component, especially given Fisher’s (1918) decomposition of variance and the empirical success of additive models. Hill et al. (2008) famously argued that most variance in outbred populations is effectively additive</w:t>
      </w:r>
      <w:r w:rsidR="00E901BA" w:rsidRPr="00351E9D">
        <w:rPr>
          <w:rFonts w:ascii="Times New Roman" w:eastAsia="宋体" w:hAnsi="Times New Roman" w:cs="Times New Roman" w:hint="eastAsia"/>
          <w:kern w:val="0"/>
          <w:szCs w:val="21"/>
        </w:rPr>
        <w:t xml:space="preserve"> [12]</w:t>
      </w:r>
      <w:r w:rsidRPr="00351E9D">
        <w:rPr>
          <w:rFonts w:ascii="Times New Roman" w:eastAsia="宋体" w:hAnsi="Times New Roman" w:cs="Times New Roman"/>
          <w:kern w:val="0"/>
          <w:szCs w:val="21"/>
        </w:rPr>
        <w:t>. On the other hand, a growing body of evidence from plants and animals suggests epistasis can be pervasive, even if much of it is hidden from single-locus analyses. Our study provides a nuanced view: we found that while an additive model suffices in scenarios where epistatic variance is very low or data are limited, there are realistic situations (e.g. indigenous breeds with rich diversity, or traits under strong selection for allele combinations) where modeling epistasis yields measurable benefits (on the order of 5–15% accuracy gain). This aligns with several prior studies. For instance, Xiang et al. (2017) reported evidence of epistatic variance for dairy cattle fertility traits (albeit small)</w:t>
      </w:r>
      <w:r w:rsidR="00C8217C" w:rsidRPr="00351E9D">
        <w:rPr>
          <w:rFonts w:ascii="Times New Roman" w:eastAsia="宋体" w:hAnsi="Times New Roman" w:cs="Times New Roman" w:hint="eastAsia"/>
          <w:kern w:val="0"/>
          <w:szCs w:val="21"/>
        </w:rPr>
        <w:t xml:space="preserve"> [18]</w:t>
      </w:r>
      <w:r w:rsidRPr="00351E9D">
        <w:rPr>
          <w:rFonts w:ascii="Times New Roman" w:eastAsia="宋体" w:hAnsi="Times New Roman" w:cs="Times New Roman"/>
          <w:kern w:val="0"/>
          <w:szCs w:val="21"/>
        </w:rPr>
        <w:t>, and in pigs, Varona et al. (2018) summarized that accounting for non-additive effects can be beneficial in some cases</w:t>
      </w:r>
      <w:r w:rsidR="00272064" w:rsidRPr="00351E9D">
        <w:rPr>
          <w:rFonts w:ascii="Times New Roman" w:eastAsia="宋体" w:hAnsi="Times New Roman" w:cs="Times New Roman" w:hint="eastAsia"/>
          <w:kern w:val="0"/>
          <w:szCs w:val="21"/>
        </w:rPr>
        <w:t xml:space="preserve"> [</w:t>
      </w:r>
      <w:r w:rsidRPr="00351E9D">
        <w:rPr>
          <w:rFonts w:ascii="Times New Roman" w:eastAsia="宋体" w:hAnsi="Times New Roman" w:cs="Times New Roman"/>
          <w:kern w:val="0"/>
          <w:szCs w:val="21"/>
        </w:rPr>
        <w:t>19</w:t>
      </w:r>
      <w:r w:rsidR="00272064" w:rsidRPr="00351E9D">
        <w:rPr>
          <w:rFonts w:ascii="Times New Roman" w:eastAsia="宋体" w:hAnsi="Times New Roman" w:cs="Times New Roman" w:hint="eastAsia"/>
          <w:kern w:val="0"/>
          <w:szCs w:val="21"/>
        </w:rPr>
        <w:t>]</w:t>
      </w:r>
      <w:r w:rsidRPr="00351E9D">
        <w:rPr>
          <w:rFonts w:ascii="Times New Roman" w:eastAsia="宋体" w:hAnsi="Times New Roman" w:cs="Times New Roman"/>
          <w:kern w:val="0"/>
          <w:szCs w:val="21"/>
        </w:rPr>
        <w:t>. However, many earlier attempts to include epistasis in genomic prediction saw little improvement or even slight losses in accuracy, likely due to methodological issues (e.g., trying to estimate individual interactions in a sparse regression with insufficient power, or confounding due to non-orthogonal coding). By using the NOIA parameterization and treating interactions as random effects (with proper shrinkage), we largely overcame those issues. Importantly, our approach ensured that adding epistasis cannot worsen additive estimation, thanks to orthogonality</w:t>
      </w:r>
      <w:r w:rsidR="00596CFB"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This is a key distinction from naive methods – it means breeders can include epistasis terms “for free” in the sense that they will either help or, if epistasis truly negligible, be estimated as zero and not harm predictions. Our results thus encourage a paradigm shift: instead of assuming epistasis is unimportant until proven otherwise (the traditional stance</w:t>
      </w:r>
      <w:r w:rsidR="00596CFB" w:rsidRPr="00351E9D">
        <w:rPr>
          <w:rFonts w:ascii="Times New Roman" w:eastAsia="宋体" w:hAnsi="Times New Roman" w:cs="Times New Roman" w:hint="eastAsia"/>
          <w:kern w:val="0"/>
          <w:szCs w:val="21"/>
        </w:rPr>
        <w:t xml:space="preserve"> [2]</w:t>
      </w:r>
      <w:r w:rsidRPr="00351E9D">
        <w:rPr>
          <w:rFonts w:ascii="Times New Roman" w:eastAsia="宋体" w:hAnsi="Times New Roman" w:cs="Times New Roman"/>
          <w:kern w:val="0"/>
          <w:szCs w:val="21"/>
        </w:rPr>
        <w:t>), one can include it in models and let the data reveal its magnitude. If it’s small, the model will essentially ignore it; if it’s sizable, the model will capture it and improve predictions. In summary, epistasis need not be a mystery factor we omit – we now have the tools to measure and utilize it in routine evaluations when warranted.</w:t>
      </w:r>
    </w:p>
    <w:p w14:paraId="7323EC75" w14:textId="4C5A7F13"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Dominance and Inbreeding: Dominance effects in genomic models have been studied in livestock (e.g., Sun et al. 2014 in dairy cattle</w:t>
      </w:r>
      <w:r w:rsidR="0090448E" w:rsidRPr="00351E9D">
        <w:rPr>
          <w:rFonts w:ascii="Times New Roman" w:eastAsia="宋体" w:hAnsi="Times New Roman" w:cs="Times New Roman" w:hint="eastAsia"/>
          <w:kern w:val="0"/>
          <w:szCs w:val="21"/>
        </w:rPr>
        <w:t xml:space="preserve"> [16]</w:t>
      </w:r>
      <w:r w:rsidRPr="00351E9D">
        <w:rPr>
          <w:rFonts w:ascii="Times New Roman" w:eastAsia="宋体" w:hAnsi="Times New Roman" w:cs="Times New Roman"/>
          <w:kern w:val="0"/>
          <w:szCs w:val="21"/>
        </w:rPr>
        <w:t>, and in pig and plant breeding contexts</w:t>
      </w:r>
      <w:r w:rsidR="0090448E" w:rsidRPr="00351E9D">
        <w:rPr>
          <w:rFonts w:ascii="Times New Roman" w:eastAsia="宋体" w:hAnsi="Times New Roman" w:cs="Times New Roman" w:hint="eastAsia"/>
          <w:kern w:val="0"/>
          <w:szCs w:val="21"/>
        </w:rPr>
        <w:t xml:space="preserve"> [17]</w:t>
      </w:r>
      <w:r w:rsidRPr="00351E9D">
        <w:rPr>
          <w:rFonts w:ascii="Times New Roman" w:eastAsia="宋体" w:hAnsi="Times New Roman" w:cs="Times New Roman"/>
          <w:kern w:val="0"/>
          <w:szCs w:val="21"/>
        </w:rPr>
        <w:t>). The consensus is that dominance variance for many quantitative traits (like production traits) is relatively small compared to additive, but for fitness and fertility traits it can be significant (due to inbreeding depression). Our simulation with a moderate dominance component showed that O-GBLUP could estimate dominance variance well and slightly improve predictive accuracy and bias. While we did not focus extensively on dominance-only results, the methodology is straightforward and parallels the inclusion of epistasis. In practice, dominance GBLUP has proven useful for evaluating crossbred performance (by predicting specific combining ability) and for mating allocation to avoid harmful homozygosity</w:t>
      </w:r>
      <w:r w:rsidR="0090448E" w:rsidRPr="00351E9D">
        <w:rPr>
          <w:rFonts w:ascii="Times New Roman" w:eastAsia="宋体" w:hAnsi="Times New Roman" w:cs="Times New Roman" w:hint="eastAsia"/>
          <w:kern w:val="0"/>
          <w:szCs w:val="21"/>
        </w:rPr>
        <w:t xml:space="preserve"> [15][16]</w:t>
      </w:r>
      <w:r w:rsidRPr="00351E9D">
        <w:rPr>
          <w:rFonts w:ascii="Times New Roman" w:eastAsia="宋体" w:hAnsi="Times New Roman" w:cs="Times New Roman"/>
          <w:kern w:val="0"/>
          <w:szCs w:val="21"/>
        </w:rPr>
        <w:t xml:space="preserve">. Our results support these applications: for example, the dominance GEBVs in our model could clearly flag individuals with high inbreeding load, and optimal mate pairings could be identified. We also saw that the contributions of dominance vs. epistasis can sometimes be confounded if not modeled (some dominance variance can manifest as pseudo-additive if allele frequencies are intermediate); by modeling both, one can separate intra-locus from inter-locus </w:t>
      </w:r>
      <w:r w:rsidRPr="00351E9D">
        <w:rPr>
          <w:rFonts w:ascii="Times New Roman" w:eastAsia="宋体" w:hAnsi="Times New Roman" w:cs="Times New Roman"/>
          <w:kern w:val="0"/>
          <w:szCs w:val="21"/>
        </w:rPr>
        <w:lastRenderedPageBreak/>
        <w:t>interactions. One practical point is that many current national evaluation pipelines ignore dominance, potentially missing opportunities for improved cross-line selection or mate selection. Given our findings and those of others</w:t>
      </w:r>
      <w:r w:rsidR="00EF1CEE" w:rsidRPr="00351E9D">
        <w:rPr>
          <w:rFonts w:ascii="Times New Roman" w:eastAsia="宋体" w:hAnsi="Times New Roman" w:cs="Times New Roman" w:hint="eastAsia"/>
          <w:kern w:val="0"/>
          <w:szCs w:val="21"/>
        </w:rPr>
        <w:t xml:space="preserve"> [16][17]</w:t>
      </w:r>
      <w:r w:rsidRPr="00351E9D">
        <w:rPr>
          <w:rFonts w:ascii="Times New Roman" w:eastAsia="宋体" w:hAnsi="Times New Roman" w:cs="Times New Roman"/>
          <w:kern w:val="0"/>
          <w:szCs w:val="21"/>
        </w:rPr>
        <w:t>, we anticipate increased interest in incorporating dominance effects in routine genomic evaluations, especially for industries relying on crossbreeding (pigs, poultry) or where inbreeding depression is a concern (small cattle populations or conservation scenarios).</w:t>
      </w:r>
    </w:p>
    <w:p w14:paraId="44333007" w14:textId="609FBA58" w:rsidR="00C41CA9" w:rsidRPr="00351E9D" w:rsidRDefault="00C41CA9" w:rsidP="00C41CA9">
      <w:pPr>
        <w:widowControl/>
        <w:spacing w:before="100" w:beforeAutospacing="1" w:after="100" w:afterAutospacing="1"/>
        <w:rPr>
          <w:rFonts w:ascii="Times New Roman" w:eastAsia="宋体" w:hAnsi="Times New Roman" w:cs="Times New Roman" w:hint="eastAsia"/>
          <w:kern w:val="0"/>
          <w:szCs w:val="21"/>
        </w:rPr>
      </w:pPr>
      <w:r w:rsidRPr="00351E9D">
        <w:rPr>
          <w:rFonts w:ascii="Times New Roman" w:eastAsia="宋体" w:hAnsi="Times New Roman" w:cs="Times New Roman"/>
          <w:kern w:val="0"/>
          <w:szCs w:val="21"/>
        </w:rPr>
        <w:t>Genotype-by-Environment Interaction: With climate change and globally distributed breeding stock, G×E is increasingly pertinent. Our implementation of reaction norm GBLUP demonstrated how a genomic model can account for environmental sensitivity. The ~20% accuracy boost we observed in a variable environment scenario (mirroring the 17–34% improvements reported by Pérez et al. 2014</w:t>
      </w:r>
      <w:r w:rsidR="00FD67D6"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xml:space="preserve">) suggests that in datasets with multi-environment records, one should consider random regression genomic models. Some dairy cattle evaluations already use random regression on lactation curves or heat stress indices; extending that to genomic models is natural. Our approach of using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for both intercept and slope effects is equivalent to assuming genetic correlation &lt; 1 across environments – which we found to be the case (e.g. </w:t>
      </w:r>
      <m:oMath>
        <m:r>
          <m:rPr>
            <m:sty m:val="p"/>
          </m:rPr>
          <w:rPr>
            <w:rFonts w:ascii="Cambria Math" w:eastAsia="等线" w:hAnsi="Cambria Math" w:cs="Times New Roman"/>
            <w:sz w:val="22"/>
            <w:szCs w:val="24"/>
            <w14:ligatures w14:val="standardContextual"/>
          </w:rPr>
          <m:t>ρ≈0.8</m:t>
        </m:r>
      </m:oMath>
      <w:r w:rsidRPr="00351E9D">
        <w:rPr>
          <w:rFonts w:ascii="Times New Roman" w:eastAsia="宋体" w:hAnsi="Times New Roman" w:cs="Times New Roman"/>
          <w:kern w:val="0"/>
          <w:szCs w:val="21"/>
        </w:rPr>
        <w:t xml:space="preserve"> in one simulation, meaning some re-ranking occurs). The consequence is that selection should account for environment: if a bull has a high GEBV for a high-input environment but much lower for a low-input environment, breeders might use its semen differently depending on the herd conditions. Our model provides those nuanced evaluations. This is particularly relevant for traits like feed efficiency or heat tolerance, where G×E is known to be significant. We foresee that multi-kernel models (adding an environ</w:t>
      </w:r>
      <w:proofErr w:type="spellStart"/>
      <w:r w:rsidRPr="00351E9D">
        <w:rPr>
          <w:rFonts w:ascii="Times New Roman" w:eastAsia="宋体" w:hAnsi="Times New Roman" w:cs="Times New Roman"/>
          <w:kern w:val="0"/>
          <w:szCs w:val="21"/>
        </w:rPr>
        <w:t>ment</w:t>
      </w:r>
      <w:proofErr w:type="spellEnd"/>
      <w:r w:rsidRPr="00351E9D">
        <w:rPr>
          <w:rFonts w:ascii="Times New Roman" w:eastAsia="宋体" w:hAnsi="Times New Roman" w:cs="Times New Roman"/>
          <w:kern w:val="0"/>
          <w:szCs w:val="21"/>
        </w:rPr>
        <w:t>-specific kernel) will become more common, and our results give confidence that they can be implemented without excessive complexity.</w:t>
      </w:r>
    </w:p>
    <w:p w14:paraId="7AC64931" w14:textId="13A58EB9"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Comparisons with Machine Learning: There has been excitement about machine learning (ML) and especially deep learning in genomic prediction. Our results resonate with other comparisons: ML methods can capture complex patterns, but they require large data and careful tuning; </w:t>
      </w:r>
      <w:proofErr w:type="gramStart"/>
      <w:r w:rsidRPr="00351E9D">
        <w:rPr>
          <w:rFonts w:ascii="Times New Roman" w:eastAsia="宋体" w:hAnsi="Times New Roman" w:cs="Times New Roman"/>
          <w:kern w:val="0"/>
          <w:szCs w:val="21"/>
        </w:rPr>
        <w:t>otherwise</w:t>
      </w:r>
      <w:proofErr w:type="gramEnd"/>
      <w:r w:rsidRPr="00351E9D">
        <w:rPr>
          <w:rFonts w:ascii="Times New Roman" w:eastAsia="宋体" w:hAnsi="Times New Roman" w:cs="Times New Roman"/>
          <w:kern w:val="0"/>
          <w:szCs w:val="21"/>
        </w:rPr>
        <w:t xml:space="preserve"> their performance is on par or slightly worse than simpler methods. We found gradient boosting to be a strong competitor, confirming it as a robust method for traits with non-additive variance (and indeed easier to train than neural nets)</w:t>
      </w:r>
      <w:r w:rsidR="00A567D5" w:rsidRPr="00351E9D">
        <w:rPr>
          <w:rFonts w:ascii="Times New Roman" w:eastAsia="宋体" w:hAnsi="Times New Roman" w:cs="Times New Roman" w:hint="eastAsia"/>
          <w:kern w:val="0"/>
          <w:szCs w:val="21"/>
        </w:rPr>
        <w:t xml:space="preserve"> [9]</w:t>
      </w:r>
      <w:r w:rsidRPr="00351E9D">
        <w:rPr>
          <w:rFonts w:ascii="Times New Roman" w:eastAsia="宋体" w:hAnsi="Times New Roman" w:cs="Times New Roman"/>
          <w:kern w:val="0"/>
          <w:szCs w:val="21"/>
        </w:rPr>
        <w:t>. Boosting’s advantage is that it performs its own form of feature selection and can model interactions of modest order by tree splits, and it handled our high-dimensional genotype data well with appropriate regularization. However, it lacks the clear statistical interpretation of BLUP models and could be prone to overfitting if not tuned (we mitigated that with cross-validation). Deep neural networks, on the other hand, did not show a clear advantage in our moderate-sized experiments, reflecting current literature where often “DL was not uniformly better”. In fact, Bellot et al. found cases where CNN was slightly worse than linear models</w:t>
      </w:r>
      <w:r w:rsidR="00753859" w:rsidRPr="00351E9D">
        <w:rPr>
          <w:rFonts w:ascii="Times New Roman" w:eastAsia="宋体" w:hAnsi="Times New Roman" w:cs="Times New Roman" w:hint="eastAsia"/>
          <w:kern w:val="0"/>
          <w:szCs w:val="21"/>
        </w:rPr>
        <w:t xml:space="preserve"> [10]</w:t>
      </w:r>
      <w:r w:rsidRPr="00351E9D">
        <w:rPr>
          <w:rFonts w:ascii="Times New Roman" w:eastAsia="宋体" w:hAnsi="Times New Roman" w:cs="Times New Roman"/>
          <w:kern w:val="0"/>
          <w:szCs w:val="21"/>
        </w:rPr>
        <w:t xml:space="preserve">, which aligns with our Holstein results. Only with very large sample size did our CNN reach parity with O-GBLUP, and even then, not surpass by much. This underscores that for the typical scale of livestock datasets (thousands to tens of thousands of animals), carefully crafted parametric models (potentially including epistasis as in O-GBLUP) can extract most of the signal. That said, as datasets grow (e.g. national databases with &gt;100k genotypes), deep learning or hybrid methods might begin to shine, particularly if they can leverage additional data types (omics, images, etc.). Interestingly, our orthogonal approach could be combined with deep learning: for instance, one could use the outputs of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oMath>
      <w:r w:rsidRPr="00351E9D">
        <w:rPr>
          <w:rFonts w:ascii="Times New Roman" w:eastAsia="宋体" w:hAnsi="Times New Roman" w:cs="Times New Roman"/>
          <w:kern w:val="0"/>
          <w:szCs w:val="21"/>
        </w:rPr>
        <w:t xml:space="preserve"> as two input channels to a neural network, or pre-train a network on GBLUP solutions. Such integrated methods could yield the best of both worlds: the inductive bias </w:t>
      </w:r>
      <w:r w:rsidRPr="00351E9D">
        <w:rPr>
          <w:rFonts w:ascii="Times New Roman" w:eastAsia="宋体" w:hAnsi="Times New Roman" w:cs="Times New Roman"/>
          <w:kern w:val="0"/>
          <w:szCs w:val="21"/>
        </w:rPr>
        <w:lastRenderedPageBreak/>
        <w:t>of genetic theory plus the flexibility of deep nets. Exploring such ideas is an avenue for future research.</w:t>
      </w:r>
    </w:p>
    <w:p w14:paraId="23F2D609" w14:textId="11271B1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Computational Feasibility in Practice: One concern </w:t>
      </w:r>
      <w:proofErr w:type="gramStart"/>
      <w:r w:rsidRPr="00351E9D">
        <w:rPr>
          <w:rFonts w:ascii="Times New Roman" w:eastAsia="宋体" w:hAnsi="Times New Roman" w:cs="Times New Roman"/>
          <w:kern w:val="0"/>
          <w:szCs w:val="21"/>
        </w:rPr>
        <w:t>breeders</w:t>
      </w:r>
      <w:proofErr w:type="gramEnd"/>
      <w:r w:rsidRPr="00351E9D">
        <w:rPr>
          <w:rFonts w:ascii="Times New Roman" w:eastAsia="宋体" w:hAnsi="Times New Roman" w:cs="Times New Roman"/>
          <w:kern w:val="0"/>
          <w:szCs w:val="21"/>
        </w:rPr>
        <w:t xml:space="preserve"> might have is whether these advanced models are too computationally heavy for routine use (e.g. national evaluations often involve &gt;50k animals). Our research provides reassurance that with modern computing, it’s feasible. As shown, a 1000×1000 epistatic GRM is trivial to handle, and even a 10k×10k can be handled with appropriate hardware or approximations. Many evaluation software suites (e.g. BLUPF90) now support multiple relationship matrices, so implementing O-GBLUP is a matter of computing those matrices and feeding them in. The additional cost is memory for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oMath>
      <w:r w:rsidRPr="00351E9D">
        <w:rPr>
          <w:rFonts w:ascii="Times New Roman" w:eastAsia="宋体" w:hAnsi="Times New Roman" w:cs="Times New Roman"/>
          <w:kern w:val="0"/>
          <w:szCs w:val="21"/>
        </w:rPr>
        <w:t xml:space="preserve"> and solving a slightly larger MME system (because of extra variance components), but these are well within reach for typical breed evaluation sizes (which often already use sparse techniques to handle large N). For extremely large N (100k+), tools like APY or partitioned inversion can be applied to both </w:t>
      </w:r>
      <m:oMath>
        <m:r>
          <m:rPr>
            <m:sty m:val="p"/>
          </m:rPr>
          <w:rPr>
            <w:rFonts w:ascii="Cambria Math" w:eastAsia="等线" w:hAnsi="Cambria Math" w:cs="Times New Roman"/>
            <w:sz w:val="22"/>
            <w:szCs w:val="24"/>
            <w14:ligatures w14:val="standardContextual"/>
          </w:rPr>
          <m:t>G</m:t>
        </m:r>
      </m:oMath>
      <w:r w:rsidRPr="00351E9D">
        <w:rPr>
          <w:rFonts w:ascii="Times New Roman" w:eastAsia="宋体" w:hAnsi="Times New Roman" w:cs="Times New Roman"/>
          <w:kern w:val="0"/>
          <w:szCs w:val="21"/>
        </w:rPr>
        <w:t xml:space="preserve"> and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m:t>
            </m:r>
          </m:sub>
        </m:sSub>
      </m:oMath>
      <w:r w:rsidRPr="00351E9D">
        <w:rPr>
          <w:rFonts w:ascii="Times New Roman" w:eastAsia="宋体" w:hAnsi="Times New Roman" w:cs="Times New Roman"/>
          <w:kern w:val="0"/>
          <w:szCs w:val="21"/>
        </w:rPr>
        <w:t xml:space="preserve"> to reduce complexity. The key takeaway is that including non-additive effects is no longer a prohibitive computational burden – it can be integrated into the genetic evaluation pipeline similarly to how maternal effects or multi-trait models are integrated. As a concrete example, one could envisage national dairy evaluations including a dominance term to help manage inbreeding and maybe an epistasis term if certain trait combinations suggest it (though evidence for large epistatic variance in current dairy traits is limited</w:t>
      </w:r>
      <w:r w:rsidR="003B450A" w:rsidRPr="00351E9D">
        <w:rPr>
          <w:rFonts w:ascii="Times New Roman" w:eastAsia="宋体" w:hAnsi="Times New Roman" w:cs="Times New Roman" w:hint="eastAsia"/>
          <w:kern w:val="0"/>
          <w:szCs w:val="21"/>
        </w:rPr>
        <w:t xml:space="preserve"> [18]</w:t>
      </w:r>
      <w:r w:rsidRPr="00351E9D">
        <w:rPr>
          <w:rFonts w:ascii="Times New Roman" w:eastAsia="宋体" w:hAnsi="Times New Roman" w:cs="Times New Roman"/>
          <w:kern w:val="0"/>
          <w:szCs w:val="21"/>
        </w:rPr>
        <w:t>, outside perhaps fertility or health traits).</w:t>
      </w:r>
    </w:p>
    <w:p w14:paraId="3609ED37"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Implications for Breeding Strategies: Our findings carry several practical implications:</w:t>
      </w:r>
    </w:p>
    <w:p w14:paraId="35DE1792" w14:textId="77777777" w:rsidR="00C41CA9" w:rsidRPr="00351E9D" w:rsidRDefault="00C41CA9" w:rsidP="00C41CA9">
      <w:pPr>
        <w:widowControl/>
        <w:numPr>
          <w:ilvl w:val="0"/>
          <w:numId w:val="10"/>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Breeders could consider using broad-sense GEBVs (which include dominance and epistatic values) for selection in contexts where the individual’s own performance is key (e.g. selecting commercial crossbred animals for production or choosing mating pairs for a complementarity program). However, for long-term cumulative selection in a closed population, the narrow-sense GEBV remains the main criterion, since only additive effects contribute to expected offspring performance. One can envision selection indices that are primarily additive but incorporate a fraction of the dominance/epistatic value when evaluating animals for roles like terminal sires or dams of crossbreds, where immediate performance is desired.</w:t>
      </w:r>
    </w:p>
    <w:p w14:paraId="243B058C" w14:textId="77777777" w:rsidR="00C41CA9" w:rsidRPr="00351E9D" w:rsidRDefault="00C41CA9" w:rsidP="00C41CA9">
      <w:pPr>
        <w:widowControl/>
        <w:numPr>
          <w:ilvl w:val="0"/>
          <w:numId w:val="10"/>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Knowing the fraction of variance that is dominance or epistasis can guide whether to invest in crossbreeding or line breeding. If a trait has a lot of dominance variance (like many fitness traits), crossbreeding to exploit heterosis might be beneficial (and our model can quantify how much heterosis to expect between particular lines); if epistasis is substantial, maintaining genetic diversity and creating line crosses might yield benefits beyond additive gain. Our model’s ability to predict cross line performance opens up more precise exploitation of heterosis (e.g., predicting which specific line crosses would yield the best outcome for a trait, rather than broad generalities).</w:t>
      </w:r>
    </w:p>
    <w:p w14:paraId="0750869B" w14:textId="67B9F37F" w:rsidR="00C41CA9" w:rsidRPr="00351E9D" w:rsidRDefault="00C41CA9" w:rsidP="00C41CA9">
      <w:pPr>
        <w:widowControl/>
        <w:numPr>
          <w:ilvl w:val="0"/>
          <w:numId w:val="10"/>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Our results affirm that periodic retraining of genomic predictions is crucial under sustained selection. This is already standard practice (e.g. dairy evaluations update SNP effects every run), but our dynamic vs static comparison quantifies how badly things can go if one were to freeze a model too long (accuracy drop from 0.70 to 0.45 over 10 generations in our case). With rapid genetic turnover due to genomic selection, even one or two generations without updating could noticeably reduce accuracy (the so-called “prediction equation </w:t>
      </w:r>
      <w:r w:rsidRPr="00351E9D">
        <w:rPr>
          <w:rFonts w:ascii="Times New Roman" w:eastAsia="宋体" w:hAnsi="Times New Roman" w:cs="Times New Roman"/>
          <w:kern w:val="0"/>
          <w:szCs w:val="21"/>
        </w:rPr>
        <w:lastRenderedPageBreak/>
        <w:t>decay”). The dynamic orthogonal method inherently addresses that by making the model itself frequency-aware and thus more robust to changes, but in implementation one still needs new phenotype data to fully recalibrate effect estimates each generation. It would be interesting if one could theoretically update the model without new phenotypes by just adjusting for changed p (some have attempted such corrections), but usually new data are needed for full recalibration.</w:t>
      </w:r>
    </w:p>
    <w:p w14:paraId="3748AB5F" w14:textId="77777777" w:rsidR="00C41CA9" w:rsidRPr="00351E9D" w:rsidRDefault="00C41CA9" w:rsidP="00C41CA9">
      <w:pPr>
        <w:widowControl/>
        <w:numPr>
          <w:ilvl w:val="0"/>
          <w:numId w:val="10"/>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Interpretation of genetic architecture: The orthogonal model gives breeders and geneticists a more interpretable partition of genetic effects. For example, if O-GBLUP reports that epistasis accounts for 15% of phenotypic variance for a trait, this indicates a certain complexity in genetic architecture that might spark further biological investigation (what kind of interactions? between which pathways?). It might also explain why selection response has plateaued or been unpredictable (if a lot of </w:t>
      </w:r>
      <w:proofErr w:type="gramStart"/>
      <w:r w:rsidRPr="00351E9D">
        <w:rPr>
          <w:rFonts w:ascii="Times New Roman" w:eastAsia="宋体" w:hAnsi="Times New Roman" w:cs="Times New Roman"/>
          <w:kern w:val="0"/>
          <w:szCs w:val="21"/>
        </w:rPr>
        <w:t>variance</w:t>
      </w:r>
      <w:proofErr w:type="gramEnd"/>
      <w:r w:rsidRPr="00351E9D">
        <w:rPr>
          <w:rFonts w:ascii="Times New Roman" w:eastAsia="宋体" w:hAnsi="Times New Roman" w:cs="Times New Roman"/>
          <w:kern w:val="0"/>
          <w:szCs w:val="21"/>
        </w:rPr>
        <w:t xml:space="preserve"> is tied up in interactions, classical selection response formulas underperform). Such knowledge can influence R&amp;D decisions, like focusing on epistatic QTL mapping or even gene editing of combinations of loci (rather than single loci). Additionally, identifying epistatic gene networks might highlight physiological pathways for traits (information that could be used in functional breeding or management interventions). Our framework provides not only predictions but also these insights, bridging quantitative genetics with molecular understanding.</w:t>
      </w:r>
    </w:p>
    <w:p w14:paraId="79E324CA" w14:textId="48EA7BF9"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Limitations and Future Work: We acknowledge some limitations. Our simulations, while complex, are still simplifications of reality. Real livestock traits might involve higher-order interactions (beyond pairwise), epistasis with environmental factors, or epistasis with rare alleles not captured by SNP chips. We addressed pairwise interactions; extending to third- or higher-order interactions is theoretically possible using similar kernel tricks (e.g. </w:t>
      </w:r>
      <m:oMath>
        <m:sSub>
          <m:sSubPr>
            <m:ctrlPr>
              <w:rPr>
                <w:rFonts w:ascii="Cambria Math" w:eastAsia="等线" w:hAnsi="Cambria Math" w:cs="Times New Roman"/>
                <w:sz w:val="22"/>
                <w:szCs w:val="24"/>
                <w14:ligatures w14:val="standardContextual"/>
              </w:rPr>
            </m:ctrlPr>
          </m:sSubPr>
          <m:e>
            <m:r>
              <m:rPr>
                <m:sty m:val="p"/>
              </m:rPr>
              <w:rPr>
                <w:rFonts w:ascii="Cambria Math" w:eastAsia="等线" w:hAnsi="Cambria Math" w:cs="Times New Roman"/>
                <w:sz w:val="22"/>
                <w:szCs w:val="24"/>
                <w14:ligatures w14:val="standardContextual"/>
              </w:rPr>
              <m:t>G</m:t>
            </m:r>
          </m:e>
          <m:sub>
            <m:r>
              <m:rPr>
                <m:sty m:val="p"/>
              </m:rPr>
              <w:rPr>
                <w:rFonts w:ascii="Cambria Math" w:eastAsia="等线" w:hAnsi="Cambria Math" w:cs="Times New Roman"/>
                <w:sz w:val="22"/>
                <w:szCs w:val="24"/>
                <w14:ligatures w14:val="standardContextual"/>
              </w:rPr>
              <m:t>AAA</m:t>
            </m:r>
          </m:sub>
        </m:sSub>
        <m:r>
          <m:rPr>
            <m:sty m:val="p"/>
          </m:rPr>
          <w:rPr>
            <w:rFonts w:ascii="Cambria Math" w:eastAsia="等线" w:hAnsi="Cambria Math" w:cs="Times New Roman"/>
            <w:sz w:val="22"/>
            <w:szCs w:val="24"/>
            <w14:ligatures w14:val="standardContextual"/>
          </w:rPr>
          <m:t>=G∘G∘G</m:t>
        </m:r>
      </m:oMath>
      <w:r w:rsidRPr="00351E9D">
        <w:rPr>
          <w:rFonts w:ascii="Times New Roman" w:eastAsia="宋体" w:hAnsi="Times New Roman" w:cs="Times New Roman"/>
          <w:kern w:val="0"/>
          <w:szCs w:val="21"/>
        </w:rPr>
        <w:t xml:space="preserve"> for three-locus interactions</w:t>
      </w:r>
      <w:r w:rsidR="0099159A"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xml:space="preserve">), but the number of variance components grows and interpretation becomes challenging. In practice, if higher-order interactions are important, methods like neural networks or tree ensembles might capture them more implicitly, or one might include an “epistasis of order k” kernel if evidence suggests it. Another limitation is that we assumed loci are unlinked (aside from LD) and that epistasis is entirely captured by statistical covariance. In reality, tightly linked loci can create statistical epistasis (LD confounding) that is hard to distinguish from true interaction. Our method will capture any kind of statistical interaction, but interpretation can be tricky if interactions are among loci in LD – in such cases, the epistatic variance could partly reflect multi-allelic QTL effects that an additive model can’t linearize. Using sequence data and fine mapping can alleviate that by tagging causal variants directly. We also did not explicitly consider gene-by-gene coevolution or “canalization” (stabilizing epistasis that buffers variation) – though our dynamic approach indirectly handles changes in genetic background, more theoretical work (e.g. by </w:t>
      </w:r>
      <w:proofErr w:type="spellStart"/>
      <w:r w:rsidRPr="00351E9D">
        <w:rPr>
          <w:rFonts w:ascii="Times New Roman" w:eastAsia="宋体" w:hAnsi="Times New Roman" w:cs="Times New Roman"/>
          <w:kern w:val="0"/>
          <w:szCs w:val="21"/>
        </w:rPr>
        <w:t>Legarra</w:t>
      </w:r>
      <w:proofErr w:type="spellEnd"/>
      <w:r w:rsidRPr="00351E9D">
        <w:rPr>
          <w:rFonts w:ascii="Times New Roman" w:eastAsia="宋体" w:hAnsi="Times New Roman" w:cs="Times New Roman"/>
          <w:kern w:val="0"/>
          <w:szCs w:val="21"/>
        </w:rPr>
        <w:t xml:space="preserve"> et al. 2021</w:t>
      </w:r>
      <w:r w:rsidR="00E30C0C" w:rsidRPr="00351E9D">
        <w:rPr>
          <w:rFonts w:ascii="Times New Roman" w:eastAsia="宋体" w:hAnsi="Times New Roman" w:cs="Times New Roman" w:hint="eastAsia"/>
          <w:kern w:val="0"/>
          <w:szCs w:val="21"/>
        </w:rPr>
        <w:t xml:space="preserve"> [3]</w:t>
      </w:r>
      <w:r w:rsidRPr="00351E9D">
        <w:rPr>
          <w:rFonts w:ascii="Times New Roman" w:eastAsia="宋体" w:hAnsi="Times New Roman" w:cs="Times New Roman"/>
          <w:kern w:val="0"/>
          <w:szCs w:val="21"/>
        </w:rPr>
        <w:t>) is needed to fully understand the impact of epistasis on selection limits and plateaus. Over very many generations, selection on epistatic systems can lead to different outcomes (multiple adaptive peaks, etc.) that aren’t captured by short-term variance analyses. However, our approach could be used in long simulations to empirically observe such patterns (as Wientjes et al. did up to 50 generations</w:t>
      </w:r>
      <w:r w:rsidR="00733F23" w:rsidRPr="00351E9D">
        <w:rPr>
          <w:rFonts w:ascii="Times New Roman" w:eastAsia="宋体" w:hAnsi="Times New Roman" w:cs="Times New Roman" w:hint="eastAsia"/>
          <w:kern w:val="0"/>
          <w:szCs w:val="21"/>
        </w:rPr>
        <w:t xml:space="preserve"> [14]</w:t>
      </w:r>
      <w:r w:rsidRPr="00351E9D">
        <w:rPr>
          <w:rFonts w:ascii="Times New Roman" w:eastAsia="宋体" w:hAnsi="Times New Roman" w:cs="Times New Roman"/>
          <w:kern w:val="0"/>
          <w:szCs w:val="21"/>
        </w:rPr>
        <w:t>).</w:t>
      </w:r>
    </w:p>
    <w:p w14:paraId="1A074BF3"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For practical breeding implementation, one must weigh cost-benefit: adding epistasis complicates the evaluation model and might require more phenotypic data to estimate reliably. If the improvement in accuracy is small, some breeding organizations might opt to keep the simpler </w:t>
      </w:r>
      <w:r w:rsidRPr="00351E9D">
        <w:rPr>
          <w:rFonts w:ascii="Times New Roman" w:eastAsia="宋体" w:hAnsi="Times New Roman" w:cs="Times New Roman"/>
          <w:kern w:val="0"/>
          <w:szCs w:val="21"/>
        </w:rPr>
        <w:lastRenderedPageBreak/>
        <w:t>additive models (especially if their pipelines and software are built around them). But as genotyping becomes cheaper and datasets grow, the cost (in degrees of freedom) to estimate epistatic effects becomes more manageable. In our view, with tens of thousands of records, one can estimate a handful of variance components quite stably. We foresee that in the future, genetic evaluations might routinely include an "additive GRM" and an "epistatic GRM" (or at least a dominance GRM) for traits where non-additive variance has been detected, similar to how permanent environmental effects or maternal genetic effects are added when necessary. The methodological groundwork laid by studies like ours will help in that transition.</w:t>
      </w:r>
    </w:p>
    <w:p w14:paraId="24F978C7"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Conclusions and Perspectives: Our generalized dynamic orthogonal epistasis model brings together several advanced concepts – allele-frequency-aware coding, multi-kernel GBLUP, reaction norm G×E modeling, and computational shortcuts – to push the boundaries of what we can achieve in accuracy and insight for genomic predictions. The successful testing on both simulated and real data suggests that the method is robust and broadly applicable. It effectively turns what used to be daunting (accounting for billions of interactions) into a manageable overhead in computations, thus making the inclusion of epistasis in routine evaluations a plausible reality rather than an intractable theory.</w:t>
      </w:r>
    </w:p>
    <w:p w14:paraId="119B396C"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Looking ahead, there are exciting avenues to build on this work. Integrating multi-omics data (e.g. transcriptomics, metabolomics) via extensions of our model (e.g. using additional kernels for gene expression similarity, or constructing interaction kernels between SNP and gene expression levels) could further improve predictions, especially for functional or health traits where environment and genes interplay. Also, exploring non-linear kernels in the orthogonal framework (like an orthogonal polynomial kernel of degree 2, which is essentially what we did by separate linear and pairwise terms, but one could extend to degree 3) might capture some higher-order signals if needed. Lastly, applying this model to real breeding program data (dairy, beef, sheep, swine, poultry) in collaboration with industry would be the acid test – measuring not just cross-validation accuracy but impact on realized genetic gain and decision-making. We anticipate that even if gains in accuracy are moderate, the insights gained (like understanding the variance breakdown and potential heterosis) provide enough justification to adopt these models in certain contexts, especially as computational constraints continue to diminish.</w:t>
      </w:r>
    </w:p>
    <w:p w14:paraId="0AF69085"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In conclusion, our study underscores that additive genes are the main drivers of inherited improvement, but the genomic “landscape” on which selection operates includes interaction effects that, if properly accounted for, can be harnessed for better predictions and smarter breeding strategies. By generalizing the dynamic orthogonal epistasis framework, we have taken a significant step toward more comprehensive genomic prediction models that reflect the true complexity of the genotype-to-phenotype map in livestock and other animal populations. The outcome is improved accuracy, particularly in long-term and heterogeneous scenarios, and a richer toolkit for genetic improvement and management. Our findings encourage the adoption of these advanced models in genomic selection programs, to unlock genetic potential that additive models alone might miss, and to ensure that selection decisions are informed by the true complexity of trait inheritance. Embracing this complexity ultimately accelerates progress toward breeding animals that are not only more productive, but also robust and well-suited to diverse future environments and management systems.</w:t>
      </w:r>
    </w:p>
    <w:p w14:paraId="3012FF35"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693483">
        <w:rPr>
          <w:rFonts w:ascii="Times New Roman" w:eastAsia="宋体" w:hAnsi="Times New Roman" w:cs="Times New Roman"/>
          <w:b/>
          <w:bCs/>
          <w:kern w:val="0"/>
          <w:szCs w:val="21"/>
        </w:rPr>
        <w:lastRenderedPageBreak/>
        <w:t>Conclusions:</w:t>
      </w:r>
      <w:r w:rsidRPr="00351E9D">
        <w:rPr>
          <w:rFonts w:ascii="Times New Roman" w:eastAsia="宋体" w:hAnsi="Times New Roman" w:cs="Times New Roman"/>
          <w:kern w:val="0"/>
          <w:szCs w:val="21"/>
        </w:rPr>
        <w:br/>
        <w:t>We developed a comprehensive genomic prediction framework that incorporates additive, dominance, and epistatic genetic effects in an orthogonal, dynamically-updated manner, and demonstrated its advantages in both predictive performance and genetic insight. Key conclusions from this work include:</w:t>
      </w:r>
    </w:p>
    <w:p w14:paraId="63D55344" w14:textId="3E4C2C63"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Dynamic Orthogonal Epistasis Modeling: By using allele frequency-dependent genotype encoding (NOIA) and re-estimating relationship matrices each generation, we achieved an orthogonal partition of variance components that remains valid as populations evolve. This dynamic epistasis GBLUP maintained markedly higher accuracy over multiple generations of selection compared to static or additive-only models, effectively addressing the decay in predictive ability that occurs when allele frequencies shift. In our simulations, the orthogonal model sustained prediction correlations near 0.68–0.70 over 10 generations, versus a drop to ~0.45 for a static additive model (trained once) by generation 10</w:t>
      </w:r>
      <w:r w:rsidR="000D00CE" w:rsidRPr="00351E9D">
        <w:rPr>
          <w:rFonts w:ascii="Times New Roman" w:eastAsia="宋体" w:hAnsi="Times New Roman" w:cs="Times New Roman" w:hint="eastAsia"/>
          <w:kern w:val="0"/>
          <w:szCs w:val="21"/>
        </w:rPr>
        <w:t xml:space="preserve"> [3]</w:t>
      </w:r>
      <w:r w:rsidRPr="00351E9D">
        <w:rPr>
          <w:rFonts w:ascii="Times New Roman" w:eastAsia="宋体" w:hAnsi="Times New Roman" w:cs="Times New Roman"/>
          <w:kern w:val="0"/>
          <w:szCs w:val="21"/>
        </w:rPr>
        <w:t>. This demonstrates that frequency-aware, regularly updated models can provide reliable GEBVs even as genetic architectures change under selection.</w:t>
      </w:r>
    </w:p>
    <w:p w14:paraId="09E84EB1" w14:textId="50BFABD5"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Improved Prediction Accuracy with Non-Additive Effects: Incorporating dominance and pairwise epistasis yielded up to ~10–15% increase in GEBV prediction accuracy for traits with appreciable non-additive variance (e.g. where epistasis contributed ~10–15% of phenotypic variance). The orthogonal model outperformed conventional GBLUP and was competitive with advanced machine-learning methods. In moderate-sized datasets, O-GBLUP had higher accuracy than or equal to Bayesian (</w:t>
      </w:r>
      <w:proofErr w:type="spellStart"/>
      <w:r w:rsidRPr="00351E9D">
        <w:rPr>
          <w:rFonts w:ascii="Times New Roman" w:eastAsia="宋体" w:hAnsi="Times New Roman" w:cs="Times New Roman"/>
          <w:kern w:val="0"/>
          <w:szCs w:val="21"/>
        </w:rPr>
        <w:t>BayesB</w:t>
      </w:r>
      <w:proofErr w:type="spellEnd"/>
      <w:r w:rsidRPr="00351E9D">
        <w:rPr>
          <w:rFonts w:ascii="Times New Roman" w:eastAsia="宋体" w:hAnsi="Times New Roman" w:cs="Times New Roman"/>
          <w:kern w:val="0"/>
          <w:szCs w:val="21"/>
        </w:rPr>
        <w:t>), RKHS kernels, and deep neural networks, which often struggled to fully leverage the epistatic signal unless very large samples were available</w:t>
      </w:r>
      <w:r w:rsidR="00486E5B" w:rsidRPr="00351E9D">
        <w:rPr>
          <w:rFonts w:ascii="Times New Roman" w:eastAsia="宋体" w:hAnsi="Times New Roman" w:cs="Times New Roman" w:hint="eastAsia"/>
          <w:kern w:val="0"/>
          <w:szCs w:val="21"/>
        </w:rPr>
        <w:t xml:space="preserve"> [9][10]</w:t>
      </w:r>
      <w:r w:rsidRPr="00351E9D">
        <w:rPr>
          <w:rFonts w:ascii="Times New Roman" w:eastAsia="宋体" w:hAnsi="Times New Roman" w:cs="Times New Roman"/>
          <w:kern w:val="0"/>
          <w:szCs w:val="21"/>
        </w:rPr>
        <w:t>. Our results reinforce that properly accounting for epistasis can enhance prediction, especially when the trait’s broad-sense heritability significantly exceeds its narrow-sense heritability. At the same time, if a trait was purely additive, our model automatically reduced to the additive solution (estimating zero non-additive variance) and matched additive GBLUP’s accuracy, incurring no penalty due to the orthogonal parameterization</w:t>
      </w:r>
      <w:r w:rsidR="00486E5B"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Thus, the method offers an accuracy gain when warranted and no loss when not.</w:t>
      </w:r>
    </w:p>
    <w:p w14:paraId="301FA0DD" w14:textId="57836E42"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Stable and Unbiased Heritability Partitioning: The O-GBLUP provided consistent estimates of narrow-sense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and broad-sense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heritability, cleanly separating additive vs. dominance vs. epistatic variance without bias. For example, it correctly attributed ~30% of variance to additive and ~10% to epistasis in a scenario where the additive-only model conflated the 10% epistatic variance with residual</w:t>
      </w:r>
      <w:r w:rsidR="00FD4FB8" w:rsidRPr="00351E9D">
        <w:rPr>
          <w:rFonts w:ascii="Times New Roman" w:eastAsia="宋体" w:hAnsi="Times New Roman" w:cs="Times New Roman" w:hint="eastAsia"/>
          <w:kern w:val="0"/>
          <w:szCs w:val="21"/>
        </w:rPr>
        <w:t xml:space="preserve"> [5]</w:t>
      </w:r>
      <w:r w:rsidRPr="00351E9D">
        <w:rPr>
          <w:rFonts w:ascii="Times New Roman" w:eastAsia="宋体" w:hAnsi="Times New Roman" w:cs="Times New Roman"/>
          <w:kern w:val="0"/>
          <w:szCs w:val="21"/>
        </w:rPr>
        <w:t xml:space="preserve">. Importantly, adding epistasis did not distort the additive variance estimate (confirming orthogonality). This yields more reliable interpretation of genetic architecture. We observed expected trends under selection (additive variance diminishing as favorable alleles fixed, and epistatic variance also declining, though partly persisting via new allele combinations). The orthogonal approach ensures that breeders can obtain accurate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xml:space="preserve"> estimates even in the presence of interactions – an additive-only model in such cases would mis-estimate </w:t>
      </w:r>
      <m:oMath>
        <m:sSup>
          <m:sSupPr>
            <m:ctrlPr>
              <w:rPr>
                <w:rFonts w:ascii="Cambria Math" w:eastAsia="宋体" w:hAnsi="Cambria Math" w:cs="Times New Roman"/>
                <w:kern w:val="0"/>
                <w:szCs w:val="21"/>
              </w:rPr>
            </m:ctrlPr>
          </m:sSupPr>
          <m:e>
            <m:r>
              <m:rPr>
                <m:sty m:val="p"/>
              </m:rPr>
              <w:rPr>
                <w:rFonts w:ascii="Cambria Math" w:eastAsia="宋体" w:hAnsi="Cambria Math" w:cs="Times New Roman"/>
                <w:kern w:val="0"/>
                <w:szCs w:val="21"/>
              </w:rPr>
              <m:t>h</m:t>
            </m:r>
          </m:e>
          <m:sup>
            <m:r>
              <m:rPr>
                <m:sty m:val="p"/>
              </m:rPr>
              <w:rPr>
                <w:rFonts w:ascii="Cambria Math" w:eastAsia="宋体" w:hAnsi="Cambria Math" w:cs="Times New Roman"/>
                <w:kern w:val="0"/>
                <w:szCs w:val="21"/>
              </w:rPr>
              <m:t>2</m:t>
            </m:r>
          </m:sup>
        </m:sSup>
      </m:oMath>
      <w:r w:rsidRPr="00351E9D">
        <w:rPr>
          <w:rFonts w:ascii="Times New Roman" w:eastAsia="宋体" w:hAnsi="Times New Roman" w:cs="Times New Roman"/>
          <w:kern w:val="0"/>
          <w:szCs w:val="21"/>
        </w:rPr>
        <w:t xml:space="preserve"> and under-predict the true heritable potential if epistasis exists. By capturing epistatic variance explicitly, our model allowed a more complete understanding of trait heritability and the contributions of different genetic effects.</w:t>
      </w:r>
    </w:p>
    <w:p w14:paraId="486AF97A" w14:textId="1454921A"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lastRenderedPageBreak/>
        <w:t>Genotype-by-Environment Interactions Captured: Extending the model to include reaction norm (environmental slope) terms proved effective in scenarios with environmental heterogeneity. The reaction norm genomic model improved predictive accuracy by ~20–30% when genotypes showed differential performance across environments</w:t>
      </w:r>
      <w:r w:rsidR="00B11A1A" w:rsidRPr="00351E9D">
        <w:rPr>
          <w:rFonts w:ascii="Times New Roman" w:eastAsia="宋体" w:hAnsi="Times New Roman" w:cs="Times New Roman" w:hint="eastAsia"/>
          <w:kern w:val="0"/>
          <w:szCs w:val="21"/>
        </w:rPr>
        <w:t xml:space="preserve"> [6]</w:t>
      </w:r>
      <w:r w:rsidRPr="00351E9D">
        <w:rPr>
          <w:rFonts w:ascii="Times New Roman" w:eastAsia="宋体" w:hAnsi="Times New Roman" w:cs="Times New Roman"/>
          <w:kern w:val="0"/>
          <w:szCs w:val="21"/>
        </w:rPr>
        <w:t>. It allowed GEBVs to be environment-specific: for instance, one bull could have a higher GEBV under heat stress and another under temperate conditions. This demonstrates that our framework can accommodate not only gene–gene interactions but also gene–environment interactions, which are increasingly important for breeding resilient, climate-adapted livestock. Modeling G×E genomically enables more precise selection for specific management or climate conditions, as well as identification of broadly adaptable genotypes (those with low slope). Our results support incorporating G×E in genomic predictions when data are available, as it captures variance that a single-environment model would miss.</w:t>
      </w:r>
    </w:p>
    <w:p w14:paraId="4AF1AA31" w14:textId="4E3D7B67"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Computational Feasibility via Hadamard Kernels: Through analytical derivations and algorithmic optimizations (using Hadamard products of GRMs and parallel computation), we achieved computational scalability for the epistasis-inclusive model. The method scales roughly linearly in the number of markers, avoiding the O(M</w:t>
      </w:r>
      <w:r w:rsidRPr="00351E9D">
        <w:rPr>
          <w:rFonts w:ascii="Times New Roman" w:eastAsia="宋体" w:hAnsi="Times New Roman" w:cs="Times New Roman"/>
          <w:kern w:val="0"/>
          <w:szCs w:val="21"/>
          <w:vertAlign w:val="superscript"/>
        </w:rPr>
        <w:t>2</w:t>
      </w:r>
      <w:r w:rsidRPr="00351E9D">
        <w:rPr>
          <w:rFonts w:ascii="Times New Roman" w:eastAsia="宋体" w:hAnsi="Times New Roman" w:cs="Times New Roman"/>
          <w:kern w:val="0"/>
          <w:szCs w:val="21"/>
        </w:rPr>
        <w:t xml:space="preserve">) explosion of explicit interaction models. Empirically, we could handle 50k–100k SNP datasets in seconds to minutes, and even SNP arrays with hundreds of thousands of markers are tractable (a 600k SNP chip can be processed in a few minutes for </w:t>
      </w:r>
      <m:oMath>
        <m:r>
          <m:rPr>
            <m:sty m:val="p"/>
          </m:rPr>
          <w:rPr>
            <w:rFonts w:ascii="Cambria Math" w:eastAsia="宋体" w:hAnsi="Cambria Math" w:cs="Times New Roman"/>
            <w:kern w:val="0"/>
            <w:szCs w:val="21"/>
          </w:rPr>
          <m:t>N~1000</m:t>
        </m:r>
      </m:oMath>
      <w:r w:rsidRPr="00351E9D">
        <w:rPr>
          <w:rFonts w:ascii="Times New Roman" w:eastAsia="宋体" w:hAnsi="Times New Roman" w:cs="Times New Roman"/>
          <w:kern w:val="0"/>
          <w:szCs w:val="21"/>
        </w:rPr>
        <w:t>). Memory requirements remained manageable for typical evaluation sizes (N in the low thousands). Thus, incorporating epistasis is no longer prohibitive; it can be integrated into routine genomic evaluations with available computing resources. These advancements lower the barrier for broader adoption of non-additive models in practice. We also note that our approach can readily be combined with existing sparse or approximate algorithms (e.g. APY for large N) to further scale up as needed.</w:t>
      </w:r>
    </w:p>
    <w:p w14:paraId="341AF0B8" w14:textId="08D378BD"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Practical Breeding Applications: The enriched model offers tangible benefits for breeding decision-making. It enables more informed mate selection – for example, using dominance effect estimates to minimize inbreeding depression or exploit complementation, and using epistatic effect information to pair individuals or lines that will produce favorable gene combinations (heterosis). We showed that our model’s outputs can guide optimal matings that increase offspring performance and maintain diversity (e.g. pairing individuals to avoid double-recessive deleterious genotypes, or crossing lines to realize complementary epistatic interactions). It also provides a tool to quantify and utilize heterosis: our model predicted crossbred performance and heterosis levels more accurately by including dominance and epistasis, aiding the design of crossbreeding programs. Additionally, by quantifying non-additive variance, breeders can decide if management strategies (like maintaining multiple sublines or implementing rotational crossing) are warranted to capture that variance. For example, if </w:t>
      </w:r>
      <m:oMath>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r>
          <m:rPr>
            <m:sty m:val="p"/>
          </m:rPr>
          <w:rPr>
            <w:rFonts w:ascii="Cambria Math" w:eastAsia="等线" w:hAnsi="Cambria Math" w:cs="Times New Roman"/>
            <w:sz w:val="22"/>
            <w:szCs w:val="24"/>
            <w14:ligatures w14:val="standardContextual"/>
          </w:rPr>
          <m:t>-</m:t>
        </m:r>
        <m:sSup>
          <m:sSupPr>
            <m:ctrlPr>
              <w:rPr>
                <w:rFonts w:ascii="Cambria Math" w:eastAsia="等线" w:hAnsi="Cambria Math" w:cs="Times New Roman"/>
                <w:sz w:val="22"/>
                <w:szCs w:val="24"/>
                <w14:ligatures w14:val="standardContextual"/>
              </w:rPr>
            </m:ctrlPr>
          </m:sSupPr>
          <m:e>
            <m:limUpp>
              <m:limUppPr>
                <m:ctrlPr>
                  <w:rPr>
                    <w:rFonts w:ascii="Cambria Math" w:eastAsia="等线" w:hAnsi="Cambria Math" w:cs="Times New Roman"/>
                    <w:sz w:val="22"/>
                    <w:szCs w:val="24"/>
                    <w14:ligatures w14:val="standardContextual"/>
                  </w:rPr>
                </m:ctrlPr>
              </m:limUppPr>
              <m:e>
                <m:r>
                  <m:rPr>
                    <m:sty m:val="p"/>
                  </m:rPr>
                  <w:rPr>
                    <w:rFonts w:ascii="Cambria Math" w:eastAsia="等线" w:hAnsi="Cambria Math" w:cs="Times New Roman"/>
                    <w:sz w:val="22"/>
                    <w:szCs w:val="24"/>
                    <w14:ligatures w14:val="standardContextual"/>
                  </w:rPr>
                  <m:t>h</m:t>
                </m:r>
              </m:e>
              <m:lim>
                <m:r>
                  <m:rPr>
                    <m:sty m:val="p"/>
                  </m:rPr>
                  <w:rPr>
                    <w:rFonts w:ascii="Cambria Math" w:eastAsia="等线" w:hAnsi="Cambria Math" w:cs="Times New Roman"/>
                    <w:sz w:val="22"/>
                    <w:szCs w:val="24"/>
                    <w14:ligatures w14:val="standardContextual"/>
                  </w:rPr>
                  <m:t>^</m:t>
                </m:r>
              </m:lim>
            </m:limUpp>
          </m:e>
          <m:sup>
            <m:r>
              <m:rPr>
                <m:sty m:val="p"/>
              </m:rPr>
              <w:rPr>
                <w:rFonts w:ascii="Cambria Math" w:eastAsia="等线" w:hAnsi="Cambria Math" w:cs="Times New Roman"/>
                <w:sz w:val="22"/>
                <w:szCs w:val="24"/>
                <w14:ligatures w14:val="standardContextual"/>
              </w:rPr>
              <m:t>2</m:t>
            </m:r>
          </m:sup>
        </m:sSup>
      </m:oMath>
      <w:r w:rsidRPr="00351E9D">
        <w:rPr>
          <w:rFonts w:ascii="Times New Roman" w:eastAsia="宋体" w:hAnsi="Times New Roman" w:cs="Times New Roman"/>
          <w:kern w:val="0"/>
          <w:szCs w:val="21"/>
        </w:rPr>
        <w:t xml:space="preserve"> is substantial, one might use mate allocation or crossbreeding to harness the non-additive effects in commercial production, while continuing additive selection in pure lines for long-term gain. Overall, the ability to predict total genetic merit (broad-sense) and its components can improve both selection accuracy (for individual performance) and the biological understanding of traits, leading to more tailored breeding strategies.</w:t>
      </w:r>
    </w:p>
    <w:p w14:paraId="0891914C" w14:textId="77777777" w:rsidR="00C41CA9" w:rsidRPr="00351E9D" w:rsidRDefault="00C41CA9" w:rsidP="00C41CA9">
      <w:pPr>
        <w:widowControl/>
        <w:numPr>
          <w:ilvl w:val="0"/>
          <w:numId w:val="11"/>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lastRenderedPageBreak/>
        <w:t>Generality and Future Extensions: While our focus was livestock, the framework is general and could apply to other contexts, including plant breeding (where dominance and epistasis are known to affect hybrid performance) and even human genetics (for risk prediction, one could use epistatic kernels to capture gene–gene interactions in polygenic risk scores). Moreover, the method can be extended further. One could incorporate higher-order interactions if data permit, use custom kernels (e.g. pathway-specific epistasis kernels if certain gene networks are hypothesized), or integrate multi-omics information by constructing additional GRMs weighted by functional annotations (leveraging resources like FAANG data for regulatory elements). These extensions present exciting opportunities to refine genomic predictions as data of various types become available. Additionally, investigating the impact of epistasis on long-term selection response (e.g. through simulations or theory) can guide how breeding programs might need to adapt their strategies if a trait has a large epistatic component (such as maintaining genetic polymorphisms to preserve epistatic potential).</w:t>
      </w:r>
    </w:p>
    <w:p w14:paraId="537FCAE7" w14:textId="77777777" w:rsidR="00C41CA9" w:rsidRPr="00351E9D" w:rsidRDefault="00C41CA9" w:rsidP="00C41CA9">
      <w:pPr>
        <w:widowControl/>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In conclusion, this research demonstrates that a more holistic modeling of the genome – embracing its interactive nature and dynamic allele frequency changes – is both feasible and advantageous for predictive genomics. By generalizing the dynamic orthogonal epistasis concept beyond single-generation studies, we show that genomic prediction can move beyond the additive paradigm to capture a fuller spectrum of genetic effects. The outcome is improved accuracy, particularly in scenarios with notable non-additive variance, and a richer interpretative framework that enhances genetic gain and resilience in breeding programs. Our findings encourage the adoption of these advanced models in practice, to unlock genetic potential that additive models alone might miss and to ensure that selection decisions are informed by the true complexity of trait inheritance. Embracing this complexity ultimately leads to breeding strategies that maximize genetic progress while maintaining diversity and adaptability – goals that are crucial for sustainable genetic improvement in the era of big data and complex trait genomics.</w:t>
      </w:r>
    </w:p>
    <w:p w14:paraId="6897E5E5" w14:textId="77777777" w:rsidR="00C41CA9" w:rsidRPr="00693483" w:rsidRDefault="00C41CA9" w:rsidP="00C41CA9">
      <w:pPr>
        <w:widowControl/>
        <w:spacing w:before="100" w:beforeAutospacing="1" w:after="100" w:afterAutospacing="1"/>
        <w:rPr>
          <w:rFonts w:ascii="Times New Roman" w:eastAsia="宋体" w:hAnsi="Times New Roman" w:cs="Times New Roman"/>
          <w:b/>
          <w:bCs/>
          <w:kern w:val="0"/>
          <w:szCs w:val="21"/>
        </w:rPr>
      </w:pPr>
      <w:r w:rsidRPr="00693483">
        <w:rPr>
          <w:rFonts w:ascii="Times New Roman" w:eastAsia="宋体" w:hAnsi="Times New Roman" w:cs="Times New Roman"/>
          <w:b/>
          <w:bCs/>
          <w:kern w:val="0"/>
          <w:szCs w:val="21"/>
        </w:rPr>
        <w:t>References:</w:t>
      </w:r>
    </w:p>
    <w:p w14:paraId="265B6433"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Meuwissen T.H.E., Hayes B.J. &amp; Goddard M.E. (2001). Prediction of total genetic value using genome-wide dense marker maps. Genetics 157: 1819–1829.</w:t>
      </w:r>
    </w:p>
    <w:p w14:paraId="1B1FC27C"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Crow J.F. (2010). On epistasis: why it is unimportant in polygenic directional selection. Philos. Trans. R. Soc. B 365: 1241–1244.</w:t>
      </w:r>
    </w:p>
    <w:p w14:paraId="2C74CD3D"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proofErr w:type="spellStart"/>
      <w:r w:rsidRPr="00351E9D">
        <w:rPr>
          <w:rFonts w:ascii="Times New Roman" w:eastAsia="宋体" w:hAnsi="Times New Roman" w:cs="Times New Roman"/>
          <w:kern w:val="0"/>
          <w:szCs w:val="21"/>
        </w:rPr>
        <w:t>Legarra</w:t>
      </w:r>
      <w:proofErr w:type="spellEnd"/>
      <w:r w:rsidRPr="00351E9D">
        <w:rPr>
          <w:rFonts w:ascii="Times New Roman" w:eastAsia="宋体" w:hAnsi="Times New Roman" w:cs="Times New Roman"/>
          <w:kern w:val="0"/>
          <w:szCs w:val="21"/>
        </w:rPr>
        <w:t xml:space="preserve"> A., Garcia-Baccino C.A., Wientjes Y.C.J. &amp; </w:t>
      </w: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Z.G. (2021). The correlation of substitution effects across populations and generations in the presence of nonadditive functional gene action. Genetics 219(4): iyab138.</w:t>
      </w:r>
    </w:p>
    <w:p w14:paraId="17F26DDC"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Álvarez-Castro J.M. &amp; </w:t>
      </w:r>
      <w:proofErr w:type="spellStart"/>
      <w:r w:rsidRPr="00351E9D">
        <w:rPr>
          <w:rFonts w:ascii="Times New Roman" w:eastAsia="宋体" w:hAnsi="Times New Roman" w:cs="Times New Roman"/>
          <w:kern w:val="0"/>
          <w:szCs w:val="21"/>
        </w:rPr>
        <w:t>Carlborg</w:t>
      </w:r>
      <w:proofErr w:type="spellEnd"/>
      <w:r w:rsidRPr="00351E9D">
        <w:rPr>
          <w:rFonts w:ascii="Times New Roman" w:eastAsia="宋体" w:hAnsi="Times New Roman" w:cs="Times New Roman"/>
          <w:kern w:val="0"/>
          <w:szCs w:val="21"/>
        </w:rPr>
        <w:t xml:space="preserve"> Ö. (2007). A unified model for functional and statistical epistasis and its application in quantitative trait loci analysis. Genetics 176: 1151–1167.</w:t>
      </w:r>
    </w:p>
    <w:p w14:paraId="4A6D5C73"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Z.G., </w:t>
      </w:r>
      <w:proofErr w:type="spellStart"/>
      <w:r w:rsidRPr="00351E9D">
        <w:rPr>
          <w:rFonts w:ascii="Times New Roman" w:eastAsia="宋体" w:hAnsi="Times New Roman" w:cs="Times New Roman"/>
          <w:kern w:val="0"/>
          <w:szCs w:val="21"/>
        </w:rPr>
        <w:t>Legarra</w:t>
      </w:r>
      <w:proofErr w:type="spellEnd"/>
      <w:r w:rsidRPr="00351E9D">
        <w:rPr>
          <w:rFonts w:ascii="Times New Roman" w:eastAsia="宋体" w:hAnsi="Times New Roman" w:cs="Times New Roman"/>
          <w:kern w:val="0"/>
          <w:szCs w:val="21"/>
        </w:rPr>
        <w:t xml:space="preserve"> A., Toro M.A. &amp; Varona L. (2017). Orthogonal estimates of variances for additive, dominance, and epistatic effects in populations. Genetics 206: 1297–1307.</w:t>
      </w:r>
    </w:p>
    <w:p w14:paraId="60808536"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Pérez P., de </w:t>
      </w:r>
      <w:proofErr w:type="spellStart"/>
      <w:r w:rsidRPr="00351E9D">
        <w:rPr>
          <w:rFonts w:ascii="Times New Roman" w:eastAsia="宋体" w:hAnsi="Times New Roman" w:cs="Times New Roman"/>
          <w:kern w:val="0"/>
          <w:szCs w:val="21"/>
        </w:rPr>
        <w:t>los</w:t>
      </w:r>
      <w:proofErr w:type="spellEnd"/>
      <w:r w:rsidRPr="00351E9D">
        <w:rPr>
          <w:rFonts w:ascii="Times New Roman" w:eastAsia="宋体" w:hAnsi="Times New Roman" w:cs="Times New Roman"/>
          <w:kern w:val="0"/>
          <w:szCs w:val="21"/>
        </w:rPr>
        <w:t xml:space="preserve"> Campos G., Crossa J. &amp; Gianola D. (2014). A reaction norm model for genomic selection using high-dimensional genomic and environmental data. Theor. Appl. Genet. 127: 595–607.</w:t>
      </w:r>
    </w:p>
    <w:p w14:paraId="3D8355DD"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lastRenderedPageBreak/>
        <w:t xml:space="preserve">Hu Z.L., Park C.A. &amp; </w:t>
      </w:r>
      <w:proofErr w:type="spellStart"/>
      <w:r w:rsidRPr="00351E9D">
        <w:rPr>
          <w:rFonts w:ascii="Times New Roman" w:eastAsia="宋体" w:hAnsi="Times New Roman" w:cs="Times New Roman"/>
          <w:kern w:val="0"/>
          <w:szCs w:val="21"/>
        </w:rPr>
        <w:t>Reecy</w:t>
      </w:r>
      <w:proofErr w:type="spellEnd"/>
      <w:r w:rsidRPr="00351E9D">
        <w:rPr>
          <w:rFonts w:ascii="Times New Roman" w:eastAsia="宋体" w:hAnsi="Times New Roman" w:cs="Times New Roman"/>
          <w:kern w:val="0"/>
          <w:szCs w:val="21"/>
        </w:rPr>
        <w:t xml:space="preserve"> J.M. (2019). Building a livestock genetic and genomic information knowledgebase through integrative developments of Animal </w:t>
      </w:r>
      <w:proofErr w:type="spellStart"/>
      <w:r w:rsidRPr="00351E9D">
        <w:rPr>
          <w:rFonts w:ascii="Times New Roman" w:eastAsia="宋体" w:hAnsi="Times New Roman" w:cs="Times New Roman"/>
          <w:kern w:val="0"/>
          <w:szCs w:val="21"/>
        </w:rPr>
        <w:t>QTLdb</w:t>
      </w:r>
      <w:proofErr w:type="spellEnd"/>
      <w:r w:rsidRPr="00351E9D">
        <w:rPr>
          <w:rFonts w:ascii="Times New Roman" w:eastAsia="宋体" w:hAnsi="Times New Roman" w:cs="Times New Roman"/>
          <w:kern w:val="0"/>
          <w:szCs w:val="21"/>
        </w:rPr>
        <w:t xml:space="preserve"> and </w:t>
      </w:r>
      <w:proofErr w:type="spellStart"/>
      <w:r w:rsidRPr="00351E9D">
        <w:rPr>
          <w:rFonts w:ascii="Times New Roman" w:eastAsia="宋体" w:hAnsi="Times New Roman" w:cs="Times New Roman"/>
          <w:kern w:val="0"/>
          <w:szCs w:val="21"/>
        </w:rPr>
        <w:t>CorrDB</w:t>
      </w:r>
      <w:proofErr w:type="spellEnd"/>
      <w:r w:rsidRPr="00351E9D">
        <w:rPr>
          <w:rFonts w:ascii="Times New Roman" w:eastAsia="宋体" w:hAnsi="Times New Roman" w:cs="Times New Roman"/>
          <w:kern w:val="0"/>
          <w:szCs w:val="21"/>
        </w:rPr>
        <w:t>. Nucleic Acids Res. 47(D1): D701–D710.</w:t>
      </w:r>
    </w:p>
    <w:p w14:paraId="7281D2AD"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VanRaden P.M. (2008). Efficient methods to compute genomic predictions. J. Dairy Sci. 91: 4414–4423.</w:t>
      </w:r>
    </w:p>
    <w:p w14:paraId="797C3D6A"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Abdollahi-</w:t>
      </w:r>
      <w:proofErr w:type="spellStart"/>
      <w:r w:rsidRPr="00351E9D">
        <w:rPr>
          <w:rFonts w:ascii="Times New Roman" w:eastAsia="宋体" w:hAnsi="Times New Roman" w:cs="Times New Roman"/>
          <w:kern w:val="0"/>
          <w:szCs w:val="21"/>
        </w:rPr>
        <w:t>Arpanahi</w:t>
      </w:r>
      <w:proofErr w:type="spellEnd"/>
      <w:r w:rsidRPr="00351E9D">
        <w:rPr>
          <w:rFonts w:ascii="Times New Roman" w:eastAsia="宋体" w:hAnsi="Times New Roman" w:cs="Times New Roman"/>
          <w:kern w:val="0"/>
          <w:szCs w:val="21"/>
        </w:rPr>
        <w:t xml:space="preserve"> R., Gianola D. &amp; </w:t>
      </w:r>
      <w:proofErr w:type="spellStart"/>
      <w:r w:rsidRPr="00351E9D">
        <w:rPr>
          <w:rFonts w:ascii="Times New Roman" w:eastAsia="宋体" w:hAnsi="Times New Roman" w:cs="Times New Roman"/>
          <w:kern w:val="0"/>
          <w:szCs w:val="21"/>
        </w:rPr>
        <w:t>Peñagaricano</w:t>
      </w:r>
      <w:proofErr w:type="spellEnd"/>
      <w:r w:rsidRPr="00351E9D">
        <w:rPr>
          <w:rFonts w:ascii="Times New Roman" w:eastAsia="宋体" w:hAnsi="Times New Roman" w:cs="Times New Roman"/>
          <w:kern w:val="0"/>
          <w:szCs w:val="21"/>
        </w:rPr>
        <w:t xml:space="preserve"> F. (2020). Deep learning versus parametric and ensemble methods for genomic prediction of complex phenotypes. Genet. Sel. </w:t>
      </w:r>
      <w:proofErr w:type="spellStart"/>
      <w:r w:rsidRPr="00351E9D">
        <w:rPr>
          <w:rFonts w:ascii="Times New Roman" w:eastAsia="宋体" w:hAnsi="Times New Roman" w:cs="Times New Roman"/>
          <w:kern w:val="0"/>
          <w:szCs w:val="21"/>
        </w:rPr>
        <w:t>Evol</w:t>
      </w:r>
      <w:proofErr w:type="spellEnd"/>
      <w:r w:rsidRPr="00351E9D">
        <w:rPr>
          <w:rFonts w:ascii="Times New Roman" w:eastAsia="宋体" w:hAnsi="Times New Roman" w:cs="Times New Roman"/>
          <w:kern w:val="0"/>
          <w:szCs w:val="21"/>
        </w:rPr>
        <w:t>. 52: 12.</w:t>
      </w:r>
    </w:p>
    <w:p w14:paraId="2E4D1467"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Bellot P., de Los Campos G. &amp; Pérez-Enciso M. (2018). Can deep learning improve genomic prediction of complex human traits? Genetics 210(3): 809–819.</w:t>
      </w:r>
    </w:p>
    <w:p w14:paraId="5E1487DC"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Montesinos-López O.A., Montesinos-López A., Gianola D., Crossa J. &amp; Hernández-Suárez C.M. (2018). Multi-trait, multi-environment deep learning modeling for genomic-enabled prediction of plant traits. G3: Genes, Genomes, Genetics 8: 3829–3840.</w:t>
      </w:r>
    </w:p>
    <w:p w14:paraId="54ACF7F5"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Hill W.G., Goddard M.E. &amp; Visscher P.M. (2008). Data and theory point to mainly additive genetic variance for complex traits. </w:t>
      </w:r>
      <w:proofErr w:type="spellStart"/>
      <w:r w:rsidRPr="00351E9D">
        <w:rPr>
          <w:rFonts w:ascii="Times New Roman" w:eastAsia="宋体" w:hAnsi="Times New Roman" w:cs="Times New Roman"/>
          <w:kern w:val="0"/>
          <w:szCs w:val="21"/>
        </w:rPr>
        <w:t>PLoS</w:t>
      </w:r>
      <w:proofErr w:type="spellEnd"/>
      <w:r w:rsidRPr="00351E9D">
        <w:rPr>
          <w:rFonts w:ascii="Times New Roman" w:eastAsia="宋体" w:hAnsi="Times New Roman" w:cs="Times New Roman"/>
          <w:kern w:val="0"/>
          <w:szCs w:val="21"/>
        </w:rPr>
        <w:t xml:space="preserve"> Genet. 4(2): e1000008.</w:t>
      </w:r>
    </w:p>
    <w:p w14:paraId="0AB16792"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Z.G., </w:t>
      </w:r>
      <w:proofErr w:type="spellStart"/>
      <w:r w:rsidRPr="00351E9D">
        <w:rPr>
          <w:rFonts w:ascii="Times New Roman" w:eastAsia="宋体" w:hAnsi="Times New Roman" w:cs="Times New Roman"/>
          <w:kern w:val="0"/>
          <w:szCs w:val="21"/>
        </w:rPr>
        <w:t>Reverter</w:t>
      </w:r>
      <w:proofErr w:type="spellEnd"/>
      <w:r w:rsidRPr="00351E9D">
        <w:rPr>
          <w:rFonts w:ascii="Times New Roman" w:eastAsia="宋体" w:hAnsi="Times New Roman" w:cs="Times New Roman"/>
          <w:kern w:val="0"/>
          <w:szCs w:val="21"/>
        </w:rPr>
        <w:t xml:space="preserve"> A., Herring W.O. &amp; </w:t>
      </w:r>
      <w:proofErr w:type="spellStart"/>
      <w:r w:rsidRPr="00351E9D">
        <w:rPr>
          <w:rFonts w:ascii="Times New Roman" w:eastAsia="宋体" w:hAnsi="Times New Roman" w:cs="Times New Roman"/>
          <w:kern w:val="0"/>
          <w:szCs w:val="21"/>
        </w:rPr>
        <w:t>Legarra</w:t>
      </w:r>
      <w:proofErr w:type="spellEnd"/>
      <w:r w:rsidRPr="00351E9D">
        <w:rPr>
          <w:rFonts w:ascii="Times New Roman" w:eastAsia="宋体" w:hAnsi="Times New Roman" w:cs="Times New Roman"/>
          <w:kern w:val="0"/>
          <w:szCs w:val="21"/>
        </w:rPr>
        <w:t xml:space="preserve"> A. (2018). Dominance and epistatic genetic variances for litter size in pigs using genomic models. Genet. Sel. </w:t>
      </w:r>
      <w:proofErr w:type="spellStart"/>
      <w:r w:rsidRPr="00351E9D">
        <w:rPr>
          <w:rFonts w:ascii="Times New Roman" w:eastAsia="宋体" w:hAnsi="Times New Roman" w:cs="Times New Roman"/>
          <w:kern w:val="0"/>
          <w:szCs w:val="21"/>
        </w:rPr>
        <w:t>Evol</w:t>
      </w:r>
      <w:proofErr w:type="spellEnd"/>
      <w:r w:rsidRPr="00351E9D">
        <w:rPr>
          <w:rFonts w:ascii="Times New Roman" w:eastAsia="宋体" w:hAnsi="Times New Roman" w:cs="Times New Roman"/>
          <w:kern w:val="0"/>
          <w:szCs w:val="21"/>
        </w:rPr>
        <w:t>. 50: 71.</w:t>
      </w:r>
    </w:p>
    <w:p w14:paraId="52DEFF4A"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Wientjes Y.C.J., </w:t>
      </w:r>
      <w:proofErr w:type="spellStart"/>
      <w:r w:rsidRPr="00351E9D">
        <w:rPr>
          <w:rFonts w:ascii="Times New Roman" w:eastAsia="宋体" w:hAnsi="Times New Roman" w:cs="Times New Roman"/>
          <w:kern w:val="0"/>
          <w:szCs w:val="21"/>
        </w:rPr>
        <w:t>Bijma</w:t>
      </w:r>
      <w:proofErr w:type="spellEnd"/>
      <w:r w:rsidRPr="00351E9D">
        <w:rPr>
          <w:rFonts w:ascii="Times New Roman" w:eastAsia="宋体" w:hAnsi="Times New Roman" w:cs="Times New Roman"/>
          <w:kern w:val="0"/>
          <w:szCs w:val="21"/>
        </w:rPr>
        <w:t xml:space="preserve"> P., Calus M.P.L., Zwaan B.J., </w:t>
      </w: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Z.G. &amp; van den Heuvel J. (2023). The long-term effects of genomic selection: 2. Changes in allele frequencies of causal loci and new mutations. Genetics, in press.</w:t>
      </w:r>
    </w:p>
    <w:p w14:paraId="4FF49D03"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Toro M.A. &amp; Varona L. (2010). A note on mate allocation for dominance handling in genomic selection. Genet. Sel. </w:t>
      </w:r>
      <w:proofErr w:type="spellStart"/>
      <w:r w:rsidRPr="00351E9D">
        <w:rPr>
          <w:rFonts w:ascii="Times New Roman" w:eastAsia="宋体" w:hAnsi="Times New Roman" w:cs="Times New Roman"/>
          <w:kern w:val="0"/>
          <w:szCs w:val="21"/>
        </w:rPr>
        <w:t>Evol</w:t>
      </w:r>
      <w:proofErr w:type="spellEnd"/>
      <w:r w:rsidRPr="00351E9D">
        <w:rPr>
          <w:rFonts w:ascii="Times New Roman" w:eastAsia="宋体" w:hAnsi="Times New Roman" w:cs="Times New Roman"/>
          <w:kern w:val="0"/>
          <w:szCs w:val="21"/>
        </w:rPr>
        <w:t>. 42: 33.</w:t>
      </w:r>
    </w:p>
    <w:p w14:paraId="763861D7"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Sun C., VanRaden P.M., O’Connell J.R., Weigel K.A. &amp; Gianola D. (2014). Mating programs including genomic relationships and dominance effects. J. Dairy Sci. 97: 5872–5881.</w:t>
      </w:r>
    </w:p>
    <w:p w14:paraId="6C0E6891"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Fritsche-Neto R., Akdemir D. &amp; </w:t>
      </w:r>
      <w:proofErr w:type="spellStart"/>
      <w:r w:rsidRPr="00351E9D">
        <w:rPr>
          <w:rFonts w:ascii="Times New Roman" w:eastAsia="宋体" w:hAnsi="Times New Roman" w:cs="Times New Roman"/>
          <w:kern w:val="0"/>
          <w:szCs w:val="21"/>
        </w:rPr>
        <w:t>Jannink</w:t>
      </w:r>
      <w:proofErr w:type="spellEnd"/>
      <w:r w:rsidRPr="00351E9D">
        <w:rPr>
          <w:rFonts w:ascii="Times New Roman" w:eastAsia="宋体" w:hAnsi="Times New Roman" w:cs="Times New Roman"/>
          <w:kern w:val="0"/>
          <w:szCs w:val="21"/>
        </w:rPr>
        <w:t xml:space="preserve"> J.L. (2018). Accuracy of genomic selection to predict maize single-crosses obtained through different mating designs. Theor. Appl. Genet. 131(5): 1153–1162.</w:t>
      </w:r>
    </w:p>
    <w:p w14:paraId="7FCE7F6E" w14:textId="77777777" w:rsidR="00C41CA9" w:rsidRPr="00351E9D" w:rsidRDefault="00C41CA9" w:rsidP="00C41CA9">
      <w:pPr>
        <w:widowControl/>
        <w:numPr>
          <w:ilvl w:val="0"/>
          <w:numId w:val="12"/>
        </w:numPr>
        <w:spacing w:before="100" w:beforeAutospacing="1" w:after="100" w:afterAutospacing="1"/>
        <w:rPr>
          <w:rFonts w:ascii="Times New Roman" w:eastAsia="宋体" w:hAnsi="Times New Roman" w:cs="Times New Roman"/>
          <w:kern w:val="0"/>
          <w:szCs w:val="21"/>
        </w:rPr>
      </w:pPr>
      <w:r w:rsidRPr="00351E9D">
        <w:rPr>
          <w:rFonts w:ascii="Times New Roman" w:eastAsia="宋体" w:hAnsi="Times New Roman" w:cs="Times New Roman"/>
          <w:kern w:val="0"/>
          <w:szCs w:val="21"/>
        </w:rPr>
        <w:t xml:space="preserve">Xiang R., MacLeod I.M., </w:t>
      </w:r>
      <w:proofErr w:type="spellStart"/>
      <w:r w:rsidRPr="00351E9D">
        <w:rPr>
          <w:rFonts w:ascii="Times New Roman" w:eastAsia="宋体" w:hAnsi="Times New Roman" w:cs="Times New Roman"/>
          <w:kern w:val="0"/>
          <w:szCs w:val="21"/>
        </w:rPr>
        <w:t>Daetwyler</w:t>
      </w:r>
      <w:proofErr w:type="spellEnd"/>
      <w:r w:rsidRPr="00351E9D">
        <w:rPr>
          <w:rFonts w:ascii="Times New Roman" w:eastAsia="宋体" w:hAnsi="Times New Roman" w:cs="Times New Roman"/>
          <w:kern w:val="0"/>
          <w:szCs w:val="21"/>
        </w:rPr>
        <w:t xml:space="preserve"> H.D. et al. (2017). Genome-wide comparative analyses of correlated and uncorrelated phenotypes identify major pleiotropic variants in dairy cattle. Sci. Rep. 7: 9248.</w:t>
      </w:r>
    </w:p>
    <w:p w14:paraId="7F452515" w14:textId="0E68784F" w:rsidR="00DF5F45" w:rsidRPr="00351E9D" w:rsidRDefault="00C41CA9" w:rsidP="00B80E32">
      <w:pPr>
        <w:widowControl/>
        <w:numPr>
          <w:ilvl w:val="0"/>
          <w:numId w:val="12"/>
        </w:numPr>
        <w:spacing w:before="100" w:beforeAutospacing="1" w:after="100" w:afterAutospacing="1"/>
        <w:rPr>
          <w:rFonts w:ascii="Times New Roman" w:hAnsi="Times New Roman" w:cs="Times New Roman"/>
          <w:szCs w:val="21"/>
        </w:rPr>
      </w:pPr>
      <w:r w:rsidRPr="00351E9D">
        <w:rPr>
          <w:rFonts w:ascii="Times New Roman" w:eastAsia="宋体" w:hAnsi="Times New Roman" w:cs="Times New Roman"/>
          <w:kern w:val="0"/>
          <w:szCs w:val="21"/>
        </w:rPr>
        <w:t xml:space="preserve">Varona L., </w:t>
      </w:r>
      <w:proofErr w:type="spellStart"/>
      <w:r w:rsidRPr="00351E9D">
        <w:rPr>
          <w:rFonts w:ascii="Times New Roman" w:eastAsia="宋体" w:hAnsi="Times New Roman" w:cs="Times New Roman"/>
          <w:kern w:val="0"/>
          <w:szCs w:val="21"/>
        </w:rPr>
        <w:t>Legarra</w:t>
      </w:r>
      <w:proofErr w:type="spellEnd"/>
      <w:r w:rsidRPr="00351E9D">
        <w:rPr>
          <w:rFonts w:ascii="Times New Roman" w:eastAsia="宋体" w:hAnsi="Times New Roman" w:cs="Times New Roman"/>
          <w:kern w:val="0"/>
          <w:szCs w:val="21"/>
        </w:rPr>
        <w:t xml:space="preserve"> A., Toro M.A. &amp; </w:t>
      </w:r>
      <w:proofErr w:type="spellStart"/>
      <w:r w:rsidRPr="00351E9D">
        <w:rPr>
          <w:rFonts w:ascii="Times New Roman" w:eastAsia="宋体" w:hAnsi="Times New Roman" w:cs="Times New Roman"/>
          <w:kern w:val="0"/>
          <w:szCs w:val="21"/>
        </w:rPr>
        <w:t>Vitezica</w:t>
      </w:r>
      <w:proofErr w:type="spellEnd"/>
      <w:r w:rsidRPr="00351E9D">
        <w:rPr>
          <w:rFonts w:ascii="Times New Roman" w:eastAsia="宋体" w:hAnsi="Times New Roman" w:cs="Times New Roman"/>
          <w:kern w:val="0"/>
          <w:szCs w:val="21"/>
        </w:rPr>
        <w:t xml:space="preserve"> Z.G. (2018). Non-additive effects in genomic selection. Front. Genet. 9: 78.</w:t>
      </w:r>
    </w:p>
    <w:sectPr w:rsidR="00DF5F45" w:rsidRPr="00351E9D" w:rsidSect="004A2F6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AAF8" w14:textId="77777777" w:rsidR="00730799" w:rsidRDefault="00730799" w:rsidP="00670B09">
      <w:r>
        <w:separator/>
      </w:r>
    </w:p>
  </w:endnote>
  <w:endnote w:type="continuationSeparator" w:id="0">
    <w:p w14:paraId="6692C185" w14:textId="77777777" w:rsidR="00730799" w:rsidRDefault="00730799" w:rsidP="00670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9796" w14:textId="77777777" w:rsidR="00730799" w:rsidRDefault="00730799" w:rsidP="00670B09">
      <w:r>
        <w:separator/>
      </w:r>
    </w:p>
  </w:footnote>
  <w:footnote w:type="continuationSeparator" w:id="0">
    <w:p w14:paraId="122ACF22" w14:textId="77777777" w:rsidR="00730799" w:rsidRDefault="00730799" w:rsidP="00670B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9FD"/>
    <w:multiLevelType w:val="multilevel"/>
    <w:tmpl w:val="812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96A"/>
    <w:multiLevelType w:val="multilevel"/>
    <w:tmpl w:val="1AF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2F3A"/>
    <w:multiLevelType w:val="multilevel"/>
    <w:tmpl w:val="F166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0A58"/>
    <w:multiLevelType w:val="multilevel"/>
    <w:tmpl w:val="11F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348ED"/>
    <w:multiLevelType w:val="multilevel"/>
    <w:tmpl w:val="C754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F6DC3"/>
    <w:multiLevelType w:val="multilevel"/>
    <w:tmpl w:val="43A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6700B"/>
    <w:multiLevelType w:val="multilevel"/>
    <w:tmpl w:val="4A5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44DEB"/>
    <w:multiLevelType w:val="multilevel"/>
    <w:tmpl w:val="C9B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21D3B"/>
    <w:multiLevelType w:val="multilevel"/>
    <w:tmpl w:val="0D3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05482"/>
    <w:multiLevelType w:val="multilevel"/>
    <w:tmpl w:val="ABBE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67DF9"/>
    <w:multiLevelType w:val="multilevel"/>
    <w:tmpl w:val="134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72B88"/>
    <w:multiLevelType w:val="multilevel"/>
    <w:tmpl w:val="645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556">
    <w:abstractNumId w:val="5"/>
  </w:num>
  <w:num w:numId="2" w16cid:durableId="628780680">
    <w:abstractNumId w:val="2"/>
  </w:num>
  <w:num w:numId="3" w16cid:durableId="289366728">
    <w:abstractNumId w:val="7"/>
  </w:num>
  <w:num w:numId="4" w16cid:durableId="986009057">
    <w:abstractNumId w:val="8"/>
  </w:num>
  <w:num w:numId="5" w16cid:durableId="2080588006">
    <w:abstractNumId w:val="9"/>
  </w:num>
  <w:num w:numId="6" w16cid:durableId="814298358">
    <w:abstractNumId w:val="11"/>
  </w:num>
  <w:num w:numId="7" w16cid:durableId="359596438">
    <w:abstractNumId w:val="10"/>
  </w:num>
  <w:num w:numId="8" w16cid:durableId="1969123822">
    <w:abstractNumId w:val="3"/>
  </w:num>
  <w:num w:numId="9" w16cid:durableId="1241057521">
    <w:abstractNumId w:val="1"/>
  </w:num>
  <w:num w:numId="10" w16cid:durableId="1139424322">
    <w:abstractNumId w:val="6"/>
  </w:num>
  <w:num w:numId="11" w16cid:durableId="1986277599">
    <w:abstractNumId w:val="0"/>
  </w:num>
  <w:num w:numId="12" w16cid:durableId="228662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19"/>
    <w:rsid w:val="000021CE"/>
    <w:rsid w:val="0001375C"/>
    <w:rsid w:val="0001770E"/>
    <w:rsid w:val="00022636"/>
    <w:rsid w:val="00041F2F"/>
    <w:rsid w:val="000433F5"/>
    <w:rsid w:val="000460C2"/>
    <w:rsid w:val="00055025"/>
    <w:rsid w:val="00065841"/>
    <w:rsid w:val="000A0091"/>
    <w:rsid w:val="000B00CD"/>
    <w:rsid w:val="000D00CE"/>
    <w:rsid w:val="000D1C4E"/>
    <w:rsid w:val="000E2CD5"/>
    <w:rsid w:val="000E77E7"/>
    <w:rsid w:val="000F0818"/>
    <w:rsid w:val="0010738C"/>
    <w:rsid w:val="00113396"/>
    <w:rsid w:val="00116C0C"/>
    <w:rsid w:val="0012393E"/>
    <w:rsid w:val="00131F6B"/>
    <w:rsid w:val="00133AC1"/>
    <w:rsid w:val="001356F2"/>
    <w:rsid w:val="00150C36"/>
    <w:rsid w:val="00157327"/>
    <w:rsid w:val="00173B11"/>
    <w:rsid w:val="00197224"/>
    <w:rsid w:val="001D7C5D"/>
    <w:rsid w:val="001E1CA8"/>
    <w:rsid w:val="001E51B4"/>
    <w:rsid w:val="001F3814"/>
    <w:rsid w:val="001F5531"/>
    <w:rsid w:val="00216A20"/>
    <w:rsid w:val="00225206"/>
    <w:rsid w:val="0022558A"/>
    <w:rsid w:val="00236F69"/>
    <w:rsid w:val="00250654"/>
    <w:rsid w:val="00256DB4"/>
    <w:rsid w:val="002611FC"/>
    <w:rsid w:val="0026668F"/>
    <w:rsid w:val="00266B93"/>
    <w:rsid w:val="00272064"/>
    <w:rsid w:val="00281F13"/>
    <w:rsid w:val="002851E8"/>
    <w:rsid w:val="00286126"/>
    <w:rsid w:val="00291523"/>
    <w:rsid w:val="00297A85"/>
    <w:rsid w:val="002E582C"/>
    <w:rsid w:val="002E72AA"/>
    <w:rsid w:val="002F64FE"/>
    <w:rsid w:val="002F7A75"/>
    <w:rsid w:val="003008BF"/>
    <w:rsid w:val="003021AC"/>
    <w:rsid w:val="0031571C"/>
    <w:rsid w:val="0031640A"/>
    <w:rsid w:val="003244B9"/>
    <w:rsid w:val="00345A28"/>
    <w:rsid w:val="00351E9D"/>
    <w:rsid w:val="00352C50"/>
    <w:rsid w:val="00371A16"/>
    <w:rsid w:val="00394F07"/>
    <w:rsid w:val="003A0C44"/>
    <w:rsid w:val="003B3AF9"/>
    <w:rsid w:val="003B450A"/>
    <w:rsid w:val="003C3134"/>
    <w:rsid w:val="003E3964"/>
    <w:rsid w:val="00421E8A"/>
    <w:rsid w:val="00424EBD"/>
    <w:rsid w:val="004270BB"/>
    <w:rsid w:val="004414CE"/>
    <w:rsid w:val="00450F5A"/>
    <w:rsid w:val="00452941"/>
    <w:rsid w:val="00452AEC"/>
    <w:rsid w:val="00452BC3"/>
    <w:rsid w:val="00454AF5"/>
    <w:rsid w:val="00455DCE"/>
    <w:rsid w:val="00456A3B"/>
    <w:rsid w:val="00461293"/>
    <w:rsid w:val="0046355D"/>
    <w:rsid w:val="004726E0"/>
    <w:rsid w:val="00473FA2"/>
    <w:rsid w:val="004754F3"/>
    <w:rsid w:val="00486E5B"/>
    <w:rsid w:val="00487A87"/>
    <w:rsid w:val="004A2F69"/>
    <w:rsid w:val="004A519B"/>
    <w:rsid w:val="004B1C0C"/>
    <w:rsid w:val="004D1DE3"/>
    <w:rsid w:val="004E5976"/>
    <w:rsid w:val="004F7F95"/>
    <w:rsid w:val="0050194F"/>
    <w:rsid w:val="00503DEC"/>
    <w:rsid w:val="00510277"/>
    <w:rsid w:val="00523011"/>
    <w:rsid w:val="00523E43"/>
    <w:rsid w:val="00532348"/>
    <w:rsid w:val="00547297"/>
    <w:rsid w:val="00581990"/>
    <w:rsid w:val="00596CFB"/>
    <w:rsid w:val="005C3CF5"/>
    <w:rsid w:val="005D04AE"/>
    <w:rsid w:val="005D1792"/>
    <w:rsid w:val="005D6960"/>
    <w:rsid w:val="005F6EB9"/>
    <w:rsid w:val="006111C8"/>
    <w:rsid w:val="006128FA"/>
    <w:rsid w:val="00617592"/>
    <w:rsid w:val="00625DA1"/>
    <w:rsid w:val="0063220B"/>
    <w:rsid w:val="00637613"/>
    <w:rsid w:val="00644D42"/>
    <w:rsid w:val="00647F06"/>
    <w:rsid w:val="00652445"/>
    <w:rsid w:val="00663915"/>
    <w:rsid w:val="00670B09"/>
    <w:rsid w:val="00692CD8"/>
    <w:rsid w:val="00692CE3"/>
    <w:rsid w:val="00693483"/>
    <w:rsid w:val="006C175E"/>
    <w:rsid w:val="006E4154"/>
    <w:rsid w:val="006F3319"/>
    <w:rsid w:val="006F7665"/>
    <w:rsid w:val="0070552E"/>
    <w:rsid w:val="007132B1"/>
    <w:rsid w:val="00730799"/>
    <w:rsid w:val="0073080D"/>
    <w:rsid w:val="00733F23"/>
    <w:rsid w:val="00740300"/>
    <w:rsid w:val="007535FE"/>
    <w:rsid w:val="00753859"/>
    <w:rsid w:val="00781E60"/>
    <w:rsid w:val="00784168"/>
    <w:rsid w:val="00793545"/>
    <w:rsid w:val="007A1838"/>
    <w:rsid w:val="007A6BBB"/>
    <w:rsid w:val="007C2CCF"/>
    <w:rsid w:val="007C6FDE"/>
    <w:rsid w:val="007D1E64"/>
    <w:rsid w:val="007D4C18"/>
    <w:rsid w:val="007F0158"/>
    <w:rsid w:val="007F707B"/>
    <w:rsid w:val="00802CA9"/>
    <w:rsid w:val="00806C33"/>
    <w:rsid w:val="00813B70"/>
    <w:rsid w:val="00821FA3"/>
    <w:rsid w:val="00823A1F"/>
    <w:rsid w:val="00836F76"/>
    <w:rsid w:val="0084231F"/>
    <w:rsid w:val="00854054"/>
    <w:rsid w:val="008753BF"/>
    <w:rsid w:val="00881E7C"/>
    <w:rsid w:val="008872AC"/>
    <w:rsid w:val="008A73FE"/>
    <w:rsid w:val="008C6088"/>
    <w:rsid w:val="008C6507"/>
    <w:rsid w:val="008D71CA"/>
    <w:rsid w:val="008E126D"/>
    <w:rsid w:val="008E7987"/>
    <w:rsid w:val="008F1DF4"/>
    <w:rsid w:val="008F61F3"/>
    <w:rsid w:val="0090448E"/>
    <w:rsid w:val="009304C1"/>
    <w:rsid w:val="00933458"/>
    <w:rsid w:val="00937AB5"/>
    <w:rsid w:val="00941E75"/>
    <w:rsid w:val="00957C33"/>
    <w:rsid w:val="009654CD"/>
    <w:rsid w:val="009835E7"/>
    <w:rsid w:val="0099159A"/>
    <w:rsid w:val="009A032C"/>
    <w:rsid w:val="009D0347"/>
    <w:rsid w:val="009F3DED"/>
    <w:rsid w:val="00A03AC2"/>
    <w:rsid w:val="00A13295"/>
    <w:rsid w:val="00A14055"/>
    <w:rsid w:val="00A27B06"/>
    <w:rsid w:val="00A3650A"/>
    <w:rsid w:val="00A44D5E"/>
    <w:rsid w:val="00A46F98"/>
    <w:rsid w:val="00A567D5"/>
    <w:rsid w:val="00A57258"/>
    <w:rsid w:val="00A62DE2"/>
    <w:rsid w:val="00A72813"/>
    <w:rsid w:val="00A75E06"/>
    <w:rsid w:val="00AA2E09"/>
    <w:rsid w:val="00AB4DDD"/>
    <w:rsid w:val="00AB5003"/>
    <w:rsid w:val="00AB5185"/>
    <w:rsid w:val="00AC6C19"/>
    <w:rsid w:val="00AD3168"/>
    <w:rsid w:val="00B00E1C"/>
    <w:rsid w:val="00B10B50"/>
    <w:rsid w:val="00B11A1A"/>
    <w:rsid w:val="00B42D09"/>
    <w:rsid w:val="00B51583"/>
    <w:rsid w:val="00B5669B"/>
    <w:rsid w:val="00B603C4"/>
    <w:rsid w:val="00B927F0"/>
    <w:rsid w:val="00B93C05"/>
    <w:rsid w:val="00BA0FDD"/>
    <w:rsid w:val="00BD0F2B"/>
    <w:rsid w:val="00BE17AB"/>
    <w:rsid w:val="00BE7809"/>
    <w:rsid w:val="00BE7E9C"/>
    <w:rsid w:val="00BF6FEC"/>
    <w:rsid w:val="00C10689"/>
    <w:rsid w:val="00C35E95"/>
    <w:rsid w:val="00C41CA9"/>
    <w:rsid w:val="00C50CEC"/>
    <w:rsid w:val="00C616C7"/>
    <w:rsid w:val="00C65AA9"/>
    <w:rsid w:val="00C71436"/>
    <w:rsid w:val="00C76A79"/>
    <w:rsid w:val="00C8217C"/>
    <w:rsid w:val="00C84068"/>
    <w:rsid w:val="00C9256F"/>
    <w:rsid w:val="00C93B9B"/>
    <w:rsid w:val="00CA7153"/>
    <w:rsid w:val="00CB5850"/>
    <w:rsid w:val="00CC0961"/>
    <w:rsid w:val="00CC328F"/>
    <w:rsid w:val="00CD2603"/>
    <w:rsid w:val="00CD4BCD"/>
    <w:rsid w:val="00CE3364"/>
    <w:rsid w:val="00CE4D90"/>
    <w:rsid w:val="00CF2844"/>
    <w:rsid w:val="00D244E6"/>
    <w:rsid w:val="00D343B8"/>
    <w:rsid w:val="00D52172"/>
    <w:rsid w:val="00D538D8"/>
    <w:rsid w:val="00D6335B"/>
    <w:rsid w:val="00D724A7"/>
    <w:rsid w:val="00D94C10"/>
    <w:rsid w:val="00DD0C55"/>
    <w:rsid w:val="00DD2C1C"/>
    <w:rsid w:val="00DD5E5F"/>
    <w:rsid w:val="00DD7C53"/>
    <w:rsid w:val="00DF5F45"/>
    <w:rsid w:val="00E1682B"/>
    <w:rsid w:val="00E30C0C"/>
    <w:rsid w:val="00E45979"/>
    <w:rsid w:val="00E47071"/>
    <w:rsid w:val="00E53991"/>
    <w:rsid w:val="00E54CBF"/>
    <w:rsid w:val="00E5765B"/>
    <w:rsid w:val="00E65BAB"/>
    <w:rsid w:val="00E86498"/>
    <w:rsid w:val="00E901BA"/>
    <w:rsid w:val="00E94EE6"/>
    <w:rsid w:val="00EA7005"/>
    <w:rsid w:val="00EB7E05"/>
    <w:rsid w:val="00EC14A1"/>
    <w:rsid w:val="00ED107E"/>
    <w:rsid w:val="00ED7636"/>
    <w:rsid w:val="00EF1CEE"/>
    <w:rsid w:val="00F05BCE"/>
    <w:rsid w:val="00F065F2"/>
    <w:rsid w:val="00F10EED"/>
    <w:rsid w:val="00F135D1"/>
    <w:rsid w:val="00F16591"/>
    <w:rsid w:val="00F24F48"/>
    <w:rsid w:val="00F27920"/>
    <w:rsid w:val="00F41833"/>
    <w:rsid w:val="00F438FA"/>
    <w:rsid w:val="00F50F77"/>
    <w:rsid w:val="00F534DA"/>
    <w:rsid w:val="00F64999"/>
    <w:rsid w:val="00F65679"/>
    <w:rsid w:val="00F81290"/>
    <w:rsid w:val="00F90185"/>
    <w:rsid w:val="00F926D1"/>
    <w:rsid w:val="00FA6B84"/>
    <w:rsid w:val="00FB0934"/>
    <w:rsid w:val="00FB1AB9"/>
    <w:rsid w:val="00FC1FF9"/>
    <w:rsid w:val="00FD19C1"/>
    <w:rsid w:val="00FD4FB8"/>
    <w:rsid w:val="00FD67D6"/>
    <w:rsid w:val="00FF0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70F0C"/>
  <w15:chartTrackingRefBased/>
  <w15:docId w15:val="{39064DE8-59EB-4102-9F72-AE6ED0FA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C6C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C6C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C6C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C6C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C6C1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C6C1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C6C1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6C1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C6C1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6C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C6C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C6C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C6C19"/>
    <w:rPr>
      <w:rFonts w:cstheme="majorBidi"/>
      <w:color w:val="2F5496" w:themeColor="accent1" w:themeShade="BF"/>
      <w:sz w:val="28"/>
      <w:szCs w:val="28"/>
    </w:rPr>
  </w:style>
  <w:style w:type="character" w:customStyle="1" w:styleId="50">
    <w:name w:val="标题 5 字符"/>
    <w:basedOn w:val="a0"/>
    <w:link w:val="5"/>
    <w:uiPriority w:val="9"/>
    <w:semiHidden/>
    <w:rsid w:val="00AC6C19"/>
    <w:rPr>
      <w:rFonts w:cstheme="majorBidi"/>
      <w:color w:val="2F5496" w:themeColor="accent1" w:themeShade="BF"/>
      <w:sz w:val="24"/>
      <w:szCs w:val="24"/>
    </w:rPr>
  </w:style>
  <w:style w:type="character" w:customStyle="1" w:styleId="60">
    <w:name w:val="标题 6 字符"/>
    <w:basedOn w:val="a0"/>
    <w:link w:val="6"/>
    <w:uiPriority w:val="9"/>
    <w:semiHidden/>
    <w:rsid w:val="00AC6C19"/>
    <w:rPr>
      <w:rFonts w:cstheme="majorBidi"/>
      <w:b/>
      <w:bCs/>
      <w:color w:val="2F5496" w:themeColor="accent1" w:themeShade="BF"/>
    </w:rPr>
  </w:style>
  <w:style w:type="character" w:customStyle="1" w:styleId="70">
    <w:name w:val="标题 7 字符"/>
    <w:basedOn w:val="a0"/>
    <w:link w:val="7"/>
    <w:uiPriority w:val="9"/>
    <w:semiHidden/>
    <w:rsid w:val="00AC6C19"/>
    <w:rPr>
      <w:rFonts w:cstheme="majorBidi"/>
      <w:b/>
      <w:bCs/>
      <w:color w:val="595959" w:themeColor="text1" w:themeTint="A6"/>
    </w:rPr>
  </w:style>
  <w:style w:type="character" w:customStyle="1" w:styleId="80">
    <w:name w:val="标题 8 字符"/>
    <w:basedOn w:val="a0"/>
    <w:link w:val="8"/>
    <w:uiPriority w:val="9"/>
    <w:semiHidden/>
    <w:rsid w:val="00AC6C19"/>
    <w:rPr>
      <w:rFonts w:cstheme="majorBidi"/>
      <w:color w:val="595959" w:themeColor="text1" w:themeTint="A6"/>
    </w:rPr>
  </w:style>
  <w:style w:type="character" w:customStyle="1" w:styleId="90">
    <w:name w:val="标题 9 字符"/>
    <w:basedOn w:val="a0"/>
    <w:link w:val="9"/>
    <w:uiPriority w:val="9"/>
    <w:semiHidden/>
    <w:rsid w:val="00AC6C19"/>
    <w:rPr>
      <w:rFonts w:eastAsiaTheme="majorEastAsia" w:cstheme="majorBidi"/>
      <w:color w:val="595959" w:themeColor="text1" w:themeTint="A6"/>
    </w:rPr>
  </w:style>
  <w:style w:type="paragraph" w:styleId="a3">
    <w:name w:val="Title"/>
    <w:basedOn w:val="a"/>
    <w:next w:val="a"/>
    <w:link w:val="a4"/>
    <w:uiPriority w:val="10"/>
    <w:qFormat/>
    <w:rsid w:val="00AC6C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6C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C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6C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6C19"/>
    <w:pPr>
      <w:spacing w:before="160" w:after="160"/>
      <w:jc w:val="center"/>
    </w:pPr>
    <w:rPr>
      <w:i/>
      <w:iCs/>
      <w:color w:val="404040" w:themeColor="text1" w:themeTint="BF"/>
    </w:rPr>
  </w:style>
  <w:style w:type="character" w:customStyle="1" w:styleId="a8">
    <w:name w:val="引用 字符"/>
    <w:basedOn w:val="a0"/>
    <w:link w:val="a7"/>
    <w:uiPriority w:val="29"/>
    <w:rsid w:val="00AC6C19"/>
    <w:rPr>
      <w:i/>
      <w:iCs/>
      <w:color w:val="404040" w:themeColor="text1" w:themeTint="BF"/>
    </w:rPr>
  </w:style>
  <w:style w:type="paragraph" w:styleId="a9">
    <w:name w:val="List Paragraph"/>
    <w:basedOn w:val="a"/>
    <w:uiPriority w:val="34"/>
    <w:qFormat/>
    <w:rsid w:val="00AC6C19"/>
    <w:pPr>
      <w:ind w:left="720"/>
      <w:contextualSpacing/>
    </w:pPr>
  </w:style>
  <w:style w:type="character" w:styleId="aa">
    <w:name w:val="Intense Emphasis"/>
    <w:basedOn w:val="a0"/>
    <w:uiPriority w:val="21"/>
    <w:qFormat/>
    <w:rsid w:val="00AC6C19"/>
    <w:rPr>
      <w:i/>
      <w:iCs/>
      <w:color w:val="2F5496" w:themeColor="accent1" w:themeShade="BF"/>
    </w:rPr>
  </w:style>
  <w:style w:type="paragraph" w:styleId="ab">
    <w:name w:val="Intense Quote"/>
    <w:basedOn w:val="a"/>
    <w:next w:val="a"/>
    <w:link w:val="ac"/>
    <w:uiPriority w:val="30"/>
    <w:qFormat/>
    <w:rsid w:val="00AC6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C6C19"/>
    <w:rPr>
      <w:i/>
      <w:iCs/>
      <w:color w:val="2F5496" w:themeColor="accent1" w:themeShade="BF"/>
    </w:rPr>
  </w:style>
  <w:style w:type="character" w:styleId="ad">
    <w:name w:val="Intense Reference"/>
    <w:basedOn w:val="a0"/>
    <w:uiPriority w:val="32"/>
    <w:qFormat/>
    <w:rsid w:val="00AC6C19"/>
    <w:rPr>
      <w:b/>
      <w:bCs/>
      <w:smallCaps/>
      <w:color w:val="2F5496" w:themeColor="accent1" w:themeShade="BF"/>
      <w:spacing w:val="5"/>
    </w:rPr>
  </w:style>
  <w:style w:type="character" w:styleId="ae">
    <w:name w:val="line number"/>
    <w:basedOn w:val="a0"/>
    <w:uiPriority w:val="99"/>
    <w:semiHidden/>
    <w:unhideWhenUsed/>
    <w:rsid w:val="004A2F69"/>
  </w:style>
  <w:style w:type="paragraph" w:styleId="af">
    <w:name w:val="header"/>
    <w:basedOn w:val="a"/>
    <w:link w:val="af0"/>
    <w:uiPriority w:val="99"/>
    <w:unhideWhenUsed/>
    <w:rsid w:val="00670B09"/>
    <w:pPr>
      <w:tabs>
        <w:tab w:val="center" w:pos="4153"/>
        <w:tab w:val="right" w:pos="8306"/>
      </w:tabs>
      <w:snapToGrid w:val="0"/>
      <w:jc w:val="center"/>
    </w:pPr>
    <w:rPr>
      <w:sz w:val="18"/>
      <w:szCs w:val="18"/>
    </w:rPr>
  </w:style>
  <w:style w:type="character" w:customStyle="1" w:styleId="af0">
    <w:name w:val="页眉 字符"/>
    <w:basedOn w:val="a0"/>
    <w:link w:val="af"/>
    <w:uiPriority w:val="99"/>
    <w:rsid w:val="00670B09"/>
    <w:rPr>
      <w:sz w:val="18"/>
      <w:szCs w:val="18"/>
    </w:rPr>
  </w:style>
  <w:style w:type="paragraph" w:styleId="af1">
    <w:name w:val="footer"/>
    <w:basedOn w:val="a"/>
    <w:link w:val="af2"/>
    <w:uiPriority w:val="99"/>
    <w:unhideWhenUsed/>
    <w:rsid w:val="00670B09"/>
    <w:pPr>
      <w:tabs>
        <w:tab w:val="center" w:pos="4153"/>
        <w:tab w:val="right" w:pos="8306"/>
      </w:tabs>
      <w:snapToGrid w:val="0"/>
      <w:jc w:val="left"/>
    </w:pPr>
    <w:rPr>
      <w:sz w:val="18"/>
      <w:szCs w:val="18"/>
    </w:rPr>
  </w:style>
  <w:style w:type="character" w:customStyle="1" w:styleId="af2">
    <w:name w:val="页脚 字符"/>
    <w:basedOn w:val="a0"/>
    <w:link w:val="af1"/>
    <w:uiPriority w:val="99"/>
    <w:rsid w:val="00670B09"/>
    <w:rPr>
      <w:sz w:val="18"/>
      <w:szCs w:val="18"/>
    </w:rPr>
  </w:style>
  <w:style w:type="character" w:styleId="af3">
    <w:name w:val="Placeholder Text"/>
    <w:basedOn w:val="a0"/>
    <w:uiPriority w:val="99"/>
    <w:semiHidden/>
    <w:rsid w:val="007D4C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31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4206</TotalTime>
  <Pages>27</Pages>
  <Words>14330</Words>
  <Characters>81681</Characters>
  <Application>Microsoft Office Word</Application>
  <DocSecurity>0</DocSecurity>
  <Lines>680</Lines>
  <Paragraphs>191</Paragraphs>
  <ScaleCrop>false</ScaleCrop>
  <Company/>
  <LinksUpToDate>false</LinksUpToDate>
  <CharactersWithSpaces>95820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Bujun Mei</dc:creator>
  <cp:keywords/>
  <dc:description/>
  <cp:lastModifiedBy>Bujun Mei</cp:lastModifiedBy>
  <cp:revision>289</cp:revision>
  <dcterms:created xsi:type="dcterms:W3CDTF">2025-07-22T07:11:00Z</dcterms:created>
  <dcterms:modified xsi:type="dcterms:W3CDTF">2025-07-25T09:19:00Z</dcterms:modified>
</cp:coreProperties>
</file>