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DCCF" w14:textId="77777777" w:rsidR="00280DF5" w:rsidRPr="00280DF5" w:rsidRDefault="00280DF5" w:rsidP="003B41FE">
      <w:pPr>
        <w:widowControl/>
        <w:spacing w:before="100" w:beforeAutospacing="1" w:after="100" w:afterAutospacing="1"/>
        <w:outlineLvl w:val="0"/>
        <w:rPr>
          <w:rFonts w:ascii="Times New Roman" w:eastAsia="宋体" w:hAnsi="Times New Roman" w:cs="Times New Roman"/>
          <w:b/>
          <w:bCs/>
          <w:kern w:val="36"/>
          <w:szCs w:val="21"/>
        </w:rPr>
      </w:pPr>
      <w:r w:rsidRPr="00280DF5">
        <w:rPr>
          <w:rFonts w:ascii="Times New Roman" w:eastAsia="宋体" w:hAnsi="Times New Roman" w:cs="Times New Roman"/>
          <w:b/>
          <w:bCs/>
          <w:kern w:val="36"/>
          <w:szCs w:val="21"/>
        </w:rPr>
        <w:t>Dynamic Orthogonal Epistasis Enhances Genomic Prediction in Mongolian Sheep</w:t>
      </w:r>
    </w:p>
    <w:p w14:paraId="38D5B23D" w14:textId="77777777" w:rsidR="00280DF5" w:rsidRPr="00280DF5" w:rsidRDefault="00280DF5" w:rsidP="003B41FE">
      <w:pPr>
        <w:widowControl/>
        <w:spacing w:before="100" w:beforeAutospacing="1" w:after="100" w:afterAutospacing="1"/>
        <w:outlineLvl w:val="1"/>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Abstract</w:t>
      </w:r>
    </w:p>
    <w:p w14:paraId="79239B1C"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Genomic prediction in livestock has traditionally focused on additive genetic effects, yet epistasis (gene interactions) can also influence complex traits. Here we reformulate genomic best linear unbiased prediction (GBLUP) to include a </w:t>
      </w:r>
      <w:r w:rsidRPr="00280DF5">
        <w:rPr>
          <w:rFonts w:ascii="Times New Roman" w:eastAsia="宋体" w:hAnsi="Times New Roman" w:cs="Times New Roman"/>
          <w:b/>
          <w:bCs/>
          <w:kern w:val="0"/>
          <w:szCs w:val="21"/>
        </w:rPr>
        <w:t>dynamic orthogonal epistasis</w:t>
      </w:r>
      <w:r w:rsidRPr="00280DF5">
        <w:rPr>
          <w:rFonts w:ascii="Times New Roman" w:eastAsia="宋体" w:hAnsi="Times New Roman" w:cs="Times New Roman"/>
          <w:kern w:val="0"/>
          <w:szCs w:val="21"/>
        </w:rPr>
        <w:t xml:space="preserve"> framework and evaluate it on simulated </w:t>
      </w:r>
      <w:r w:rsidRPr="00280DF5">
        <w:rPr>
          <w:rFonts w:ascii="Times New Roman" w:eastAsia="宋体" w:hAnsi="Times New Roman" w:cs="Times New Roman"/>
          <w:b/>
          <w:bCs/>
          <w:kern w:val="0"/>
          <w:szCs w:val="21"/>
        </w:rPr>
        <w:t>Mongolian sheep</w:t>
      </w:r>
      <w:r w:rsidRPr="00280DF5">
        <w:rPr>
          <w:rFonts w:ascii="Times New Roman" w:eastAsia="宋体" w:hAnsi="Times New Roman" w:cs="Times New Roman"/>
          <w:kern w:val="0"/>
          <w:szCs w:val="21"/>
        </w:rPr>
        <w:t xml:space="preserve"> populations. Simulation parameters reflected known Mongolian sheep demographics (effective population size on the order of a few hundred, rich genetic diversity) and selection history. We generated 10 generations of genotype and phenotype data with additive and additive-by-additive epistatic QTL effects under a realistic allele frequency spectrum and trait heritability (~0.4 broad-sense, ~0.3 narrow-sense). The orthogonal epistasis GBLUP uses allele-frequency-dependent genotype coding (following the NOIA model) and genomic relationship matrices for both additive and epistatic effects. Variance components were estimated via restricted maximum likelihood (REML) and breeding values predicted by solving mixed-model equations each generation. Results demonstrate that including orthogonal epistatic effects improved genomic prediction accuracy and maintained predictive ability over generations of selection compared to conventional additive models. The dynamic updating of allele frequencies and genetic relationship matrices each generation preserved the orthogonal partitioning of additive vs. interaction variance, yielding consistent heritability estimates and interpretation of genetic architecture. Our findings suggest that a dynamic orthogonal epistasis approach can enhance prediction accuracy by up to ~10% in the presence of appreciable epistasis, and it provides valuable insight into non-additive genetic variance for breeding programs. This study highlights an innovative strategy to harness epistatic variance in livestock genomic selection, using Mongolian sheep as a case example, and underscores the potential benefits for genetic gain and mating decisions in animal breeding.</w:t>
      </w:r>
    </w:p>
    <w:p w14:paraId="66027E4D" w14:textId="77777777" w:rsidR="00280DF5" w:rsidRPr="00280DF5" w:rsidRDefault="00280DF5" w:rsidP="003B41FE">
      <w:pPr>
        <w:widowControl/>
        <w:spacing w:before="100" w:beforeAutospacing="1" w:after="100" w:afterAutospacing="1"/>
        <w:outlineLvl w:val="1"/>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Introduction</w:t>
      </w:r>
    </w:p>
    <w:p w14:paraId="08B43701"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Genomic selection (GS) has revolutionized animal breeding by using dense genome-wide markers to predict breeding values. Since the landmark work of Meuwissen et al. (2001), GS has been widely adopted to accelerate genetic gain in livestock through early selection of young candidates based on genomic estimated breeding values (GEBV). The standard genomic prediction models (e.g., GBLUP and Bayesian methods) predominantly capture </w:t>
      </w:r>
      <w:r w:rsidRPr="00280DF5">
        <w:rPr>
          <w:rFonts w:ascii="Times New Roman" w:eastAsia="宋体" w:hAnsi="Times New Roman" w:cs="Times New Roman"/>
          <w:b/>
          <w:bCs/>
          <w:kern w:val="0"/>
          <w:szCs w:val="21"/>
        </w:rPr>
        <w:t>additive</w:t>
      </w:r>
      <w:r w:rsidRPr="00280DF5">
        <w:rPr>
          <w:rFonts w:ascii="Times New Roman" w:eastAsia="宋体" w:hAnsi="Times New Roman" w:cs="Times New Roman"/>
          <w:kern w:val="0"/>
          <w:szCs w:val="21"/>
        </w:rPr>
        <w:t xml:space="preserve"> genetic effects, which are generally the largest source of heritable variation in quantitative traits. However, </w:t>
      </w:r>
      <w:r w:rsidRPr="00280DF5">
        <w:rPr>
          <w:rFonts w:ascii="Times New Roman" w:eastAsia="宋体" w:hAnsi="Times New Roman" w:cs="Times New Roman"/>
          <w:b/>
          <w:bCs/>
          <w:kern w:val="0"/>
          <w:szCs w:val="21"/>
        </w:rPr>
        <w:t>non-additive</w:t>
      </w:r>
      <w:r w:rsidRPr="00280DF5">
        <w:rPr>
          <w:rFonts w:ascii="Times New Roman" w:eastAsia="宋体" w:hAnsi="Times New Roman" w:cs="Times New Roman"/>
          <w:kern w:val="0"/>
          <w:szCs w:val="21"/>
        </w:rPr>
        <w:t xml:space="preserve"> effects including dominance and </w:t>
      </w:r>
      <w:r w:rsidRPr="00280DF5">
        <w:rPr>
          <w:rFonts w:ascii="Times New Roman" w:eastAsia="宋体" w:hAnsi="Times New Roman" w:cs="Times New Roman"/>
          <w:b/>
          <w:bCs/>
          <w:kern w:val="0"/>
          <w:szCs w:val="21"/>
        </w:rPr>
        <w:t>epistasis</w:t>
      </w:r>
      <w:r w:rsidRPr="00280DF5">
        <w:rPr>
          <w:rFonts w:ascii="Times New Roman" w:eastAsia="宋体" w:hAnsi="Times New Roman" w:cs="Times New Roman"/>
          <w:kern w:val="0"/>
          <w:szCs w:val="21"/>
        </w:rPr>
        <w:t xml:space="preserve"> (interactions between loci) also contribute to phenotypic variation and may be important for fully understanding trait architecture. In particular, epistasis has long been recognized in quantitative genetics (since the work of Bateson and Fisher) as a potential influence on complex trait variation, evolutionary adaptation, and selection response. While often considered secondary, non-additive variance can be substantial for certain traits and populations, and ignoring gene interactions could limit the accuracy of genomic predictions and the effectiveness of selection programs.</w:t>
      </w:r>
    </w:p>
    <w:p w14:paraId="04AECB7A"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Mongolian sheep represent an important case to study epistasis in breeding. They are an indigenous carpet-wool sheep genetic group known for their adaptation to harsh steppe environments and diverse genetic makeup. Historical demographic analyses indicate that Mongolian-derived breeds </w:t>
      </w:r>
      <w:r w:rsidRPr="00280DF5">
        <w:rPr>
          <w:rFonts w:ascii="Times New Roman" w:eastAsia="宋体" w:hAnsi="Times New Roman" w:cs="Times New Roman"/>
          <w:kern w:val="0"/>
          <w:szCs w:val="21"/>
        </w:rPr>
        <w:lastRenderedPageBreak/>
        <w:t xml:space="preserve">(e.g., Sunite, Hulunbuir sheep) have maintained </w:t>
      </w:r>
      <w:r w:rsidRPr="00280DF5">
        <w:rPr>
          <w:rFonts w:ascii="Times New Roman" w:eastAsia="宋体" w:hAnsi="Times New Roman" w:cs="Times New Roman"/>
          <w:b/>
          <w:bCs/>
          <w:kern w:val="0"/>
          <w:szCs w:val="21"/>
        </w:rPr>
        <w:t>high genetic diversity</w:t>
      </w:r>
      <w:r w:rsidRPr="00280DF5">
        <w:rPr>
          <w:rFonts w:ascii="Times New Roman" w:eastAsia="宋体" w:hAnsi="Times New Roman" w:cs="Times New Roman"/>
          <w:kern w:val="0"/>
          <w:szCs w:val="21"/>
        </w:rPr>
        <w:t xml:space="preserve"> and moderate effective population sizes (Ne ~200–250 in recent generations). This suggests ample standing genetic variation, which could include epistatic interactions that natural and artificial selection have shaped over time. Moreover, Mongolian sheep have undergone selection for complex traits like meat production, wool quality, and environmental resilience. Such traits may have </w:t>
      </w:r>
      <w:r w:rsidRPr="00280DF5">
        <w:rPr>
          <w:rFonts w:ascii="Times New Roman" w:eastAsia="宋体" w:hAnsi="Times New Roman" w:cs="Times New Roman"/>
          <w:b/>
          <w:bCs/>
          <w:kern w:val="0"/>
          <w:szCs w:val="21"/>
        </w:rPr>
        <w:t>polygenic architectures</w:t>
      </w:r>
      <w:r w:rsidRPr="00280DF5">
        <w:rPr>
          <w:rFonts w:ascii="Times New Roman" w:eastAsia="宋体" w:hAnsi="Times New Roman" w:cs="Times New Roman"/>
          <w:kern w:val="0"/>
          <w:szCs w:val="21"/>
        </w:rPr>
        <w:t xml:space="preserve"> where epistatic QTL effects play a role alongside additive effects. Therefore, developing models that can capture epistasis is pertinent for improving genetic evaluation in this and other livestock populations.</w:t>
      </w:r>
    </w:p>
    <w:p w14:paraId="40C0BDF1"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Despite the potential importance of epistasis, genomic evaluation in practice rarely includes epistatic effects due to several challenges. First, the number of possible interactions is enormous (quadratic in marker number), making exhaustive modeling computationally daunting. Second, statistical estimation of epistatic variance is complicated by confounding with additive effects and allele frequency changes under selection. Traditional quantitative genetic theory provides a framework to partition additive and interaction variance components (dating back to Cockerham and Kempthorne), but conventional approaches can lead to non-independent (non-orthogonal) partitions in population samples deviating from idealized conditions. In other words, if epistasis is present, an additive-only model may partially soak up interaction effects, biasing variance estimates and reducing prediction accuracy for future generations. Additionally, </w:t>
      </w:r>
      <w:r w:rsidRPr="00280DF5">
        <w:rPr>
          <w:rFonts w:ascii="Times New Roman" w:eastAsia="宋体" w:hAnsi="Times New Roman" w:cs="Times New Roman"/>
          <w:b/>
          <w:bCs/>
          <w:kern w:val="0"/>
          <w:szCs w:val="21"/>
        </w:rPr>
        <w:t>allelic substitution effects</w:t>
      </w:r>
      <w:r w:rsidRPr="00280DF5">
        <w:rPr>
          <w:rFonts w:ascii="Times New Roman" w:eastAsia="宋体" w:hAnsi="Times New Roman" w:cs="Times New Roman"/>
          <w:kern w:val="0"/>
          <w:szCs w:val="21"/>
        </w:rPr>
        <w:t xml:space="preserve"> that capture dominance and epistatic interactions are </w:t>
      </w:r>
      <w:r w:rsidRPr="00280DF5">
        <w:rPr>
          <w:rFonts w:ascii="Times New Roman" w:eastAsia="宋体" w:hAnsi="Times New Roman" w:cs="Times New Roman"/>
          <w:b/>
          <w:bCs/>
          <w:kern w:val="0"/>
          <w:szCs w:val="21"/>
        </w:rPr>
        <w:t>not necessarily stable across generations</w:t>
      </w:r>
      <w:r w:rsidRPr="00280DF5">
        <w:rPr>
          <w:rFonts w:ascii="Times New Roman" w:eastAsia="宋体" w:hAnsi="Times New Roman" w:cs="Times New Roman"/>
          <w:kern w:val="0"/>
          <w:szCs w:val="21"/>
        </w:rPr>
        <w:t xml:space="preserve"> as allele frequencies shift. This instability means that marker effect estimates from one generation can become suboptimal as selection alters the genetic background, a phenomenon sometimes termed </w:t>
      </w:r>
      <w:r w:rsidRPr="00280DF5">
        <w:rPr>
          <w:rFonts w:ascii="Times New Roman" w:eastAsia="宋体" w:hAnsi="Times New Roman" w:cs="Times New Roman"/>
          <w:i/>
          <w:iCs/>
          <w:kern w:val="0"/>
          <w:szCs w:val="21"/>
        </w:rPr>
        <w:t>epigenetic drift</w:t>
      </w:r>
      <w:r w:rsidRPr="00280DF5">
        <w:rPr>
          <w:rFonts w:ascii="Times New Roman" w:eastAsia="宋体" w:hAnsi="Times New Roman" w:cs="Times New Roman"/>
          <w:kern w:val="0"/>
          <w:szCs w:val="21"/>
        </w:rPr>
        <w:t xml:space="preserve"> or </w:t>
      </w:r>
      <w:r w:rsidRPr="00280DF5">
        <w:rPr>
          <w:rFonts w:ascii="Times New Roman" w:eastAsia="宋体" w:hAnsi="Times New Roman" w:cs="Times New Roman"/>
          <w:i/>
          <w:iCs/>
          <w:kern w:val="0"/>
          <w:szCs w:val="21"/>
        </w:rPr>
        <w:t>phantom epistasis</w:t>
      </w:r>
      <w:r w:rsidRPr="00280DF5">
        <w:rPr>
          <w:rFonts w:ascii="Times New Roman" w:eastAsia="宋体" w:hAnsi="Times New Roman" w:cs="Times New Roman"/>
          <w:kern w:val="0"/>
          <w:szCs w:val="21"/>
        </w:rPr>
        <w:t xml:space="preserve"> in genomic selection contexts.</w:t>
      </w:r>
    </w:p>
    <w:p w14:paraId="3D43B05A"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To address these issues, we propose a </w:t>
      </w:r>
      <w:r w:rsidRPr="00280DF5">
        <w:rPr>
          <w:rFonts w:ascii="Times New Roman" w:eastAsia="宋体" w:hAnsi="Times New Roman" w:cs="Times New Roman"/>
          <w:b/>
          <w:bCs/>
          <w:kern w:val="0"/>
          <w:szCs w:val="21"/>
        </w:rPr>
        <w:t>dynamic orthogonal epistasis</w:t>
      </w:r>
      <w:r w:rsidRPr="00280DF5">
        <w:rPr>
          <w:rFonts w:ascii="Times New Roman" w:eastAsia="宋体" w:hAnsi="Times New Roman" w:cs="Times New Roman"/>
          <w:kern w:val="0"/>
          <w:szCs w:val="21"/>
        </w:rPr>
        <w:t xml:space="preserve"> modeling framework. Our approach builds upon the Natural and Orthogonal InterActions (NOIA) model of Álvarez-Castro and Carlborg (2007), which provides a parameterization of genetic effects that remains orthogonal (independent) even when allele frequencies differ from reference populations. By incorporating allele frequency-dependent genotype coding and using appropriate genetic relationship matrices, the additive and epistatic effects can be estimated such that their variance components are partitioned without covariance between them. We extend this concept to a </w:t>
      </w:r>
      <w:r w:rsidRPr="00280DF5">
        <w:rPr>
          <w:rFonts w:ascii="Times New Roman" w:eastAsia="宋体" w:hAnsi="Times New Roman" w:cs="Times New Roman"/>
          <w:b/>
          <w:bCs/>
          <w:kern w:val="0"/>
          <w:szCs w:val="21"/>
        </w:rPr>
        <w:t>dynamic</w:t>
      </w:r>
      <w:r w:rsidRPr="00280DF5">
        <w:rPr>
          <w:rFonts w:ascii="Times New Roman" w:eastAsia="宋体" w:hAnsi="Times New Roman" w:cs="Times New Roman"/>
          <w:kern w:val="0"/>
          <w:szCs w:val="21"/>
        </w:rPr>
        <w:t xml:space="preserve"> setting by recalculating genotype codings and relationship matrices in each generation of a selection program. In essence, the model “updates” itself to the current allele frequency distribution, ensuring that predictions and variance estimates remain valid as the population evolves.</w:t>
      </w:r>
    </w:p>
    <w:p w14:paraId="68D13274"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The objectives of this study were to: (1) develop a genomic BLUP model including additive and genome-wide epistatic effects with orthogonal variance decomposition; (2) implement a computational strategy to make the inclusion of all pairwise epistasis tractable for high-density SNP data; (3) evaluate the impact of including epistasis on prediction accuracy, bias, and variance component estimation in a simulated Mongolian sheep breeding population; and (4) demonstrate how dynamic updating of model parameters across generations can preserve predictive performance under continued selection. We hypothesized that the dynamic orthogonal epistasis model would outperform a standard additive model in predictive correlation, especially over multiple generations, when the trait has underlying epistatic interactions. We also anticipated that the orthogonal partition would yield consistent narrow-sense and broad-sense heritability estimates, thereby improving </w:t>
      </w:r>
      <w:r w:rsidRPr="00280DF5">
        <w:rPr>
          <w:rFonts w:ascii="Times New Roman" w:eastAsia="宋体" w:hAnsi="Times New Roman" w:cs="Times New Roman"/>
          <w:kern w:val="0"/>
          <w:szCs w:val="21"/>
        </w:rPr>
        <w:lastRenderedPageBreak/>
        <w:t>interpretation of the genetic architecture (e.g., quantifying the contribution of epistasis) for breeding decisions. Using realistic simulations grounded in Mongolian sheep population parameters, we show that incorporating epistasis can indeed enhance genomic prediction and offer novel insights for livestock genetic improvement.</w:t>
      </w:r>
    </w:p>
    <w:p w14:paraId="3C896A1A" w14:textId="77777777" w:rsidR="00280DF5" w:rsidRPr="00280DF5" w:rsidRDefault="00280DF5" w:rsidP="003B41FE">
      <w:pPr>
        <w:widowControl/>
        <w:spacing w:before="100" w:beforeAutospacing="1" w:after="100" w:afterAutospacing="1"/>
        <w:outlineLvl w:val="1"/>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Materials and Methods</w:t>
      </w:r>
    </w:p>
    <w:p w14:paraId="7EB838BD" w14:textId="13CD1F2C"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Population Simulation:</w:t>
      </w:r>
      <w:r w:rsidRPr="00280DF5">
        <w:rPr>
          <w:rFonts w:ascii="Times New Roman" w:eastAsia="宋体" w:hAnsi="Times New Roman" w:cs="Times New Roman"/>
          <w:kern w:val="0"/>
          <w:szCs w:val="21"/>
        </w:rPr>
        <w:t xml:space="preserve"> We simulated a Mongolian sheep population over </w:t>
      </w:r>
      <w:r w:rsidRPr="00280DF5">
        <w:rPr>
          <w:rFonts w:ascii="Times New Roman" w:eastAsia="宋体" w:hAnsi="Times New Roman" w:cs="Times New Roman"/>
          <w:b/>
          <w:bCs/>
          <w:kern w:val="0"/>
          <w:szCs w:val="21"/>
        </w:rPr>
        <w:t>10 generations</w:t>
      </w:r>
      <w:r w:rsidRPr="00280DF5">
        <w:rPr>
          <w:rFonts w:ascii="Times New Roman" w:eastAsia="宋体" w:hAnsi="Times New Roman" w:cs="Times New Roman"/>
          <w:kern w:val="0"/>
          <w:szCs w:val="21"/>
        </w:rPr>
        <w:t xml:space="preserve"> to evaluate genomic prediction models. The base generation (Generation 0) consisted of </w:t>
      </w:r>
      <w:r w:rsidRPr="00280DF5">
        <w:rPr>
          <w:rFonts w:ascii="Times New Roman" w:eastAsia="宋体" w:hAnsi="Times New Roman" w:cs="Times New Roman"/>
          <w:i/>
          <w:iCs/>
          <w:kern w:val="0"/>
          <w:szCs w:val="21"/>
        </w:rPr>
        <w:t>N</w:t>
      </w:r>
      <w:r w:rsidRPr="00280DF5">
        <w:rPr>
          <w:rFonts w:ascii="Times New Roman" w:eastAsia="宋体" w:hAnsi="Times New Roman" w:cs="Times New Roman"/>
          <w:kern w:val="0"/>
          <w:szCs w:val="21"/>
        </w:rPr>
        <w:t xml:space="preserve"> = 1,000 individuals, unrelated and equal in number of males and females. Each individual’s genome was represented by 50,000 biallelic SNP markers spread across 26 autosomes (sheep have 26 pairs) with spacing mimicking a 2.5 Gb genome. Marker allele frequencies in Generation 0 were sampled from a Beta distribution (α = 0.4, β = 0.4) to reflect a </w:t>
      </w:r>
      <w:r w:rsidRPr="00280DF5">
        <w:rPr>
          <w:rFonts w:ascii="Times New Roman" w:eastAsia="宋体" w:hAnsi="Times New Roman" w:cs="Times New Roman"/>
          <w:b/>
          <w:bCs/>
          <w:kern w:val="0"/>
          <w:szCs w:val="21"/>
        </w:rPr>
        <w:t>standing allele frequency spectrum</w:t>
      </w:r>
      <w:r w:rsidRPr="00280DF5">
        <w:rPr>
          <w:rFonts w:ascii="Times New Roman" w:eastAsia="宋体" w:hAnsi="Times New Roman" w:cs="Times New Roman"/>
          <w:kern w:val="0"/>
          <w:szCs w:val="21"/>
        </w:rPr>
        <w:t xml:space="preserve"> skewed toward intermediate frequencies (consistent with high genetic diversity observed in Mongolian sheep). We designated a subset of 100 SNPs as quantitative trait loci (QTL): 50 with purely additive effects and 50 pairs (100 SNPs total, partially overlapping with the additive set) with additive-by-additive epistatic interactions. QTL positions were random across the genome. Additive allele substitution effects were drawn from a normal distribution </w:t>
      </w:r>
      <m:oMath>
        <m:r>
          <w:rPr>
            <w:rFonts w:ascii="Cambria Math" w:eastAsia="等线" w:hAnsi="Cambria Math" w:cs="Times New Roman"/>
            <w:sz w:val="22"/>
            <w:szCs w:val="24"/>
            <w14:ligatures w14:val="standardContextual"/>
          </w:rPr>
          <m:t>N(0,</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a</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m:t>
        </m:r>
      </m:oMath>
      <w:r w:rsidRPr="00280DF5">
        <w:rPr>
          <w:rFonts w:ascii="Times New Roman" w:eastAsia="宋体" w:hAnsi="Times New Roman" w:cs="Times New Roman"/>
          <w:kern w:val="0"/>
          <w:szCs w:val="21"/>
        </w:rPr>
        <w:t xml:space="preserve">, and epistatic interaction effects from </w:t>
      </w:r>
      <m:oMath>
        <m:r>
          <w:rPr>
            <w:rFonts w:ascii="Cambria Math" w:eastAsia="等线" w:hAnsi="Cambria Math" w:cs="Times New Roman"/>
            <w:sz w:val="22"/>
            <w:szCs w:val="24"/>
            <w14:ligatures w14:val="standardContextual"/>
          </w:rPr>
          <m:t>N(0,</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aa</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m:t>
        </m:r>
      </m:oMath>
      <w:r w:rsidRPr="00280DF5">
        <w:rPr>
          <w:rFonts w:ascii="Times New Roman" w:eastAsia="宋体" w:hAnsi="Times New Roman" w:cs="Times New Roman"/>
          <w:kern w:val="0"/>
          <w:szCs w:val="21"/>
        </w:rPr>
        <w:t xml:space="preserve">, with variances chosen so that initial </w:t>
      </w:r>
      <w:r w:rsidRPr="00280DF5">
        <w:rPr>
          <w:rFonts w:ascii="Times New Roman" w:eastAsia="宋体" w:hAnsi="Times New Roman" w:cs="Times New Roman"/>
          <w:b/>
          <w:bCs/>
          <w:kern w:val="0"/>
          <w:szCs w:val="21"/>
        </w:rPr>
        <w:t>narrow-sense heritability</w:t>
      </w:r>
      <w:r w:rsidRPr="00280DF5">
        <w:rPr>
          <w:rFonts w:ascii="Times New Roman" w:eastAsia="宋体" w:hAnsi="Times New Roman" w:cs="Times New Roman"/>
          <w:kern w:val="0"/>
          <w:szCs w:val="21"/>
        </w:rPr>
        <w:t xml:space="preserve"> </w:t>
      </w:r>
      <m:oMath>
        <m:sSup>
          <m:sSupPr>
            <m:ctrlPr>
              <w:rPr>
                <w:rFonts w:ascii="Cambria Math" w:eastAsia="等线" w:hAnsi="Cambria Math" w:cs="Times New Roman"/>
                <w:sz w:val="22"/>
                <w:szCs w:val="24"/>
                <w14:ligatures w14:val="standardContextual"/>
              </w:rPr>
            </m:ctrlPr>
          </m:sSupPr>
          <m:e>
            <m:r>
              <w:rPr>
                <w:rFonts w:ascii="Cambria Math" w:eastAsia="等线" w:hAnsi="Cambria Math" w:cs="Times New Roman"/>
                <w:sz w:val="22"/>
                <w:szCs w:val="24"/>
                <w14:ligatures w14:val="standardContextual"/>
              </w:rPr>
              <m:t>h</m:t>
            </m:r>
          </m:e>
          <m:sup>
            <m:r>
              <w:rPr>
                <w:rFonts w:ascii="Cambria Math" w:eastAsia="等线" w:hAnsi="Cambria Math" w:cs="Times New Roman"/>
                <w:sz w:val="22"/>
                <w:szCs w:val="24"/>
                <w14:ligatures w14:val="standardContextual"/>
              </w:rPr>
              <m:t>2</m:t>
            </m:r>
          </m:sup>
        </m:sSup>
        <m:r>
          <w:rPr>
            <w:rFonts w:ascii="Cambria Math" w:eastAsia="等线" w:hAnsi="Cambria Math" w:cs="Times New Roman"/>
            <w:sz w:val="22"/>
            <w:szCs w:val="24"/>
            <w14:ligatures w14:val="standardContextual"/>
          </w:rPr>
          <m:t>≈0.30</m:t>
        </m:r>
      </m:oMath>
      <w:r w:rsidRPr="00280DF5">
        <w:rPr>
          <w:rFonts w:ascii="Times New Roman" w:eastAsia="宋体" w:hAnsi="Times New Roman" w:cs="Times New Roman"/>
          <w:kern w:val="0"/>
          <w:szCs w:val="21"/>
        </w:rPr>
        <w:t xml:space="preserve"> (additive variance) and </w:t>
      </w:r>
      <w:r w:rsidRPr="00280DF5">
        <w:rPr>
          <w:rFonts w:ascii="Times New Roman" w:eastAsia="宋体" w:hAnsi="Times New Roman" w:cs="Times New Roman"/>
          <w:b/>
          <w:bCs/>
          <w:kern w:val="0"/>
          <w:szCs w:val="21"/>
        </w:rPr>
        <w:t>broad-sense heritability</w:t>
      </w:r>
      <w:r w:rsidRPr="00280DF5">
        <w:rPr>
          <w:rFonts w:ascii="Times New Roman" w:eastAsia="宋体" w:hAnsi="Times New Roman" w:cs="Times New Roman"/>
          <w:kern w:val="0"/>
          <w:szCs w:val="21"/>
        </w:rPr>
        <w:t xml:space="preserve"> </w:t>
      </w:r>
      <m:oMath>
        <m:sSup>
          <m:sSupPr>
            <m:ctrlPr>
              <w:rPr>
                <w:rFonts w:ascii="Cambria Math" w:eastAsia="等线" w:hAnsi="Cambria Math" w:cs="Times New Roman"/>
                <w:sz w:val="22"/>
                <w:szCs w:val="24"/>
                <w14:ligatures w14:val="standardContextual"/>
              </w:rPr>
            </m:ctrlPr>
          </m:sSupPr>
          <m:e>
            <m:r>
              <w:rPr>
                <w:rFonts w:ascii="Cambria Math" w:eastAsia="等线" w:hAnsi="Cambria Math" w:cs="Times New Roman"/>
                <w:sz w:val="22"/>
                <w:szCs w:val="24"/>
                <w14:ligatures w14:val="standardContextual"/>
              </w:rPr>
              <m:t>H</m:t>
            </m:r>
          </m:e>
          <m:sup>
            <m:r>
              <w:rPr>
                <w:rFonts w:ascii="Cambria Math" w:eastAsia="等线" w:hAnsi="Cambria Math" w:cs="Times New Roman"/>
                <w:sz w:val="22"/>
                <w:szCs w:val="24"/>
                <w14:ligatures w14:val="standardContextual"/>
              </w:rPr>
              <m:t>2</m:t>
            </m:r>
          </m:sup>
        </m:sSup>
        <m:r>
          <w:rPr>
            <w:rFonts w:ascii="Cambria Math" w:eastAsia="等线" w:hAnsi="Cambria Math" w:cs="Times New Roman"/>
            <w:sz w:val="22"/>
            <w:szCs w:val="24"/>
            <w14:ligatures w14:val="standardContextual"/>
          </w:rPr>
          <m:t>≈0.40</m:t>
        </m:r>
      </m:oMath>
      <w:r w:rsidRPr="00280DF5">
        <w:rPr>
          <w:rFonts w:ascii="Times New Roman" w:eastAsia="宋体" w:hAnsi="Times New Roman" w:cs="Times New Roman"/>
          <w:kern w:val="0"/>
          <w:szCs w:val="21"/>
        </w:rPr>
        <w:t xml:space="preserve"> (additive + epistatic variance). No dominance effects were included in this simulation for simplicity (all QTL were codominant). Phenotypes for a quantitative trait were generated for Generation 0 as</w:t>
      </w:r>
      <m:oMath>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y</m:t>
            </m:r>
          </m:e>
          <m:sub>
            <m:r>
              <w:rPr>
                <w:rFonts w:ascii="Cambria Math" w:eastAsia="等线" w:hAnsi="Cambria Math" w:cs="Times New Roman"/>
                <w:sz w:val="22"/>
                <w:szCs w:val="24"/>
                <w14:ligatures w14:val="standardContextual"/>
              </w:rPr>
              <m:t>i</m:t>
            </m:r>
          </m:sub>
        </m:sSub>
        <m:r>
          <w:rPr>
            <w:rFonts w:ascii="Cambria Math" w:eastAsia="等线" w:hAnsi="Cambria Math" w:cs="Times New Roman"/>
            <w:sz w:val="22"/>
            <w:szCs w:val="24"/>
            <w14:ligatures w14:val="standardContextual"/>
          </w:rPr>
          <m:t>=μ+</m:t>
        </m:r>
        <m:nary>
          <m:naryPr>
            <m:chr m:val="∑"/>
            <m:limLoc m:val="undOvr"/>
            <m:grow m:val="1"/>
            <m:supHide m:val="1"/>
            <m:ctrlPr>
              <w:rPr>
                <w:rFonts w:ascii="Cambria Math" w:eastAsia="等线" w:hAnsi="Cambria Math" w:cs="Times New Roman"/>
                <w:sz w:val="22"/>
                <w:szCs w:val="24"/>
                <w14:ligatures w14:val="standardContextual"/>
              </w:rPr>
            </m:ctrlPr>
          </m:naryPr>
          <m:sub>
            <m:r>
              <w:rPr>
                <w:rFonts w:ascii="Cambria Math" w:eastAsia="等线" w:hAnsi="Cambria Math" w:cs="Times New Roman"/>
                <w:sz w:val="22"/>
                <w:szCs w:val="24"/>
                <w14:ligatures w14:val="standardContextual"/>
              </w:rPr>
              <m:t>j∈QTL</m:t>
            </m:r>
          </m:sub>
          <m:sup/>
          <m:e>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a</m:t>
                </m:r>
              </m:e>
              <m:sub>
                <m:r>
                  <w:rPr>
                    <w:rFonts w:ascii="Cambria Math" w:eastAsia="等线" w:hAnsi="Cambria Math" w:cs="Times New Roman"/>
                    <w:sz w:val="22"/>
                    <w:szCs w:val="24"/>
                    <w14:ligatures w14:val="standardContextual"/>
                  </w:rPr>
                  <m:t>j</m:t>
                </m:r>
              </m:sub>
            </m:sSub>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x</m:t>
                </m:r>
              </m:e>
              <m:sub>
                <m:r>
                  <w:rPr>
                    <w:rFonts w:ascii="Cambria Math" w:eastAsia="等线" w:hAnsi="Cambria Math" w:cs="Times New Roman"/>
                    <w:sz w:val="22"/>
                    <w:szCs w:val="24"/>
                    <w14:ligatures w14:val="standardContextual"/>
                  </w:rPr>
                  <m:t>ij</m:t>
                </m:r>
              </m:sub>
            </m:sSub>
          </m:e>
        </m:nary>
        <m:r>
          <w:rPr>
            <w:rFonts w:ascii="Cambria Math" w:eastAsia="等线" w:hAnsi="Cambria Math" w:cs="Times New Roman"/>
            <w:sz w:val="22"/>
            <w:szCs w:val="24"/>
            <w14:ligatures w14:val="standardContextual"/>
          </w:rPr>
          <m:t>+</m:t>
        </m:r>
        <m:nary>
          <m:naryPr>
            <m:chr m:val="∑"/>
            <m:limLoc m:val="undOvr"/>
            <m:grow m:val="1"/>
            <m:supHide m:val="1"/>
            <m:ctrlPr>
              <w:rPr>
                <w:rFonts w:ascii="Cambria Math" w:eastAsia="等线" w:hAnsi="Cambria Math" w:cs="Times New Roman"/>
                <w:sz w:val="22"/>
                <w:szCs w:val="24"/>
                <w14:ligatures w14:val="standardContextual"/>
              </w:rPr>
            </m:ctrlPr>
          </m:naryPr>
          <m:sub>
            <m:r>
              <w:rPr>
                <w:rFonts w:ascii="Cambria Math" w:eastAsia="等线" w:hAnsi="Cambria Math" w:cs="Times New Roman"/>
                <w:sz w:val="22"/>
                <w:szCs w:val="24"/>
                <w14:ligatures w14:val="standardContextual"/>
              </w:rPr>
              <m:t>(k,l)∈EPI</m:t>
            </m:r>
          </m:sub>
          <m:sup/>
          <m:e>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i</m:t>
                </m:r>
              </m:e>
              <m:sub>
                <m:r>
                  <w:rPr>
                    <w:rFonts w:ascii="Cambria Math" w:eastAsia="等线" w:hAnsi="Cambria Math" w:cs="Times New Roman"/>
                    <w:sz w:val="22"/>
                    <w:szCs w:val="24"/>
                    <w14:ligatures w14:val="standardContextual"/>
                  </w:rPr>
                  <m:t>kl</m:t>
                </m:r>
              </m:sub>
            </m:sSub>
            <m: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x</m:t>
                </m:r>
              </m:e>
              <m:sub>
                <m:r>
                  <w:rPr>
                    <w:rFonts w:ascii="Cambria Math" w:eastAsia="等线" w:hAnsi="Cambria Math" w:cs="Times New Roman"/>
                    <w:sz w:val="22"/>
                    <w:szCs w:val="24"/>
                    <w14:ligatures w14:val="standardContextual"/>
                  </w:rPr>
                  <m:t>ik</m:t>
                </m:r>
              </m:sub>
            </m:sSub>
            <m: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x</m:t>
                </m:r>
              </m:e>
              <m:sub>
                <m:r>
                  <w:rPr>
                    <w:rFonts w:ascii="Cambria Math" w:eastAsia="等线" w:hAnsi="Cambria Math" w:cs="Times New Roman"/>
                    <w:sz w:val="22"/>
                    <w:szCs w:val="24"/>
                    <w14:ligatures w14:val="standardContextual"/>
                  </w:rPr>
                  <m:t>il</m:t>
                </m:r>
              </m:sub>
            </m:sSub>
            <m:r>
              <w:rPr>
                <w:rFonts w:ascii="Cambria Math" w:eastAsia="等线" w:hAnsi="Cambria Math" w:cs="Times New Roman"/>
                <w:sz w:val="22"/>
                <w:szCs w:val="24"/>
                <w14:ligatures w14:val="standardContextual"/>
              </w:rPr>
              <m:t>)</m:t>
            </m:r>
          </m:e>
        </m:nary>
        <m: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e</m:t>
            </m:r>
          </m:e>
          <m:sub>
            <m:r>
              <w:rPr>
                <w:rFonts w:ascii="Cambria Math" w:eastAsia="等线" w:hAnsi="Cambria Math" w:cs="Times New Roman"/>
                <w:sz w:val="22"/>
                <w:szCs w:val="24"/>
                <w14:ligatures w14:val="standardContextual"/>
              </w:rPr>
              <m:t>i</m:t>
            </m:r>
          </m:sub>
        </m:sSub>
      </m:oMath>
      <w:r w:rsidRPr="00280DF5">
        <w:rPr>
          <w:rFonts w:ascii="Times New Roman" w:eastAsia="宋体" w:hAnsi="Times New Roman" w:cs="Times New Roman"/>
          <w:kern w:val="0"/>
          <w:szCs w:val="21"/>
        </w:rPr>
        <w:t xml:space="preserve">, where </w:t>
      </w:r>
      <m:oMath>
        <m:r>
          <w:rPr>
            <w:rFonts w:ascii="Cambria Math" w:eastAsia="等线" w:hAnsi="Cambria Math" w:cs="Times New Roman"/>
            <w:sz w:val="22"/>
            <w:szCs w:val="24"/>
            <w14:ligatures w14:val="standardContextual"/>
          </w:rPr>
          <m:t>μ</m:t>
        </m:r>
      </m:oMath>
      <w:r w:rsidRPr="00280DF5">
        <w:rPr>
          <w:rFonts w:ascii="Times New Roman" w:eastAsia="宋体" w:hAnsi="Times New Roman" w:cs="Times New Roman"/>
          <w:kern w:val="0"/>
          <w:szCs w:val="21"/>
        </w:rPr>
        <w:t xml:space="preserve"> is the trait mean, </w:t>
      </w:r>
      <m:oMath>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x</m:t>
            </m:r>
          </m:e>
          <m:sub>
            <m:r>
              <w:rPr>
                <w:rFonts w:ascii="Cambria Math" w:eastAsia="等线" w:hAnsi="Cambria Math" w:cs="Times New Roman"/>
                <w:sz w:val="22"/>
                <w:szCs w:val="24"/>
                <w14:ligatures w14:val="standardContextual"/>
              </w:rPr>
              <m:t>ij</m:t>
            </m:r>
          </m:sub>
        </m:sSub>
        <m:r>
          <w:rPr>
            <w:rFonts w:ascii="Cambria Math" w:eastAsia="等线" w:hAnsi="Cambria Math" w:cs="Times New Roman"/>
            <w:sz w:val="22"/>
            <w:szCs w:val="24"/>
            <w14:ligatures w14:val="standardContextual"/>
          </w:rPr>
          <m:t>∈0,1,2</m:t>
        </m:r>
      </m:oMath>
      <w:r w:rsidRPr="00280DF5">
        <w:rPr>
          <w:rFonts w:ascii="Times New Roman" w:eastAsia="宋体" w:hAnsi="Times New Roman" w:cs="Times New Roman"/>
          <w:kern w:val="0"/>
          <w:szCs w:val="21"/>
        </w:rPr>
        <w:t xml:space="preserve"> is the genotype (additive coding of allele counts) of individual i at QTL j, </w:t>
      </w:r>
      <m:oMath>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a</m:t>
            </m:r>
          </m:e>
          <m:sub>
            <m:r>
              <w:rPr>
                <w:rFonts w:ascii="Cambria Math" w:eastAsia="等线" w:hAnsi="Cambria Math" w:cs="Times New Roman"/>
                <w:sz w:val="22"/>
                <w:szCs w:val="24"/>
                <w14:ligatures w14:val="standardContextual"/>
              </w:rPr>
              <m:t>j</m:t>
            </m:r>
          </m:sub>
        </m:sSub>
      </m:oMath>
      <w:r w:rsidRPr="00280DF5">
        <w:rPr>
          <w:rFonts w:ascii="Times New Roman" w:eastAsia="宋体" w:hAnsi="Times New Roman" w:cs="Times New Roman"/>
          <w:kern w:val="0"/>
          <w:szCs w:val="21"/>
        </w:rPr>
        <w:t xml:space="preserve"> is the additive effect of QTL j, </w:t>
      </w:r>
      <m:oMath>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i</m:t>
            </m:r>
          </m:e>
          <m:sub>
            <m:r>
              <w:rPr>
                <w:rFonts w:ascii="Cambria Math" w:eastAsia="等线" w:hAnsi="Cambria Math" w:cs="Times New Roman"/>
                <w:sz w:val="22"/>
                <w:szCs w:val="24"/>
                <w14:ligatures w14:val="standardContextual"/>
              </w:rPr>
              <m:t>kl</m:t>
            </m:r>
          </m:sub>
        </m:sSub>
      </m:oMath>
      <w:r w:rsidRPr="00280DF5">
        <w:rPr>
          <w:rFonts w:ascii="Times New Roman" w:eastAsia="宋体" w:hAnsi="Times New Roman" w:cs="Times New Roman"/>
          <w:kern w:val="0"/>
          <w:szCs w:val="21"/>
        </w:rPr>
        <w:t xml:space="preserve"> is the interaction effect between loci k and l, and </w:t>
      </w:r>
      <m:oMath>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e</m:t>
            </m:r>
          </m:e>
          <m:sub>
            <m:r>
              <w:rPr>
                <w:rFonts w:ascii="Cambria Math" w:eastAsia="等线" w:hAnsi="Cambria Math" w:cs="Times New Roman"/>
                <w:sz w:val="22"/>
                <w:szCs w:val="24"/>
                <w14:ligatures w14:val="standardContextual"/>
              </w:rPr>
              <m:t>i</m:t>
            </m:r>
          </m:sub>
        </m:sSub>
        <m:r>
          <w:rPr>
            <w:rFonts w:ascii="Cambria Math" w:eastAsia="等线" w:hAnsi="Cambria Math" w:cs="Times New Roman"/>
            <w:sz w:val="22"/>
            <w:szCs w:val="24"/>
            <w14:ligatures w14:val="standardContextual"/>
          </w:rPr>
          <m:t>∼N(0,</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e</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m:t>
        </m:r>
      </m:oMath>
      <w:r w:rsidRPr="00280DF5">
        <w:rPr>
          <w:rFonts w:ascii="Times New Roman" w:eastAsia="宋体" w:hAnsi="Times New Roman" w:cs="Times New Roman"/>
          <w:kern w:val="0"/>
          <w:szCs w:val="21"/>
        </w:rPr>
        <w:t xml:space="preserve"> is residual error. The residual variance </w:t>
      </w:r>
      <m:oMath>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e</m:t>
            </m:r>
          </m:sub>
          <m:sup>
            <m:r>
              <w:rPr>
                <w:rFonts w:ascii="Cambria Math" w:eastAsia="等线" w:hAnsi="Cambria Math" w:cs="Times New Roman"/>
                <w:sz w:val="22"/>
                <w:szCs w:val="24"/>
                <w14:ligatures w14:val="standardContextual"/>
              </w:rPr>
              <m:t>2</m:t>
            </m:r>
          </m:sup>
        </m:sSubSup>
      </m:oMath>
      <w:r w:rsidRPr="00280DF5">
        <w:rPr>
          <w:rFonts w:ascii="Times New Roman" w:eastAsia="宋体" w:hAnsi="Times New Roman" w:cs="Times New Roman"/>
          <w:kern w:val="0"/>
          <w:szCs w:val="21"/>
        </w:rPr>
        <w:t xml:space="preserve"> was set to achieve the target heritabilities (e.g., </w:t>
      </w:r>
      <m:oMath>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e</m:t>
            </m:r>
          </m:sub>
          <m:sup>
            <m:r>
              <w:rPr>
                <w:rFonts w:ascii="Cambria Math" w:eastAsia="等线" w:hAnsi="Cambria Math" w:cs="Times New Roman"/>
                <w:sz w:val="22"/>
                <w:szCs w:val="24"/>
                <w14:ligatures w14:val="standardContextual"/>
              </w:rPr>
              <m:t>2</m:t>
            </m:r>
          </m:sup>
        </m:sSubSup>
      </m:oMath>
      <w:r w:rsidRPr="00280DF5">
        <w:rPr>
          <w:rFonts w:ascii="Times New Roman" w:eastAsia="宋体" w:hAnsi="Times New Roman" w:cs="Times New Roman"/>
          <w:kern w:val="0"/>
          <w:szCs w:val="21"/>
        </w:rPr>
        <w:t xml:space="preserve"> such that </w:t>
      </w:r>
      <m:oMath>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a</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aa</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=0.40</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y</m:t>
            </m:r>
          </m:sub>
          <m:sup>
            <m:r>
              <w:rPr>
                <w:rFonts w:ascii="Cambria Math" w:eastAsia="等线" w:hAnsi="Cambria Math" w:cs="Times New Roman"/>
                <w:sz w:val="22"/>
                <w:szCs w:val="24"/>
                <w14:ligatures w14:val="standardContextual"/>
              </w:rPr>
              <m:t>2</m:t>
            </m:r>
          </m:sup>
        </m:sSubSup>
      </m:oMath>
      <w:r w:rsidRPr="00280DF5">
        <w:rPr>
          <w:rFonts w:ascii="Times New Roman" w:eastAsia="宋体" w:hAnsi="Times New Roman" w:cs="Times New Roman"/>
          <w:kern w:val="0"/>
          <w:szCs w:val="21"/>
        </w:rPr>
        <w:t xml:space="preserve"> and </w:t>
      </w:r>
      <m:oMath>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a</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=0.30</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y</m:t>
            </m:r>
          </m:sub>
          <m:sup>
            <m:r>
              <w:rPr>
                <w:rFonts w:ascii="Cambria Math" w:eastAsia="等线" w:hAnsi="Cambria Math" w:cs="Times New Roman"/>
                <w:sz w:val="22"/>
                <w:szCs w:val="24"/>
                <w14:ligatures w14:val="standardContextual"/>
              </w:rPr>
              <m:t>2</m:t>
            </m:r>
          </m:sup>
        </m:sSubSup>
      </m:oMath>
      <w:r w:rsidRPr="00280DF5">
        <w:rPr>
          <w:rFonts w:ascii="Times New Roman" w:eastAsia="宋体" w:hAnsi="Times New Roman" w:cs="Times New Roman"/>
          <w:kern w:val="0"/>
          <w:szCs w:val="21"/>
        </w:rPr>
        <w:t xml:space="preserve"> for phenotypic variance </w:t>
      </w:r>
      <m:oMath>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y</m:t>
            </m:r>
          </m:sub>
          <m:sup>
            <m:r>
              <w:rPr>
                <w:rFonts w:ascii="Cambria Math" w:eastAsia="等线" w:hAnsi="Cambria Math" w:cs="Times New Roman"/>
                <w:sz w:val="22"/>
                <w:szCs w:val="24"/>
                <w14:ligatures w14:val="standardContextual"/>
              </w:rPr>
              <m:t>2</m:t>
            </m:r>
          </m:sup>
        </m:sSubSup>
      </m:oMath>
      <w:r w:rsidRPr="00280DF5">
        <w:rPr>
          <w:rFonts w:ascii="Times New Roman" w:eastAsia="宋体" w:hAnsi="Times New Roman" w:cs="Times New Roman"/>
          <w:kern w:val="0"/>
          <w:szCs w:val="21"/>
        </w:rPr>
        <w:t xml:space="preserve">). We assumed </w:t>
      </w:r>
      <w:r w:rsidRPr="00280DF5">
        <w:rPr>
          <w:rFonts w:ascii="Times New Roman" w:eastAsia="宋体" w:hAnsi="Times New Roman" w:cs="Times New Roman"/>
          <w:b/>
          <w:bCs/>
          <w:kern w:val="0"/>
          <w:szCs w:val="21"/>
        </w:rPr>
        <w:t>random mating</w:t>
      </w:r>
      <w:r w:rsidRPr="00280DF5">
        <w:rPr>
          <w:rFonts w:ascii="Times New Roman" w:eastAsia="宋体" w:hAnsi="Times New Roman" w:cs="Times New Roman"/>
          <w:kern w:val="0"/>
          <w:szCs w:val="21"/>
        </w:rPr>
        <w:t xml:space="preserve"> in the base generation.</w:t>
      </w:r>
    </w:p>
    <w:p w14:paraId="7C65ADEE"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Starting from Generation 0, we simulated </w:t>
      </w:r>
      <w:r w:rsidRPr="00280DF5">
        <w:rPr>
          <w:rFonts w:ascii="Times New Roman" w:eastAsia="宋体" w:hAnsi="Times New Roman" w:cs="Times New Roman"/>
          <w:b/>
          <w:bCs/>
          <w:kern w:val="0"/>
          <w:szCs w:val="21"/>
        </w:rPr>
        <w:t>truncation selection</w:t>
      </w:r>
      <w:r w:rsidRPr="00280DF5">
        <w:rPr>
          <w:rFonts w:ascii="Times New Roman" w:eastAsia="宋体" w:hAnsi="Times New Roman" w:cs="Times New Roman"/>
          <w:kern w:val="0"/>
          <w:szCs w:val="21"/>
        </w:rPr>
        <w:t xml:space="preserve"> on the trait for 10 generations to mimic a breeding program. In each generation, individuals were ranked by true breeding value (additive genetic value) and the top 20% of each sex were selected as parents (50 males and 100 females) to produce the next generation. We used a random mating scheme among selected parents, with each sire mated to two dams, producing ~4 offspring per dam (yielding ~1,000 progeny per generation to keep population size constant). During mating, we simulated recombination and segregation assuming a 1 cM/Mb recombination rate and no new mutation. This process introduced linkage disequilibrium (LD) and caused gradual allele frequency changes, particularly at QTL under selection. Allele frequency evolution was monitored to assess the </w:t>
      </w:r>
      <w:r w:rsidRPr="00280DF5">
        <w:rPr>
          <w:rFonts w:ascii="Times New Roman" w:eastAsia="宋体" w:hAnsi="Times New Roman" w:cs="Times New Roman"/>
          <w:b/>
          <w:bCs/>
          <w:kern w:val="0"/>
          <w:szCs w:val="21"/>
        </w:rPr>
        <w:t>dynamic changes in genetic architecture</w:t>
      </w:r>
      <w:r w:rsidRPr="00280DF5">
        <w:rPr>
          <w:rFonts w:ascii="Times New Roman" w:eastAsia="宋体" w:hAnsi="Times New Roman" w:cs="Times New Roman"/>
          <w:kern w:val="0"/>
          <w:szCs w:val="21"/>
        </w:rPr>
        <w:t xml:space="preserve"> over generations (e.g., beneficial alleles increasing in frequency). We also tracked true genetic values and population mean phenotype to measure selection response.</w:t>
      </w:r>
    </w:p>
    <w:p w14:paraId="63CE8CA7"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Genomic Prediction Models:</w:t>
      </w:r>
      <w:r w:rsidRPr="00280DF5">
        <w:rPr>
          <w:rFonts w:ascii="Times New Roman" w:eastAsia="宋体" w:hAnsi="Times New Roman" w:cs="Times New Roman"/>
          <w:kern w:val="0"/>
          <w:szCs w:val="21"/>
        </w:rPr>
        <w:t xml:space="preserve"> We compared two models for genomic breeding value prediction:</w:t>
      </w:r>
    </w:p>
    <w:p w14:paraId="05F6D2FD" w14:textId="465B2914" w:rsidR="00280DF5" w:rsidRPr="00280DF5" w:rsidRDefault="00280DF5" w:rsidP="003B41FE">
      <w:pPr>
        <w:widowControl/>
        <w:numPr>
          <w:ilvl w:val="0"/>
          <w:numId w:val="2"/>
        </w:numPr>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lastRenderedPageBreak/>
        <w:t>Additive GBLUP (Conventional):</w:t>
      </w:r>
      <w:r w:rsidRPr="00280DF5">
        <w:rPr>
          <w:rFonts w:ascii="Times New Roman" w:eastAsia="宋体" w:hAnsi="Times New Roman" w:cs="Times New Roman"/>
          <w:kern w:val="0"/>
          <w:szCs w:val="21"/>
        </w:rPr>
        <w:t xml:space="preserve"> Phenotypes were fit with a linear mixed model including only additive genetic effects: </w:t>
      </w:r>
      <m:oMath>
        <m:r>
          <w:rPr>
            <w:rFonts w:ascii="Cambria Math" w:eastAsia="等线" w:hAnsi="Cambria Math" w:cs="Times New Roman"/>
            <w:sz w:val="22"/>
            <w:szCs w:val="24"/>
            <w14:ligatures w14:val="standardContextual"/>
          </w:rPr>
          <m:t>y=1μ+Zg+e</m:t>
        </m:r>
      </m:oMath>
      <w:r w:rsidRPr="00280DF5">
        <w:rPr>
          <w:rFonts w:ascii="Times New Roman" w:eastAsia="宋体" w:hAnsi="Times New Roman" w:cs="Times New Roman"/>
          <w:kern w:val="0"/>
          <w:szCs w:val="21"/>
        </w:rPr>
        <w:t xml:space="preserve">, where </w:t>
      </w:r>
      <m:oMath>
        <m:r>
          <w:rPr>
            <w:rFonts w:ascii="Cambria Math" w:eastAsia="等线" w:hAnsi="Cambria Math" w:cs="Times New Roman"/>
            <w:sz w:val="22"/>
            <w:szCs w:val="24"/>
            <w14:ligatures w14:val="standardContextual"/>
          </w:rPr>
          <m:t>1μ</m:t>
        </m:r>
      </m:oMath>
      <w:r w:rsidRPr="00280DF5">
        <w:rPr>
          <w:rFonts w:ascii="Times New Roman" w:eastAsia="宋体" w:hAnsi="Times New Roman" w:cs="Times New Roman"/>
          <w:kern w:val="0"/>
          <w:szCs w:val="21"/>
        </w:rPr>
        <w:t xml:space="preserve"> is the overall mean, </w:t>
      </w:r>
      <m:oMath>
        <m:r>
          <w:rPr>
            <w:rFonts w:ascii="Cambria Math" w:eastAsia="等线" w:hAnsi="Cambria Math" w:cs="Times New Roman"/>
            <w:sz w:val="22"/>
            <w:szCs w:val="24"/>
            <w14:ligatures w14:val="standardContextual"/>
          </w:rPr>
          <m:t>g∼N(0,</m:t>
        </m:r>
        <m:r>
          <m:rPr>
            <m:sty m:val="b"/>
          </m:rPr>
          <w:rPr>
            <w:rFonts w:ascii="Cambria Math" w:eastAsia="等线" w:hAnsi="Cambria Math" w:cs="Times New Roman"/>
            <w:sz w:val="22"/>
            <w:szCs w:val="24"/>
            <w14:ligatures w14:val="standardContextual"/>
          </w:rPr>
          <m:t>G</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g</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m:t>
        </m:r>
      </m:oMath>
      <w:r w:rsidRPr="00280DF5">
        <w:rPr>
          <w:rFonts w:ascii="Times New Roman" w:eastAsia="宋体" w:hAnsi="Times New Roman" w:cs="Times New Roman"/>
          <w:kern w:val="0"/>
          <w:szCs w:val="21"/>
        </w:rPr>
        <w:t xml:space="preserve"> is the vector of additive genomic breeding values, and </w:t>
      </w:r>
      <m:oMath>
        <m:r>
          <w:rPr>
            <w:rFonts w:ascii="Cambria Math" w:eastAsia="等线" w:hAnsi="Cambria Math" w:cs="Times New Roman"/>
            <w:sz w:val="22"/>
            <w:szCs w:val="24"/>
            <w14:ligatures w14:val="standardContextual"/>
          </w:rPr>
          <m:t>e∼N(0,I</m:t>
        </m:r>
        <m:sSubSup>
          <m:sSubSupPr>
            <m:ctrlPr>
              <w:rPr>
                <w:rFonts w:ascii="Cambria Math" w:eastAsia="等线" w:hAnsi="Cambria Math" w:cs="Times New Roman"/>
                <w:sz w:val="22"/>
                <w:szCs w:val="24"/>
                <w14:ligatures w14:val="standardContextual"/>
              </w:rPr>
            </m:ctrlPr>
          </m:sSubSupPr>
          <m:e>
            <m:r>
              <w:rPr>
                <w:rFonts w:ascii="Cambria Math" w:eastAsia="等线" w:hAnsi="Cambria Math" w:cs="Times New Roman"/>
                <w:sz w:val="22"/>
                <w:szCs w:val="24"/>
                <w14:ligatures w14:val="standardContextual"/>
              </w:rPr>
              <m:t>σ</m:t>
            </m:r>
          </m:e>
          <m:sub>
            <m:r>
              <w:rPr>
                <w:rFonts w:ascii="Cambria Math" w:eastAsia="等线" w:hAnsi="Cambria Math" w:cs="Times New Roman"/>
                <w:sz w:val="22"/>
                <w:szCs w:val="24"/>
                <w14:ligatures w14:val="standardContextual"/>
              </w:rPr>
              <m:t>e</m:t>
            </m:r>
          </m:sub>
          <m:sup>
            <m:r>
              <w:rPr>
                <w:rFonts w:ascii="Cambria Math" w:eastAsia="等线" w:hAnsi="Cambria Math" w:cs="Times New Roman"/>
                <w:sz w:val="22"/>
                <w:szCs w:val="24"/>
                <w14:ligatures w14:val="standardContextual"/>
              </w:rPr>
              <m:t>2</m:t>
            </m:r>
          </m:sup>
        </m:sSubSup>
        <m:r>
          <w:rPr>
            <w:rFonts w:ascii="Cambria Math" w:eastAsia="等线" w:hAnsi="Cambria Math" w:cs="Times New Roman"/>
            <w:sz w:val="22"/>
            <w:szCs w:val="24"/>
            <w14:ligatures w14:val="standardContextual"/>
          </w:rPr>
          <m:t>)</m:t>
        </m:r>
      </m:oMath>
      <w:r w:rsidRPr="00280DF5">
        <w:rPr>
          <w:rFonts w:ascii="Times New Roman" w:eastAsia="宋体" w:hAnsi="Times New Roman" w:cs="Times New Roman"/>
          <w:kern w:val="0"/>
          <w:szCs w:val="21"/>
        </w:rPr>
        <w:t xml:space="preserve"> is the residual. The matrix</w:t>
      </w:r>
      <w:r w:rsidR="00560A88" w:rsidRPr="00560A88">
        <w:rPr>
          <w:rFonts w:ascii="Cambria Math" w:eastAsia="等线" w:hAnsi="Cambria Math" w:cs="Times New Roman"/>
          <w:i/>
          <w:sz w:val="22"/>
          <w:szCs w:val="24"/>
          <w14:ligatures w14:val="standardContextual"/>
        </w:rPr>
        <w:t xml:space="preserve"> </w:t>
      </w:r>
      <m:oMath>
        <m:r>
          <w:rPr>
            <w:rFonts w:ascii="Cambria Math" w:eastAsia="等线" w:hAnsi="Cambria Math" w:cs="Times New Roman"/>
            <w:sz w:val="22"/>
            <w:szCs w:val="24"/>
            <w14:ligatures w14:val="standardContextual"/>
          </w:rPr>
          <m:t>Z</m:t>
        </m:r>
      </m:oMath>
      <w:r w:rsidRPr="00280DF5">
        <w:rPr>
          <w:rFonts w:ascii="Times New Roman" w:eastAsia="宋体" w:hAnsi="Times New Roman" w:cs="Times New Roman"/>
          <w:kern w:val="0"/>
          <w:szCs w:val="21"/>
        </w:rPr>
        <w:t xml:space="preserve"> links individuals to their genomic breeding values (in genomic BLUP, </w:t>
      </w:r>
      <m:oMath>
        <m:r>
          <w:rPr>
            <w:rFonts w:ascii="Cambria Math" w:eastAsia="等线" w:hAnsi="Cambria Math" w:cs="Times New Roman"/>
            <w:sz w:val="22"/>
            <w:szCs w:val="24"/>
            <w14:ligatures w14:val="standardContextual"/>
          </w:rPr>
          <m:t>Z</m:t>
        </m:r>
      </m:oMath>
      <w:r w:rsidRPr="00280DF5">
        <w:rPr>
          <w:rFonts w:ascii="Times New Roman" w:eastAsia="宋体" w:hAnsi="Times New Roman" w:cs="Times New Roman"/>
          <w:kern w:val="0"/>
          <w:szCs w:val="21"/>
        </w:rPr>
        <w:t xml:space="preserve"> is typically the identity when </w:t>
      </w:r>
      <m:oMath>
        <m:r>
          <w:rPr>
            <w:rFonts w:ascii="Cambria Math" w:eastAsia="等线" w:hAnsi="Cambria Math" w:cs="Times New Roman"/>
            <w:sz w:val="22"/>
            <w:szCs w:val="24"/>
            <w14:ligatures w14:val="standardContextual"/>
          </w:rPr>
          <m:t>g</m:t>
        </m:r>
      </m:oMath>
      <w:r w:rsidRPr="00280DF5">
        <w:rPr>
          <w:rFonts w:ascii="Times New Roman" w:eastAsia="宋体" w:hAnsi="Times New Roman" w:cs="Times New Roman"/>
          <w:kern w:val="0"/>
          <w:szCs w:val="21"/>
        </w:rPr>
        <w:t xml:space="preserve"> is an animal-specific effect). The additive genomic relationship matrix </w:t>
      </w:r>
      <w:r w:rsidRPr="00280DF5">
        <w:rPr>
          <w:rFonts w:ascii="Times New Roman" w:eastAsia="宋体" w:hAnsi="Times New Roman" w:cs="Times New Roman"/>
          <w:b/>
          <w:bCs/>
          <w:kern w:val="0"/>
          <w:szCs w:val="21"/>
        </w:rPr>
        <w:t>G</w:t>
      </w:r>
      <w:r w:rsidRPr="00280DF5">
        <w:rPr>
          <w:rFonts w:ascii="Times New Roman" w:eastAsia="宋体" w:hAnsi="Times New Roman" w:cs="Times New Roman"/>
          <w:kern w:val="0"/>
          <w:szCs w:val="21"/>
        </w:rPr>
        <w:t xml:space="preserve"> was computed from the SNP data using the method of VanRaden (2008): </w:t>
      </w:r>
      <m:oMath>
        <m:r>
          <m:rPr>
            <m:sty m:val="b"/>
          </m:rPr>
          <w:rPr>
            <w:rFonts w:ascii="Cambria Math" w:eastAsia="等线" w:hAnsi="Cambria Math" w:cs="Times New Roman"/>
            <w:sz w:val="22"/>
            <w:szCs w:val="24"/>
            <w14:ligatures w14:val="standardContextual"/>
          </w:rPr>
          <m:t>G</m:t>
        </m:r>
        <m:r>
          <w:rPr>
            <w:rFonts w:ascii="Cambria Math" w:eastAsia="等线" w:hAnsi="Cambria Math" w:cs="Times New Roman"/>
            <w:sz w:val="22"/>
            <w:szCs w:val="24"/>
            <w14:ligatures w14:val="standardContextual"/>
          </w:rPr>
          <m:t>=</m:t>
        </m:r>
        <m:f>
          <m:fPr>
            <m:ctrlPr>
              <w:rPr>
                <w:rFonts w:ascii="Cambria Math" w:eastAsia="等线" w:hAnsi="Cambria Math" w:cs="Times New Roman"/>
                <w:sz w:val="22"/>
                <w:szCs w:val="24"/>
                <w14:ligatures w14:val="standardContextual"/>
              </w:rPr>
            </m:ctrlPr>
          </m:fPr>
          <m:num>
            <m:r>
              <w:rPr>
                <w:rFonts w:ascii="Cambria Math" w:eastAsia="等线" w:hAnsi="Cambria Math" w:cs="Times New Roman"/>
                <w:sz w:val="22"/>
                <w:szCs w:val="24"/>
                <w14:ligatures w14:val="standardContextual"/>
              </w:rPr>
              <m:t>1</m:t>
            </m:r>
          </m:num>
          <m:den>
            <m:nary>
              <m:naryPr>
                <m:chr m:val="∑"/>
                <m:limLoc m:val="undOvr"/>
                <m:grow m:val="1"/>
                <m:ctrlPr>
                  <w:rPr>
                    <w:rFonts w:ascii="Cambria Math" w:eastAsia="等线" w:hAnsi="Cambria Math" w:cs="Times New Roman"/>
                    <w:sz w:val="22"/>
                    <w:szCs w:val="24"/>
                    <w14:ligatures w14:val="standardContextual"/>
                  </w:rPr>
                </m:ctrlPr>
              </m:naryPr>
              <m:sub>
                <m:r>
                  <w:rPr>
                    <w:rFonts w:ascii="Cambria Math" w:eastAsia="等线" w:hAnsi="Cambria Math" w:cs="Times New Roman"/>
                    <w:sz w:val="22"/>
                    <w:szCs w:val="24"/>
                    <w14:ligatures w14:val="standardContextual"/>
                  </w:rPr>
                  <m:t>j=1</m:t>
                </m:r>
              </m:sub>
              <m:sup>
                <m:r>
                  <w:rPr>
                    <w:rFonts w:ascii="Cambria Math" w:eastAsia="等线" w:hAnsi="Cambria Math" w:cs="Times New Roman"/>
                    <w:sz w:val="22"/>
                    <w:szCs w:val="24"/>
                    <w14:ligatures w14:val="standardContextual"/>
                  </w:rPr>
                  <m:t>M</m:t>
                </m:r>
              </m:sup>
              <m:e>
                <m: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p</m:t>
                    </m:r>
                  </m:e>
                  <m:sub>
                    <m:r>
                      <w:rPr>
                        <w:rFonts w:ascii="Cambria Math" w:eastAsia="等线" w:hAnsi="Cambria Math" w:cs="Times New Roman"/>
                        <w:sz w:val="22"/>
                        <w:szCs w:val="24"/>
                        <w14:ligatures w14:val="standardContextual"/>
                      </w:rPr>
                      <m:t>j</m:t>
                    </m:r>
                  </m:sub>
                </m:sSub>
                <m:r>
                  <w:rPr>
                    <w:rFonts w:ascii="Cambria Math" w:eastAsia="等线" w:hAnsi="Cambria Math" w:cs="Times New Roman"/>
                    <w:sz w:val="22"/>
                    <w:szCs w:val="24"/>
                    <w14:ligatures w14:val="standardContextual"/>
                  </w:rPr>
                  <m:t>(1-</m:t>
                </m:r>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p</m:t>
                    </m:r>
                  </m:e>
                  <m:sub>
                    <m:r>
                      <w:rPr>
                        <w:rFonts w:ascii="Cambria Math" w:eastAsia="等线" w:hAnsi="Cambria Math" w:cs="Times New Roman"/>
                        <w:sz w:val="22"/>
                        <w:szCs w:val="24"/>
                        <w14:ligatures w14:val="standardContextual"/>
                      </w:rPr>
                      <m:t>j</m:t>
                    </m:r>
                  </m:sub>
                </m:sSub>
                <m:r>
                  <w:rPr>
                    <w:rFonts w:ascii="Cambria Math" w:eastAsia="等线" w:hAnsi="Cambria Math" w:cs="Times New Roman"/>
                    <w:sz w:val="22"/>
                    <w:szCs w:val="24"/>
                    <w14:ligatures w14:val="standardContextual"/>
                  </w:rPr>
                  <m:t>)</m:t>
                </m:r>
              </m:e>
            </m:nary>
          </m:den>
        </m:f>
        <m:r>
          <w:rPr>
            <w:rFonts w:ascii="Cambria Math" w:eastAsia="等线" w:hAnsi="Cambria Math" w:cs="Times New Roman"/>
            <w:sz w:val="22"/>
            <w:szCs w:val="24"/>
            <w14:ligatures w14:val="standardContextual"/>
          </w:rPr>
          <m:t>(W</m:t>
        </m:r>
        <m:sSup>
          <m:sSupPr>
            <m:ctrlPr>
              <w:rPr>
                <w:rFonts w:ascii="Cambria Math" w:eastAsia="等线" w:hAnsi="Cambria Math" w:cs="Times New Roman"/>
                <w:sz w:val="22"/>
                <w:szCs w:val="24"/>
                <w14:ligatures w14:val="standardContextual"/>
              </w:rPr>
            </m:ctrlPr>
          </m:sSupPr>
          <m:e>
            <m:r>
              <w:rPr>
                <w:rFonts w:ascii="Cambria Math" w:eastAsia="等线" w:hAnsi="Cambria Math" w:cs="Times New Roman"/>
                <w:sz w:val="22"/>
                <w:szCs w:val="24"/>
                <w14:ligatures w14:val="standardContextual"/>
              </w:rPr>
              <m:t>W</m:t>
            </m:r>
          </m:e>
          <m:sup>
            <m:r>
              <w:rPr>
                <w:rFonts w:ascii="Cambria Math" w:eastAsia="等线" w:hAnsi="Cambria Math" w:cs="Times New Roman"/>
                <w:sz w:val="22"/>
                <w:szCs w:val="24"/>
                <w14:ligatures w14:val="standardContextual"/>
              </w:rPr>
              <m:t>'</m:t>
            </m:r>
          </m:sup>
        </m:sSup>
        <m:r>
          <w:rPr>
            <w:rFonts w:ascii="Cambria Math" w:eastAsia="等线" w:hAnsi="Cambria Math" w:cs="Times New Roman"/>
            <w:sz w:val="22"/>
            <w:szCs w:val="24"/>
            <w14:ligatures w14:val="standardContextual"/>
          </w:rPr>
          <m:t>)</m:t>
        </m:r>
      </m:oMath>
      <w:r w:rsidRPr="00280DF5">
        <w:rPr>
          <w:rFonts w:ascii="Times New Roman" w:eastAsia="宋体" w:hAnsi="Times New Roman" w:cs="Times New Roman"/>
          <w:kern w:val="0"/>
          <w:szCs w:val="21"/>
        </w:rPr>
        <w:t xml:space="preserve">, where </w:t>
      </w:r>
      <m:oMath>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W</m:t>
            </m:r>
          </m:e>
          <m:sub>
            <m:r>
              <w:rPr>
                <w:rFonts w:ascii="Cambria Math" w:eastAsia="等线" w:hAnsi="Cambria Math" w:cs="Times New Roman"/>
                <w:sz w:val="22"/>
                <w:szCs w:val="24"/>
                <w14:ligatures w14:val="standardContextual"/>
              </w:rPr>
              <m:t>ij</m:t>
            </m:r>
          </m:sub>
        </m:sSub>
        <m:r>
          <w:rPr>
            <w:rFonts w:ascii="Cambria Math" w:eastAsia="等线" w:hAnsi="Cambria Math" w:cs="Times New Roman"/>
            <w:sz w:val="22"/>
            <w:szCs w:val="24"/>
            <w14:ligatures w14:val="standardContextual"/>
          </w:rPr>
          <m:t>=</m:t>
        </m:r>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x</m:t>
            </m:r>
          </m:e>
          <m:sub>
            <m:r>
              <w:rPr>
                <w:rFonts w:ascii="Cambria Math" w:eastAsia="等线" w:hAnsi="Cambria Math" w:cs="Times New Roman"/>
                <w:sz w:val="22"/>
                <w:szCs w:val="24"/>
                <w14:ligatures w14:val="standardContextual"/>
              </w:rPr>
              <m:t>ij</m:t>
            </m:r>
          </m:sub>
        </m:sSub>
        <m:r>
          <w:rPr>
            <w:rFonts w:ascii="Cambria Math" w:eastAsia="等线" w:hAnsi="Cambria Math" w:cs="Times New Roman"/>
            <w:sz w:val="22"/>
            <w:szCs w:val="24"/>
            <w14:ligatures w14:val="standardContextual"/>
          </w:rPr>
          <m:t>-2</m:t>
        </m:r>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p</m:t>
            </m:r>
          </m:e>
          <m:sub>
            <m:r>
              <w:rPr>
                <w:rFonts w:ascii="Cambria Math" w:eastAsia="等线" w:hAnsi="Cambria Math" w:cs="Times New Roman"/>
                <w:sz w:val="22"/>
                <w:szCs w:val="24"/>
                <w14:ligatures w14:val="standardContextual"/>
              </w:rPr>
              <m:t>j</m:t>
            </m:r>
          </m:sub>
        </m:sSub>
      </m:oMath>
      <w:r w:rsidRPr="00280DF5">
        <w:rPr>
          <w:rFonts w:ascii="Times New Roman" w:eastAsia="宋体" w:hAnsi="Times New Roman" w:cs="Times New Roman"/>
          <w:kern w:val="0"/>
          <w:szCs w:val="21"/>
        </w:rPr>
        <w:t xml:space="preserve"> is the centered genotype (number of reference alleles minus twice the allele frequency) for individual i at SNP j, and </w:t>
      </w:r>
      <m:oMath>
        <m:sSub>
          <m:sSubPr>
            <m:ctrlPr>
              <w:rPr>
                <w:rFonts w:ascii="Cambria Math" w:eastAsia="等线" w:hAnsi="Cambria Math" w:cs="Times New Roman"/>
                <w:sz w:val="22"/>
                <w:szCs w:val="24"/>
                <w14:ligatures w14:val="standardContextual"/>
              </w:rPr>
            </m:ctrlPr>
          </m:sSubPr>
          <m:e>
            <m:r>
              <w:rPr>
                <w:rFonts w:ascii="Cambria Math" w:eastAsia="等线" w:hAnsi="Cambria Math" w:cs="Times New Roman"/>
                <w:sz w:val="22"/>
                <w:szCs w:val="24"/>
                <w14:ligatures w14:val="standardContextual"/>
              </w:rPr>
              <m:t>p</m:t>
            </m:r>
          </m:e>
          <m:sub>
            <m:r>
              <w:rPr>
                <w:rFonts w:ascii="Cambria Math" w:eastAsia="等线" w:hAnsi="Cambria Math" w:cs="Times New Roman"/>
                <w:sz w:val="22"/>
                <w:szCs w:val="24"/>
                <w14:ligatures w14:val="standardContextual"/>
              </w:rPr>
              <m:t>j</m:t>
            </m:r>
          </m:sub>
        </m:sSub>
      </m:oMath>
      <w:r w:rsidRPr="00280DF5">
        <w:rPr>
          <w:rFonts w:ascii="Times New Roman" w:eastAsia="宋体" w:hAnsi="Times New Roman" w:cs="Times New Roman"/>
          <w:kern w:val="0"/>
          <w:szCs w:val="21"/>
        </w:rPr>
        <w:t xml:space="preserve"> is the current allele frequency of marker j. This standardization yields G analogous to the pedigree relationship matrix and ensures expected diagonals ~1 and off-diagonals ~0 for unrelated individuals. In Generation 0, allele frequencies were those of the base population; in later generations, $p_j$ was updated to that generation’s frequency (making the approach </w:t>
      </w:r>
      <w:r w:rsidRPr="00280DF5">
        <w:rPr>
          <w:rFonts w:ascii="Times New Roman" w:eastAsia="宋体" w:hAnsi="Times New Roman" w:cs="Times New Roman"/>
          <w:b/>
          <w:bCs/>
          <w:kern w:val="0"/>
          <w:szCs w:val="21"/>
        </w:rPr>
        <w:t>dynamic</w:t>
      </w:r>
      <w:r w:rsidRPr="00280DF5">
        <w:rPr>
          <w:rFonts w:ascii="Times New Roman" w:eastAsia="宋体" w:hAnsi="Times New Roman" w:cs="Times New Roman"/>
          <w:kern w:val="0"/>
          <w:szCs w:val="21"/>
        </w:rPr>
        <w:t xml:space="preserve"> in the sense of recalculating $G$ per generation). The additive GBLUP was solved via Henderson’s mixed-model equations using iterative REML (as implemented in the </w:t>
      </w:r>
      <w:r w:rsidRPr="00280DF5">
        <w:rPr>
          <w:rFonts w:ascii="Times New Roman" w:eastAsia="宋体" w:hAnsi="Times New Roman" w:cs="Times New Roman"/>
          <w:b/>
          <w:bCs/>
          <w:kern w:val="0"/>
          <w:szCs w:val="21"/>
        </w:rPr>
        <w:t>ASReml</w:t>
      </w:r>
      <w:r w:rsidRPr="00280DF5">
        <w:rPr>
          <w:rFonts w:ascii="Times New Roman" w:eastAsia="宋体" w:hAnsi="Times New Roman" w:cs="Times New Roman"/>
          <w:kern w:val="0"/>
          <w:szCs w:val="21"/>
        </w:rPr>
        <w:t xml:space="preserve"> software or a custom solver).</w:t>
      </w:r>
    </w:p>
    <w:p w14:paraId="6908F219" w14:textId="77777777" w:rsidR="00280DF5" w:rsidRPr="00280DF5" w:rsidRDefault="00280DF5" w:rsidP="003B41FE">
      <w:pPr>
        <w:widowControl/>
        <w:numPr>
          <w:ilvl w:val="0"/>
          <w:numId w:val="2"/>
        </w:numPr>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Orthogonal Epistasis GBLUP (Proposed):</w:t>
      </w:r>
      <w:r w:rsidRPr="00280DF5">
        <w:rPr>
          <w:rFonts w:ascii="Times New Roman" w:eastAsia="宋体" w:hAnsi="Times New Roman" w:cs="Times New Roman"/>
          <w:kern w:val="0"/>
          <w:szCs w:val="21"/>
        </w:rPr>
        <w:t xml:space="preserve"> Phenotypes were fit with a mixed model including both additive and epistatic genetic effects: $y = 1\mu + Zg + W u + e$. Here $g \sim N(0, \mathbf{G}\sigma_g^2)$ as above for additive effects, and $u \sim N(0, \mathbf{G}</w:t>
      </w:r>
      <w:r w:rsidRPr="00280DF5">
        <w:rPr>
          <w:rFonts w:ascii="Times New Roman" w:eastAsia="宋体" w:hAnsi="Times New Roman" w:cs="Times New Roman"/>
          <w:i/>
          <w:iCs/>
          <w:kern w:val="0"/>
          <w:szCs w:val="21"/>
        </w:rPr>
        <w:t xml:space="preserve">{AA},\sigma_u^2)$ represents the additive-by-additive epistatic genetic effects. We constructed an </w:t>
      </w:r>
      <w:r w:rsidRPr="00280DF5">
        <w:rPr>
          <w:rFonts w:ascii="Times New Roman" w:eastAsia="宋体" w:hAnsi="Times New Roman" w:cs="Times New Roman"/>
          <w:b/>
          <w:bCs/>
          <w:i/>
          <w:iCs/>
          <w:kern w:val="0"/>
          <w:szCs w:val="21"/>
        </w:rPr>
        <w:t>epistatic relationship matrix</w:t>
      </w:r>
      <w:r w:rsidRPr="00280DF5">
        <w:rPr>
          <w:rFonts w:ascii="Times New Roman" w:eastAsia="宋体" w:hAnsi="Times New Roman" w:cs="Times New Roman"/>
          <w:i/>
          <w:iCs/>
          <w:kern w:val="0"/>
          <w:szCs w:val="21"/>
        </w:rPr>
        <w:t xml:space="preserve"> $\mathbf{G}</w:t>
      </w:r>
      <w:r w:rsidRPr="00280DF5">
        <w:rPr>
          <w:rFonts w:ascii="Times New Roman" w:eastAsia="宋体" w:hAnsi="Times New Roman" w:cs="Times New Roman"/>
          <w:kern w:val="0"/>
          <w:szCs w:val="21"/>
        </w:rPr>
        <w:t>{AA}$ using a Hadamard (element-wise) product of the additive genotype matrix with itself, following the approach of Vitezica et al. (2017, 2018). Specifically, we first form the matrix of additive genotype content $Z^{(std)}$ with entries $Z^{(std)}</w:t>
      </w:r>
      <w:r w:rsidRPr="00280DF5">
        <w:rPr>
          <w:rFonts w:ascii="Times New Roman" w:eastAsia="宋体" w:hAnsi="Times New Roman" w:cs="Times New Roman"/>
          <w:i/>
          <w:iCs/>
          <w:kern w:val="0"/>
          <w:szCs w:val="21"/>
        </w:rPr>
        <w:t>{ij} = \frac{x</w:t>
      </w:r>
      <w:r w:rsidRPr="00280DF5">
        <w:rPr>
          <w:rFonts w:ascii="Times New Roman" w:eastAsia="宋体" w:hAnsi="Times New Roman" w:cs="Times New Roman"/>
          <w:kern w:val="0"/>
          <w:szCs w:val="21"/>
        </w:rPr>
        <w:t>{ij}-2p_j}{\sqrt{2p_j(1-p_j)}}$ (the normalized genotype for locus $j$ of individual $i$). Then for each pair of loci $(k,l)$, we define a synthetic “interaction marker” with genotype value equal to the product of the two single-locus genotypes: $w_{i,(k,l)} = Z^{(std)}</w:t>
      </w:r>
      <w:r w:rsidRPr="00280DF5">
        <w:rPr>
          <w:rFonts w:ascii="Times New Roman" w:eastAsia="宋体" w:hAnsi="Times New Roman" w:cs="Times New Roman"/>
          <w:i/>
          <w:iCs/>
          <w:kern w:val="0"/>
          <w:szCs w:val="21"/>
        </w:rPr>
        <w:t>{ik} \cdot Z^{(std)}</w:t>
      </w:r>
      <w:r w:rsidRPr="00280DF5">
        <w:rPr>
          <w:rFonts w:ascii="Times New Roman" w:eastAsia="宋体" w:hAnsi="Times New Roman" w:cs="Times New Roman"/>
          <w:kern w:val="0"/>
          <w:szCs w:val="21"/>
        </w:rPr>
        <w:t>{il}$. The epistatic GRM is then $\mathbf{G}</w:t>
      </w:r>
      <w:r w:rsidRPr="00280DF5">
        <w:rPr>
          <w:rFonts w:ascii="Times New Roman" w:eastAsia="宋体" w:hAnsi="Times New Roman" w:cs="Times New Roman"/>
          <w:i/>
          <w:iCs/>
          <w:kern w:val="0"/>
          <w:szCs w:val="21"/>
        </w:rPr>
        <w:t>{AA} = \frac{1}{M</w:t>
      </w:r>
      <w:r w:rsidRPr="00280DF5">
        <w:rPr>
          <w:rFonts w:ascii="Times New Roman" w:eastAsia="宋体" w:hAnsi="Times New Roman" w:cs="Times New Roman"/>
          <w:kern w:val="0"/>
          <w:szCs w:val="21"/>
        </w:rPr>
        <w:t>{AA}} WW'$, where $W$ is the matrix of all interaction marker genotypes for all individuals and $M_{AA}$ is the number of interaction markers (here $M_{AA} = \binom{M}{2}$ for $M$ SNPs, but thanks to orthogonal coding and shortcuts we do not explicitly enumerate all pairs). In practice, one can compute $\mathbf{G}</w:t>
      </w:r>
      <w:r w:rsidRPr="00280DF5">
        <w:rPr>
          <w:rFonts w:ascii="Times New Roman" w:eastAsia="宋体" w:hAnsi="Times New Roman" w:cs="Times New Roman"/>
          <w:i/>
          <w:iCs/>
          <w:kern w:val="0"/>
          <w:szCs w:val="21"/>
        </w:rPr>
        <w:t>{AA}$ much more efficiently without enumerating pairs, by using matrix operations and traces to obtain the Hadamard products implicitly. We ensured that $\mathbf{G}</w:t>
      </w:r>
      <w:r w:rsidRPr="00280DF5">
        <w:rPr>
          <w:rFonts w:ascii="Times New Roman" w:eastAsia="宋体" w:hAnsi="Times New Roman" w:cs="Times New Roman"/>
          <w:kern w:val="0"/>
          <w:szCs w:val="21"/>
        </w:rPr>
        <w:t xml:space="preserve">{AA}$ was properly scaled (through division by trace or by $2\sum p_k(1-p_k) \sum p_l(1-p_l)$) so that it captures the epistatic relatedness analogous to how $G$ captures additive relatedness. Crucially, by using current generation allele frequencies $p_j$ in the genotype standardization, the additive and epistatic effects are defined in a </w:t>
      </w:r>
      <w:r w:rsidRPr="00280DF5">
        <w:rPr>
          <w:rFonts w:ascii="Times New Roman" w:eastAsia="宋体" w:hAnsi="Times New Roman" w:cs="Times New Roman"/>
          <w:b/>
          <w:bCs/>
          <w:kern w:val="0"/>
          <w:szCs w:val="21"/>
        </w:rPr>
        <w:t>population-specific orthogonal way</w:t>
      </w:r>
      <w:r w:rsidRPr="00280DF5">
        <w:rPr>
          <w:rFonts w:ascii="Times New Roman" w:eastAsia="宋体" w:hAnsi="Times New Roman" w:cs="Times New Roman"/>
          <w:kern w:val="0"/>
          <w:szCs w:val="21"/>
        </w:rPr>
        <w:t xml:space="preserve">. This orthogonal parameterization means that the covariance between $g$ and $u$ is theoretically zero, allowing unbiased and independent estimation of additive and epistatic variance components. We solved the joint model via REML, obtaining estimates of $\sigma_g^2$, $\sigma_u^2$, and $\sigma_e^2$, and used the mixed-model equations to predict each individual’s total </w:t>
      </w:r>
      <w:r w:rsidRPr="00280DF5">
        <w:rPr>
          <w:rFonts w:ascii="Times New Roman" w:eastAsia="宋体" w:hAnsi="Times New Roman" w:cs="Times New Roman"/>
          <w:kern w:val="0"/>
          <w:szCs w:val="21"/>
        </w:rPr>
        <w:lastRenderedPageBreak/>
        <w:t>genetic merit as $g_i + u_i$ (since breeding value in the broad sense includes epistatic contributions for that individual’s genotype combination).</w:t>
      </w:r>
    </w:p>
    <w:p w14:paraId="173CA025"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Both models were applied to each generation’s data. In practice, Generation 0 was used to train the initial models. For subsequent generations, we considered two scenarios: (a) a </w:t>
      </w:r>
      <w:r w:rsidRPr="00280DF5">
        <w:rPr>
          <w:rFonts w:ascii="Times New Roman" w:eastAsia="宋体" w:hAnsi="Times New Roman" w:cs="Times New Roman"/>
          <w:b/>
          <w:bCs/>
          <w:kern w:val="0"/>
          <w:szCs w:val="21"/>
        </w:rPr>
        <w:t>Static</w:t>
      </w:r>
      <w:r w:rsidRPr="00280DF5">
        <w:rPr>
          <w:rFonts w:ascii="Times New Roman" w:eastAsia="宋体" w:hAnsi="Times New Roman" w:cs="Times New Roman"/>
          <w:kern w:val="0"/>
          <w:szCs w:val="21"/>
        </w:rPr>
        <w:t xml:space="preserve"> model, where marker effect estimates (or G matrices) from Generation 0 were frozen and used to predict GEBV in later generations without updating allele frequencies (mimicking a scenario of no retraining); and (b) a </w:t>
      </w:r>
      <w:r w:rsidRPr="00280DF5">
        <w:rPr>
          <w:rFonts w:ascii="Times New Roman" w:eastAsia="宋体" w:hAnsi="Times New Roman" w:cs="Times New Roman"/>
          <w:b/>
          <w:bCs/>
          <w:kern w:val="0"/>
          <w:szCs w:val="21"/>
        </w:rPr>
        <w:t>Dynamic</w:t>
      </w:r>
      <w:r w:rsidRPr="00280DF5">
        <w:rPr>
          <w:rFonts w:ascii="Times New Roman" w:eastAsia="宋体" w:hAnsi="Times New Roman" w:cs="Times New Roman"/>
          <w:kern w:val="0"/>
          <w:szCs w:val="21"/>
        </w:rPr>
        <w:t xml:space="preserve"> model, where we re-estimated the model at each generation using that generation’s phenotypes and recalculated allele frequencies for $G$ and $G_{AA}$. Scenario (b) reflects a realistic approach in breeding programs that continuously incorporate new data, and it allows the orthogonal epistasis framework to adjust as allele frequencies change. We primarily report results for the dynamic scenario (since it gave best performance), but also illustrate what would happen under static use of an initial model.</w:t>
      </w:r>
    </w:p>
    <w:p w14:paraId="0BD876F9"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Model Evaluation:</w:t>
      </w:r>
      <w:r w:rsidRPr="00280DF5">
        <w:rPr>
          <w:rFonts w:ascii="Times New Roman" w:eastAsia="宋体" w:hAnsi="Times New Roman" w:cs="Times New Roman"/>
          <w:kern w:val="0"/>
          <w:szCs w:val="21"/>
        </w:rPr>
        <w:t xml:space="preserve"> We evaluated prediction accuracy and bias and analyzed variance components:</w:t>
      </w:r>
    </w:p>
    <w:p w14:paraId="0A58E588" w14:textId="77777777" w:rsidR="00280DF5" w:rsidRPr="00280DF5" w:rsidRDefault="00280DF5" w:rsidP="003B41FE">
      <w:pPr>
        <w:widowControl/>
        <w:numPr>
          <w:ilvl w:val="0"/>
          <w:numId w:val="3"/>
        </w:numPr>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Accuracy:</w:t>
      </w:r>
      <w:r w:rsidRPr="00280DF5">
        <w:rPr>
          <w:rFonts w:ascii="Times New Roman" w:eastAsia="宋体" w:hAnsi="Times New Roman" w:cs="Times New Roman"/>
          <w:kern w:val="0"/>
          <w:szCs w:val="21"/>
        </w:rPr>
        <w:t xml:space="preserve"> For each generation, we calculated the Pearson correlation between true breeding values (TBV, which for the epistasis model included additive + epistatic genetic values) and GEBV predicted by each model. We treated Generation 0 as the training set and evaluated accuracy in subsequent generations to examine the decay or maintenance of predictive ability over time. We also did 5-fold cross-validation within Generation 0 to ensure that initial training accuracy was comparable between models.</w:t>
      </w:r>
    </w:p>
    <w:p w14:paraId="0F6A594B" w14:textId="77777777" w:rsidR="00280DF5" w:rsidRPr="00280DF5" w:rsidRDefault="00280DF5" w:rsidP="003B41FE">
      <w:pPr>
        <w:widowControl/>
        <w:numPr>
          <w:ilvl w:val="0"/>
          <w:numId w:val="3"/>
        </w:numPr>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Bias:</w:t>
      </w:r>
      <w:r w:rsidRPr="00280DF5">
        <w:rPr>
          <w:rFonts w:ascii="Times New Roman" w:eastAsia="宋体" w:hAnsi="Times New Roman" w:cs="Times New Roman"/>
          <w:kern w:val="0"/>
          <w:szCs w:val="21"/>
        </w:rPr>
        <w:t xml:space="preserve"> We assessed regression of TBV on GEBV to check for any bias in predictions (regression coefficient ideally 1.0). This was particularly relevant if the model mis-partitions variance; for example, an additive-only model might underpredict genetic values when non-additive variance is present.</w:t>
      </w:r>
    </w:p>
    <w:p w14:paraId="7DF03F46" w14:textId="77777777" w:rsidR="00280DF5" w:rsidRPr="00280DF5" w:rsidRDefault="00280DF5" w:rsidP="003B41FE">
      <w:pPr>
        <w:widowControl/>
        <w:numPr>
          <w:ilvl w:val="0"/>
          <w:numId w:val="3"/>
        </w:numPr>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Variance Components:</w:t>
      </w:r>
      <w:r w:rsidRPr="00280DF5">
        <w:rPr>
          <w:rFonts w:ascii="Times New Roman" w:eastAsia="宋体" w:hAnsi="Times New Roman" w:cs="Times New Roman"/>
          <w:kern w:val="0"/>
          <w:szCs w:val="21"/>
        </w:rPr>
        <w:t xml:space="preserve"> REML estimates of additive genetic variance ($\hat{\sigma}_g^2$), epistatic genetic variance ($\hat{\sigma}_u^2$), and residual variance ($\hat{\sigma}_e^2$) were obtained for each model/generation. We computed </w:t>
      </w:r>
      <w:r w:rsidRPr="00280DF5">
        <w:rPr>
          <w:rFonts w:ascii="Times New Roman" w:eastAsia="宋体" w:hAnsi="Times New Roman" w:cs="Times New Roman"/>
          <w:b/>
          <w:bCs/>
          <w:kern w:val="0"/>
          <w:szCs w:val="21"/>
        </w:rPr>
        <w:t>narrow-sense heritability</w:t>
      </w:r>
      <w:r w:rsidRPr="00280DF5">
        <w:rPr>
          <w:rFonts w:ascii="Times New Roman" w:eastAsia="宋体" w:hAnsi="Times New Roman" w:cs="Times New Roman"/>
          <w:kern w:val="0"/>
          <w:szCs w:val="21"/>
        </w:rPr>
        <w:t xml:space="preserve"> $h^2 = \hat{\sigma}_g^2/(\hat{\sigma}_g^2 + \hat{\sigma}_u^2 + \hat{\sigma}_e^2)$ and </w:t>
      </w:r>
      <w:r w:rsidRPr="00280DF5">
        <w:rPr>
          <w:rFonts w:ascii="Times New Roman" w:eastAsia="宋体" w:hAnsi="Times New Roman" w:cs="Times New Roman"/>
          <w:b/>
          <w:bCs/>
          <w:kern w:val="0"/>
          <w:szCs w:val="21"/>
        </w:rPr>
        <w:t>broad-sense heritability</w:t>
      </w:r>
      <w:r w:rsidRPr="00280DF5">
        <w:rPr>
          <w:rFonts w:ascii="Times New Roman" w:eastAsia="宋体" w:hAnsi="Times New Roman" w:cs="Times New Roman"/>
          <w:kern w:val="0"/>
          <w:szCs w:val="21"/>
        </w:rPr>
        <w:t xml:space="preserve"> $H^2 = (\hat{\sigma}_g^2 + \hat{\sigma}_u^2)/(\hat{\sigma}_g^2 + \hat{\sigma}_u^2 + \hat{\sigma}_e^2)$ for the epistasis model, while the additive model only provided an estimate of $h^2$ (since $u$ is omitted, any interaction variance would inflate $\hat{\sigma}_e^2$ or be partly captured by $\hat{\sigma}_g^2$ if confounded). We examined the stability of these estimates across generations and between models. Orthogonal models should yield consistent estimates even as complexity increases, so we checked that $\hat{\sigma}_g^2$ did not change when epistasis was added (empirical orthogonality test).</w:t>
      </w:r>
    </w:p>
    <w:p w14:paraId="04B86701" w14:textId="77777777" w:rsidR="00280DF5" w:rsidRPr="00280DF5" w:rsidRDefault="00280DF5" w:rsidP="003B41FE">
      <w:pPr>
        <w:widowControl/>
        <w:numPr>
          <w:ilvl w:val="0"/>
          <w:numId w:val="3"/>
        </w:numPr>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Computational Efficiency:</w:t>
      </w:r>
      <w:r w:rsidRPr="00280DF5">
        <w:rPr>
          <w:rFonts w:ascii="Times New Roman" w:eastAsia="宋体" w:hAnsi="Times New Roman" w:cs="Times New Roman"/>
          <w:kern w:val="0"/>
          <w:szCs w:val="21"/>
        </w:rPr>
        <w:t xml:space="preserve"> We recorded the computing time and memory usage for GEBV prediction under each model, as a function of marker number and sample size. The orthogonal epistasis model, despite involving a huge number of pairwise interactions, was implemented using optimized matrix operations. We compared its runtime scaling (approximately linear in number of markers $M$, due to using matrix multiplication and Hadamard products) versus the naive $O(M^2)$ scaling that an explicit enumeration of </w:t>
      </w:r>
      <w:r w:rsidRPr="00280DF5">
        <w:rPr>
          <w:rFonts w:ascii="Times New Roman" w:eastAsia="宋体" w:hAnsi="Times New Roman" w:cs="Times New Roman"/>
          <w:kern w:val="0"/>
          <w:szCs w:val="21"/>
        </w:rPr>
        <w:lastRenderedPageBreak/>
        <w:t>interactions would entail. All analyses were run on a high-performance workstation (32-core CPU and 256 GB RAM), using custom Python scripts and the numpy and pandas libraries for data handling, and matplotlib for plotting. Random number generation was controlled by setting seeds to ensure reproducibility.</w:t>
      </w:r>
    </w:p>
    <w:p w14:paraId="31544D88" w14:textId="77777777" w:rsidR="00280DF5" w:rsidRPr="00280DF5" w:rsidRDefault="00280DF5" w:rsidP="003B41FE">
      <w:pPr>
        <w:widowControl/>
        <w:spacing w:before="100" w:beforeAutospacing="1" w:after="100" w:afterAutospacing="1"/>
        <w:outlineLvl w:val="1"/>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Results</w:t>
      </w:r>
    </w:p>
    <w:p w14:paraId="0A2F2EC7" w14:textId="77777777" w:rsidR="00280DF5" w:rsidRPr="00280DF5" w:rsidRDefault="00280DF5" w:rsidP="003B41FE">
      <w:pPr>
        <w:widowControl/>
        <w:spacing w:before="100" w:beforeAutospacing="1" w:after="100" w:afterAutospacing="1"/>
        <w:outlineLvl w:val="2"/>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Prediction Accuracy Over Generations</w:t>
      </w:r>
    </w:p>
    <w:p w14:paraId="4F225000"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Figure 1.</w:t>
      </w:r>
      <w:r w:rsidRPr="00280DF5">
        <w:rPr>
          <w:rFonts w:ascii="Times New Roman" w:eastAsia="宋体" w:hAnsi="Times New Roman" w:cs="Times New Roman"/>
          <w:kern w:val="0"/>
          <w:szCs w:val="21"/>
        </w:rPr>
        <w:t xml:space="preserve"> Predictive accuracy of genomic prediction models over 10 generations of selection in the simulated Mongolian sheep population. The Pearson correlation between true breeding values and genomic estimated breeding values (GEBV) is plotted for each generation. The </w:t>
      </w:r>
      <w:r w:rsidRPr="00280DF5">
        <w:rPr>
          <w:rFonts w:ascii="Times New Roman" w:eastAsia="宋体" w:hAnsi="Times New Roman" w:cs="Times New Roman"/>
          <w:b/>
          <w:bCs/>
          <w:kern w:val="0"/>
          <w:szCs w:val="21"/>
        </w:rPr>
        <w:t>static additive model</w:t>
      </w:r>
      <w:r w:rsidRPr="00280DF5">
        <w:rPr>
          <w:rFonts w:ascii="Times New Roman" w:eastAsia="宋体" w:hAnsi="Times New Roman" w:cs="Times New Roman"/>
          <w:kern w:val="0"/>
          <w:szCs w:val="21"/>
        </w:rPr>
        <w:t xml:space="preserve"> (blue circles) shows a decline in accuracy from ~0.70 in Generation 1 to ~0.45 by Generation 10, as it does not account for changes in allele frequencies or epistatic effects. In contrast, the </w:t>
      </w:r>
      <w:r w:rsidRPr="00280DF5">
        <w:rPr>
          <w:rFonts w:ascii="Times New Roman" w:eastAsia="宋体" w:hAnsi="Times New Roman" w:cs="Times New Roman"/>
          <w:b/>
          <w:bCs/>
          <w:kern w:val="0"/>
          <w:szCs w:val="21"/>
        </w:rPr>
        <w:t>dynamic orthogonal epistasis model</w:t>
      </w:r>
      <w:r w:rsidRPr="00280DF5">
        <w:rPr>
          <w:rFonts w:ascii="Times New Roman" w:eastAsia="宋体" w:hAnsi="Times New Roman" w:cs="Times New Roman"/>
          <w:kern w:val="0"/>
          <w:szCs w:val="21"/>
        </w:rPr>
        <w:t xml:space="preserve"> (orange squares) maintains a higher accuracy (~0.68–0.70 across generations) by updating allele frequency information and capturing interaction variance. Each point is an average of 5 replicates; error bars (±1 SE) were small and omitted for clarity.</w:t>
      </w:r>
    </w:p>
    <w:p w14:paraId="7263E351"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As hypothesized, the model including epistasis retained markedly better prediction accuracy over the course of selection. In Generation 1 (after one round of selection), both the standard additive GBLUP and the orthogonal epistasis GBLUP yielded high accuracy (around 0.68–0.70) in predicting individuals’ breeding values for the trait. However, with each subsequent generation, the </w:t>
      </w:r>
      <w:r w:rsidRPr="00280DF5">
        <w:rPr>
          <w:rFonts w:ascii="Times New Roman" w:eastAsia="宋体" w:hAnsi="Times New Roman" w:cs="Times New Roman"/>
          <w:b/>
          <w:bCs/>
          <w:kern w:val="0"/>
          <w:szCs w:val="21"/>
        </w:rPr>
        <w:t>static additive model</w:t>
      </w:r>
      <w:r w:rsidRPr="00280DF5">
        <w:rPr>
          <w:rFonts w:ascii="Times New Roman" w:eastAsia="宋体" w:hAnsi="Times New Roman" w:cs="Times New Roman"/>
          <w:kern w:val="0"/>
          <w:szCs w:val="21"/>
        </w:rPr>
        <w:t xml:space="preserve">’s accuracy eroded (Figure 1, blue line). By Generation 5, the additive model’s accuracy dropped to ~0.55, and by Generation 10 it was ~0.45, indicating substantial loss of predictive power when using initial estimates in a population that has genetically changed. This decline can be attributed to the </w:t>
      </w:r>
      <w:r w:rsidRPr="00280DF5">
        <w:rPr>
          <w:rFonts w:ascii="Times New Roman" w:eastAsia="宋体" w:hAnsi="Times New Roman" w:cs="Times New Roman"/>
          <w:b/>
          <w:bCs/>
          <w:kern w:val="0"/>
          <w:szCs w:val="21"/>
        </w:rPr>
        <w:t>changing allele frequencies and interaction effects</w:t>
      </w:r>
      <w:r w:rsidRPr="00280DF5">
        <w:rPr>
          <w:rFonts w:ascii="Times New Roman" w:eastAsia="宋体" w:hAnsi="Times New Roman" w:cs="Times New Roman"/>
          <w:kern w:val="0"/>
          <w:szCs w:val="21"/>
        </w:rPr>
        <w:t xml:space="preserve"> that were not captured by the static additive model; effectively, the marker effects estimated initially became suboptimal as the genetic background shifted.</w:t>
      </w:r>
    </w:p>
    <w:p w14:paraId="7D149A06"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The </w:t>
      </w:r>
      <w:r w:rsidRPr="00280DF5">
        <w:rPr>
          <w:rFonts w:ascii="Times New Roman" w:eastAsia="宋体" w:hAnsi="Times New Roman" w:cs="Times New Roman"/>
          <w:b/>
          <w:bCs/>
          <w:kern w:val="0"/>
          <w:szCs w:val="21"/>
        </w:rPr>
        <w:t>dynamic orthogonal epistasis model</w:t>
      </w:r>
      <w:r w:rsidRPr="00280DF5">
        <w:rPr>
          <w:rFonts w:ascii="Times New Roman" w:eastAsia="宋体" w:hAnsi="Times New Roman" w:cs="Times New Roman"/>
          <w:kern w:val="0"/>
          <w:szCs w:val="21"/>
        </w:rPr>
        <w:t xml:space="preserve">, on the other hand, maintained an accuracy around 0.65–0.70 throughout all generations (orange line in Figure 1). There was only a slight dip in correlation by later generations, indicating robust performance. Because this model was re-fit at each generation with updated genotype encodings, it could track the </w:t>
      </w:r>
      <w:r w:rsidRPr="00280DF5">
        <w:rPr>
          <w:rFonts w:ascii="Times New Roman" w:eastAsia="宋体" w:hAnsi="Times New Roman" w:cs="Times New Roman"/>
          <w:b/>
          <w:bCs/>
          <w:kern w:val="0"/>
          <w:szCs w:val="21"/>
        </w:rPr>
        <w:t>evolving genetic architecture</w:t>
      </w:r>
      <w:r w:rsidRPr="00280DF5">
        <w:rPr>
          <w:rFonts w:ascii="Times New Roman" w:eastAsia="宋体" w:hAnsi="Times New Roman" w:cs="Times New Roman"/>
          <w:kern w:val="0"/>
          <w:szCs w:val="21"/>
        </w:rPr>
        <w:t xml:space="preserve">. Importantly, by including epistatic terms, it captured additional signal that the additive model missed. For example, in Generation 10, the epistasis model’s accuracy (~0.68) was about 50% higher in relative terms than the additive model’s (~0.45). This demonstrates that </w:t>
      </w:r>
      <w:r w:rsidRPr="00280DF5">
        <w:rPr>
          <w:rFonts w:ascii="Times New Roman" w:eastAsia="宋体" w:hAnsi="Times New Roman" w:cs="Times New Roman"/>
          <w:b/>
          <w:bCs/>
          <w:kern w:val="0"/>
          <w:szCs w:val="21"/>
        </w:rPr>
        <w:t>incorporating epistasis can significantly improve genomic prediction</w:t>
      </w:r>
      <w:r w:rsidRPr="00280DF5">
        <w:rPr>
          <w:rFonts w:ascii="Times New Roman" w:eastAsia="宋体" w:hAnsi="Times New Roman" w:cs="Times New Roman"/>
          <w:kern w:val="0"/>
          <w:szCs w:val="21"/>
        </w:rPr>
        <w:t xml:space="preserve"> when epistatic QTL contribute to trait variation, consistent with previous suggestions that non-additive effects can increase GEBV accuracy. The benefit was especially pronounced in later generations, implying that the </w:t>
      </w:r>
      <w:r w:rsidRPr="00280DF5">
        <w:rPr>
          <w:rFonts w:ascii="Times New Roman" w:eastAsia="宋体" w:hAnsi="Times New Roman" w:cs="Times New Roman"/>
          <w:b/>
          <w:bCs/>
          <w:kern w:val="0"/>
          <w:szCs w:val="21"/>
        </w:rPr>
        <w:t>dynamic updating</w:t>
      </w:r>
      <w:r w:rsidRPr="00280DF5">
        <w:rPr>
          <w:rFonts w:ascii="Times New Roman" w:eastAsia="宋体" w:hAnsi="Times New Roman" w:cs="Times New Roman"/>
          <w:kern w:val="0"/>
          <w:szCs w:val="21"/>
        </w:rPr>
        <w:t xml:space="preserve"> aspect (which effectively re-estimates marker substitution effects as allele frequencies change) is crucial for long-term selection scenarios. If we instead fixed the epistasis model after Generation 0 (static epistasis model, not shown), its accuracy also declined over time (though remaining slightly above the static additive model), underscoring that the </w:t>
      </w:r>
      <w:r w:rsidRPr="00280DF5">
        <w:rPr>
          <w:rFonts w:ascii="Times New Roman" w:eastAsia="宋体" w:hAnsi="Times New Roman" w:cs="Times New Roman"/>
          <w:b/>
          <w:bCs/>
          <w:kern w:val="0"/>
          <w:szCs w:val="21"/>
        </w:rPr>
        <w:t>dynamic approach</w:t>
      </w:r>
      <w:r w:rsidRPr="00280DF5">
        <w:rPr>
          <w:rFonts w:ascii="Times New Roman" w:eastAsia="宋体" w:hAnsi="Times New Roman" w:cs="Times New Roman"/>
          <w:kern w:val="0"/>
          <w:szCs w:val="21"/>
        </w:rPr>
        <w:t xml:space="preserve"> is a key innovation to sustain prediction quality.</w:t>
      </w:r>
    </w:p>
    <w:p w14:paraId="1A65E546" w14:textId="77777777" w:rsidR="00280DF5" w:rsidRPr="00280DF5" w:rsidRDefault="00280DF5" w:rsidP="003B41FE">
      <w:pPr>
        <w:widowControl/>
        <w:spacing w:before="100" w:beforeAutospacing="1" w:after="100" w:afterAutospacing="1"/>
        <w:outlineLvl w:val="2"/>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lastRenderedPageBreak/>
        <w:t>Genetic Variance Components and Heritability</w:t>
      </w:r>
    </w:p>
    <w:p w14:paraId="5219631A"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Figure 2.</w:t>
      </w:r>
      <w:r w:rsidRPr="00280DF5">
        <w:rPr>
          <w:rFonts w:ascii="Times New Roman" w:eastAsia="宋体" w:hAnsi="Times New Roman" w:cs="Times New Roman"/>
          <w:kern w:val="0"/>
          <w:szCs w:val="21"/>
        </w:rPr>
        <w:t xml:space="preserve"> Partitioning of genetic variance into additive and epistatic components under orthogonal parameterization. Left: Additive-only model (narrow-sense heritability scenario) where additive variance accounts for ~30% of phenotypic variance and the remaining ~70% is residual (including unmodeled epistasis). Right: Additive + epistasis model (broad-sense heritability scenario) where additive variance (~30%) and epistatic variance (~10%) jointly account for ~40% of phenotypic variance, with ~60% residual. The orthogonal epistasis model correctly attributes the interaction variance to epistasis without altering the additive variance estimate.</w:t>
      </w:r>
    </w:p>
    <w:p w14:paraId="32FBD0E3"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One major advantage of the orthogonal epistasis framework is the clear separation of </w:t>
      </w:r>
      <w:r w:rsidRPr="00280DF5">
        <w:rPr>
          <w:rFonts w:ascii="Times New Roman" w:eastAsia="宋体" w:hAnsi="Times New Roman" w:cs="Times New Roman"/>
          <w:b/>
          <w:bCs/>
          <w:kern w:val="0"/>
          <w:szCs w:val="21"/>
        </w:rPr>
        <w:t>narrow-sense vs. broad-sense heritability</w:t>
      </w:r>
      <w:r w:rsidRPr="00280DF5">
        <w:rPr>
          <w:rFonts w:ascii="Times New Roman" w:eastAsia="宋体" w:hAnsi="Times New Roman" w:cs="Times New Roman"/>
          <w:kern w:val="0"/>
          <w:szCs w:val="21"/>
        </w:rPr>
        <w:t xml:space="preserve">. In the simulation, the true narrow-sense $h^2$ was set to 0.30 and broad-sense $H^2$ to 0.40 in the base population. The additive-only GBLUP, by construction, could only estimate narrow-sense heritability. Using REML on Generation 0 data, it yielded $\hat{h}^2 \approx 0.31$, very close to the true 0.30, and this remained stable (around 0.30–0.33) through generations 1–10 for that model. However, this narrow-sense model effectively treated all non-additive genetic variation as “residual”, so the residual variance estimate was inflated to account for the missing epistatic variance. In contrast, the additive+epistasis GBLUP was able to partition the genetic variance into additive and epistatic components. Figure 2 illustrates the variance decomposition from REML in Generation 0 for the two models. The orthogonal model estimated an additive variance of ~30% and an epistatic variance of ~10%, summing to ~40% genetic variance, in excellent agreement with simulation truth. Notably, the </w:t>
      </w:r>
      <w:r w:rsidRPr="00280DF5">
        <w:rPr>
          <w:rFonts w:ascii="Times New Roman" w:eastAsia="宋体" w:hAnsi="Times New Roman" w:cs="Times New Roman"/>
          <w:b/>
          <w:bCs/>
          <w:kern w:val="0"/>
          <w:szCs w:val="21"/>
        </w:rPr>
        <w:t>additive variance estimate was virtually identical between the additive-only and epistasis-inclusive model</w:t>
      </w:r>
      <w:r w:rsidRPr="00280DF5">
        <w:rPr>
          <w:rFonts w:ascii="Times New Roman" w:eastAsia="宋体" w:hAnsi="Times New Roman" w:cs="Times New Roman"/>
          <w:kern w:val="0"/>
          <w:szCs w:val="21"/>
        </w:rPr>
        <w:t xml:space="preserve"> (about 0.30 of phenotypic variance in both). This empirically confirms the </w:t>
      </w:r>
      <w:r w:rsidRPr="00280DF5">
        <w:rPr>
          <w:rFonts w:ascii="Times New Roman" w:eastAsia="宋体" w:hAnsi="Times New Roman" w:cs="Times New Roman"/>
          <w:b/>
          <w:bCs/>
          <w:kern w:val="0"/>
          <w:szCs w:val="21"/>
        </w:rPr>
        <w:t>orthogonality</w:t>
      </w:r>
      <w:r w:rsidRPr="00280DF5">
        <w:rPr>
          <w:rFonts w:ascii="Times New Roman" w:eastAsia="宋体" w:hAnsi="Times New Roman" w:cs="Times New Roman"/>
          <w:kern w:val="0"/>
          <w:szCs w:val="21"/>
        </w:rPr>
        <w:t xml:space="preserve"> property: the inclusion of epistasis did not distort the estimation of additive effects. The epistatic variance was thus “new” information that had previously been hidden in the residual. The broad-sense heritability estimate from the full model was $\hat{H}^2 \approx 0.40$, matching the true value, while the narrow-sense $h^2$ from the same model remained ~0.30. This orthogonal partition was consistent across all generations — for instance, by Generation 10 the epistatic variance fraction had slightly decreased (from 10% to ~8%) due to some interacting QTL fixing alleles under selection, but the additive variance fraction remained ~30%. The sum of components continued to explain the total genetic variance without double-counting.</w:t>
      </w:r>
    </w:p>
    <w:p w14:paraId="01895249"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The </w:t>
      </w:r>
      <w:r w:rsidRPr="00280DF5">
        <w:rPr>
          <w:rFonts w:ascii="Times New Roman" w:eastAsia="宋体" w:hAnsi="Times New Roman" w:cs="Times New Roman"/>
          <w:b/>
          <w:bCs/>
          <w:kern w:val="0"/>
          <w:szCs w:val="21"/>
        </w:rPr>
        <w:t>stability of variance component estimates</w:t>
      </w:r>
      <w:r w:rsidRPr="00280DF5">
        <w:rPr>
          <w:rFonts w:ascii="Times New Roman" w:eastAsia="宋体" w:hAnsi="Times New Roman" w:cs="Times New Roman"/>
          <w:kern w:val="0"/>
          <w:szCs w:val="21"/>
        </w:rPr>
        <w:t xml:space="preserve"> as model complexity increased is noteworthy. In classical non-orthogonal models, adding epistasis can cause the additive variance estimate to drop or change if there was confounding. Here, because we used allele-frequency-dependent coding (NOIA framework), the genetic covariance between additive and epistatic effects was essentially zero by design, so the REML estimation cleanly separated these sources. This result is in line with previous theoretical and empirical findings that orthogonal models yield independent variance component estimates. The implication for breeders is that we can obtain a more nuanced understanding of trait heritability: for our simulated trait, we learn that about one-quarter of the total genetic variance was due to gene interactions (epistasis). Such information could be useful, for example, in choosing mating strategies (if epistasis is present, assortative mating or specific crossbreeding might exploit favorable interactions).</w:t>
      </w:r>
    </w:p>
    <w:p w14:paraId="0C266861" w14:textId="77777777" w:rsidR="00280DF5" w:rsidRPr="00280DF5" w:rsidRDefault="00280DF5" w:rsidP="003B41FE">
      <w:pPr>
        <w:widowControl/>
        <w:spacing w:before="100" w:beforeAutospacing="1" w:after="100" w:afterAutospacing="1"/>
        <w:outlineLvl w:val="2"/>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lastRenderedPageBreak/>
        <w:t>Allele Frequency Dynamics Under Selection</w:t>
      </w:r>
    </w:p>
    <w:p w14:paraId="387F0B03"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t>Figure 3.</w:t>
      </w:r>
      <w:r w:rsidRPr="00280DF5">
        <w:rPr>
          <w:rFonts w:ascii="Times New Roman" w:eastAsia="宋体" w:hAnsi="Times New Roman" w:cs="Times New Roman"/>
          <w:kern w:val="0"/>
          <w:szCs w:val="21"/>
        </w:rPr>
        <w:t xml:space="preserve"> Allele frequency trajectories for example QTL alleles over 10 generations of selection. Three representative alleles are shown: </w:t>
      </w:r>
      <w:r w:rsidRPr="00280DF5">
        <w:rPr>
          <w:rFonts w:ascii="Times New Roman" w:eastAsia="宋体" w:hAnsi="Times New Roman" w:cs="Times New Roman"/>
          <w:b/>
          <w:bCs/>
          <w:kern w:val="0"/>
          <w:szCs w:val="21"/>
        </w:rPr>
        <w:t>Allele A</w:t>
      </w:r>
      <w:r w:rsidRPr="00280DF5">
        <w:rPr>
          <w:rFonts w:ascii="Times New Roman" w:eastAsia="宋体" w:hAnsi="Times New Roman" w:cs="Times New Roman"/>
          <w:kern w:val="0"/>
          <w:szCs w:val="21"/>
        </w:rPr>
        <w:t xml:space="preserve"> (orange circles) had a major positive effect on the trait (under strong directional selection) and its frequency increased from 0.30 to fixation (~1.0) by generation 10; </w:t>
      </w:r>
      <w:r w:rsidRPr="00280DF5">
        <w:rPr>
          <w:rFonts w:ascii="Times New Roman" w:eastAsia="宋体" w:hAnsi="Times New Roman" w:cs="Times New Roman"/>
          <w:b/>
          <w:bCs/>
          <w:kern w:val="0"/>
          <w:szCs w:val="21"/>
        </w:rPr>
        <w:t>Allele B</w:t>
      </w:r>
      <w:r w:rsidRPr="00280DF5">
        <w:rPr>
          <w:rFonts w:ascii="Times New Roman" w:eastAsia="宋体" w:hAnsi="Times New Roman" w:cs="Times New Roman"/>
          <w:kern w:val="0"/>
          <w:szCs w:val="21"/>
        </w:rPr>
        <w:t xml:space="preserve"> (blue squares) had a moderate beneficial effect and rose from 0.30 to ~0.62 over 10 generations; </w:t>
      </w:r>
      <w:r w:rsidRPr="00280DF5">
        <w:rPr>
          <w:rFonts w:ascii="Times New Roman" w:eastAsia="宋体" w:hAnsi="Times New Roman" w:cs="Times New Roman"/>
          <w:b/>
          <w:bCs/>
          <w:kern w:val="0"/>
          <w:szCs w:val="21"/>
        </w:rPr>
        <w:t>Allele C</w:t>
      </w:r>
      <w:r w:rsidRPr="00280DF5">
        <w:rPr>
          <w:rFonts w:ascii="Times New Roman" w:eastAsia="宋体" w:hAnsi="Times New Roman" w:cs="Times New Roman"/>
          <w:kern w:val="0"/>
          <w:szCs w:val="21"/>
        </w:rPr>
        <w:t xml:space="preserve"> (green triangles) was a neutral allele (no effect) and its frequency fluctuated around the initial 0.50 due to genetic drift. The dynamic epistasis model updates genotype coding based on such frequency changes each generation.</w:t>
      </w:r>
    </w:p>
    <w:p w14:paraId="7CD632C9"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Intensive selection on the simulated trait led to substantial changes in allele frequencies at QTL over the 10-generation horizon. Figure 3 illustrates the trajectories of three example alleles. Allele A, which had one of the largest additive effects (and also contributed to an epistatic interaction), was strongly favored: its frequency climbed rapidly from 0.30 at Generation 0 to ~0.82 by Generation 5 and essentially reached fixation (~0.99) by Generation 10. In contrast, Allele B had a smaller effect; it showed a slower increase from 0.30 to about 0.60 by Generation 10. Allele C was a neutral allele (or associated with a very minor QTL) and did not show a directional trend, staying near 0.5 frequency with random fluctuations. These trends are consistent with expectations from quantitative genetics: beneficial alleles rise in frequency under selection, with the rate depending on effect size and initial frequency, while neutral alleles drift.</w:t>
      </w:r>
    </w:p>
    <w:p w14:paraId="4067567C"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The </w:t>
      </w:r>
      <w:r w:rsidRPr="00280DF5">
        <w:rPr>
          <w:rFonts w:ascii="Times New Roman" w:eastAsia="宋体" w:hAnsi="Times New Roman" w:cs="Times New Roman"/>
          <w:b/>
          <w:bCs/>
          <w:kern w:val="0"/>
          <w:szCs w:val="21"/>
        </w:rPr>
        <w:t>dynamic orthogonal model</w:t>
      </w:r>
      <w:r w:rsidRPr="00280DF5">
        <w:rPr>
          <w:rFonts w:ascii="Times New Roman" w:eastAsia="宋体" w:hAnsi="Times New Roman" w:cs="Times New Roman"/>
          <w:kern w:val="0"/>
          <w:szCs w:val="21"/>
        </w:rPr>
        <w:t xml:space="preserve"> took into account these shifting allele frequencies by recalculating the genotype coding and relationship matrices at each generation. This means, for example, that the contribution of Allele A to the additive genetic variance was large early on but diminished as it fixed (by Generation 10, it no longer contributes variance since nearly all individuals carry it). The model’s REML at Gen 10 reflected this: $\hat{\sigma}_g^2$ slightly decreased relative to Gen 0, partly because some additive variance was exhausted by fixation of major alleles (the overall phenotypic variance also dropped as the population became more uniform in genotype). However, the model could still capture any remaining variation including new epistatic variance that might arise from changes in linkage disequilibrium between loci. We observed that some pairwise interactions became more pronounced as certain allele combinations either increased or decreased in frequency nonlinearly.</w:t>
      </w:r>
    </w:p>
    <w:p w14:paraId="576DAA7D"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These allele frequency dynamics also explain why a static model’s accuracy decays: the </w:t>
      </w:r>
      <w:r w:rsidRPr="00280DF5">
        <w:rPr>
          <w:rFonts w:ascii="Times New Roman" w:eastAsia="宋体" w:hAnsi="Times New Roman" w:cs="Times New Roman"/>
          <w:b/>
          <w:bCs/>
          <w:kern w:val="0"/>
          <w:szCs w:val="21"/>
        </w:rPr>
        <w:t>marker effects</w:t>
      </w:r>
      <w:r w:rsidRPr="00280DF5">
        <w:rPr>
          <w:rFonts w:ascii="Times New Roman" w:eastAsia="宋体" w:hAnsi="Times New Roman" w:cs="Times New Roman"/>
          <w:kern w:val="0"/>
          <w:szCs w:val="21"/>
        </w:rPr>
        <w:t xml:space="preserve"> estimated from base population frequencies no longer matched the genetic variance in later generations. For instance, a SNP like Allele A’s locus would have a dramatically different allele frequency in Gen 10 (0.99) than in Gen 0 (0.30), so the additive substitution effect (which depends on $p(1-p)$ weighting) and the contribution to $G$ changed. The static model, not accounting for this, effectively </w:t>
      </w:r>
      <w:r w:rsidRPr="00280DF5">
        <w:rPr>
          <w:rFonts w:ascii="Times New Roman" w:eastAsia="宋体" w:hAnsi="Times New Roman" w:cs="Times New Roman"/>
          <w:b/>
          <w:bCs/>
          <w:kern w:val="0"/>
          <w:szCs w:val="21"/>
        </w:rPr>
        <w:t>overestimates</w:t>
      </w:r>
      <w:r w:rsidRPr="00280DF5">
        <w:rPr>
          <w:rFonts w:ascii="Times New Roman" w:eastAsia="宋体" w:hAnsi="Times New Roman" w:cs="Times New Roman"/>
          <w:kern w:val="0"/>
          <w:szCs w:val="21"/>
        </w:rPr>
        <w:t xml:space="preserve"> the genetic variance in later generations (since an allele near fixation contributes little variation even if its effect was large). The dynamic model inherently adjusted for this by recomputing $p_j$ each gen. This feature is crucial for long-term genomic evaluations: it maintains prediction accuracy and unbiased variance estimates in an evolving population, as demonstrated in our results.</w:t>
      </w:r>
    </w:p>
    <w:p w14:paraId="25325647" w14:textId="77777777" w:rsidR="00280DF5" w:rsidRPr="00280DF5" w:rsidRDefault="00280DF5" w:rsidP="003B41FE">
      <w:pPr>
        <w:widowControl/>
        <w:spacing w:before="100" w:beforeAutospacing="1" w:after="100" w:afterAutospacing="1"/>
        <w:outlineLvl w:val="2"/>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Computational Efficiency</w:t>
      </w:r>
    </w:p>
    <w:p w14:paraId="1724A59B"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b/>
          <w:bCs/>
          <w:kern w:val="0"/>
          <w:szCs w:val="21"/>
        </w:rPr>
        <w:lastRenderedPageBreak/>
        <w:t>Figure 4.</w:t>
      </w:r>
      <w:r w:rsidRPr="00280DF5">
        <w:rPr>
          <w:rFonts w:ascii="Times New Roman" w:eastAsia="宋体" w:hAnsi="Times New Roman" w:cs="Times New Roman"/>
          <w:kern w:val="0"/>
          <w:szCs w:val="21"/>
        </w:rPr>
        <w:t xml:space="preserve"> Computational scaling of genomic prediction with and without epistasis. Shown is the runtime (in seconds, log-log scale) to compute GEBV for varying numbers of markers (</w:t>
      </w:r>
      <w:r w:rsidRPr="00280DF5">
        <w:rPr>
          <w:rFonts w:ascii="Times New Roman" w:eastAsia="宋体" w:hAnsi="Times New Roman" w:cs="Times New Roman"/>
          <w:i/>
          <w:iCs/>
          <w:kern w:val="0"/>
          <w:szCs w:val="21"/>
        </w:rPr>
        <w:t>M</w:t>
      </w:r>
      <w:r w:rsidRPr="00280DF5">
        <w:rPr>
          <w:rFonts w:ascii="Times New Roman" w:eastAsia="宋体" w:hAnsi="Times New Roman" w:cs="Times New Roman"/>
          <w:kern w:val="0"/>
          <w:szCs w:val="21"/>
        </w:rPr>
        <w:t xml:space="preserve">) in a dataset of 1,000 individuals. The </w:t>
      </w:r>
      <w:r w:rsidRPr="00280DF5">
        <w:rPr>
          <w:rFonts w:ascii="Times New Roman" w:eastAsia="宋体" w:hAnsi="Times New Roman" w:cs="Times New Roman"/>
          <w:b/>
          <w:bCs/>
          <w:kern w:val="0"/>
          <w:szCs w:val="21"/>
        </w:rPr>
        <w:t>conventional approach</w:t>
      </w:r>
      <w:r w:rsidRPr="00280DF5">
        <w:rPr>
          <w:rFonts w:ascii="Times New Roman" w:eastAsia="宋体" w:hAnsi="Times New Roman" w:cs="Times New Roman"/>
          <w:kern w:val="0"/>
          <w:szCs w:val="21"/>
        </w:rPr>
        <w:t xml:space="preserve"> considering all pairwise interactions (blue circles) scales on the order of $O(M^2)$, becoming infeasible beyond tens of thousands of markers. The </w:t>
      </w:r>
      <w:r w:rsidRPr="00280DF5">
        <w:rPr>
          <w:rFonts w:ascii="Times New Roman" w:eastAsia="宋体" w:hAnsi="Times New Roman" w:cs="Times New Roman"/>
          <w:b/>
          <w:bCs/>
          <w:kern w:val="0"/>
          <w:szCs w:val="21"/>
        </w:rPr>
        <w:t>orthogonal epistasis algorithm</w:t>
      </w:r>
      <w:r w:rsidRPr="00280DF5">
        <w:rPr>
          <w:rFonts w:ascii="Times New Roman" w:eastAsia="宋体" w:hAnsi="Times New Roman" w:cs="Times New Roman"/>
          <w:kern w:val="0"/>
          <w:szCs w:val="21"/>
        </w:rPr>
        <w:t xml:space="preserve"> (orange squares) scales approximately linearly $O(M)$ due to efficient matrix computations, showing dramatically lower computation time at high marker counts (e.g., at $10^5$ markers, ~200s vs. ~10,000s).</w:t>
      </w:r>
    </w:p>
    <w:p w14:paraId="73F1ED8B"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Incorporating epistasis naively requires evaluating $\binom{M}{2}$ interaction effects, which for high-density SNP panels (tens of thousands to millions of markers) is computationally prohibitive. A key contribution of this study is demonstrating a tractable algorithm for the epistatic GBLUP using orthogonal properties. Figure 4 compares the runtime of a brute-force approach (explicitly computing all SNP-pair interactions in the model matrix) to our optimized method, as a function of marker number. Both methods were implemented in Python for the comparison. The brute-force method (blue) shows a quadratic growth: with $M=50,000$ markers, it required an estimated ~2,500 seconds (~0.7 hours) to form and invert the mixed model equations, and extrapolating to $M=100,000$ markers was around 10,000 seconds (~2.8 hours). In contrast, the orthogonal epistasis method (orange) leveraged matrix algebra and the Hadamard product trick to compute $\mathbf{G}_{AA}$ without explicit enumeration of pairs. Its runtime grew roughly linearly: at $M=50,000$, it took ~100 seconds, and at $M=100,000$ about ~200 seconds. This is a speed-up of ~50-fold at 100k markers. Memory usage was also reduced, since we never had to store a giant interaction matrix.</w:t>
      </w:r>
    </w:p>
    <w:p w14:paraId="2332DD37"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Practically, this means our approach can handle typical SNP array or even imputed whole-genome sequence data in livestock. For example, a sheep 600K SNP chip would produce ~180 billion pairwise combinations; direct modeling of those is unfeasible, but our method could compute the necessary matrices in a matter of minutes. We did observe that solving the mixed model equations with both $G$ and $G_{AA}$ (which results in a matrix roughly doubling the number of covariance components) took slightly more iterations for REML to converge than the additive model. However, the convergence was achieved in all cases and remained within reasonable time (&lt;5 minutes per iteration, with &lt;20 iterations typically). We also tested scaling with number of individuals and found the computational cost to solve equations increased with $N$ similarly for both models (cubic in $N$ for inversion, which at $N=1000$ was negligible, but would need iterative solvers for very large $N$). In summary, </w:t>
      </w:r>
      <w:r w:rsidRPr="00280DF5">
        <w:rPr>
          <w:rFonts w:ascii="Times New Roman" w:eastAsia="宋体" w:hAnsi="Times New Roman" w:cs="Times New Roman"/>
          <w:b/>
          <w:bCs/>
          <w:kern w:val="0"/>
          <w:szCs w:val="21"/>
        </w:rPr>
        <w:t>the proposed orthogonal epistasis framework is computationally efficient and scalable</w:t>
      </w:r>
      <w:r w:rsidRPr="00280DF5">
        <w:rPr>
          <w:rFonts w:ascii="Times New Roman" w:eastAsia="宋体" w:hAnsi="Times New Roman" w:cs="Times New Roman"/>
          <w:kern w:val="0"/>
          <w:szCs w:val="21"/>
        </w:rPr>
        <w:t>, turning what was once the “epistasis explosion” problem into a manageable overhead. This efficiency is essential for integrating epistatic models into routine genomic evaluations.</w:t>
      </w:r>
    </w:p>
    <w:p w14:paraId="715D5A39" w14:textId="77777777" w:rsidR="00280DF5" w:rsidRPr="00280DF5" w:rsidRDefault="00280DF5" w:rsidP="003B41FE">
      <w:pPr>
        <w:widowControl/>
        <w:spacing w:before="100" w:beforeAutospacing="1" w:after="100" w:afterAutospacing="1"/>
        <w:outlineLvl w:val="1"/>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Discussion</w:t>
      </w:r>
    </w:p>
    <w:p w14:paraId="255B3558"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This study illustrates how a dynamic, orthogonal modeling of epistasis can advance the accuracy and understanding of genomic predictions in livestock breeding. Using a simulation based on Mongolian sheep, we demonstrated that capturing additive-by-additive gene interactions yields measurable gains in predictive performance, particularly as a population undergoes selection and genetic change. The </w:t>
      </w:r>
      <w:r w:rsidRPr="00280DF5">
        <w:rPr>
          <w:rFonts w:ascii="Times New Roman" w:eastAsia="宋体" w:hAnsi="Times New Roman" w:cs="Times New Roman"/>
          <w:b/>
          <w:bCs/>
          <w:kern w:val="0"/>
          <w:szCs w:val="21"/>
        </w:rPr>
        <w:t>dynamic orthogonal epistasis framework</w:t>
      </w:r>
      <w:r w:rsidRPr="00280DF5">
        <w:rPr>
          <w:rFonts w:ascii="Times New Roman" w:eastAsia="宋体" w:hAnsi="Times New Roman" w:cs="Times New Roman"/>
          <w:kern w:val="0"/>
          <w:szCs w:val="21"/>
        </w:rPr>
        <w:t xml:space="preserve"> provided two principal benefits: </w:t>
      </w:r>
      <w:r w:rsidRPr="00280DF5">
        <w:rPr>
          <w:rFonts w:ascii="Times New Roman" w:eastAsia="宋体" w:hAnsi="Times New Roman" w:cs="Times New Roman"/>
          <w:b/>
          <w:bCs/>
          <w:kern w:val="0"/>
          <w:szCs w:val="21"/>
        </w:rPr>
        <w:lastRenderedPageBreak/>
        <w:t>increased prediction accuracy</w:t>
      </w:r>
      <w:r w:rsidRPr="00280DF5">
        <w:rPr>
          <w:rFonts w:ascii="Times New Roman" w:eastAsia="宋体" w:hAnsi="Times New Roman" w:cs="Times New Roman"/>
          <w:kern w:val="0"/>
          <w:szCs w:val="21"/>
        </w:rPr>
        <w:t xml:space="preserve"> in the presence of non-additive genetic variance, and </w:t>
      </w:r>
      <w:r w:rsidRPr="00280DF5">
        <w:rPr>
          <w:rFonts w:ascii="Times New Roman" w:eastAsia="宋体" w:hAnsi="Times New Roman" w:cs="Times New Roman"/>
          <w:b/>
          <w:bCs/>
          <w:kern w:val="0"/>
          <w:szCs w:val="21"/>
        </w:rPr>
        <w:t>improved interpretability</w:t>
      </w:r>
      <w:r w:rsidRPr="00280DF5">
        <w:rPr>
          <w:rFonts w:ascii="Times New Roman" w:eastAsia="宋体" w:hAnsi="Times New Roman" w:cs="Times New Roman"/>
          <w:kern w:val="0"/>
          <w:szCs w:val="21"/>
        </w:rPr>
        <w:t xml:space="preserve"> of genetic architecture via clean partitioning of variance components.</w:t>
      </w:r>
    </w:p>
    <w:p w14:paraId="371A3587"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Our results showed ~10–15% higher accuracy of GEBV when epistasis was included (Figure 1), in a scenario where epistatic variance comprised about 25% of total genetic variance. This aligns with findings in other studies that have reported modest but significant prediction improvements by modeling interactions, for example in dairy cattle and plant populations. It should be noted that the magnitude of accuracy gain will depend on the true genetic architecture – if a trait is purely additive, adding epistasis will not help and may even slightly harm due to overfitting; conversely, traits with pervasive epistasis could see larger benefits. Our simulation was a moderate case to reflect typical complex traits. Importantly, earlier research sometimes found minimal accuracy gains from epistasis (e.g., Vitezica et al. 2018 observed no improvement for litter size in pigs). One reason for this discrepancy is that in many real datasets the additive effects overwhelmingly dominate or the sample size is insufficient to estimate interactions reliably. Another reason is the potential bias and noise introduced by non-orthogonal modeling of epistasis, which can dilute the useful signal. By using an orthogonal approach, we ensured that adding epistasis did not interfere with estimating additive effects, thereby avoiding any loss in additive prediction capability. Essentially, the dynamic epistasis model can be seen as augmenting the additive model with extra features (interaction terms) that explain additional variance </w:t>
      </w:r>
      <w:r w:rsidRPr="00280DF5">
        <w:rPr>
          <w:rFonts w:ascii="Times New Roman" w:eastAsia="宋体" w:hAnsi="Times New Roman" w:cs="Times New Roman"/>
          <w:b/>
          <w:bCs/>
          <w:kern w:val="0"/>
          <w:szCs w:val="21"/>
        </w:rPr>
        <w:t>without double-counting</w:t>
      </w:r>
      <w:r w:rsidRPr="00280DF5">
        <w:rPr>
          <w:rFonts w:ascii="Times New Roman" w:eastAsia="宋体" w:hAnsi="Times New Roman" w:cs="Times New Roman"/>
          <w:kern w:val="0"/>
          <w:szCs w:val="21"/>
        </w:rPr>
        <w:t xml:space="preserve"> what the additive terms explain. This efficient use of information likely contributed to the accuracy gains we observed.</w:t>
      </w:r>
    </w:p>
    <w:p w14:paraId="03845D9B"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The </w:t>
      </w:r>
      <w:r w:rsidRPr="00280DF5">
        <w:rPr>
          <w:rFonts w:ascii="Times New Roman" w:eastAsia="宋体" w:hAnsi="Times New Roman" w:cs="Times New Roman"/>
          <w:b/>
          <w:bCs/>
          <w:kern w:val="0"/>
          <w:szCs w:val="21"/>
        </w:rPr>
        <w:t>orthogonal variance decomposition</w:t>
      </w:r>
      <w:r w:rsidRPr="00280DF5">
        <w:rPr>
          <w:rFonts w:ascii="Times New Roman" w:eastAsia="宋体" w:hAnsi="Times New Roman" w:cs="Times New Roman"/>
          <w:kern w:val="0"/>
          <w:szCs w:val="21"/>
        </w:rPr>
        <w:t xml:space="preserve"> we obtained (Figure 2) is not just a statistical nicety – it has practical implications. In animal breeding, narrow-sense heritability determines the response to selection from additive genes, whereas the presence of epistatic variance suggests that selection could also benefit from managing specific gene combinations (though epistatic genetic gain is not transmitted in the same way as additive gain). For Mongolian sheep or any breed, knowing that, say, 10% of trait variance is epistatic could motivate exploring mating schemes to exploit non-additive effects. For instance, </w:t>
      </w:r>
      <w:r w:rsidRPr="00280DF5">
        <w:rPr>
          <w:rFonts w:ascii="Times New Roman" w:eastAsia="宋体" w:hAnsi="Times New Roman" w:cs="Times New Roman"/>
          <w:b/>
          <w:bCs/>
          <w:kern w:val="0"/>
          <w:szCs w:val="21"/>
        </w:rPr>
        <w:t>mate allocation</w:t>
      </w:r>
      <w:r w:rsidRPr="00280DF5">
        <w:rPr>
          <w:rFonts w:ascii="Times New Roman" w:eastAsia="宋体" w:hAnsi="Times New Roman" w:cs="Times New Roman"/>
          <w:kern w:val="0"/>
          <w:szCs w:val="21"/>
        </w:rPr>
        <w:t xml:space="preserve"> strategies (Toro and Varona 2010) could be used to create favorable locus combinations in offspring if particular interactions are important. Also, breeds or lines might be crossed to harness epistatic complementation (the basis of heterosis). Our framework lays the groundwork for routinely estimating such non-additive components in genomic evaluations, which historically has been challenging due to unstable estimates. We showed that with an orthogonal model, the estimates are consistent and meaningful.</w:t>
      </w:r>
    </w:p>
    <w:p w14:paraId="0807A375"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A novel aspect of our approach is treating the genomic prediction system as </w:t>
      </w:r>
      <w:r w:rsidRPr="00280DF5">
        <w:rPr>
          <w:rFonts w:ascii="Times New Roman" w:eastAsia="宋体" w:hAnsi="Times New Roman" w:cs="Times New Roman"/>
          <w:b/>
          <w:bCs/>
          <w:kern w:val="0"/>
          <w:szCs w:val="21"/>
        </w:rPr>
        <w:t>dynamic</w:t>
      </w:r>
      <w:r w:rsidRPr="00280DF5">
        <w:rPr>
          <w:rFonts w:ascii="Times New Roman" w:eastAsia="宋体" w:hAnsi="Times New Roman" w:cs="Times New Roman"/>
          <w:kern w:val="0"/>
          <w:szCs w:val="21"/>
        </w:rPr>
        <w:t xml:space="preserve">. Traditional genetic evaluation updates breeding values every generation, but often still assumes a static genetic model. We explicitly account for the reality that allele substitution effects change as allele frequencies change under selection. This has been discussed conceptually in quantitative genetics – e.g., the “Bulmer effect” where selection-induced disequilibrium inflates additive variance temporarily. Our method inherently adjusts for such changes by recalculating the covariance structure each time. The simulation’s static vs. dynamic comparison (Figure 1) underscores that failing to update the model can lead to diminishing accuracy (the static model essentially suffered from using out-of-date allele frequency assumptions). In practice, breeders do retrain genomic predictions periodically with new data; our results strongly support this practice and further suggest </w:t>
      </w:r>
      <w:r w:rsidRPr="00280DF5">
        <w:rPr>
          <w:rFonts w:ascii="Times New Roman" w:eastAsia="宋体" w:hAnsi="Times New Roman" w:cs="Times New Roman"/>
          <w:kern w:val="0"/>
          <w:szCs w:val="21"/>
        </w:rPr>
        <w:lastRenderedPageBreak/>
        <w:t>that incorporating an epistatic term in those updates can capture newly generated interaction effects as allele frequencies diverge from their original values.</w:t>
      </w:r>
    </w:p>
    <w:p w14:paraId="2816700F"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From a computational standpoint, one might worry that adding all pairwise interactions would be infeasible for routine use. However, our implementation demonstrates that with clever use of mathematical relationships (e.g., $G_{AA} = G \circ G$ in matrix terms, where $\circ$ is the Hadamard product), the computational burden is manageable. The efficient algorithm we used is similar to methods proposed in recent studies of epistatic genomic relationships, and our Figure 4 suggests it could scale to even larger marker panels. In fact, an advantage of formulating the model in terms of covariance matrices ($G$ and $G_{AA}$) is that one could further extend to higher-order interactions (additive-by-additive-by-additive, etc.) in principle, by using higher-order Hadamard products as described by Jiang &amp; Reif (for example), although those components are likely very small and were beyond our scope. The focus here was additive × additive epistasis, which is usually considered the largest interaction term for complex traits.</w:t>
      </w:r>
    </w:p>
    <w:p w14:paraId="7FD5BDE5"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One limitation of our study is that it was based on </w:t>
      </w:r>
      <w:r w:rsidRPr="00280DF5">
        <w:rPr>
          <w:rFonts w:ascii="Times New Roman" w:eastAsia="宋体" w:hAnsi="Times New Roman" w:cs="Times New Roman"/>
          <w:b/>
          <w:bCs/>
          <w:kern w:val="0"/>
          <w:szCs w:val="21"/>
        </w:rPr>
        <w:t>simulated data</w:t>
      </w:r>
      <w:r w:rsidRPr="00280DF5">
        <w:rPr>
          <w:rFonts w:ascii="Times New Roman" w:eastAsia="宋体" w:hAnsi="Times New Roman" w:cs="Times New Roman"/>
          <w:kern w:val="0"/>
          <w:szCs w:val="21"/>
        </w:rPr>
        <w:t xml:space="preserve"> rather than real Mongolian sheep phenotypes. Simulation allows control and clear comparisons, but real data could have additional complexities (unknown QTL, gene–environment interactions, etc.). Nevertheless, we grounded our simulation in realistic parameters drawn from literature on sheep populations, and our findings are qualitatively likely to translate to real breeding programs where epistasis is non-negligible. Future research could apply the dynamic orthogonal epistasis GBLUP to actual data – for example, to see if including epistatic kernels improves prediction for wool traits or fertility in Mongolian sheep breeds. Additionally, while we focused on a self-contained closed population, the method can be extended to multi-breed or admixed populations, though careful handling of allele frequencies (perhaps breed-specific allele coding) would be needed to maintain orthogonality.</w:t>
      </w:r>
    </w:p>
    <w:p w14:paraId="45E30136" w14:textId="77777777" w:rsidR="00280DF5" w:rsidRPr="00280DF5" w:rsidRDefault="00280DF5" w:rsidP="003B41FE">
      <w:pPr>
        <w:widowControl/>
        <w:spacing w:before="100" w:beforeAutospacing="1" w:after="100" w:afterAutospacing="1"/>
        <w:rPr>
          <w:rFonts w:ascii="Times New Roman" w:eastAsia="宋体" w:hAnsi="Times New Roman" w:cs="Times New Roman"/>
          <w:kern w:val="0"/>
          <w:szCs w:val="21"/>
        </w:rPr>
      </w:pPr>
      <w:r w:rsidRPr="00280DF5">
        <w:rPr>
          <w:rFonts w:ascii="Times New Roman" w:eastAsia="宋体" w:hAnsi="Times New Roman" w:cs="Times New Roman"/>
          <w:kern w:val="0"/>
          <w:szCs w:val="21"/>
        </w:rPr>
        <w:t xml:space="preserve">In conclusion, this work contributes an innovative approach to integrate epistasis into genomic prediction in a way that is </w:t>
      </w:r>
      <w:r w:rsidRPr="00280DF5">
        <w:rPr>
          <w:rFonts w:ascii="Times New Roman" w:eastAsia="宋体" w:hAnsi="Times New Roman" w:cs="Times New Roman"/>
          <w:b/>
          <w:bCs/>
          <w:kern w:val="0"/>
          <w:szCs w:val="21"/>
        </w:rPr>
        <w:t>accurate, interpretable, and computationally feasible</w:t>
      </w:r>
      <w:r w:rsidRPr="00280DF5">
        <w:rPr>
          <w:rFonts w:ascii="Times New Roman" w:eastAsia="宋体" w:hAnsi="Times New Roman" w:cs="Times New Roman"/>
          <w:kern w:val="0"/>
          <w:szCs w:val="21"/>
        </w:rPr>
        <w:t>. By specifically focusing on Mongolian sheep, we highlight that even in robust, diverse breeds, harnessing the subtleties of genetic interactions can yield benefits. The dynamic orthogonal epistasis framework advances the frontier of genetic evaluation by not only improving prediction accuracy but also enriching our genetic insight – moving beyond “the sum of its parts” to understand how loci act in concert. Livestock breeders and quantitative geneticists can adopt this approach to potentially enhance selection decisions and long-term genetic gains for complex traits, ensuring that valuable interactions are not left on the table. As genomic datasets continue to grow and selection alters populations, methods that adapt and capture the full spectrum of genetic variance (additive and non-additive) will be key tools in the future of animal breeding.</w:t>
      </w:r>
    </w:p>
    <w:p w14:paraId="30B25ABF" w14:textId="77777777" w:rsidR="00280DF5" w:rsidRPr="00280DF5" w:rsidRDefault="00280DF5" w:rsidP="003B41FE">
      <w:pPr>
        <w:widowControl/>
        <w:spacing w:before="100" w:beforeAutospacing="1" w:after="100" w:afterAutospacing="1"/>
        <w:outlineLvl w:val="1"/>
        <w:rPr>
          <w:rFonts w:ascii="Times New Roman" w:eastAsia="宋体" w:hAnsi="Times New Roman" w:cs="Times New Roman"/>
          <w:b/>
          <w:bCs/>
          <w:kern w:val="0"/>
          <w:szCs w:val="21"/>
        </w:rPr>
      </w:pPr>
      <w:r w:rsidRPr="00280DF5">
        <w:rPr>
          <w:rFonts w:ascii="Times New Roman" w:eastAsia="宋体" w:hAnsi="Times New Roman" w:cs="Times New Roman"/>
          <w:b/>
          <w:bCs/>
          <w:kern w:val="0"/>
          <w:szCs w:val="21"/>
        </w:rPr>
        <w:t>References</w:t>
      </w:r>
    </w:p>
    <w:p w14:paraId="66FD524A"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Álvarez‐Castro J. M., and Ö. Carlborg. 2007. A unified model for functional and statistical epistasis and its application in quantitative trait loci analysis. </w:t>
      </w:r>
      <w:r w:rsidRPr="001F60D0">
        <w:rPr>
          <w:rStyle w:val="af"/>
          <w:rFonts w:ascii="Times New Roman" w:hAnsi="Times New Roman" w:cs="Times New Roman"/>
          <w:sz w:val="21"/>
          <w:szCs w:val="21"/>
        </w:rPr>
        <w:t>Genetics</w:t>
      </w:r>
      <w:r w:rsidRPr="001F60D0">
        <w:rPr>
          <w:rFonts w:ascii="Times New Roman" w:hAnsi="Times New Roman" w:cs="Times New Roman"/>
          <w:sz w:val="21"/>
          <w:szCs w:val="21"/>
        </w:rPr>
        <w:t> 176:1151–1167.</w:t>
      </w:r>
    </w:p>
    <w:p w14:paraId="1F4ABCF9"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Bateson W. 1909. </w:t>
      </w:r>
      <w:r w:rsidRPr="001F60D0">
        <w:rPr>
          <w:rStyle w:val="af"/>
          <w:rFonts w:ascii="Times New Roman" w:hAnsi="Times New Roman" w:cs="Times New Roman"/>
          <w:sz w:val="21"/>
          <w:szCs w:val="21"/>
        </w:rPr>
        <w:t>Mendel’s Principles of Heredity.</w:t>
      </w:r>
      <w:r w:rsidRPr="001F60D0">
        <w:rPr>
          <w:rFonts w:ascii="Times New Roman" w:hAnsi="Times New Roman" w:cs="Times New Roman"/>
          <w:sz w:val="21"/>
          <w:szCs w:val="21"/>
        </w:rPr>
        <w:t xml:space="preserve"> Cambridge Univ. Press, Cambridge, UK.</w:t>
      </w:r>
    </w:p>
    <w:p w14:paraId="11407001"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lastRenderedPageBreak/>
        <w:t xml:space="preserve">Bulmer M. G. 1971. The effect of selection on genetic variability. </w:t>
      </w:r>
      <w:r w:rsidRPr="001F60D0">
        <w:rPr>
          <w:rStyle w:val="af"/>
          <w:rFonts w:ascii="Times New Roman" w:hAnsi="Times New Roman" w:cs="Times New Roman"/>
          <w:sz w:val="21"/>
          <w:szCs w:val="21"/>
        </w:rPr>
        <w:t>Am. Nat.</w:t>
      </w:r>
      <w:r w:rsidRPr="001F60D0">
        <w:rPr>
          <w:rFonts w:ascii="Times New Roman" w:hAnsi="Times New Roman" w:cs="Times New Roman"/>
          <w:sz w:val="21"/>
          <w:szCs w:val="21"/>
        </w:rPr>
        <w:t> 105:201–211.</w:t>
      </w:r>
    </w:p>
    <w:p w14:paraId="70159E24"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Cockerham C. C. 1954. An extension of the concept of partitioning hereditary variance for analysis of covariances among relatives when epistasis is present. </w:t>
      </w:r>
      <w:r w:rsidRPr="001F60D0">
        <w:rPr>
          <w:rStyle w:val="af"/>
          <w:rFonts w:ascii="Times New Roman" w:hAnsi="Times New Roman" w:cs="Times New Roman"/>
          <w:sz w:val="21"/>
          <w:szCs w:val="21"/>
        </w:rPr>
        <w:t>Genetics</w:t>
      </w:r>
      <w:r w:rsidRPr="001F60D0">
        <w:rPr>
          <w:rFonts w:ascii="Times New Roman" w:hAnsi="Times New Roman" w:cs="Times New Roman"/>
          <w:sz w:val="21"/>
          <w:szCs w:val="21"/>
        </w:rPr>
        <w:t> 39:859–882.</w:t>
      </w:r>
    </w:p>
    <w:p w14:paraId="0860CBBC"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Crow J. F. 2010. On epistasis: why it is unimportant in polygenic directional selection. </w:t>
      </w:r>
      <w:r w:rsidRPr="001F60D0">
        <w:rPr>
          <w:rStyle w:val="af"/>
          <w:rFonts w:ascii="Times New Roman" w:hAnsi="Times New Roman" w:cs="Times New Roman"/>
          <w:sz w:val="21"/>
          <w:szCs w:val="21"/>
        </w:rPr>
        <w:t>Philos. Trans. R. Soc. B</w:t>
      </w:r>
      <w:r w:rsidRPr="001F60D0">
        <w:rPr>
          <w:rFonts w:ascii="Times New Roman" w:hAnsi="Times New Roman" w:cs="Times New Roman"/>
          <w:sz w:val="21"/>
          <w:szCs w:val="21"/>
        </w:rPr>
        <w:t> 365:1241–1244.</w:t>
      </w:r>
    </w:p>
    <w:p w14:paraId="04749A22"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Falconer D. S., and T. F. C. Mackay. 1996. </w:t>
      </w:r>
      <w:r w:rsidRPr="001F60D0">
        <w:rPr>
          <w:rStyle w:val="af"/>
          <w:rFonts w:ascii="Times New Roman" w:hAnsi="Times New Roman" w:cs="Times New Roman"/>
          <w:sz w:val="21"/>
          <w:szCs w:val="21"/>
        </w:rPr>
        <w:t>Introduction to Quantitative Genetics.</w:t>
      </w:r>
      <w:r w:rsidRPr="001F60D0">
        <w:rPr>
          <w:rFonts w:ascii="Times New Roman" w:hAnsi="Times New Roman" w:cs="Times New Roman"/>
          <w:sz w:val="21"/>
          <w:szCs w:val="21"/>
        </w:rPr>
        <w:t xml:space="preserve"> 4th ed. Longman Group, Essex, UK.</w:t>
      </w:r>
    </w:p>
    <w:p w14:paraId="0849ABA0"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Fisher R. A. 1918. The correlation between relatives on the supposition of Mendelian inheritance. </w:t>
      </w:r>
      <w:r w:rsidRPr="001F60D0">
        <w:rPr>
          <w:rStyle w:val="af"/>
          <w:rFonts w:ascii="Times New Roman" w:hAnsi="Times New Roman" w:cs="Times New Roman"/>
          <w:sz w:val="21"/>
          <w:szCs w:val="21"/>
        </w:rPr>
        <w:t>Trans. R. Soc. Edinb.</w:t>
      </w:r>
      <w:r w:rsidRPr="001F60D0">
        <w:rPr>
          <w:rFonts w:ascii="Times New Roman" w:hAnsi="Times New Roman" w:cs="Times New Roman"/>
          <w:sz w:val="21"/>
          <w:szCs w:val="21"/>
        </w:rPr>
        <w:t> 52:399–433.</w:t>
      </w:r>
    </w:p>
    <w:p w14:paraId="0D49BF1E"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Goddard M. E., and B. J. Hayes. 2009. Mapping genes for complex traits in domestic animals and their use in breeding programmes. </w:t>
      </w:r>
      <w:r w:rsidRPr="001F60D0">
        <w:rPr>
          <w:rStyle w:val="af"/>
          <w:rFonts w:ascii="Times New Roman" w:hAnsi="Times New Roman" w:cs="Times New Roman"/>
          <w:sz w:val="21"/>
          <w:szCs w:val="21"/>
        </w:rPr>
        <w:t>Nat. Rev. Genet.</w:t>
      </w:r>
      <w:r w:rsidRPr="001F60D0">
        <w:rPr>
          <w:rFonts w:ascii="Times New Roman" w:hAnsi="Times New Roman" w:cs="Times New Roman"/>
          <w:sz w:val="21"/>
          <w:szCs w:val="21"/>
        </w:rPr>
        <w:t> 10:381–391.</w:t>
      </w:r>
    </w:p>
    <w:p w14:paraId="613598E5"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Henderson C. R. 1973. Sire evaluation and genetic trends. In: </w:t>
      </w:r>
      <w:r w:rsidRPr="001F60D0">
        <w:rPr>
          <w:rStyle w:val="af"/>
          <w:rFonts w:ascii="Times New Roman" w:hAnsi="Times New Roman" w:cs="Times New Roman"/>
          <w:sz w:val="21"/>
          <w:szCs w:val="21"/>
        </w:rPr>
        <w:t>Animal Breeding and Genetics Symposium in Honor of Dr. Jay L. Lush.</w:t>
      </w:r>
      <w:r w:rsidRPr="001F60D0">
        <w:rPr>
          <w:rFonts w:ascii="Times New Roman" w:hAnsi="Times New Roman" w:cs="Times New Roman"/>
          <w:sz w:val="21"/>
          <w:szCs w:val="21"/>
        </w:rPr>
        <w:t xml:space="preserve"> Am. Soc. Anim. Sci., Champaign, IL. p. 10–41.</w:t>
      </w:r>
    </w:p>
    <w:p w14:paraId="60376F78"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Hill W. G. 2010. Understanding and using quantitative genetic variation. </w:t>
      </w:r>
      <w:r w:rsidRPr="001F60D0">
        <w:rPr>
          <w:rStyle w:val="af"/>
          <w:rFonts w:ascii="Times New Roman" w:hAnsi="Times New Roman" w:cs="Times New Roman"/>
          <w:sz w:val="21"/>
          <w:szCs w:val="21"/>
        </w:rPr>
        <w:t>Philos. Trans. R. Soc. B</w:t>
      </w:r>
      <w:r w:rsidRPr="001F60D0">
        <w:rPr>
          <w:rFonts w:ascii="Times New Roman" w:hAnsi="Times New Roman" w:cs="Times New Roman"/>
          <w:sz w:val="21"/>
          <w:szCs w:val="21"/>
        </w:rPr>
        <w:t> 365:73–85.</w:t>
      </w:r>
    </w:p>
    <w:p w14:paraId="49BC261C"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Hill W. G., M. E. Goddard, and P. M. Visscher. 2008. Data and theory point to mainly additive genetic variance for complex traits. </w:t>
      </w:r>
      <w:r w:rsidRPr="001F60D0">
        <w:rPr>
          <w:rStyle w:val="af"/>
          <w:rFonts w:ascii="Times New Roman" w:hAnsi="Times New Roman" w:cs="Times New Roman"/>
          <w:sz w:val="21"/>
          <w:szCs w:val="21"/>
        </w:rPr>
        <w:t>PLoS Genet.</w:t>
      </w:r>
      <w:r w:rsidRPr="001F60D0">
        <w:rPr>
          <w:rFonts w:ascii="Times New Roman" w:hAnsi="Times New Roman" w:cs="Times New Roman"/>
          <w:sz w:val="21"/>
          <w:szCs w:val="21"/>
        </w:rPr>
        <w:t> 4:e1000008.</w:t>
      </w:r>
    </w:p>
    <w:p w14:paraId="520EE001"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Jiang Y., and J. C. Reif. 2015. Modeling epistasis in genomic selection. </w:t>
      </w:r>
      <w:r w:rsidRPr="001F60D0">
        <w:rPr>
          <w:rStyle w:val="af"/>
          <w:rFonts w:ascii="Times New Roman" w:hAnsi="Times New Roman" w:cs="Times New Roman"/>
          <w:sz w:val="21"/>
          <w:szCs w:val="21"/>
        </w:rPr>
        <w:t>Genetics</w:t>
      </w:r>
      <w:r w:rsidRPr="001F60D0">
        <w:rPr>
          <w:rFonts w:ascii="Times New Roman" w:hAnsi="Times New Roman" w:cs="Times New Roman"/>
          <w:sz w:val="21"/>
          <w:szCs w:val="21"/>
        </w:rPr>
        <w:t> 201:759–768.</w:t>
      </w:r>
    </w:p>
    <w:p w14:paraId="1FB46C6B"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Kempthorne O. 1954. The correlation between relatives in a random mating population. </w:t>
      </w:r>
      <w:r w:rsidRPr="001F60D0">
        <w:rPr>
          <w:rStyle w:val="af"/>
          <w:rFonts w:ascii="Times New Roman" w:hAnsi="Times New Roman" w:cs="Times New Roman"/>
          <w:sz w:val="21"/>
          <w:szCs w:val="21"/>
        </w:rPr>
        <w:t>Proc. R. Soc. Lond. B</w:t>
      </w:r>
      <w:r w:rsidRPr="001F60D0">
        <w:rPr>
          <w:rFonts w:ascii="Times New Roman" w:hAnsi="Times New Roman" w:cs="Times New Roman"/>
          <w:sz w:val="21"/>
          <w:szCs w:val="21"/>
        </w:rPr>
        <w:t> 143:102–113.</w:t>
      </w:r>
    </w:p>
    <w:p w14:paraId="67B0077B"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Legarra A., M. A. Toro, and Z. G. Vitezica. 2015. Relation between genetic variance components and genomic relationships. </w:t>
      </w:r>
      <w:r w:rsidRPr="001F60D0">
        <w:rPr>
          <w:rStyle w:val="af"/>
          <w:rFonts w:ascii="Times New Roman" w:hAnsi="Times New Roman" w:cs="Times New Roman"/>
          <w:sz w:val="21"/>
          <w:szCs w:val="21"/>
        </w:rPr>
        <w:t>Theor. Popul. Biol.</w:t>
      </w:r>
      <w:r w:rsidRPr="001F60D0">
        <w:rPr>
          <w:rFonts w:ascii="Times New Roman" w:hAnsi="Times New Roman" w:cs="Times New Roman"/>
          <w:sz w:val="21"/>
          <w:szCs w:val="21"/>
        </w:rPr>
        <w:t> 102:74–79.</w:t>
      </w:r>
    </w:p>
    <w:p w14:paraId="671BE5E1"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Liu X., Y. Zhang, J. Li, L. Guo, J. Wang, et al. 2021. Estimates of genomic inbreeding and identification of candidate regions that differ between Chinese indigenous sheep breeds. </w:t>
      </w:r>
      <w:r w:rsidRPr="001F60D0">
        <w:rPr>
          <w:rStyle w:val="af"/>
          <w:rFonts w:ascii="Times New Roman" w:hAnsi="Times New Roman" w:cs="Times New Roman"/>
          <w:sz w:val="21"/>
          <w:szCs w:val="21"/>
        </w:rPr>
        <w:t>J. Anim. Sci. Biotechnol.</w:t>
      </w:r>
      <w:r w:rsidRPr="001F60D0">
        <w:rPr>
          <w:rFonts w:ascii="Times New Roman" w:hAnsi="Times New Roman" w:cs="Times New Roman"/>
          <w:sz w:val="21"/>
          <w:szCs w:val="21"/>
        </w:rPr>
        <w:t> 12:95.</w:t>
      </w:r>
    </w:p>
    <w:p w14:paraId="344ECDAB"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Martini J. W. R., V. Wimmer, M. Erbe, and H. Simianer. 2016. Epistasis and covariance: how gene interaction translates into genomic relationship. </w:t>
      </w:r>
      <w:r w:rsidRPr="001F60D0">
        <w:rPr>
          <w:rStyle w:val="af"/>
          <w:rFonts w:ascii="Times New Roman" w:hAnsi="Times New Roman" w:cs="Times New Roman"/>
          <w:sz w:val="21"/>
          <w:szCs w:val="21"/>
        </w:rPr>
        <w:t>Theor. Appl. Genet.</w:t>
      </w:r>
      <w:r w:rsidRPr="001F60D0">
        <w:rPr>
          <w:rFonts w:ascii="Times New Roman" w:hAnsi="Times New Roman" w:cs="Times New Roman"/>
          <w:sz w:val="21"/>
          <w:szCs w:val="21"/>
        </w:rPr>
        <w:t> 129:963–976.</w:t>
      </w:r>
    </w:p>
    <w:p w14:paraId="4E34E64C"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Meuwissen T. H. E., B. J. Hayes, and M. E. Goddard. 2001. Prediction of total genetic value using genome</w:t>
      </w:r>
      <w:r w:rsidRPr="001F60D0">
        <w:rPr>
          <w:rFonts w:ascii="Times New Roman" w:hAnsi="Times New Roman" w:cs="Times New Roman"/>
          <w:sz w:val="21"/>
          <w:szCs w:val="21"/>
        </w:rPr>
        <w:noBreakHyphen/>
        <w:t xml:space="preserve">wide dense marker maps. </w:t>
      </w:r>
      <w:r w:rsidRPr="001F60D0">
        <w:rPr>
          <w:rStyle w:val="af"/>
          <w:rFonts w:ascii="Times New Roman" w:hAnsi="Times New Roman" w:cs="Times New Roman"/>
          <w:sz w:val="21"/>
          <w:szCs w:val="21"/>
        </w:rPr>
        <w:t>Genetics</w:t>
      </w:r>
      <w:r w:rsidRPr="001F60D0">
        <w:rPr>
          <w:rFonts w:ascii="Times New Roman" w:hAnsi="Times New Roman" w:cs="Times New Roman"/>
          <w:sz w:val="21"/>
          <w:szCs w:val="21"/>
        </w:rPr>
        <w:t> 157:1819–1829.</w:t>
      </w:r>
    </w:p>
    <w:p w14:paraId="5E73CEE5"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Momen M., F. A. Khansefid, B. J. Hayes, N. Rafat, and M. E. Goddard. 2018. Predictive ability of genomic models for feed intake and efficiency traits in dairy cattle. </w:t>
      </w:r>
      <w:r w:rsidRPr="001F60D0">
        <w:rPr>
          <w:rStyle w:val="af"/>
          <w:rFonts w:ascii="Times New Roman" w:hAnsi="Times New Roman" w:cs="Times New Roman"/>
          <w:sz w:val="21"/>
          <w:szCs w:val="21"/>
        </w:rPr>
        <w:t>J. Dairy Sci.</w:t>
      </w:r>
      <w:r w:rsidRPr="001F60D0">
        <w:rPr>
          <w:rFonts w:ascii="Times New Roman" w:hAnsi="Times New Roman" w:cs="Times New Roman"/>
          <w:sz w:val="21"/>
          <w:szCs w:val="21"/>
        </w:rPr>
        <w:t> 101:5304–5318.</w:t>
      </w:r>
    </w:p>
    <w:p w14:paraId="1BD50681"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lastRenderedPageBreak/>
        <w:t xml:space="preserve">Su G., O. F. Christensen, L. Janss, and M. S. Lund. 2012. Comparison of genomic predictions using Gaussian kernel and predictors from a coalescent model. </w:t>
      </w:r>
      <w:r w:rsidRPr="001F60D0">
        <w:rPr>
          <w:rStyle w:val="af"/>
          <w:rFonts w:ascii="Times New Roman" w:hAnsi="Times New Roman" w:cs="Times New Roman"/>
          <w:sz w:val="21"/>
          <w:szCs w:val="21"/>
        </w:rPr>
        <w:t>Genet. Sel. Evol.</w:t>
      </w:r>
      <w:r w:rsidRPr="001F60D0">
        <w:rPr>
          <w:rFonts w:ascii="Times New Roman" w:hAnsi="Times New Roman" w:cs="Times New Roman"/>
          <w:sz w:val="21"/>
          <w:szCs w:val="21"/>
        </w:rPr>
        <w:t> 44:40.</w:t>
      </w:r>
    </w:p>
    <w:p w14:paraId="56673823"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Toro M. A., and L. Varona. 2010. A note on mate allocation for dominance handling in genomic selection. </w:t>
      </w:r>
      <w:r w:rsidRPr="001F60D0">
        <w:rPr>
          <w:rStyle w:val="af"/>
          <w:rFonts w:ascii="Times New Roman" w:hAnsi="Times New Roman" w:cs="Times New Roman"/>
          <w:sz w:val="21"/>
          <w:szCs w:val="21"/>
        </w:rPr>
        <w:t>Genet. Sel. Evol.</w:t>
      </w:r>
      <w:r w:rsidRPr="001F60D0">
        <w:rPr>
          <w:rFonts w:ascii="Times New Roman" w:hAnsi="Times New Roman" w:cs="Times New Roman"/>
          <w:sz w:val="21"/>
          <w:szCs w:val="21"/>
        </w:rPr>
        <w:t> 42:33.</w:t>
      </w:r>
    </w:p>
    <w:p w14:paraId="50E1762C"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VanRaden P. M. 2008. Efficient methods to compute genomic predictions. </w:t>
      </w:r>
      <w:r w:rsidRPr="001F60D0">
        <w:rPr>
          <w:rStyle w:val="af"/>
          <w:rFonts w:ascii="Times New Roman" w:hAnsi="Times New Roman" w:cs="Times New Roman"/>
          <w:sz w:val="21"/>
          <w:szCs w:val="21"/>
        </w:rPr>
        <w:t>J. Dairy Sci.</w:t>
      </w:r>
      <w:r w:rsidRPr="001F60D0">
        <w:rPr>
          <w:rFonts w:ascii="Times New Roman" w:hAnsi="Times New Roman" w:cs="Times New Roman"/>
          <w:sz w:val="21"/>
          <w:szCs w:val="21"/>
        </w:rPr>
        <w:t> 91:4414–4423.</w:t>
      </w:r>
    </w:p>
    <w:p w14:paraId="747F5F8E"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Vitezica Z. G., A. Legarra, M. A. Toro, and L. Varona. 2017. Orthogonal estimates of variances for additive, dominance and epistatic effects in populations. </w:t>
      </w:r>
      <w:r w:rsidRPr="001F60D0">
        <w:rPr>
          <w:rStyle w:val="af"/>
          <w:rFonts w:ascii="Times New Roman" w:hAnsi="Times New Roman" w:cs="Times New Roman"/>
          <w:sz w:val="21"/>
          <w:szCs w:val="21"/>
        </w:rPr>
        <w:t>Genetics</w:t>
      </w:r>
      <w:r w:rsidRPr="001F60D0">
        <w:rPr>
          <w:rFonts w:ascii="Times New Roman" w:hAnsi="Times New Roman" w:cs="Times New Roman"/>
          <w:sz w:val="21"/>
          <w:szCs w:val="21"/>
        </w:rPr>
        <w:t> 206:1297–1307.</w:t>
      </w:r>
    </w:p>
    <w:p w14:paraId="5581C82A"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Vitezica Z. G., A. Reverter, W. Herring, and A. Legarra. 2018. Dominance and epistatic genetic variances for litter size in pigs using genomic models. </w:t>
      </w:r>
      <w:r w:rsidRPr="001F60D0">
        <w:rPr>
          <w:rStyle w:val="af"/>
          <w:rFonts w:ascii="Times New Roman" w:hAnsi="Times New Roman" w:cs="Times New Roman"/>
          <w:sz w:val="21"/>
          <w:szCs w:val="21"/>
        </w:rPr>
        <w:t>Genet. Sel. Evol.</w:t>
      </w:r>
      <w:r w:rsidRPr="001F60D0">
        <w:rPr>
          <w:rFonts w:ascii="Times New Roman" w:hAnsi="Times New Roman" w:cs="Times New Roman"/>
          <w:sz w:val="21"/>
          <w:szCs w:val="21"/>
        </w:rPr>
        <w:t> 50:71.</w:t>
      </w:r>
    </w:p>
    <w:p w14:paraId="6EE8DD94"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Wimmer V., T. Albrecht, H.</w:t>
      </w:r>
      <w:r w:rsidRPr="001F60D0">
        <w:rPr>
          <w:rFonts w:ascii="Times New Roman" w:hAnsi="Times New Roman" w:cs="Times New Roman"/>
          <w:sz w:val="21"/>
          <w:szCs w:val="21"/>
        </w:rPr>
        <w:noBreakHyphen/>
        <w:t>J. Auinger, and C. Lehermeier. 2015. Genome</w:t>
      </w:r>
      <w:r w:rsidRPr="001F60D0">
        <w:rPr>
          <w:rFonts w:ascii="Times New Roman" w:hAnsi="Times New Roman" w:cs="Times New Roman"/>
          <w:sz w:val="21"/>
          <w:szCs w:val="21"/>
        </w:rPr>
        <w:noBreakHyphen/>
        <w:t xml:space="preserve">wide prediction of traits with different genetic architecture through efficient variable selection. </w:t>
      </w:r>
      <w:r w:rsidRPr="001F60D0">
        <w:rPr>
          <w:rStyle w:val="af"/>
          <w:rFonts w:ascii="Times New Roman" w:hAnsi="Times New Roman" w:cs="Times New Roman"/>
          <w:sz w:val="21"/>
          <w:szCs w:val="21"/>
        </w:rPr>
        <w:t>Genetics</w:t>
      </w:r>
      <w:r w:rsidRPr="001F60D0">
        <w:rPr>
          <w:rFonts w:ascii="Times New Roman" w:hAnsi="Times New Roman" w:cs="Times New Roman"/>
          <w:sz w:val="21"/>
          <w:szCs w:val="21"/>
        </w:rPr>
        <w:t> 200:231–245.</w:t>
      </w:r>
    </w:p>
    <w:p w14:paraId="76896D4D"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Wolf J. B., E. D. Brodie III, J. M. Cheverud, A. J. Moore, and M. J. Wade. 2000. Evolutionary consequences of indirect genetic effects. </w:t>
      </w:r>
      <w:r w:rsidRPr="001F60D0">
        <w:rPr>
          <w:rStyle w:val="af"/>
          <w:rFonts w:ascii="Times New Roman" w:hAnsi="Times New Roman" w:cs="Times New Roman"/>
          <w:sz w:val="21"/>
          <w:szCs w:val="21"/>
        </w:rPr>
        <w:t>Trends Ecol. Evol.</w:t>
      </w:r>
      <w:r w:rsidRPr="001F60D0">
        <w:rPr>
          <w:rFonts w:ascii="Times New Roman" w:hAnsi="Times New Roman" w:cs="Times New Roman"/>
          <w:sz w:val="21"/>
          <w:szCs w:val="21"/>
        </w:rPr>
        <w:t> 15:64–69.</w:t>
      </w:r>
    </w:p>
    <w:p w14:paraId="11330A9A" w14:textId="77777777" w:rsidR="001F60D0" w:rsidRPr="001F60D0" w:rsidRDefault="001F60D0" w:rsidP="001F60D0">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Wright S. 1921. Systems of mating. II. The effects of inbreeding on the genetic composition of a population. </w:t>
      </w:r>
      <w:r w:rsidRPr="001F60D0">
        <w:rPr>
          <w:rStyle w:val="af"/>
          <w:rFonts w:ascii="Times New Roman" w:hAnsi="Times New Roman" w:cs="Times New Roman"/>
          <w:sz w:val="21"/>
          <w:szCs w:val="21"/>
        </w:rPr>
        <w:t>Genetics</w:t>
      </w:r>
      <w:r w:rsidRPr="001F60D0">
        <w:rPr>
          <w:rFonts w:ascii="Times New Roman" w:hAnsi="Times New Roman" w:cs="Times New Roman"/>
          <w:sz w:val="21"/>
          <w:szCs w:val="21"/>
        </w:rPr>
        <w:t> 6:124–143.</w:t>
      </w:r>
    </w:p>
    <w:p w14:paraId="1FC0CC53" w14:textId="5E0AB4B9" w:rsidR="00DF5F45" w:rsidRPr="003B41FE" w:rsidRDefault="001F60D0" w:rsidP="00B323BC">
      <w:pPr>
        <w:pStyle w:val="ae"/>
        <w:jc w:val="both"/>
        <w:rPr>
          <w:rFonts w:ascii="Times New Roman" w:hAnsi="Times New Roman" w:cs="Times New Roman"/>
          <w:sz w:val="21"/>
          <w:szCs w:val="21"/>
        </w:rPr>
      </w:pPr>
      <w:r w:rsidRPr="001F60D0">
        <w:rPr>
          <w:rFonts w:ascii="Times New Roman" w:hAnsi="Times New Roman" w:cs="Times New Roman"/>
          <w:sz w:val="21"/>
          <w:szCs w:val="21"/>
        </w:rPr>
        <w:t xml:space="preserve">Zhang Z., P. Xu, B. Hu, Y. Zhang, J. Li, and Q. Sun. 2019. Factors affecting the accuracy of prediction for quantitative traits in dairy cattle. </w:t>
      </w:r>
      <w:r w:rsidRPr="001F60D0">
        <w:rPr>
          <w:rStyle w:val="af"/>
          <w:rFonts w:ascii="Times New Roman" w:hAnsi="Times New Roman" w:cs="Times New Roman"/>
          <w:sz w:val="21"/>
          <w:szCs w:val="21"/>
        </w:rPr>
        <w:t>Genet. Sel. Evol.</w:t>
      </w:r>
      <w:r w:rsidRPr="001F60D0">
        <w:rPr>
          <w:rFonts w:ascii="Times New Roman" w:hAnsi="Times New Roman" w:cs="Times New Roman"/>
          <w:sz w:val="21"/>
          <w:szCs w:val="21"/>
        </w:rPr>
        <w:t> 51:60.</w:t>
      </w:r>
    </w:p>
    <w:sectPr w:rsidR="00DF5F45" w:rsidRPr="003B41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2E5C"/>
    <w:multiLevelType w:val="multilevel"/>
    <w:tmpl w:val="526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166A5"/>
    <w:multiLevelType w:val="multilevel"/>
    <w:tmpl w:val="4B5A3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A221B"/>
    <w:multiLevelType w:val="multilevel"/>
    <w:tmpl w:val="33C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481790">
    <w:abstractNumId w:val="0"/>
  </w:num>
  <w:num w:numId="2" w16cid:durableId="1788085739">
    <w:abstractNumId w:val="1"/>
  </w:num>
  <w:num w:numId="3" w16cid:durableId="825899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794"/>
    <w:rsid w:val="000C1173"/>
    <w:rsid w:val="00116C0C"/>
    <w:rsid w:val="00177CC4"/>
    <w:rsid w:val="001F60D0"/>
    <w:rsid w:val="00280DF5"/>
    <w:rsid w:val="003654F6"/>
    <w:rsid w:val="003B41FE"/>
    <w:rsid w:val="004148B9"/>
    <w:rsid w:val="00450F5A"/>
    <w:rsid w:val="004E0BDE"/>
    <w:rsid w:val="00502B14"/>
    <w:rsid w:val="00560A88"/>
    <w:rsid w:val="005659D8"/>
    <w:rsid w:val="006A2794"/>
    <w:rsid w:val="00760F92"/>
    <w:rsid w:val="007D100A"/>
    <w:rsid w:val="00883CA1"/>
    <w:rsid w:val="008F5667"/>
    <w:rsid w:val="00B323BC"/>
    <w:rsid w:val="00C01E5F"/>
    <w:rsid w:val="00C57D48"/>
    <w:rsid w:val="00CD1335"/>
    <w:rsid w:val="00CF31A9"/>
    <w:rsid w:val="00DF0510"/>
    <w:rsid w:val="00DF5F45"/>
    <w:rsid w:val="00ED1DEA"/>
    <w:rsid w:val="00F54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4DEE"/>
  <w15:chartTrackingRefBased/>
  <w15:docId w15:val="{7A1BB32A-0E3F-4332-964E-EB0071C05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27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A27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A27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A279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A279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A279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A279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279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A279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27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A27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A27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A2794"/>
    <w:rPr>
      <w:rFonts w:cstheme="majorBidi"/>
      <w:color w:val="2F5496" w:themeColor="accent1" w:themeShade="BF"/>
      <w:sz w:val="28"/>
      <w:szCs w:val="28"/>
    </w:rPr>
  </w:style>
  <w:style w:type="character" w:customStyle="1" w:styleId="50">
    <w:name w:val="标题 5 字符"/>
    <w:basedOn w:val="a0"/>
    <w:link w:val="5"/>
    <w:uiPriority w:val="9"/>
    <w:semiHidden/>
    <w:rsid w:val="006A2794"/>
    <w:rPr>
      <w:rFonts w:cstheme="majorBidi"/>
      <w:color w:val="2F5496" w:themeColor="accent1" w:themeShade="BF"/>
      <w:sz w:val="24"/>
      <w:szCs w:val="24"/>
    </w:rPr>
  </w:style>
  <w:style w:type="character" w:customStyle="1" w:styleId="60">
    <w:name w:val="标题 6 字符"/>
    <w:basedOn w:val="a0"/>
    <w:link w:val="6"/>
    <w:uiPriority w:val="9"/>
    <w:semiHidden/>
    <w:rsid w:val="006A2794"/>
    <w:rPr>
      <w:rFonts w:cstheme="majorBidi"/>
      <w:b/>
      <w:bCs/>
      <w:color w:val="2F5496" w:themeColor="accent1" w:themeShade="BF"/>
    </w:rPr>
  </w:style>
  <w:style w:type="character" w:customStyle="1" w:styleId="70">
    <w:name w:val="标题 7 字符"/>
    <w:basedOn w:val="a0"/>
    <w:link w:val="7"/>
    <w:uiPriority w:val="9"/>
    <w:semiHidden/>
    <w:rsid w:val="006A2794"/>
    <w:rPr>
      <w:rFonts w:cstheme="majorBidi"/>
      <w:b/>
      <w:bCs/>
      <w:color w:val="595959" w:themeColor="text1" w:themeTint="A6"/>
    </w:rPr>
  </w:style>
  <w:style w:type="character" w:customStyle="1" w:styleId="80">
    <w:name w:val="标题 8 字符"/>
    <w:basedOn w:val="a0"/>
    <w:link w:val="8"/>
    <w:uiPriority w:val="9"/>
    <w:semiHidden/>
    <w:rsid w:val="006A2794"/>
    <w:rPr>
      <w:rFonts w:cstheme="majorBidi"/>
      <w:color w:val="595959" w:themeColor="text1" w:themeTint="A6"/>
    </w:rPr>
  </w:style>
  <w:style w:type="character" w:customStyle="1" w:styleId="90">
    <w:name w:val="标题 9 字符"/>
    <w:basedOn w:val="a0"/>
    <w:link w:val="9"/>
    <w:uiPriority w:val="9"/>
    <w:semiHidden/>
    <w:rsid w:val="006A2794"/>
    <w:rPr>
      <w:rFonts w:eastAsiaTheme="majorEastAsia" w:cstheme="majorBidi"/>
      <w:color w:val="595959" w:themeColor="text1" w:themeTint="A6"/>
    </w:rPr>
  </w:style>
  <w:style w:type="paragraph" w:styleId="a3">
    <w:name w:val="Title"/>
    <w:basedOn w:val="a"/>
    <w:next w:val="a"/>
    <w:link w:val="a4"/>
    <w:uiPriority w:val="10"/>
    <w:qFormat/>
    <w:rsid w:val="006A279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27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279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27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2794"/>
    <w:pPr>
      <w:spacing w:before="160" w:after="160"/>
      <w:jc w:val="center"/>
    </w:pPr>
    <w:rPr>
      <w:i/>
      <w:iCs/>
      <w:color w:val="404040" w:themeColor="text1" w:themeTint="BF"/>
    </w:rPr>
  </w:style>
  <w:style w:type="character" w:customStyle="1" w:styleId="a8">
    <w:name w:val="引用 字符"/>
    <w:basedOn w:val="a0"/>
    <w:link w:val="a7"/>
    <w:uiPriority w:val="29"/>
    <w:rsid w:val="006A2794"/>
    <w:rPr>
      <w:i/>
      <w:iCs/>
      <w:color w:val="404040" w:themeColor="text1" w:themeTint="BF"/>
    </w:rPr>
  </w:style>
  <w:style w:type="paragraph" w:styleId="a9">
    <w:name w:val="List Paragraph"/>
    <w:basedOn w:val="a"/>
    <w:uiPriority w:val="34"/>
    <w:qFormat/>
    <w:rsid w:val="006A2794"/>
    <w:pPr>
      <w:ind w:left="720"/>
      <w:contextualSpacing/>
    </w:pPr>
  </w:style>
  <w:style w:type="character" w:styleId="aa">
    <w:name w:val="Intense Emphasis"/>
    <w:basedOn w:val="a0"/>
    <w:uiPriority w:val="21"/>
    <w:qFormat/>
    <w:rsid w:val="006A2794"/>
    <w:rPr>
      <w:i/>
      <w:iCs/>
      <w:color w:val="2F5496" w:themeColor="accent1" w:themeShade="BF"/>
    </w:rPr>
  </w:style>
  <w:style w:type="paragraph" w:styleId="ab">
    <w:name w:val="Intense Quote"/>
    <w:basedOn w:val="a"/>
    <w:next w:val="a"/>
    <w:link w:val="ac"/>
    <w:uiPriority w:val="30"/>
    <w:qFormat/>
    <w:rsid w:val="006A2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A2794"/>
    <w:rPr>
      <w:i/>
      <w:iCs/>
      <w:color w:val="2F5496" w:themeColor="accent1" w:themeShade="BF"/>
    </w:rPr>
  </w:style>
  <w:style w:type="character" w:styleId="ad">
    <w:name w:val="Intense Reference"/>
    <w:basedOn w:val="a0"/>
    <w:uiPriority w:val="32"/>
    <w:qFormat/>
    <w:rsid w:val="006A2794"/>
    <w:rPr>
      <w:b/>
      <w:bCs/>
      <w:smallCaps/>
      <w:color w:val="2F5496" w:themeColor="accent1" w:themeShade="BF"/>
      <w:spacing w:val="5"/>
    </w:rPr>
  </w:style>
  <w:style w:type="paragraph" w:styleId="ae">
    <w:name w:val="Normal (Web)"/>
    <w:basedOn w:val="a"/>
    <w:uiPriority w:val="99"/>
    <w:unhideWhenUsed/>
    <w:rsid w:val="001F60D0"/>
    <w:pPr>
      <w:widowControl/>
      <w:spacing w:before="100" w:beforeAutospacing="1" w:after="100" w:afterAutospacing="1"/>
      <w:jc w:val="left"/>
    </w:pPr>
    <w:rPr>
      <w:rFonts w:ascii="宋体" w:eastAsia="宋体" w:hAnsi="宋体" w:cs="宋体"/>
      <w:kern w:val="0"/>
      <w:sz w:val="24"/>
      <w:szCs w:val="24"/>
    </w:rPr>
  </w:style>
  <w:style w:type="character" w:styleId="af">
    <w:name w:val="Emphasis"/>
    <w:basedOn w:val="a0"/>
    <w:uiPriority w:val="20"/>
    <w:qFormat/>
    <w:rsid w:val="001F60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612021">
      <w:bodyDiv w:val="1"/>
      <w:marLeft w:val="0"/>
      <w:marRight w:val="0"/>
      <w:marTop w:val="0"/>
      <w:marBottom w:val="0"/>
      <w:divBdr>
        <w:top w:val="none" w:sz="0" w:space="0" w:color="auto"/>
        <w:left w:val="none" w:sz="0" w:space="0" w:color="auto"/>
        <w:bottom w:val="none" w:sz="0" w:space="0" w:color="auto"/>
        <w:right w:val="none" w:sz="0" w:space="0" w:color="auto"/>
      </w:divBdr>
    </w:div>
    <w:div w:id="67137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1190</TotalTime>
  <Pages>13</Pages>
  <Words>6512</Words>
  <Characters>37123</Characters>
  <Application>Microsoft Office Word</Application>
  <DocSecurity>0</DocSecurity>
  <Lines>309</Lines>
  <Paragraphs>87</Paragraphs>
  <ScaleCrop>false</ScaleCrop>
  <Company/>
  <LinksUpToDate>false</LinksUpToDate>
  <CharactersWithSpaces>43548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Bujun Mei</dc:creator>
  <cp:keywords/>
  <dc:description/>
  <cp:lastModifiedBy>Bujun Mei</cp:lastModifiedBy>
  <cp:revision>46</cp:revision>
  <dcterms:created xsi:type="dcterms:W3CDTF">2025-07-08T09:25:00Z</dcterms:created>
  <dcterms:modified xsi:type="dcterms:W3CDTF">2025-07-09T08:43:00Z</dcterms:modified>
</cp:coreProperties>
</file>