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2.2.0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MetricsEnabled</w:t>
            </w:r>
          </w:p>
        </w:tc>
        <w:tc>
          <w:tcPr>
            <w:tcW w:type="dxa" w:w="1928"/>
          </w:tcPr>
          <w:p>
            <w:pPr>
              <w:spacing w:after="40"/>
            </w:pPr>
            <w:r>
              <w:rPr>
                <w:rFonts w:ascii="Consolas" w:hAnsi="Consolas"/>
                <w:sz w:val="18"/>
              </w:rPr>
              <w:t>false</w:t>
            </w:r>
          </w:p>
        </w:tc>
        <w:tc>
          <w:tcPr>
            <w:tcW w:type="dxa" w:w="4422"/>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35.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36.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37.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38.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39.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40.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41.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2.2.0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