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1.8.2</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irispen-mount.service</w:t>
            </w:r>
          </w:p>
        </w:tc>
        <w:tc>
          <w:tcPr>
            <w:tcW w:type="dxa" w:w="4876"/>
          </w:tcPr>
          <w:p>
            <w:pPr>
              <w:spacing w:after="40"/>
            </w:pPr>
            <w:r>
              <w:rPr>
                <w:rFonts w:ascii="Segoe UI" w:hAnsi="Segoe UI"/>
                <w:sz w:val="19"/>
              </w:rPr>
              <w:t>Monterer IRIS-skanneren (MTP, jmtpfs) på /mnt/irispen, når udev ser den; stoppes og afmonteres, når den trækkes ud (BindsTo=).</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ipr-failure@.service</w:t>
            </w:r>
          </w:p>
        </w:tc>
        <w:tc>
          <w:tcPr>
            <w:tcW w:type="dxa" w:w="4876"/>
            <w:shd w:val="clear" w:color="auto" w:fill="F7FAFC"/>
          </w:tcPr>
          <w:p>
            <w:pPr>
              <w:spacing w:after="40"/>
            </w:pPr>
            <w:r>
              <w:rPr>
                <w:rFonts w:ascii="Segoe UI" w:hAnsi="Segoe UI"/>
                <w:sz w:val="19"/>
              </w:rPr>
              <w:t>OnFailure-handler: skriver én linje pr. fejlet kerneenhed til /var/lib/ipr-keyboard/incidents.log (afsnit 9.5).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ipr-cert-renew.timer</w:t>
            </w:r>
          </w:p>
        </w:tc>
        <w:tc>
          <w:tcPr>
            <w:tcW w:type="dxa" w:w="4876"/>
          </w:tcPr>
          <w:p>
            <w:pPr>
              <w:spacing w:after="40"/>
            </w:pPr>
            <w:r>
              <w:rPr>
                <w:rFonts w:ascii="Segoe UI" w:hAnsi="Segoe UI"/>
                <w:sz w:val="19"/>
              </w:rPr>
              <w:t>Årlig fornyelse af servercertifikatet. CA-nøglen bevares.</w:t>
            </w:r>
          </w:p>
        </w:tc>
        <w:tc>
          <w:tcPr>
            <w:tcW w:type="dxa" w:w="1361"/>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(6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21.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22. Setup-UI'ets sider på /setup/.</w:t>
      </w:r>
    </w:p>
    <w:p>
      <w:pPr>
        <w:pStyle w:val="Heading2"/>
      </w:pPr>
      <w:r>
        <w:t>5.4 Netværksnulstilling</w:t>
      </w:r>
    </w:p>
    <w:p>
      <w:r>
        <w:rPr>
          <w:rFonts w:ascii="Segoe UI" w:hAnsi="Segoe UI"/>
          <w:b w:val="0"/>
          <w:i w:val="0"/>
          <w:sz w:val="21"/>
        </w:rPr>
        <w:t>Magneten holdt i 10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23.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6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(6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6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24.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strømcykling eller SD-kort); tændt eksponerer det kun setup-portalen. SSH og dashboard på hjemmenettet kræver udviklingstilstand (magnet 6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25.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6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26.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27.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 irispen-mount.service active, når skanneren sidder i</w:t>
            </w:r>
          </w:p>
        </w:tc>
        <w:tc>
          <w:tcPr>
            <w:tcW w:type="dxa" w:w="3061"/>
            <w:shd w:val="clear" w:color="auto" w:fill="F7FAFC"/>
          </w:tcPr>
          <w:p>
            <w:pPr>
              <w:spacing w:after="40"/>
            </w:pPr>
            <w:r>
              <w:rPr>
                <w:rFonts w:ascii="Segoe UI" w:hAnsi="Segoe UI"/>
                <w:sz w:val="19"/>
              </w:rPr>
              <w:t>journalctl -u irispen-mount.service; tag USB-stikket ud og i.</w:t>
            </w:r>
          </w:p>
        </w:tc>
      </w:tr>
      <w:tr>
        <w:tc>
          <w:tcPr>
            <w:tcW w:type="dxa" w:w="2721"/>
          </w:tcPr>
          <w:p>
            <w:pPr>
              <w:spacing w:after="40"/>
            </w:pPr>
            <w:r>
              <w:rPr>
                <w:rFonts w:ascii="Segoe UI" w:hAnsi="Segoe UI"/>
                <w:sz w:val="19"/>
              </w:rPr>
              <w:t>Hændelseslog</w:t>
            </w:r>
          </w:p>
        </w:tc>
        <w:tc>
          <w:tcPr>
            <w:tcW w:type="dxa" w:w="3061"/>
          </w:tcPr>
          <w:p>
            <w:pPr>
              <w:spacing w:after="40"/>
            </w:pPr>
            <w:r>
              <w:rPr>
                <w:rFonts w:ascii="Segoe UI" w:hAnsi="Segoe UI"/>
                <w:sz w:val="19"/>
              </w:rPr>
              <w:t>/var/lib/ipr-keyboard/incidents.log er tom</w:t>
            </w:r>
          </w:p>
        </w:tc>
        <w:tc>
          <w:tcPr>
            <w:tcW w:type="dxa" w:w="3061"/>
          </w:tcPr>
          <w:p>
            <w:pPr>
              <w:spacing w:after="40"/>
            </w:pPr>
            <w:r>
              <w:rPr>
                <w:rFonts w:ascii="Segoe UI" w:hAnsi="Segoe UI"/>
                <w:sz w:val="19"/>
              </w:rPr>
              <w:t>Læs linjerne; slå enheden op i journalen (afsnit 9.5).</w:t>
            </w:r>
          </w:p>
        </w:tc>
      </w:tr>
      <w:tr>
        <w:tc>
          <w:tcPr>
            <w:tcW w:type="dxa" w:w="2721"/>
            <w:shd w:val="clear" w:color="auto" w:fill="F7FAFC"/>
          </w:tcPr>
          <w:p>
            <w:pPr>
              <w:spacing w:after="40"/>
            </w:pPr>
            <w:r>
              <w:rPr>
                <w:rFonts w:ascii="Segoe UI" w:hAnsi="Segoe UI"/>
                <w:sz w:val="19"/>
              </w:rPr>
              <w:t>Bluetooth-forbindelse</w:t>
            </w:r>
          </w:p>
        </w:tc>
        <w:tc>
          <w:tcPr>
            <w:tcW w:type="dxa" w:w="3061"/>
            <w:shd w:val="clear" w:color="auto" w:fill="F7FAFC"/>
          </w:tcPr>
          <w:p>
            <w:pPr>
              <w:spacing w:after="40"/>
            </w:pPr>
            <w:r>
              <w:rPr>
                <w:rFonts w:ascii="Segoe UI" w:hAnsi="Segoe UI"/>
                <w:sz w:val="19"/>
              </w:rPr>
              <w:t>bluetoothctl devices Connected viser værten</w:t>
            </w:r>
          </w:p>
        </w:tc>
        <w:tc>
          <w:tcPr>
            <w:tcW w:type="dxa" w:w="3061"/>
            <w:shd w:val="clear" w:color="auto" w:fill="F7FAFC"/>
          </w:tcPr>
          <w:p>
            <w:pPr>
              <w:spacing w:after="40"/>
            </w:pPr>
            <w:r>
              <w:rPr>
                <w:rFonts w:ascii="Segoe UI" w:hAnsi="Segoe UI"/>
                <w:sz w:val="19"/>
              </w:rPr>
              <w:t>Kør parringsdiagnostikken.</w:t>
            </w:r>
          </w:p>
        </w:tc>
      </w:tr>
      <w:tr>
        <w:tc>
          <w:tcPr>
            <w:tcW w:type="dxa" w:w="2721"/>
          </w:tcPr>
          <w:p>
            <w:pPr>
              <w:spacing w:after="40"/>
            </w:pPr>
            <w:r>
              <w:rPr>
                <w:rFonts w:ascii="Segoe UI" w:hAnsi="Segoe UI"/>
                <w:sz w:val="19"/>
              </w:rPr>
              <w:t>Certifikatets udløb</w:t>
            </w:r>
          </w:p>
        </w:tc>
        <w:tc>
          <w:tcPr>
            <w:tcW w:type="dxa" w:w="3061"/>
          </w:tcPr>
          <w:p>
            <w:pPr>
              <w:spacing w:after="40"/>
            </w:pPr>
            <w:r>
              <w:rPr>
                <w:rFonts w:ascii="Segoe UI" w:hAnsi="Segoe UI"/>
                <w:sz w:val="19"/>
              </w:rPr>
              <w:t>Mere end 30 dage tilbage</w:t>
            </w:r>
          </w:p>
        </w:tc>
        <w:tc>
          <w:tcPr>
            <w:tcW w:type="dxa" w:w="3061"/>
          </w:tcPr>
          <w:p>
            <w:pPr>
              <w:spacing w:after="40"/>
            </w:pPr>
            <w:r>
              <w:rPr>
                <w:rFonts w:ascii="Segoe UI" w:hAnsi="Segoe UI"/>
                <w:sz w:val="19"/>
              </w:rPr>
              <w:t>Kør fornyelsen manuelt.</w:t>
            </w:r>
          </w:p>
        </w:tc>
      </w:tr>
      <w:tr>
        <w:tc>
          <w:tcPr>
            <w:tcW w:type="dxa" w:w="2721"/>
            <w:shd w:val="clear" w:color="auto" w:fill="F7FAFC"/>
          </w:tcPr>
          <w:p>
            <w:pPr>
              <w:spacing w:after="40"/>
            </w:pPr>
            <w:r>
              <w:rPr>
                <w:rFonts w:ascii="Segoe UI" w:hAnsi="Segoe UI"/>
                <w:sz w:val="19"/>
              </w:rPr>
              <w:t>Diskplads og logstørrelse</w:t>
            </w:r>
          </w:p>
        </w:tc>
        <w:tc>
          <w:tcPr>
            <w:tcW w:type="dxa" w:w="3061"/>
            <w:shd w:val="clear" w:color="auto" w:fill="F7FAFC"/>
          </w:tcPr>
          <w:p>
            <w:pPr>
              <w:spacing w:after="40"/>
            </w:pPr>
            <w:r>
              <w:rPr>
                <w:rFonts w:ascii="Segoe UI" w:hAnsi="Segoe UI"/>
                <w:sz w:val="19"/>
              </w:rPr>
              <w:t>journald inden for sine grænser</w:t>
            </w:r>
          </w:p>
        </w:tc>
        <w:tc>
          <w:tcPr>
            <w:tcW w:type="dxa" w:w="3061"/>
            <w:shd w:val="clear" w:color="auto" w:fill="F7FAFC"/>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28.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29. Ydelsestal, der registreres når MetricsEnabled er slået til. Alle ses under /api/metrics; opstartstid og pen → BLE vises også på dashboardets forside.</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30.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31.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32.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6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33.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34.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35.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36.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37.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1.8.2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