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2.3.1</w:t>
            </w:r>
          </w:p>
        </w:tc>
      </w:tr>
      <w:tr>
        <w:tc>
          <w:tcPr>
            <w:tcW w:type="dxa" w:w="2551"/>
          </w:tcPr>
          <w:p>
            <w:r>
              <w:rPr>
                <w:rFonts w:ascii="Segoe UI" w:hAnsi="Segoe UI"/>
                <w:b/>
                <w:sz w:val="20"/>
              </w:rPr>
              <w:t>Dato</w:t>
            </w:r>
          </w:p>
        </w:tc>
        <w:tc>
          <w:tcPr>
            <w:tcW w:type="dxa" w:w="5386"/>
          </w:tcPr>
          <w:p>
            <w:r>
              <w:rPr>
                <w:rFonts w:ascii="Segoe UI" w:hAnsi="Segoe UI"/>
                <w:sz w:val="20"/>
              </w:rPr>
              <w:t>5.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rettighederne er for løse — eller der er logget ind som den forkerte bruger. En bar IP-adresse springer aliassets User-linje over, så ssh bruger PC-brugerens navn.</w:t>
            </w:r>
          </w:p>
        </w:tc>
        <w:tc>
          <w:tcPr>
            <w:tcW w:type="dxa" w:w="3855"/>
          </w:tcPr>
          <w:p>
            <w:pPr>
              <w:spacing w:after="40"/>
            </w:pPr>
            <w:r>
              <w:rPr>
                <w:rFonts w:ascii="Segoe UI" w:hAnsi="Segoe UI"/>
                <w:sz w:val="19"/>
              </w:rPr>
              <w:t>Brug aliasset: ssh-copy-id -i ~/.ssh/ipr_rpi.pub ipr-prod-zero2. 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under den adresse, ssh faktisk bruger — ssh -G ipr-prod-zero2 viser den på hostname-linjen. Er adressen fastlagt, som under WSL, er det IP-adressen: ssh-keygen -R 192.168.1.97</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r>
        <w:rPr>
          <w:rFonts w:ascii="Segoe UI" w:hAnsi="Segoe UI"/>
          <w:b w:val="0"/>
          <w:i w:val="0"/>
          <w:sz w:val="21"/>
        </w:rPr>
        <w:t>Skal nøglen lægges på enheden fra WSL, så brug aliasset og ikke IP-adressen. Aliasset bærer User meibye; en bar adresse logger ind som WSL-brugeren og afvises med Permission denied, selv når nøglen er i orden.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ssh-copy-id -i ~/.ssh/ipr_rpi.pub ipr-prod-zero2     # rigtigt</w:t>
        <w:br/>
      </w:r>
      <w:r>
        <w:rPr>
          <w:rFonts w:ascii="Consolas" w:hAnsi="Consolas"/>
          <w:sz w:val="18"/>
        </w:rPr>
        <w:t>ssh-copy-id -i ~/.ssh/ipr_rpi.pub 192.168.1.97       # forkert bruger</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12</w:t>
            </w:r>
          </w:p>
        </w:tc>
        <w:tc>
          <w:tcPr>
            <w:tcW w:type="dxa" w:w="4422"/>
          </w:tcPr>
          <w:p>
            <w:pPr>
              <w:spacing w:after="40"/>
            </w:pPr>
            <w:r>
              <w:rPr>
                <w:rFonts w:ascii="Segoe UI" w:hAnsi="Segoe UI"/>
                <w:sz w:val="19"/>
              </w:rPr>
              <w:t>Skrivehastighed: pause i millisekunder efter hver HID-rapport. Der sendes to rapporter pr. tegn, så 12 ms giver ca. 40 tegn i sekundet. Standardværdien er BT_KEY_DELAY_MS fra /opt/ipr_common.env (12 i den leverede fil; 20, hvis den ikke er sat).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Alle datoer og klokkeslæt på dashboardet vises i tidszonen på den computer eller telefon, der viser siden — ikke enhedens. Kun displayet på selve enheden viser enhedens egen tid.</w:t>
      </w:r>
    </w:p>
    <w:p>
      <w:r>
        <w:rPr>
          <w:rFonts w:ascii="Segoe UI" w:hAnsi="Segoe UI"/>
          <w:b w:val="0"/>
          <w:i w:val="0"/>
          <w:sz w:val="21"/>
        </w:rPr>
        <w:t>Forsidens boks “Device” viser tilstand (drift/udvikling), om hotspottet er tændt (med SSID), hvilket netværk enheden er på med IP-adresse, antal åbne hændelser (fx “1 open ›”; et klik åbner listen,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Dato og tid — </w:t>
      </w:r>
      <w:r>
        <w:rPr>
          <w:rFonts w:ascii="Segoe UI" w:hAnsi="Segoe UI"/>
          <w:sz w:val="21"/>
        </w:rPr>
        <w:t>enhedens ur (vist i din tidszone), hvor meget det afviger fra din computers ur, om det stilles fra internettet (NTP) og fra hvilken server, og enhedens egen tidszone. En administrator kan synkronisere med internettid nu, stille uret efter sin egen computer (når enheden er uden internet, fx på hotspottet) og skifte enhedens tidszone, som bruges på displayet og i logfilerne. Går gennem hjælperen ipr_hotspot_ctl.sh (time sync | set | zone). API: GET/POST /api/time, GET /api/time/zones.</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System → Mode i magnetmenuen.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 — på dashboardet: tallet “Incidents” i boksen Device på forsiden er antallet af åbne hændelser, og et klik åbner listen. For hver hændelse står i almindeligt sprog, hvad der stoppede og hvad den del gør, om den kører igen nu, og hvad man skal gøre. “Show log” viser tjenestens journal fra tre minutter før til et minut efter fejlen. En administrator kan genstarte Bluetooth-tjenesterne derfra og markere hændelsen som håndteret (“Mark as handled”); den tæller så ikke længere med på forsiden, men kan vises igen. Selve hændelsesloggen ændres aldrig — markeringerne gemmes i incidents_handled.json i programmappen. API: GET /api/incidents, GET /api/incidents/log, POST /api/incidents/handled og /api/incidents/restart.</w:t>
      </w:r>
    </w:p>
    <w:p>
      <w:r>
        <w:rPr>
          <w:rFonts w:ascii="Segoe UI" w:hAnsi="Segoe UI"/>
          <w:b w:val="0"/>
          <w:i w:val="0"/>
          <w:sz w:val="21"/>
        </w:rPr>
        <w:t>På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En ny installation bruger BT_KEY_DELAY_MS fra /opt/ipr_common.env — 12 ms i den leverede fil, ca. 40 tegn i sekundet: en side på 1.500 tegn tager ca. 37 sekunder (ved Normal, 20 ms, ca. 60 sekunder). Resten af kæden (detektion, læsning, kø) bidrager med under et halvt sekund tilsammen.</w:t>
      </w:r>
    </w:p>
    <w:tbl>
      <w:tblPr>
        <w:tblStyle w:val="TableGrid"/>
        <w:tblW w:type="auto" w:w="0"/>
        <w:jc w:val="center"/>
        <w:tblLook w:firstColumn="1" w:firstRow="1" w:lastColumn="0" w:lastRow="0" w:noHBand="0" w:noVBand="1" w:val="04A0"/>
      </w:tblPr>
      <w:tblGrid>
        <w:gridCol w:w="1837"/>
        <w:gridCol w:w="1837"/>
        <w:gridCol w:w="1837"/>
        <w:gridCol w:w="1837"/>
        <w:gridCol w:w="1837"/>
      </w:tblGrid>
      <w:tr>
        <w:tc>
          <w:tcPr>
            <w:tcW w:type="dxa" w:w="1361"/>
            <w:shd w:val="clear" w:color="auto" w:fill="2B6CB0"/>
          </w:tcPr>
          <w:p>
            <w:pPr>
              <w:spacing w:after="40"/>
            </w:pPr>
            <w:r>
              <w:rPr>
                <w:rFonts w:ascii="Segoe UI" w:hAnsi="Segoe UI"/>
                <w:b/>
                <w:color w:val="FFFFFF"/>
                <w:sz w:val="19"/>
              </w:rPr>
              <w:t>Indstilling</w:t>
            </w:r>
          </w:p>
        </w:tc>
        <w:tc>
          <w:tcPr>
            <w:tcW w:type="dxa" w:w="907"/>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Teoretisk</w:t>
            </w:r>
          </w:p>
        </w:tc>
        <w:tc>
          <w:tcPr>
            <w:tcW w:type="dxa" w:w="1020"/>
            <w:shd w:val="clear" w:color="auto" w:fill="2B6CB0"/>
          </w:tcPr>
          <w:p>
            <w:pPr>
              <w:spacing w:after="40"/>
            </w:pPr>
            <w:r>
              <w:rPr>
                <w:rFonts w:ascii="Segoe UI" w:hAnsi="Segoe UI"/>
                <w:b/>
                <w:color w:val="FFFFFF"/>
                <w:sz w:val="19"/>
              </w:rPr>
              <w:t>Opnåeligt</w:t>
            </w:r>
          </w:p>
        </w:tc>
        <w:tc>
          <w:tcPr>
            <w:tcW w:type="dxa" w:w="4535"/>
            <w:shd w:val="clear" w:color="auto" w:fill="2B6CB0"/>
          </w:tcPr>
          <w:p>
            <w:pPr>
              <w:spacing w:after="40"/>
            </w:pPr>
            <w:r>
              <w:rPr>
                <w:rFonts w:ascii="Segoe UI" w:hAnsi="Segoe UI"/>
                <w:b/>
                <w:color w:val="FFFFFF"/>
                <w:sz w:val="19"/>
              </w:rPr>
              <w:t>Bemærkning</w:t>
            </w:r>
          </w:p>
        </w:tc>
      </w:tr>
      <w:tr>
        <w:tc>
          <w:tcPr>
            <w:tcW w:type="dxa" w:w="1361"/>
          </w:tcPr>
          <w:p>
            <w:pPr>
              <w:spacing w:after="40"/>
            </w:pPr>
            <w:r>
              <w:rPr>
                <w:rFonts w:ascii="Segoe UI" w:hAnsi="Segoe UI"/>
                <w:sz w:val="19"/>
              </w:rPr>
              <w:t>Normal</w:t>
            </w:r>
          </w:p>
        </w:tc>
        <w:tc>
          <w:tcPr>
            <w:tcW w:type="dxa" w:w="907"/>
          </w:tcPr>
          <w:p>
            <w:pPr>
              <w:spacing w:after="40"/>
            </w:pPr>
            <w:r>
              <w:rPr>
                <w:rFonts w:ascii="Segoe UI" w:hAnsi="Segoe UI"/>
                <w:sz w:val="19"/>
              </w:rPr>
              <w:t>20 ms</w:t>
            </w:r>
          </w:p>
        </w:tc>
        <w:tc>
          <w:tcPr>
            <w:tcW w:type="dxa" w:w="1020"/>
          </w:tcPr>
          <w:p>
            <w:pPr>
              <w:spacing w:after="40"/>
            </w:pPr>
            <w:r>
              <w:rPr>
                <w:rFonts w:ascii="Segoe UI" w:hAnsi="Segoe UI"/>
                <w:sz w:val="19"/>
              </w:rPr>
              <w:t>25/s</w:t>
            </w:r>
          </w:p>
        </w:tc>
        <w:tc>
          <w:tcPr>
            <w:tcW w:type="dxa" w:w="1020"/>
          </w:tcPr>
          <w:p>
            <w:pPr>
              <w:spacing w:after="40"/>
            </w:pPr>
            <w:r>
              <w:rPr>
                <w:rFonts w:ascii="Segoe UI" w:hAnsi="Segoe UI"/>
                <w:sz w:val="19"/>
              </w:rPr>
              <w:t>25/s</w:t>
            </w:r>
          </w:p>
        </w:tc>
        <w:tc>
          <w:tcPr>
            <w:tcW w:type="dxa" w:w="4535"/>
          </w:tcPr>
          <w:p>
            <w:pPr>
              <w:spacing w:after="40"/>
            </w:pPr>
            <w:r>
              <w:rPr>
                <w:rFonts w:ascii="Segoe UI" w:hAnsi="Segoe UI"/>
                <w:sz w:val="19"/>
              </w:rPr>
              <w:t>Her er det forsinkelsen, der sætter grænsen.</w:t>
            </w:r>
          </w:p>
        </w:tc>
      </w:tr>
      <w:tr>
        <w:tc>
          <w:tcPr>
            <w:tcW w:type="dxa" w:w="1361"/>
            <w:shd w:val="clear" w:color="auto" w:fill="F7FAFC"/>
          </w:tcPr>
          <w:p>
            <w:pPr>
              <w:spacing w:after="40"/>
            </w:pPr>
            <w:r>
              <w:rPr>
                <w:rFonts w:ascii="Segoe UI" w:hAnsi="Segoe UI"/>
                <w:sz w:val="19"/>
              </w:rPr>
              <w:t>Hurtig</w:t>
            </w:r>
          </w:p>
        </w:tc>
        <w:tc>
          <w:tcPr>
            <w:tcW w:type="dxa" w:w="907"/>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42/s</w:t>
            </w:r>
          </w:p>
        </w:tc>
        <w:tc>
          <w:tcPr>
            <w:tcW w:type="dxa" w:w="1020"/>
            <w:shd w:val="clear" w:color="auto" w:fill="F7FAFC"/>
          </w:tcPr>
          <w:p>
            <w:pPr>
              <w:spacing w:after="40"/>
            </w:pPr>
            <w:r>
              <w:rPr>
                <w:rFonts w:ascii="Segoe UI" w:hAnsi="Segoe UI"/>
                <w:sz w:val="19"/>
              </w:rPr>
              <w:t>ca. 40/s</w:t>
            </w:r>
          </w:p>
        </w:tc>
        <w:tc>
          <w:tcPr>
            <w:tcW w:type="dxa" w:w="4535"/>
            <w:shd w:val="clear" w:color="auto" w:fill="F7FAFC"/>
          </w:tcPr>
          <w:p>
            <w:pPr>
              <w:spacing w:after="40"/>
            </w:pPr>
            <w:r>
              <w:rPr>
                <w:rFonts w:ascii="Segoe UI" w:hAnsi="Segoe UI"/>
                <w:sz w:val="19"/>
              </w:rPr>
              <w:t>Standard ved en ny installation. I praksis det bedste valg.</w:t>
            </w:r>
          </w:p>
        </w:tc>
      </w:tr>
      <w:tr>
        <w:tc>
          <w:tcPr>
            <w:tcW w:type="dxa" w:w="1361"/>
          </w:tcPr>
          <w:p>
            <w:pPr>
              <w:spacing w:after="40"/>
            </w:pPr>
            <w:r>
              <w:rPr>
                <w:rFonts w:ascii="Segoe UI" w:hAnsi="Segoe UI"/>
                <w:sz w:val="19"/>
              </w:rPr>
              <w:t>Hurtigere</w:t>
            </w:r>
          </w:p>
        </w:tc>
        <w:tc>
          <w:tcPr>
            <w:tcW w:type="dxa" w:w="907"/>
          </w:tcPr>
          <w:p>
            <w:pPr>
              <w:spacing w:after="40"/>
            </w:pPr>
            <w:r>
              <w:rPr>
                <w:rFonts w:ascii="Segoe UI" w:hAnsi="Segoe UI"/>
                <w:sz w:val="19"/>
              </w:rPr>
              <w:t>8 ms</w:t>
            </w:r>
          </w:p>
        </w:tc>
        <w:tc>
          <w:tcPr>
            <w:tcW w:type="dxa" w:w="1020"/>
          </w:tcPr>
          <w:p>
            <w:pPr>
              <w:spacing w:after="40"/>
            </w:pPr>
            <w:r>
              <w:rPr>
                <w:rFonts w:ascii="Segoe UI" w:hAnsi="Segoe UI"/>
                <w:sz w:val="19"/>
              </w:rPr>
              <w:t>62/s</w:t>
            </w:r>
          </w:p>
        </w:tc>
        <w:tc>
          <w:tcPr>
            <w:tcW w:type="dxa" w:w="1020"/>
          </w:tcPr>
          <w:p>
            <w:pPr>
              <w:spacing w:after="40"/>
            </w:pPr>
            <w:r>
              <w:rPr>
                <w:rFonts w:ascii="Segoe UI" w:hAnsi="Segoe UI"/>
                <w:sz w:val="19"/>
              </w:rPr>
              <w:t>33–44/s</w:t>
            </w:r>
          </w:p>
        </w:tc>
        <w:tc>
          <w:tcPr>
            <w:tcW w:type="dxa" w:w="4535"/>
          </w:tcPr>
          <w:p>
            <w:pPr>
              <w:spacing w:after="40"/>
            </w:pPr>
            <w:r>
              <w:rPr>
                <w:rFonts w:ascii="Segoe UI" w:hAnsi="Segoe UI"/>
                <w:sz w:val="19"/>
              </w:rPr>
              <w:t>På eller under værtens interval: ingen reel gevinst.</w:t>
            </w:r>
          </w:p>
        </w:tc>
      </w:tr>
      <w:tr>
        <w:tc>
          <w:tcPr>
            <w:tcW w:type="dxa" w:w="1361"/>
            <w:shd w:val="clear" w:color="auto" w:fill="F7FAFC"/>
          </w:tcPr>
          <w:p>
            <w:pPr>
              <w:spacing w:after="40"/>
            </w:pPr>
            <w:r>
              <w:rPr>
                <w:rFonts w:ascii="Segoe UI" w:hAnsi="Segoe UI"/>
                <w:sz w:val="19"/>
              </w:rPr>
              <w:t>Hurtigst</w:t>
            </w:r>
          </w:p>
        </w:tc>
        <w:tc>
          <w:tcPr>
            <w:tcW w:type="dxa" w:w="907"/>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125/s</w:t>
            </w:r>
          </w:p>
        </w:tc>
        <w:tc>
          <w:tcPr>
            <w:tcW w:type="dxa" w:w="1020"/>
            <w:shd w:val="clear" w:color="auto" w:fill="F7FAFC"/>
          </w:tcPr>
          <w:p>
            <w:pPr>
              <w:spacing w:after="40"/>
            </w:pPr>
            <w:r>
              <w:rPr>
                <w:rFonts w:ascii="Segoe UI" w:hAnsi="Segoe UI"/>
                <w:sz w:val="19"/>
              </w:rPr>
              <w:t>33–44/s</w:t>
            </w:r>
          </w:p>
        </w:tc>
        <w:tc>
          <w:tcPr>
            <w:tcW w:type="dxa" w:w="4535"/>
            <w:shd w:val="clear" w:color="auto" w:fill="F7FAFC"/>
          </w:tcPr>
          <w:p>
            <w:pPr>
              <w:spacing w:after="40"/>
            </w:pPr>
            <w:r>
              <w:rPr>
                <w:rFonts w:ascii="Segoe UI" w:hAnsi="Segoe UI"/>
                <w:sz w:val="19"/>
              </w:rPr>
              <w:t>Ingen gevinst, og forvent tab af tegn.</w:t>
            </w:r>
          </w:p>
        </w:tc>
      </w:tr>
    </w:tbl>
    <w:p>
      <w:pPr>
        <w:spacing w:before="60" w:after="240"/>
        <w:jc w:val="center"/>
      </w:pPr>
      <w:r>
        <w:rPr>
          <w:rFonts w:ascii="Segoe UI" w:hAnsi="Segoe UI"/>
          <w:i/>
          <w:color w:val="606C80"/>
          <w:sz w:val="18"/>
        </w:rPr>
        <w:t>Tabel 35. Skrivehastigheder under Indstillinger. Den teoretiske værdi kan ikke nås: se loftet herunder.</w:t>
      </w:r>
    </w:p>
    <w:p>
      <w:r>
        <w:rPr>
          <w:rFonts w:ascii="Segoe UI" w:hAnsi="Segoe UI"/>
          <w:b w:val="0"/>
          <w:i w:val="0"/>
          <w:sz w:val="21"/>
        </w:rP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type="auto" w:w="0"/>
        <w:jc w:val="center"/>
        <w:tblLook w:firstColumn="1" w:firstRow="1" w:lastColumn="0" w:lastRow="0" w:noHBand="0" w:noVBand="1" w:val="04A0"/>
      </w:tblPr>
      <w:tblGrid>
        <w:gridCol w:w="3061"/>
        <w:gridCol w:w="3061"/>
        <w:gridCol w:w="3061"/>
      </w:tblGrid>
      <w:tr>
        <w:tc>
          <w:tcPr>
            <w:tcW w:type="dxa" w:w="2268"/>
            <w:shd w:val="clear" w:color="auto" w:fill="2B6CB0"/>
          </w:tcPr>
          <w:p>
            <w:pPr>
              <w:spacing w:after="40"/>
            </w:pPr>
            <w:r>
              <w:rPr>
                <w:rFonts w:ascii="Segoe UI" w:hAnsi="Segoe UI"/>
                <w:b/>
                <w:color w:val="FFFFFF"/>
                <w:sz w:val="19"/>
              </w:rPr>
              <w:t>Forbindelsesinterval</w:t>
            </w:r>
          </w:p>
        </w:tc>
        <w:tc>
          <w:tcPr>
            <w:tcW w:type="dxa" w:w="2268"/>
            <w:shd w:val="clear" w:color="auto" w:fill="2B6CB0"/>
          </w:tcPr>
          <w:p>
            <w:pPr>
              <w:spacing w:after="40"/>
            </w:pPr>
            <w:r>
              <w:rPr>
                <w:rFonts w:ascii="Segoe UI" w:hAnsi="Segoe UI"/>
                <w:b/>
                <w:color w:val="FFFFFF"/>
                <w:sz w:val="19"/>
              </w:rPr>
              <w:t>Gulv pr. tegn</w:t>
            </w:r>
          </w:p>
        </w:tc>
        <w:tc>
          <w:tcPr>
            <w:tcW w:type="dxa" w:w="4309"/>
            <w:shd w:val="clear" w:color="auto" w:fill="2B6CB0"/>
          </w:tcPr>
          <w:p>
            <w:pPr>
              <w:spacing w:after="40"/>
            </w:pPr>
            <w:r>
              <w:rPr>
                <w:rFonts w:ascii="Segoe UI" w:hAnsi="Segoe UI"/>
                <w:b/>
                <w:color w:val="FFFFFF"/>
                <w:sz w:val="19"/>
              </w:rPr>
              <w:t>Loft</w:t>
            </w:r>
          </w:p>
        </w:tc>
      </w:tr>
      <w:tr>
        <w:tc>
          <w:tcPr>
            <w:tcW w:type="dxa" w:w="2268"/>
          </w:tcPr>
          <w:p>
            <w:pPr>
              <w:spacing w:after="40"/>
            </w:pPr>
            <w:r>
              <w:rPr>
                <w:rFonts w:ascii="Segoe UI" w:hAnsi="Segoe UI"/>
                <w:sz w:val="19"/>
              </w:rPr>
              <w:t>7,5 ms</w:t>
            </w:r>
          </w:p>
        </w:tc>
        <w:tc>
          <w:tcPr>
            <w:tcW w:type="dxa" w:w="2268"/>
          </w:tcPr>
          <w:p>
            <w:pPr>
              <w:spacing w:after="40"/>
            </w:pPr>
            <w:r>
              <w:rPr>
                <w:rFonts w:ascii="Segoe UI" w:hAnsi="Segoe UI"/>
                <w:sz w:val="19"/>
              </w:rPr>
              <w:t>15 ms</w:t>
            </w:r>
          </w:p>
        </w:tc>
        <w:tc>
          <w:tcPr>
            <w:tcW w:type="dxa" w:w="4309"/>
          </w:tcPr>
          <w:p>
            <w:pPr>
              <w:spacing w:after="40"/>
            </w:pPr>
            <w:r>
              <w:rPr>
                <w:rFonts w:ascii="Segoe UI" w:hAnsi="Segoe UI"/>
                <w:sz w:val="19"/>
              </w:rPr>
              <w:t>66 tegn/s</w:t>
            </w:r>
          </w:p>
        </w:tc>
      </w:tr>
      <w:tr>
        <w:tc>
          <w:tcPr>
            <w:tcW w:type="dxa" w:w="2268"/>
            <w:shd w:val="clear" w:color="auto" w:fill="F7FAFC"/>
          </w:tcPr>
          <w:p>
            <w:pPr>
              <w:spacing w:after="40"/>
            </w:pPr>
            <w:r>
              <w:rPr>
                <w:rFonts w:ascii="Segoe UI" w:hAnsi="Segoe UI"/>
                <w:sz w:val="19"/>
              </w:rPr>
              <w:t>11,25 ms</w:t>
            </w:r>
          </w:p>
        </w:tc>
        <w:tc>
          <w:tcPr>
            <w:tcW w:type="dxa" w:w="2268"/>
            <w:shd w:val="clear" w:color="auto" w:fill="F7FAFC"/>
          </w:tcPr>
          <w:p>
            <w:pPr>
              <w:spacing w:after="40"/>
            </w:pPr>
            <w:r>
              <w:rPr>
                <w:rFonts w:ascii="Segoe UI" w:hAnsi="Segoe UI"/>
                <w:sz w:val="19"/>
              </w:rPr>
              <w:t>22,5 ms</w:t>
            </w:r>
          </w:p>
        </w:tc>
        <w:tc>
          <w:tcPr>
            <w:tcW w:type="dxa" w:w="4309"/>
            <w:shd w:val="clear" w:color="auto" w:fill="F7FAFC"/>
          </w:tcPr>
          <w:p>
            <w:pPr>
              <w:spacing w:after="40"/>
            </w:pPr>
            <w:r>
              <w:rPr>
                <w:rFonts w:ascii="Segoe UI" w:hAnsi="Segoe UI"/>
                <w:sz w:val="19"/>
              </w:rPr>
              <w:t>44 tegn/s</w:t>
            </w:r>
          </w:p>
        </w:tc>
      </w:tr>
      <w:tr>
        <w:tc>
          <w:tcPr>
            <w:tcW w:type="dxa" w:w="2268"/>
          </w:tcPr>
          <w:p>
            <w:pPr>
              <w:spacing w:after="40"/>
            </w:pPr>
            <w:r>
              <w:rPr>
                <w:rFonts w:ascii="Segoe UI" w:hAnsi="Segoe UI"/>
                <w:sz w:val="19"/>
              </w:rPr>
              <w:t>15 ms</w:t>
            </w:r>
          </w:p>
        </w:tc>
        <w:tc>
          <w:tcPr>
            <w:tcW w:type="dxa" w:w="2268"/>
          </w:tcPr>
          <w:p>
            <w:pPr>
              <w:spacing w:after="40"/>
            </w:pPr>
            <w:r>
              <w:rPr>
                <w:rFonts w:ascii="Segoe UI" w:hAnsi="Segoe UI"/>
                <w:sz w:val="19"/>
              </w:rPr>
              <w:t>30 ms</w:t>
            </w:r>
          </w:p>
        </w:tc>
        <w:tc>
          <w:tcPr>
            <w:tcW w:type="dxa" w:w="4309"/>
          </w:tcPr>
          <w:p>
            <w:pPr>
              <w:spacing w:after="40"/>
            </w:pPr>
            <w:r>
              <w:rPr>
                <w:rFonts w:ascii="Segoe UI" w:hAnsi="Segoe UI"/>
                <w:sz w:val="19"/>
              </w:rPr>
              <w:t>33 tegn/s</w:t>
            </w:r>
          </w:p>
        </w:tc>
      </w:tr>
    </w:tbl>
    <w:p>
      <w:pPr>
        <w:spacing w:before="60" w:after="240"/>
        <w:jc w:val="center"/>
      </w:pPr>
      <w:r>
        <w:rPr>
          <w:rFonts w:ascii="Segoe UI" w:hAnsi="Segoe UI"/>
          <w:i/>
          <w:color w:val="606C80"/>
          <w:sz w:val="18"/>
        </w:rPr>
        <w:t>Tabel 36. Loftet sat af radioen, ikke af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r>
        <w:tc>
          <w:tcPr>
            <w:tcW w:type="dxa" w:w="2381"/>
          </w:tcPr>
          <w:p>
            <w:pPr>
              <w:spacing w:after="40"/>
            </w:pPr>
            <w:r>
              <w:rPr>
                <w:rFonts w:ascii="Segoe UI" w:hAnsi="Segoe UI"/>
                <w:sz w:val="19"/>
              </w:rPr>
              <w:t>Efter en geninstallation af enheden skifter PC'en hele tiden mellem Tilsluttet og Ikke tilsluttet, og displayet viser “PC connecting…”.</w:t>
            </w:r>
          </w:p>
        </w:tc>
        <w:tc>
          <w:tcPr>
            <w:tcW w:type="dxa" w:w="2721"/>
          </w:tcPr>
          <w:p>
            <w:pPr>
              <w:spacing w:after="40"/>
            </w:pPr>
            <w:r>
              <w:rPr>
                <w:rFonts w:ascii="Segoe UI" w:hAnsi="Segoe UI"/>
                <w:sz w:val="19"/>
              </w:rPr>
              <w:t>PC'en har stadig nøglerne fra før geninstallationen; den nye installation har ingen. På Pi'en viser bluetoothctl info &lt;MAC&gt; “Paired: no”, og navnet er blot adressen.</w:t>
            </w:r>
          </w:p>
        </w:tc>
        <w:tc>
          <w:tcPr>
            <w:tcW w:type="dxa" w:w="3742"/>
          </w:tcPr>
          <w:p>
            <w:pPr>
              <w:spacing w:after="40"/>
            </w:pPr>
            <w:r>
              <w:rPr>
                <w:rFonts w:ascii="Segoe UI" w:hAnsi="Segoe UI"/>
                <w:sz w:val="19"/>
              </w:rPr>
              <w:t>Fjern “IPR Keyboard” i Windows, og par forfra. Enheden kan ikke selv rette det — den kan ikke tage imod nøgler, den ikke har. Næste gang: fjern enheden på PC'en, FØR den geninstalleres.</w:t>
            </w:r>
          </w:p>
        </w:tc>
      </w:tr>
    </w:tbl>
    <w:p>
      <w:pPr>
        <w:spacing w:before="60" w:after="240"/>
        <w:jc w:val="center"/>
      </w:pPr>
      <w:r>
        <w:rPr>
          <w:rFonts w:ascii="Segoe UI" w:hAnsi="Segoe UI"/>
          <w:i/>
          <w:color w:val="606C80"/>
          <w:sz w:val="18"/>
        </w:rPr>
        <w:t>Tabel 37.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38.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Vælg System → Mode i magnetmenuen (på bokse uden display: hold i 10 sekunder, hvor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39.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40.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Power → Sluk i magnetmenuen lukker enheden ned: hvid, derefter slukket lampe (6 sekunders hold på bokse uden display).</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&lt;adresse&gt;                             # ryd gammel værtsnøgle (ssh -G viser adressen)</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/api/actions/hotspot</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Start/stop hotspottet (administrator).</w:t>
            </w:r>
          </w:p>
        </w:tc>
      </w:tr>
      <w:tr>
        <w:tc>
          <w:tcPr>
            <w:tcW w:type="dxa" w:w="3628"/>
            <w:shd w:val="clear" w:color="auto" w:fill="F7FAFC"/>
          </w:tcPr>
          <w:p>
            <w:pPr>
              <w:spacing w:after="40"/>
            </w:pPr>
            <w:r>
              <w:rPr>
                <w:rFonts w:ascii="Consolas" w:hAnsi="Consolas"/>
                <w:sz w:val="18"/>
              </w:rPr>
              <w:t>/api/device</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Boksen Device: tilstand, hotspot, netværk, hændelser, ur.</w:t>
            </w:r>
          </w:p>
        </w:tc>
      </w:tr>
      <w:tr>
        <w:tc>
          <w:tcPr>
            <w:tcW w:type="dxa" w:w="3628"/>
          </w:tcPr>
          <w:p>
            <w:pPr>
              <w:spacing w:after="40"/>
            </w:pPr>
            <w:r>
              <w:rPr>
                <w:rFonts w:ascii="Consolas" w:hAnsi="Consolas"/>
                <w:sz w:val="18"/>
              </w:rPr>
              <w:t>/api/incidents · /log · /handled · /restart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Hændelser forklaret, deres log, markér som håndteret, genstart (afsnit 9.5).</w:t>
            </w:r>
          </w:p>
        </w:tc>
      </w:tr>
      <w:tr>
        <w:tc>
          <w:tcPr>
            <w:tcW w:type="dxa" w:w="3628"/>
            <w:shd w:val="clear" w:color="auto" w:fill="F7FAFC"/>
          </w:tcPr>
          <w:p>
            <w:pPr>
              <w:spacing w:after="40"/>
            </w:pPr>
            <w:r>
              <w:rPr>
                <w:rFonts w:ascii="Consolas" w:hAnsi="Consolas"/>
                <w:sz w:val="18"/>
              </w:rPr>
              <w:t>/api/time · /api/time/zones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Enhedens ur og tidszone; POST kræver administrator.</w:t>
            </w:r>
          </w:p>
        </w:tc>
      </w:tr>
      <w:tr>
        <w:tc>
          <w:tcPr>
            <w:tcW w:type="dxa" w:w="3628"/>
          </w:tcPr>
          <w:p>
            <w:pPr>
              <w:spacing w:after="40"/>
            </w:pPr>
            <w:r>
              <w:rPr>
                <w:rFonts w:ascii="Consolas" w:hAnsi="Consolas"/>
                <w:sz w:val="18"/>
              </w:rPr>
              <w:t>/api/metrics · /api/metrics/reset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Ydelsestal (afsnit 9.4).</w:t>
            </w:r>
          </w:p>
        </w:tc>
      </w:tr>
      <w:tr>
        <w:tc>
          <w:tcPr>
            <w:tcW w:type="dxa" w:w="3628"/>
            <w:shd w:val="clear" w:color="auto" w:fill="F7FAFC"/>
          </w:tcPr>
          <w:p>
            <w:pPr>
              <w:spacing w:after="40"/>
            </w:pPr>
            <w:r>
              <w:rPr>
                <w:rFonts w:ascii="Consolas" w:hAnsi="Consolas"/>
                <w:sz w:val="18"/>
              </w:rPr>
              <w:t>/api/stream</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Server-Sent Events med løbende tilstand.</w:t>
            </w:r>
          </w:p>
        </w:tc>
      </w:tr>
      <w:tr>
        <w:tc>
          <w:tcPr>
            <w:tcW w:type="dxa" w:w="3628"/>
          </w:tcPr>
          <w:p>
            <w:pPr>
              <w:spacing w:after="40"/>
            </w:pPr>
            <w:r>
              <w:rPr>
                <w:rFonts w:ascii="Consolas" w:hAnsi="Consolas"/>
                <w:sz w:val="18"/>
              </w:rPr>
              <w:t>/api/debug/services · /&lt;navn&gt;/&lt;handling&gt;</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Tjenestestatus og start/stop/genstart.</w:t>
            </w:r>
          </w:p>
        </w:tc>
      </w:tr>
      <w:tr>
        <w:tc>
          <w:tcPr>
            <w:tcW w:type="dxa" w:w="3628"/>
            <w:shd w:val="clear" w:color="auto" w:fill="F7FAFC"/>
          </w:tcPr>
          <w:p>
            <w:pPr>
              <w:spacing w:after="40"/>
            </w:pPr>
            <w:r>
              <w:rPr>
                <w:rFonts w:ascii="Consolas" w:hAnsi="Consolas"/>
                <w:sz w:val="18"/>
              </w:rPr>
              <w:t>/api/debug/send-text · send-file · typing-trial · pen-files</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Manuel afsendelse, skrivehastighedstest og indsigt i pen-mappen.</w:t>
            </w:r>
          </w:p>
        </w:tc>
      </w:tr>
      <w:tr>
        <w:tc>
          <w:tcPr>
            <w:tcW w:type="dxa" w:w="3628"/>
          </w:tcPr>
          <w:p>
            <w:pPr>
              <w:spacing w:after="40"/>
            </w:pPr>
            <w:r>
              <w:rPr>
                <w:rFonts w:ascii="Consolas" w:hAnsi="Consolas"/>
                <w:sz w:val="18"/>
              </w:rPr>
              <w:t>/api/auth/login · logout · me · users</w:t>
            </w:r>
          </w:p>
        </w:tc>
        <w:tc>
          <w:tcPr>
            <w:tcW w:type="dxa" w:w="1474"/>
          </w:tcPr>
          <w:p>
            <w:pPr>
              <w:spacing w:after="40"/>
            </w:pPr>
            <w:r>
              <w:rPr>
                <w:rFonts w:ascii="Segoe UI" w:hAnsi="Segoe UI"/>
                <w:sz w:val="19"/>
              </w:rPr>
              <w:t>GET, POST, PUT, DELETE</w:t>
            </w:r>
          </w:p>
        </w:tc>
        <w:tc>
          <w:tcPr>
            <w:tcW w:type="dxa" w:w="3742"/>
          </w:tcPr>
          <w:p>
            <w:pPr>
              <w:spacing w:after="40"/>
            </w:pPr>
            <w:r>
              <w:rPr>
                <w:rFonts w:ascii="Segoe UI" w:hAnsi="Segoe UI"/>
                <w:sz w:val="19"/>
              </w:rPr>
              <w:t>Sessions- og brugeradministration.</w:t>
            </w:r>
          </w:p>
        </w:tc>
      </w:tr>
      <w:tr>
        <w:tc>
          <w:tcPr>
            <w:tcW w:type="dxa" w:w="3628"/>
            <w:shd w:val="clear" w:color="auto" w:fill="F7FAFC"/>
          </w:tcPr>
          <w:p>
            <w:pPr>
              <w:spacing w:after="40"/>
            </w:pPr>
            <w:r>
              <w:rPr>
                <w:rFonts w:ascii="Consolas" w:hAnsi="Consolas"/>
                <w:sz w:val="18"/>
              </w:rPr>
              <w:t>/api/version</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2.3.1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