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2.3.1</w:t>
            </w:r>
          </w:p>
        </w:tc>
      </w:tr>
      <w:tr>
        <w:tc>
          <w:tcPr>
            <w:tcW w:type="dxa" w:w="2551"/>
          </w:tcPr>
          <w:p>
            <w:r>
              <w:rPr>
                <w:rFonts w:ascii="Segoe UI" w:hAnsi="Segoe UI"/>
                <w:b/>
                <w:sz w:val="20"/>
              </w:rPr>
              <w:t>Dato</w:t>
            </w:r>
          </w:p>
        </w:tc>
        <w:tc>
          <w:tcPr>
            <w:tcW w:type="dxa" w:w="5386"/>
          </w:tcPr>
          <w:p>
            <w:r>
              <w:rPr>
                <w:rFonts w:ascii="Segoe UI" w:hAnsi="Segoe UI"/>
                <w:sz w:val="20"/>
              </w:rPr>
              <w:t>5.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rettighederne er for løse — eller der er logget ind som den forkerte bruger. En bar IP-adresse springer aliassets User-linje over, så ssh bruger PC-brugerens navn.</w:t>
            </w:r>
          </w:p>
        </w:tc>
        <w:tc>
          <w:tcPr>
            <w:tcW w:type="dxa" w:w="3855"/>
          </w:tcPr>
          <w:p>
            <w:pPr>
              <w:spacing w:after="40"/>
            </w:pPr>
            <w:r>
              <w:rPr>
                <w:rFonts w:ascii="Segoe UI" w:hAnsi="Segoe UI"/>
                <w:sz w:val="19"/>
              </w:rPr>
              <w:t>Brug aliasset: ssh-copy-id -i ~/.ssh/ipr_rpi.pub ipr-prod-zero2. 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under den adresse, ssh faktisk bruger — ssh -G ipr-prod-zero2 viser den på hostname-linjen. Er adressen fastlagt, som under WSL, er det IP-adressen: ssh-keygen -R 192.168.1.97</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Skriptet slutter med at prøve et nøglelogin på hver enhed. En enhed, der ikke svarer, markeres FAIL med årsagen på linjen under: slukket eller på et andet net, navnet kan ikke slås op, SSH er ikke startet endnu, ny værtsnøgle, eller nøglen afvises. Kommandoen, der retter fejlen, står med. En slukket enhed giver altid FAIL og kan ignoreres.</w:t>
      </w:r>
    </w:p>
    <w:p>
      <w:r>
        <w:rPr>
          <w:rFonts w:ascii="Segoe UI" w:hAnsi="Segoe UI"/>
          <w:b w:val="0"/>
          <w:i w:val="0"/>
          <w:sz w:val="21"/>
        </w:rPr>
        <w:t>Skal nøglen lægges på enheden fra WSL, så brug aliasset og ikke IP-adressen. Aliasset bærer User meibye; en bar adresse logger ind som WSL-brugeren og afvises med Permission denied, selv når nøglen er i orden.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ssh-copy-id -i ~/.ssh/ipr_rpi.pub ipr-prod-zero2     # rigtigt</w:t>
        <w:br/>
      </w:r>
      <w:r>
        <w:rPr>
          <w:rFonts w:ascii="Consolas" w:hAnsi="Consolas"/>
          <w:sz w:val="18"/>
        </w:rPr>
        <w:t>ssh-copy-id -i ~/.ssh/ipr_rpi.pub 192.168.1.97       # forkert bruger</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TypingDelayMs</w:t>
            </w:r>
          </w:p>
        </w:tc>
        <w:tc>
          <w:tcPr>
            <w:tcW w:type="dxa" w:w="1928"/>
          </w:tcPr>
          <w:p>
            <w:pPr>
              <w:spacing w:after="40"/>
            </w:pPr>
            <w:r>
              <w:rPr>
                <w:rFonts w:ascii="Consolas" w:hAnsi="Consolas"/>
                <w:sz w:val="18"/>
              </w:rPr>
              <w:t>20</w:t>
            </w:r>
          </w:p>
        </w:tc>
        <w:tc>
          <w:tcPr>
            <w:tcW w:type="dxa" w:w="4422"/>
          </w:tcPr>
          <w:p>
            <w:pPr>
              <w:spacing w:after="40"/>
            </w:pPr>
            <w:r>
              <w:rPr>
                <w:rFonts w:ascii="Segoe UI" w:hAnsi="Segoe UI"/>
                <w:sz w:val="19"/>
              </w:rPr>
              <w:t>Skrivehastighed: pause i millisekunder efter hver HID-rapport. Der sendes to rapporter pr. tegn, så 20 ms giver 25 tegn i sekundet. Dette er næsten hele den tid, en skanning tager. Se afsnit 9.6.</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Skrivehastighed — </w:t>
      </w:r>
      <w:r>
        <w:rPr>
          <w:rFonts w:ascii="Segoe UI" w:hAnsi="Segoe UI"/>
          <w:sz w:val="21"/>
        </w:rP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magneten, til menuen åbner, og vælg Power → Sluk (én berøring bekræfter). På bokse uden display: hold i 6 sekunder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Factory reset under System i magnetmenuen (TO bekræftende berøringer) — på bokse uden display magneten holdt i 15 sekunder —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under System → Mode i magnetmenuen (én bekræftende berøring). På bokse uden display: hold magneten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System → Mode i magnetmenuen; 10 sekunder på bokse uden display).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System → Mode i magnetmenuen.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pPr>
        <w:pStyle w:val="Heading2"/>
      </w:pPr>
      <w:r>
        <w:t>9.6 Skrivehastighed</w:t>
      </w:r>
    </w:p>
    <w:p>
      <w:r>
        <w:rPr>
          <w:rFonts w:ascii="Segoe UI" w:hAnsi="Segoe UI"/>
          <w:b w:val="0"/>
          <w:i w:val="0"/>
          <w:sz w:val="21"/>
        </w:rPr>
        <w:t>Skrivehastigheden er den enkeltfaktor, der betyder mest for, hvor lang tid en skanning tager. Enheden sender to HID-rapporter pr. tegn (tast ned og tast op) og venter TypingDelayMs efter hver, så hastigheden er 1000 / (2 × TypingDelayMs) tegn i sekundet. Ved standardværdien 20 ms er det 25 tegn i sekundet: en side på 1.500 tegn tager ca. 60 sekunder, og resten af kæden (detektion, læsning, kø) bidrager med under et halvt sekund tilsammen.</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361"/>
            <w:shd w:val="clear" w:color="auto" w:fill="2B6CB0"/>
          </w:tcPr>
          <w:p>
            <w:pPr>
              <w:spacing w:after="40"/>
            </w:pPr>
            <w:r>
              <w:rPr>
                <w:rFonts w:ascii="Segoe UI" w:hAnsi="Segoe UI"/>
                <w:b/>
                <w:color w:val="FFFFFF"/>
                <w:sz w:val="19"/>
              </w:rPr>
              <w:t>Indstilling</w:t>
            </w:r>
          </w:p>
        </w:tc>
        <w:tc>
          <w:tcPr>
            <w:tcW w:type="dxa" w:w="907"/>
            <w:shd w:val="clear" w:color="auto" w:fill="2B6CB0"/>
          </w:tcPr>
          <w:p>
            <w:pPr>
              <w:spacing w:after="40"/>
            </w:pPr>
            <w:r>
              <w:rPr>
                <w:rFonts w:ascii="Segoe UI" w:hAnsi="Segoe UI"/>
                <w:b/>
                <w:color w:val="FFFFFF"/>
                <w:sz w:val="19"/>
              </w:rPr>
              <w:t>Værdi</w:t>
            </w:r>
          </w:p>
        </w:tc>
        <w:tc>
          <w:tcPr>
            <w:tcW w:type="dxa" w:w="1020"/>
            <w:shd w:val="clear" w:color="auto" w:fill="2B6CB0"/>
          </w:tcPr>
          <w:p>
            <w:pPr>
              <w:spacing w:after="40"/>
            </w:pPr>
            <w:r>
              <w:rPr>
                <w:rFonts w:ascii="Segoe UI" w:hAnsi="Segoe UI"/>
                <w:b/>
                <w:color w:val="FFFFFF"/>
                <w:sz w:val="19"/>
              </w:rPr>
              <w:t>Teoretisk</w:t>
            </w:r>
          </w:p>
        </w:tc>
        <w:tc>
          <w:tcPr>
            <w:tcW w:type="dxa" w:w="1020"/>
            <w:shd w:val="clear" w:color="auto" w:fill="2B6CB0"/>
          </w:tcPr>
          <w:p>
            <w:pPr>
              <w:spacing w:after="40"/>
            </w:pPr>
            <w:r>
              <w:rPr>
                <w:rFonts w:ascii="Segoe UI" w:hAnsi="Segoe UI"/>
                <w:b/>
                <w:color w:val="FFFFFF"/>
                <w:sz w:val="19"/>
              </w:rPr>
              <w:t>Opnåeligt</w:t>
            </w:r>
          </w:p>
        </w:tc>
        <w:tc>
          <w:tcPr>
            <w:tcW w:type="dxa" w:w="4535"/>
            <w:shd w:val="clear" w:color="auto" w:fill="2B6CB0"/>
          </w:tcPr>
          <w:p>
            <w:pPr>
              <w:spacing w:after="40"/>
            </w:pPr>
            <w:r>
              <w:rPr>
                <w:rFonts w:ascii="Segoe UI" w:hAnsi="Segoe UI"/>
                <w:b/>
                <w:color w:val="FFFFFF"/>
                <w:sz w:val="19"/>
              </w:rPr>
              <w:t>Bemærkning</w:t>
            </w:r>
          </w:p>
        </w:tc>
      </w:tr>
      <w:tr>
        <w:tc>
          <w:tcPr>
            <w:tcW w:type="dxa" w:w="1361"/>
          </w:tcPr>
          <w:p>
            <w:pPr>
              <w:spacing w:after="40"/>
            </w:pPr>
            <w:r>
              <w:rPr>
                <w:rFonts w:ascii="Segoe UI" w:hAnsi="Segoe UI"/>
                <w:sz w:val="19"/>
              </w:rPr>
              <w:t>Normal</w:t>
            </w:r>
          </w:p>
        </w:tc>
        <w:tc>
          <w:tcPr>
            <w:tcW w:type="dxa" w:w="907"/>
          </w:tcPr>
          <w:p>
            <w:pPr>
              <w:spacing w:after="40"/>
            </w:pPr>
            <w:r>
              <w:rPr>
                <w:rFonts w:ascii="Segoe UI" w:hAnsi="Segoe UI"/>
                <w:sz w:val="19"/>
              </w:rPr>
              <w:t>20 ms</w:t>
            </w:r>
          </w:p>
        </w:tc>
        <w:tc>
          <w:tcPr>
            <w:tcW w:type="dxa" w:w="1020"/>
          </w:tcPr>
          <w:p>
            <w:pPr>
              <w:spacing w:after="40"/>
            </w:pPr>
            <w:r>
              <w:rPr>
                <w:rFonts w:ascii="Segoe UI" w:hAnsi="Segoe UI"/>
                <w:sz w:val="19"/>
              </w:rPr>
              <w:t>25/s</w:t>
            </w:r>
          </w:p>
        </w:tc>
        <w:tc>
          <w:tcPr>
            <w:tcW w:type="dxa" w:w="1020"/>
          </w:tcPr>
          <w:p>
            <w:pPr>
              <w:spacing w:after="40"/>
            </w:pPr>
            <w:r>
              <w:rPr>
                <w:rFonts w:ascii="Segoe UI" w:hAnsi="Segoe UI"/>
                <w:sz w:val="19"/>
              </w:rPr>
              <w:t>25/s</w:t>
            </w:r>
          </w:p>
        </w:tc>
        <w:tc>
          <w:tcPr>
            <w:tcW w:type="dxa" w:w="4535"/>
          </w:tcPr>
          <w:p>
            <w:pPr>
              <w:spacing w:after="40"/>
            </w:pPr>
            <w:r>
              <w:rPr>
                <w:rFonts w:ascii="Segoe UI" w:hAnsi="Segoe UI"/>
                <w:sz w:val="19"/>
              </w:rPr>
              <w:t>Standard. Her er det forsinkelsen, der sætter grænsen.</w:t>
            </w:r>
          </w:p>
        </w:tc>
      </w:tr>
      <w:tr>
        <w:tc>
          <w:tcPr>
            <w:tcW w:type="dxa" w:w="1361"/>
            <w:shd w:val="clear" w:color="auto" w:fill="F7FAFC"/>
          </w:tcPr>
          <w:p>
            <w:pPr>
              <w:spacing w:after="40"/>
            </w:pPr>
            <w:r>
              <w:rPr>
                <w:rFonts w:ascii="Segoe UI" w:hAnsi="Segoe UI"/>
                <w:sz w:val="19"/>
              </w:rPr>
              <w:t>Hurtig</w:t>
            </w:r>
          </w:p>
        </w:tc>
        <w:tc>
          <w:tcPr>
            <w:tcW w:type="dxa" w:w="907"/>
            <w:shd w:val="clear" w:color="auto" w:fill="F7FAFC"/>
          </w:tcPr>
          <w:p>
            <w:pPr>
              <w:spacing w:after="40"/>
            </w:pPr>
            <w:r>
              <w:rPr>
                <w:rFonts w:ascii="Segoe UI" w:hAnsi="Segoe UI"/>
                <w:sz w:val="19"/>
              </w:rPr>
              <w:t>12 ms</w:t>
            </w:r>
          </w:p>
        </w:tc>
        <w:tc>
          <w:tcPr>
            <w:tcW w:type="dxa" w:w="1020"/>
            <w:shd w:val="clear" w:color="auto" w:fill="F7FAFC"/>
          </w:tcPr>
          <w:p>
            <w:pPr>
              <w:spacing w:after="40"/>
            </w:pPr>
            <w:r>
              <w:rPr>
                <w:rFonts w:ascii="Segoe UI" w:hAnsi="Segoe UI"/>
                <w:sz w:val="19"/>
              </w:rPr>
              <w:t>42/s</w:t>
            </w:r>
          </w:p>
        </w:tc>
        <w:tc>
          <w:tcPr>
            <w:tcW w:type="dxa" w:w="1020"/>
            <w:shd w:val="clear" w:color="auto" w:fill="F7FAFC"/>
          </w:tcPr>
          <w:p>
            <w:pPr>
              <w:spacing w:after="40"/>
            </w:pPr>
            <w:r>
              <w:rPr>
                <w:rFonts w:ascii="Segoe UI" w:hAnsi="Segoe UI"/>
                <w:sz w:val="19"/>
              </w:rPr>
              <w:t>ca. 40/s</w:t>
            </w:r>
          </w:p>
        </w:tc>
        <w:tc>
          <w:tcPr>
            <w:tcW w:type="dxa" w:w="4535"/>
            <w:shd w:val="clear" w:color="auto" w:fill="F7FAFC"/>
          </w:tcPr>
          <w:p>
            <w:pPr>
              <w:spacing w:after="40"/>
            </w:pPr>
            <w:r>
              <w:rPr>
                <w:rFonts w:ascii="Segoe UI" w:hAnsi="Segoe UI"/>
                <w:sz w:val="19"/>
              </w:rPr>
              <w:t>I praksis det bedste valg.</w:t>
            </w:r>
          </w:p>
        </w:tc>
      </w:tr>
      <w:tr>
        <w:tc>
          <w:tcPr>
            <w:tcW w:type="dxa" w:w="1361"/>
          </w:tcPr>
          <w:p>
            <w:pPr>
              <w:spacing w:after="40"/>
            </w:pPr>
            <w:r>
              <w:rPr>
                <w:rFonts w:ascii="Segoe UI" w:hAnsi="Segoe UI"/>
                <w:sz w:val="19"/>
              </w:rPr>
              <w:t>Hurtigere</w:t>
            </w:r>
          </w:p>
        </w:tc>
        <w:tc>
          <w:tcPr>
            <w:tcW w:type="dxa" w:w="907"/>
          </w:tcPr>
          <w:p>
            <w:pPr>
              <w:spacing w:after="40"/>
            </w:pPr>
            <w:r>
              <w:rPr>
                <w:rFonts w:ascii="Segoe UI" w:hAnsi="Segoe UI"/>
                <w:sz w:val="19"/>
              </w:rPr>
              <w:t>8 ms</w:t>
            </w:r>
          </w:p>
        </w:tc>
        <w:tc>
          <w:tcPr>
            <w:tcW w:type="dxa" w:w="1020"/>
          </w:tcPr>
          <w:p>
            <w:pPr>
              <w:spacing w:after="40"/>
            </w:pPr>
            <w:r>
              <w:rPr>
                <w:rFonts w:ascii="Segoe UI" w:hAnsi="Segoe UI"/>
                <w:sz w:val="19"/>
              </w:rPr>
              <w:t>62/s</w:t>
            </w:r>
          </w:p>
        </w:tc>
        <w:tc>
          <w:tcPr>
            <w:tcW w:type="dxa" w:w="1020"/>
          </w:tcPr>
          <w:p>
            <w:pPr>
              <w:spacing w:after="40"/>
            </w:pPr>
            <w:r>
              <w:rPr>
                <w:rFonts w:ascii="Segoe UI" w:hAnsi="Segoe UI"/>
                <w:sz w:val="19"/>
              </w:rPr>
              <w:t>33–44/s</w:t>
            </w:r>
          </w:p>
        </w:tc>
        <w:tc>
          <w:tcPr>
            <w:tcW w:type="dxa" w:w="4535"/>
          </w:tcPr>
          <w:p>
            <w:pPr>
              <w:spacing w:after="40"/>
            </w:pPr>
            <w:r>
              <w:rPr>
                <w:rFonts w:ascii="Segoe UI" w:hAnsi="Segoe UI"/>
                <w:sz w:val="19"/>
              </w:rPr>
              <w:t>På eller under værtens interval: ingen reel gevinst.</w:t>
            </w:r>
          </w:p>
        </w:tc>
      </w:tr>
      <w:tr>
        <w:tc>
          <w:tcPr>
            <w:tcW w:type="dxa" w:w="1361"/>
            <w:shd w:val="clear" w:color="auto" w:fill="F7FAFC"/>
          </w:tcPr>
          <w:p>
            <w:pPr>
              <w:spacing w:after="40"/>
            </w:pPr>
            <w:r>
              <w:rPr>
                <w:rFonts w:ascii="Segoe UI" w:hAnsi="Segoe UI"/>
                <w:sz w:val="19"/>
              </w:rPr>
              <w:t>Hurtigst</w:t>
            </w:r>
          </w:p>
        </w:tc>
        <w:tc>
          <w:tcPr>
            <w:tcW w:type="dxa" w:w="907"/>
            <w:shd w:val="clear" w:color="auto" w:fill="F7FAFC"/>
          </w:tcPr>
          <w:p>
            <w:pPr>
              <w:spacing w:after="40"/>
            </w:pPr>
            <w:r>
              <w:rPr>
                <w:rFonts w:ascii="Segoe UI" w:hAnsi="Segoe UI"/>
                <w:sz w:val="19"/>
              </w:rPr>
              <w:t>4 ms</w:t>
            </w:r>
          </w:p>
        </w:tc>
        <w:tc>
          <w:tcPr>
            <w:tcW w:type="dxa" w:w="1020"/>
            <w:shd w:val="clear" w:color="auto" w:fill="F7FAFC"/>
          </w:tcPr>
          <w:p>
            <w:pPr>
              <w:spacing w:after="40"/>
            </w:pPr>
            <w:r>
              <w:rPr>
                <w:rFonts w:ascii="Segoe UI" w:hAnsi="Segoe UI"/>
                <w:sz w:val="19"/>
              </w:rPr>
              <w:t>125/s</w:t>
            </w:r>
          </w:p>
        </w:tc>
        <w:tc>
          <w:tcPr>
            <w:tcW w:type="dxa" w:w="1020"/>
            <w:shd w:val="clear" w:color="auto" w:fill="F7FAFC"/>
          </w:tcPr>
          <w:p>
            <w:pPr>
              <w:spacing w:after="40"/>
            </w:pPr>
            <w:r>
              <w:rPr>
                <w:rFonts w:ascii="Segoe UI" w:hAnsi="Segoe UI"/>
                <w:sz w:val="19"/>
              </w:rPr>
              <w:t>33–44/s</w:t>
            </w:r>
          </w:p>
        </w:tc>
        <w:tc>
          <w:tcPr>
            <w:tcW w:type="dxa" w:w="4535"/>
            <w:shd w:val="clear" w:color="auto" w:fill="F7FAFC"/>
          </w:tcPr>
          <w:p>
            <w:pPr>
              <w:spacing w:after="40"/>
            </w:pPr>
            <w:r>
              <w:rPr>
                <w:rFonts w:ascii="Segoe UI" w:hAnsi="Segoe UI"/>
                <w:sz w:val="19"/>
              </w:rPr>
              <w:t>Ingen gevinst, og forvent tab af tegn.</w:t>
            </w:r>
          </w:p>
        </w:tc>
      </w:tr>
    </w:tbl>
    <w:p>
      <w:pPr>
        <w:spacing w:before="60" w:after="240"/>
        <w:jc w:val="center"/>
      </w:pPr>
      <w:r>
        <w:rPr>
          <w:rFonts w:ascii="Segoe UI" w:hAnsi="Segoe UI"/>
          <w:i/>
          <w:color w:val="606C80"/>
          <w:sz w:val="18"/>
        </w:rPr>
        <w:t>Tabel 35. Skrivehastigheder under Indstillinger. Den teoretiske værdi kan ikke nås: se loftet herunder.</w:t>
      </w:r>
    </w:p>
    <w:p>
      <w:r>
        <w:rPr>
          <w:rFonts w:ascii="Segoe UI" w:hAnsi="Segoe UI"/>
          <w:b w:val="0"/>
          <w:i w:val="0"/>
          <w:sz w:val="21"/>
        </w:rPr>
        <w:t>Den teoretiske hastighed kan ikke opnås, og forskellen er hele pointen. Hvert tegn er to HID-notifikationer, og en notifikation kan ikke leveres hurtigere end ét forbindelsesinterval. Ved de 15 ms, en Windows-pc typisk forhandler sig frem til, er loftet 2 × 15 ms = 30 ms pr. tegn, altså 33 tegn i sekundet — uanset hvad forsinkelsen er sat til.</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color="auto" w:fill="2B6CB0"/>
          </w:tcPr>
          <w:p>
            <w:pPr>
              <w:spacing w:after="40"/>
            </w:pPr>
            <w:r>
              <w:rPr>
                <w:rFonts w:ascii="Segoe UI" w:hAnsi="Segoe UI"/>
                <w:b/>
                <w:color w:val="FFFFFF"/>
                <w:sz w:val="19"/>
              </w:rPr>
              <w:t>Forbindelsesinterval</w:t>
            </w:r>
          </w:p>
        </w:tc>
        <w:tc>
          <w:tcPr>
            <w:tcW w:type="dxa" w:w="2268"/>
            <w:shd w:val="clear" w:color="auto" w:fill="2B6CB0"/>
          </w:tcPr>
          <w:p>
            <w:pPr>
              <w:spacing w:after="40"/>
            </w:pPr>
            <w:r>
              <w:rPr>
                <w:rFonts w:ascii="Segoe UI" w:hAnsi="Segoe UI"/>
                <w:b/>
                <w:color w:val="FFFFFF"/>
                <w:sz w:val="19"/>
              </w:rPr>
              <w:t>Gulv pr. tegn</w:t>
            </w:r>
          </w:p>
        </w:tc>
        <w:tc>
          <w:tcPr>
            <w:tcW w:type="dxa" w:w="4309"/>
            <w:shd w:val="clear" w:color="auto" w:fill="2B6CB0"/>
          </w:tcPr>
          <w:p>
            <w:pPr>
              <w:spacing w:after="40"/>
            </w:pPr>
            <w:r>
              <w:rPr>
                <w:rFonts w:ascii="Segoe UI" w:hAnsi="Segoe UI"/>
                <w:b/>
                <w:color w:val="FFFFFF"/>
                <w:sz w:val="19"/>
              </w:rPr>
              <w:t>Loft</w:t>
            </w:r>
          </w:p>
        </w:tc>
      </w:tr>
      <w:tr>
        <w:tc>
          <w:tcPr>
            <w:tcW w:type="dxa" w:w="2268"/>
          </w:tcPr>
          <w:p>
            <w:pPr>
              <w:spacing w:after="40"/>
            </w:pPr>
            <w:r>
              <w:rPr>
                <w:rFonts w:ascii="Segoe UI" w:hAnsi="Segoe UI"/>
                <w:sz w:val="19"/>
              </w:rPr>
              <w:t>7,5 ms</w:t>
            </w:r>
          </w:p>
        </w:tc>
        <w:tc>
          <w:tcPr>
            <w:tcW w:type="dxa" w:w="2268"/>
          </w:tcPr>
          <w:p>
            <w:pPr>
              <w:spacing w:after="40"/>
            </w:pPr>
            <w:r>
              <w:rPr>
                <w:rFonts w:ascii="Segoe UI" w:hAnsi="Segoe UI"/>
                <w:sz w:val="19"/>
              </w:rPr>
              <w:t>15 ms</w:t>
            </w:r>
          </w:p>
        </w:tc>
        <w:tc>
          <w:tcPr>
            <w:tcW w:type="dxa" w:w="4309"/>
          </w:tcPr>
          <w:p>
            <w:pPr>
              <w:spacing w:after="40"/>
            </w:pPr>
            <w:r>
              <w:rPr>
                <w:rFonts w:ascii="Segoe UI" w:hAnsi="Segoe UI"/>
                <w:sz w:val="19"/>
              </w:rPr>
              <w:t>66 tegn/s</w:t>
            </w:r>
          </w:p>
        </w:tc>
      </w:tr>
      <w:tr>
        <w:tc>
          <w:tcPr>
            <w:tcW w:type="dxa" w:w="2268"/>
            <w:shd w:val="clear" w:color="auto" w:fill="F7FAFC"/>
          </w:tcPr>
          <w:p>
            <w:pPr>
              <w:spacing w:after="40"/>
            </w:pPr>
            <w:r>
              <w:rPr>
                <w:rFonts w:ascii="Segoe UI" w:hAnsi="Segoe UI"/>
                <w:sz w:val="19"/>
              </w:rPr>
              <w:t>11,25 ms</w:t>
            </w:r>
          </w:p>
        </w:tc>
        <w:tc>
          <w:tcPr>
            <w:tcW w:type="dxa" w:w="2268"/>
            <w:shd w:val="clear" w:color="auto" w:fill="F7FAFC"/>
          </w:tcPr>
          <w:p>
            <w:pPr>
              <w:spacing w:after="40"/>
            </w:pPr>
            <w:r>
              <w:rPr>
                <w:rFonts w:ascii="Segoe UI" w:hAnsi="Segoe UI"/>
                <w:sz w:val="19"/>
              </w:rPr>
              <w:t>22,5 ms</w:t>
            </w:r>
          </w:p>
        </w:tc>
        <w:tc>
          <w:tcPr>
            <w:tcW w:type="dxa" w:w="4309"/>
            <w:shd w:val="clear" w:color="auto" w:fill="F7FAFC"/>
          </w:tcPr>
          <w:p>
            <w:pPr>
              <w:spacing w:after="40"/>
            </w:pPr>
            <w:r>
              <w:rPr>
                <w:rFonts w:ascii="Segoe UI" w:hAnsi="Segoe UI"/>
                <w:sz w:val="19"/>
              </w:rPr>
              <w:t>44 tegn/s</w:t>
            </w:r>
          </w:p>
        </w:tc>
      </w:tr>
      <w:tr>
        <w:tc>
          <w:tcPr>
            <w:tcW w:type="dxa" w:w="2268"/>
          </w:tcPr>
          <w:p>
            <w:pPr>
              <w:spacing w:after="40"/>
            </w:pPr>
            <w:r>
              <w:rPr>
                <w:rFonts w:ascii="Segoe UI" w:hAnsi="Segoe UI"/>
                <w:sz w:val="19"/>
              </w:rPr>
              <w:t>15 ms</w:t>
            </w:r>
          </w:p>
        </w:tc>
        <w:tc>
          <w:tcPr>
            <w:tcW w:type="dxa" w:w="2268"/>
          </w:tcPr>
          <w:p>
            <w:pPr>
              <w:spacing w:after="40"/>
            </w:pPr>
            <w:r>
              <w:rPr>
                <w:rFonts w:ascii="Segoe UI" w:hAnsi="Segoe UI"/>
                <w:sz w:val="19"/>
              </w:rPr>
              <w:t>30 ms</w:t>
            </w:r>
          </w:p>
        </w:tc>
        <w:tc>
          <w:tcPr>
            <w:tcW w:type="dxa" w:w="4309"/>
          </w:tcPr>
          <w:p>
            <w:pPr>
              <w:spacing w:after="40"/>
            </w:pPr>
            <w:r>
              <w:rPr>
                <w:rFonts w:ascii="Segoe UI" w:hAnsi="Segoe UI"/>
                <w:sz w:val="19"/>
              </w:rPr>
              <w:t>33 tegn/s</w:t>
            </w:r>
          </w:p>
        </w:tc>
      </w:tr>
    </w:tbl>
    <w:p>
      <w:pPr>
        <w:spacing w:before="60" w:after="240"/>
        <w:jc w:val="center"/>
      </w:pPr>
      <w:r>
        <w:rPr>
          <w:rFonts w:ascii="Segoe UI" w:hAnsi="Segoe UI"/>
          <w:i/>
          <w:color w:val="606C80"/>
          <w:sz w:val="18"/>
        </w:rPr>
        <w:t>Tabel 36. Loftet sat af radioen, ikke af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Målt på en Zero 2 W: 32,9 tegn i sekundet ved en forsinkelse på 4 ms — inden for afrunding af gulvet ved 15 ms, og langsommere end 8 ms i samme kørsel. Under ca. 12 ms er indstillingen ikke længere det, der begrænser enheden, så de to hurtigste trin øger mest af alt risikoen for tabte tegn. Skal en enhed hurtigere end ca. 40 tegn i sekundet, er forsinkelsen den forkerte knap: se docs/operations/performance.md, afsnittet om at halvere antallet af rapporter.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r>
        <w:rPr>
          <w:rFonts w:ascii="Segoe UI" w:hAnsi="Segoe UI"/>
          <w:b w:val="0"/>
          <w:i w:val="0"/>
          <w:sz w:val="21"/>
        </w:rP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Tiderne alene afgør ikke valget. Hver lavere værdi er hurtigere end den foregående — fejlen viser sig som tabte eller ombyttede tegn, og det kan kun ses ved at læse teksten. Enheden kan ikke selv se, om teksten ankom korrekt.</w:t>
      </w:r>
    </w:p>
    <w:p>
      <w:r>
        <w:rPr>
          <w:rFonts w:ascii="Segoe UI" w:hAnsi="Segoe UI"/>
          <w:b w:val="0"/>
          <w:i w:val="0"/>
          <w:sz w:val="21"/>
        </w:rP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r>
        <w:rPr>
          <w:rFonts w:ascii="Segoe UI" w:hAnsi="Segoe UI"/>
          <w:b w:val="0"/>
          <w:i w:val="0"/>
          <w:sz w:val="21"/>
        </w:rP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r>
        <w:tc>
          <w:tcPr>
            <w:tcW w:type="dxa" w:w="2381"/>
          </w:tcPr>
          <w:p>
            <w:pPr>
              <w:spacing w:after="40"/>
            </w:pPr>
            <w:r>
              <w:rPr>
                <w:rFonts w:ascii="Segoe UI" w:hAnsi="Segoe UI"/>
                <w:sz w:val="19"/>
              </w:rPr>
              <w:t>Efter en geninstallation af enheden skifter PC'en hele tiden mellem Tilsluttet og Ikke tilsluttet, og displayet viser “PC connecting…”.</w:t>
            </w:r>
          </w:p>
        </w:tc>
        <w:tc>
          <w:tcPr>
            <w:tcW w:type="dxa" w:w="2721"/>
          </w:tcPr>
          <w:p>
            <w:pPr>
              <w:spacing w:after="40"/>
            </w:pPr>
            <w:r>
              <w:rPr>
                <w:rFonts w:ascii="Segoe UI" w:hAnsi="Segoe UI"/>
                <w:sz w:val="19"/>
              </w:rPr>
              <w:t>PC'en har stadig nøglerne fra før geninstallationen; den nye installation har ingen. På Pi'en viser bluetoothctl info &lt;MAC&gt; “Paired: no”, og navnet er blot adressen.</w:t>
            </w:r>
          </w:p>
        </w:tc>
        <w:tc>
          <w:tcPr>
            <w:tcW w:type="dxa" w:w="3742"/>
          </w:tcPr>
          <w:p>
            <w:pPr>
              <w:spacing w:after="40"/>
            </w:pPr>
            <w:r>
              <w:rPr>
                <w:rFonts w:ascii="Segoe UI" w:hAnsi="Segoe UI"/>
                <w:sz w:val="19"/>
              </w:rPr>
              <w:t>Fjern “IPR Keyboard” i Windows, og par forfra. Enheden kan ikke selv rette det — den kan ikke tage imod nøgler, den ikke har. Næste gang: fjern enheden på PC'en, FØR den geninstalleres.</w:t>
            </w:r>
          </w:p>
        </w:tc>
      </w:tr>
    </w:tbl>
    <w:p>
      <w:pPr>
        <w:spacing w:before="60" w:after="240"/>
        <w:jc w:val="center"/>
      </w:pPr>
      <w:r>
        <w:rPr>
          <w:rFonts w:ascii="Segoe UI" w:hAnsi="Segoe UI"/>
          <w:i/>
          <w:color w:val="606C80"/>
          <w:sz w:val="18"/>
        </w:rPr>
        <w:t>Tabel 37.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38.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Vælg System → Mode i magnetmenuen (på bokse uden display: hold i 10 sekunder, hvor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39.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40.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Power → Sluk i magnetmenuen lukker enheden ned: hvid, derefter slukket lampe (6 sekunders hold på bokse uden display).</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41.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&lt;adresse&gt;                             # ryd gammel værtsnøgle (ssh -G viser adressen)</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2.3.1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