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20</w:t>
            </w:r>
          </w:p>
        </w:tc>
        <w:tc>
          <w:tcPr>
            <w:tcW w:type="dxa" w:w="4422"/>
          </w:tcPr>
          <w:p>
            <w:pPr>
              <w:spacing w:after="40"/>
            </w:pPr>
            <w:r>
              <w:rPr>
                <w:rFonts w:ascii="Segoe UI" w:hAnsi="Segoe UI"/>
                <w:sz w:val="19"/>
              </w:rPr>
              <w:t>Skrivehastighed: pause i millisekunder efter hver HID-rapport. Der sendes to rapporter pr. tegn, så 20 ms giver 25 tegn i sekundet.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Ved standardværdien 20 ms er det 25 tegn i sekundet: en side på 1.500 tegn tager ca. 60 sekunder, og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Standard. 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