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1313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690"/>
        <w:gridCol w:w="3840"/>
        <w:tblGridChange w:id="0">
          <w:tblGrid>
            <w:gridCol w:w="1830"/>
            <w:gridCol w:w="369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Kelebihan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Kekurangan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Katalon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Distribusi antarmuka fungsional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Konfigurasi lingkungan sederhana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Mendukung perekaman dan pemutaran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Mendukung mode pengeditan skrip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Mengambil elemen secara manual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Kata kunci bawaan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Independensi manajemen data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Dukungan ekstensi dan kustomisasi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Integrasi berkelanjutan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Masih minimnya dokumentasi penggunaan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Appium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Mendukung multiple platform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Dapat membantu regression test aplikasi mobile menjadi lebih mudah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Mendukung multiple language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Tidak membutuhkan source code untuk testing aplikasi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Dapat built-in aplikasi seperti kalender, kamera, dll dalam test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Untuk versi Android, tidak support Android level &lt;17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Eksekusi script sangat lambat di IOS platform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Gestures support sangat terbatas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Tidak mendukung untuk pop-up atau toast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Selenium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Bersifat open source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Support berbagai bahasa pemograman dan framework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Support untuk semua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Keterampilan canggih diperlukan untuk menginstal, menggunakan, dan mengintegrasikan alat kerangka Kerja Selenium, sehingga dapat terjadi kurva pembelajaran yang signifikan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Test execution lebih cepat daripada Selenium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Consistent result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Easy debugging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Dapat menampilkan test dan comman ketika pengetesan aplikasi sedang berjalan pada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Hanya support JavaScript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Selector di Cypress hanya mendukung Jquery sehingga sedikit dapat menyulitkan user yang terbiasa menggunakan IDE automation test berbasis Selenium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Tidak mendukung pengetesan untuk mobile di platform manapun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TestComplete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Mudah diatur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Tidak mengharuskan pemahaman tentang pemograman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Dilengkapi pengujian GUI, fungsional, dan regresif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180"/>
              <w:jc w:val="left"/>
              <w:rPr>
                <w:color w:val="313131"/>
                <w:highlight w:val="white"/>
              </w:rPr>
            </w:pP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kemampuan untuk menskalakan tes </w:t>
            </w:r>
            <w:hyperlink r:id="rId6">
              <w:r w:rsidDel="00000000" w:rsidR="00000000" w:rsidRPr="00000000">
                <w:rPr>
                  <w:color w:val="313131"/>
                  <w:highlight w:val="white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 dan mengaturnya untuk pengujian di masa mendatang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Berbayar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color w:val="313131"/>
              </w:rPr>
            </w:pPr>
            <w:r w:rsidDel="00000000" w:rsidR="00000000" w:rsidRPr="00000000">
              <w:rPr>
                <w:color w:val="313131"/>
                <w:rtl w:val="0"/>
              </w:rPr>
              <w:t xml:space="preserve">Hanya dapat digunakan di Windows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31313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senit.com/software/desain-software/user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