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E2761"/>
          <w:sz w:val="42"/>
          <w:szCs w:val="42"/>
        </w:rPr>
        <w:t xml:space="preserve">1.1.2 Percentages en indexcijfers - Midden vragen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Midden oefenset percentages en indexcijfers.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Midden opgaven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een procentuele stijging en benoem de oude waarde.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een indexcijfer met basisjaar 100.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Leg uit waarom indexpunten geen procenten zijn.</w:t>
      </w:r>
    </w:p>
    <w:p>
      <w:pPr>
        <w:spacing w:after="140" w:before="120"/>
      </w:pPr>
      <w:r>
        <w:drawing>
          <wp:inline distT="0" distB="0" distL="0" distR="0">
            <wp:extent cx="4381500" cy="2667000"/>
            <wp:effectExtent t="0" r="0" b="0" l="0"/>
            <wp:docPr id="1" name="1.1.2_fig_1" descr="Asset 1.1.2_fig_1" title="1.1.2_fig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d7180a9eea3099d6a667a4ce7a76ca5e4390c3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2026-04-24T08:14:11.835Z</dcterms:created>
  <dcterms:modified xsi:type="dcterms:W3CDTF">2026-04-24T08:14:11.835Z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